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23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23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2013 there were 27,888,217 shares of the Company’s common stock, $0.01 par value per share, issued and 26,020,505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4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20" w:type="dxa"/>
            <w:vAlign w:val="bottom"/>
            <w:gridSpan w:val="10"/>
          </w:tcPr>
          <w:p>
            <w:pPr>
              <w:jc w:val="center"/>
              <w:ind w:right="232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460" w:type="dxa"/>
            <w:vAlign w:val="bottom"/>
            <w:gridSpan w:val="2"/>
          </w:tcPr>
          <w:p>
            <w:pPr>
              <w:spacing w:after="0"/>
              <w:rPr>
                <w:sz w:val="24"/>
                <w:szCs w:val="24"/>
                <w:color w:val="auto"/>
              </w:rPr>
            </w:pPr>
          </w:p>
        </w:tc>
        <w:tc>
          <w:tcPr>
            <w:tcW w:w="2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722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Six Months Ended December 31, 2012 and 2011</w:t>
              </w:r>
            </w:hyperlink>
          </w:p>
        </w:tc>
        <w:tc>
          <w:tcPr>
            <w:tcW w:w="460" w:type="dxa"/>
            <w:vAlign w:val="bottom"/>
            <w:gridSpan w:val="2"/>
          </w:tcPr>
          <w:p>
            <w:pPr>
              <w:jc w:val="center"/>
              <w:ind w:left="29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Comprehensive Income for the Three and Six Months Ended December 31, 2012 and 2011</w:t>
              </w:r>
            </w:hyperlink>
          </w:p>
        </w:tc>
        <w:tc>
          <w:tcPr>
            <w:tcW w:w="220" w:type="dxa"/>
            <w:vAlign w:val="bottom"/>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gridSpan w:val="11"/>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December 31, 2012 and June 30, 2012</w:t>
              </w:r>
            </w:hyperlink>
          </w:p>
        </w:tc>
        <w:tc>
          <w:tcPr>
            <w:tcW w:w="32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80" w:type="dxa"/>
            <w:vAlign w:val="bottom"/>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Cash Flows for the Six Months Ended December 31, 2012 and 2011</w:t>
              </w:r>
            </w:hyperlink>
          </w:p>
        </w:tc>
        <w:tc>
          <w:tcPr>
            <w:tcW w:w="1860" w:type="dxa"/>
            <w:vAlign w:val="bottom"/>
            <w:gridSpan w:val="4"/>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17"/>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Condensed Consolidated Statements of Changes in Stockholders’ Equity for the Six Months Ended December 31, 2012 and 2011</w:t>
              </w:r>
            </w:hyperlink>
          </w:p>
        </w:tc>
        <w:tc>
          <w:tcPr>
            <w:tcW w:w="460" w:type="dxa"/>
            <w:vAlign w:val="bottom"/>
            <w:gridSpan w:val="2"/>
          </w:tcPr>
          <w:p>
            <w:pPr>
              <w:jc w:val="center"/>
              <w:ind w:left="291"/>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0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34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318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7">
              <w:r>
                <w:rPr>
                  <w:rFonts w:ascii="Arial" w:cs="Arial" w:eastAsia="Arial" w:hAnsi="Arial"/>
                  <w:sz w:val="15"/>
                  <w:szCs w:val="15"/>
                  <w:color w:val="0000FF"/>
                  <w:w w:val="71"/>
                </w:rPr>
                <w:t>16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52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25</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460" w:type="dxa"/>
            <w:vAlign w:val="bottom"/>
            <w:gridSpan w:val="2"/>
          </w:tcPr>
          <w:p>
            <w:pPr>
              <w:jc w:val="center"/>
              <w:ind w:left="19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25</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27">
              <w:r>
                <w:rPr>
                  <w:rFonts w:ascii="Arial" w:cs="Arial" w:eastAsia="Arial" w:hAnsi="Arial"/>
                  <w:sz w:val="18"/>
                  <w:szCs w:val="18"/>
                  <w:b w:val="1"/>
                  <w:bCs w:val="1"/>
                  <w:color w:val="0000FF"/>
                  <w:w w:val="99"/>
                </w:rPr>
                <w:t>PART II</w:t>
              </w:r>
            </w:hyperlink>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20" w:type="dxa"/>
            <w:vAlign w:val="bottom"/>
            <w:gridSpan w:val="10"/>
          </w:tcPr>
          <w:p>
            <w:pPr>
              <w:jc w:val="center"/>
              <w:ind w:right="232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460" w:type="dxa"/>
            <w:vAlign w:val="bottom"/>
            <w:gridSpan w:val="2"/>
          </w:tcPr>
          <w:p>
            <w:pPr>
              <w:jc w:val="center"/>
              <w:ind w:left="1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8320" w:type="dxa"/>
            <w:vAlign w:val="bottom"/>
            <w:gridSpan w:val="13"/>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460" w:type="dxa"/>
            <w:vAlign w:val="bottom"/>
            <w:gridSpan w:val="2"/>
          </w:tcPr>
          <w:p>
            <w:pPr>
              <w:jc w:val="center"/>
              <w:ind w:left="1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3"/>
          </w:tcPr>
          <w:p>
            <w:pPr>
              <w:spacing w:after="0"/>
              <w:rPr>
                <w:sz w:val="24"/>
                <w:szCs w:val="24"/>
                <w:color w:val="auto"/>
              </w:rPr>
            </w:pPr>
          </w:p>
        </w:tc>
        <w:tc>
          <w:tcPr>
            <w:tcW w:w="53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460" w:type="dxa"/>
            <w:vAlign w:val="bottom"/>
            <w:gridSpan w:val="2"/>
          </w:tcPr>
          <w:p>
            <w:pPr>
              <w:jc w:val="center"/>
              <w:ind w:left="1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Other Information</w:t>
              </w:r>
            </w:hyperlink>
          </w:p>
        </w:tc>
        <w:tc>
          <w:tcPr>
            <w:tcW w:w="788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8340" w:type="dxa"/>
            <w:vAlign w:val="bottom"/>
            <w:gridSpan w:val="14"/>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5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431,044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370,285</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199,103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177,866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386,467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329,094</w:t>
            </w:r>
          </w:p>
        </w:tc>
      </w:tr>
      <w:tr>
        <w:trPr>
          <w:trHeight w:val="27"/>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41,191</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23,381</w:t>
            </w:r>
          </w:p>
        </w:tc>
      </w:tr>
      <w:tr>
        <w:trPr>
          <w:trHeight w:val="27"/>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17,810</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51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16,366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16,998</w:t>
            </w: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6,458</w:t>
            </w:r>
          </w:p>
        </w:tc>
      </w:tr>
      <w:tr>
        <w:trPr>
          <w:trHeight w:val="29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10,540</w:t>
            </w: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0.40</w:t>
            </w: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26,110</w:t>
            </w: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26,420</w:t>
            </w:r>
          </w:p>
        </w:tc>
      </w:tr>
      <w:tr>
        <w:trPr>
          <w:trHeight w:val="27"/>
        </w:trPr>
        <w:tc>
          <w:tcPr>
            <w:tcW w:w="5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5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2011</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10,540</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57"/>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9,819</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39,726</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w w:val="98"/>
              </w:rPr>
              <w:t>Accounts receivable, less allowances (December 31, 2012—$785 and June 30, 2012—$1,201)</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152,754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108,034</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68,562</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6,024</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2,482</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5,688</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267,318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230,516</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Land and buildings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29,357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28,846</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Construction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59,176</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25,865</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Office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16,892</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2,910</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133,689</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(78,814)</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54,875</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30,975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28,675</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6,504</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2,565</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376,074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323,135</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940"/>
          </w:cols>
          <w:pgMar w:left="240" w:top="12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0940"/>
          </w:cols>
          <w:pgMar w:left="240" w:top="125" w:right="71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48,931</w:t>
            </w:r>
          </w:p>
        </w:tc>
      </w:tr>
      <w:tr>
        <w:trPr>
          <w:trHeight w:val="243"/>
        </w:trPr>
        <w:tc>
          <w:tcPr>
            <w:tcW w:w="7820" w:type="dxa"/>
            <w:vAlign w:val="bottom"/>
          </w:tcPr>
          <w:p>
            <w:pPr>
              <w:ind w:left="3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30,293</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15,298</w:t>
            </w:r>
          </w:p>
        </w:tc>
      </w:tr>
      <w:tr>
        <w:trPr>
          <w:trHeight w:val="243"/>
        </w:trPr>
        <w:tc>
          <w:tcPr>
            <w:tcW w:w="7820" w:type="dxa"/>
            <w:vAlign w:val="bottom"/>
          </w:tcPr>
          <w:p>
            <w:pPr>
              <w:ind w:left="34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6,912</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r>
      <w:tr>
        <w:trPr>
          <w:trHeight w:val="243"/>
        </w:trPr>
        <w:tc>
          <w:tcPr>
            <w:tcW w:w="782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3,414</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105,963</w:t>
            </w:r>
          </w:p>
        </w:tc>
      </w:tr>
      <w:tr>
        <w:trPr>
          <w:trHeight w:val="237"/>
        </w:trPr>
        <w:tc>
          <w:tcPr>
            <w:tcW w:w="78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6,075</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 term debt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153,694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112,038</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Common stock—$.01 par value; 60,000,000 shares authorized; 27,888,217 shares issued as of</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31, 2012, and June 30, 2012</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78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116,693</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117,419</w:t>
            </w:r>
          </w:p>
        </w:tc>
      </w:tr>
      <w:tr>
        <w:trPr>
          <w:trHeight w:val="243"/>
        </w:trPr>
        <w:tc>
          <w:tcPr>
            <w:tcW w:w="782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235,162</w:t>
            </w:r>
          </w:p>
        </w:tc>
      </w:tr>
      <w:tr>
        <w:trPr>
          <w:trHeight w:val="229"/>
        </w:trPr>
        <w:tc>
          <w:tcPr>
            <w:tcW w:w="7820" w:type="dxa"/>
            <w:vAlign w:val="bottom"/>
          </w:tcPr>
          <w:p>
            <w:pPr>
              <w:ind w:left="340"/>
              <w:spacing w:after="0"/>
              <w:rPr>
                <w:sz w:val="20"/>
                <w:szCs w:val="20"/>
                <w:color w:val="auto"/>
              </w:rPr>
            </w:pPr>
            <w:r>
              <w:rPr>
                <w:rFonts w:ascii="Arial" w:cs="Arial" w:eastAsia="Arial" w:hAnsi="Arial"/>
                <w:sz w:val="18"/>
                <w:szCs w:val="18"/>
                <w:color w:val="auto"/>
                <w:w w:val="90"/>
              </w:rPr>
              <w:t>Less: Treasury stock, at cost—1,869,558 shares as of December 31, 2012, and 2,141,990 shares as of</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820" w:type="dxa"/>
            <w:vAlign w:val="bottom"/>
          </w:tcPr>
          <w:p>
            <w:pPr>
              <w:ind w:left="340"/>
              <w:spacing w:after="0"/>
              <w:rPr>
                <w:sz w:val="20"/>
                <w:szCs w:val="20"/>
                <w:color w:val="auto"/>
              </w:rPr>
            </w:pPr>
            <w:r>
              <w:rPr>
                <w:rFonts w:ascii="Arial" w:cs="Arial" w:eastAsia="Arial" w:hAnsi="Arial"/>
                <w:sz w:val="18"/>
                <w:szCs w:val="18"/>
                <w:color w:val="auto"/>
              </w:rPr>
              <w:t>June 30, 2012</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(24,065)</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222,380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211,097</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376,074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323,135</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0940"/>
          </w:cols>
          <w:pgMar w:left="240" w:top="125" w:right="7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10,120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10,540</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5,738</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1,735</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(16,474)</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12,565</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27,313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(3,669)</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(used) by operating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(6,759)</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Proceeds from asset sales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177</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r>
      <w:tr>
        <w:trPr>
          <w:trHeight w:val="27"/>
        </w:trPr>
        <w:tc>
          <w:tcPr>
            <w:tcW w:w="7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0940"/>
          </w:cols>
          <w:pgMar w:left="240" w:top="125" w:right="7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7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Issuances of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amendment fees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Advances under credit agreement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18,475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advances under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Treasury shares purchased by Employee Stock Purchase Plan</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 market purchase of treasury shares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treasury share purchases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(21,915)</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39,726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59,357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37,442</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6,559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51"/>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0940"/>
          </w:cols>
          <w:pgMar w:left="240" w:top="125" w:right="7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Income(Loss)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June 30, 2012</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117,419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211,097</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10,120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10,120</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Exercise of stock options (21,600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effect of exercised stock options and vesting of deferred</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of deferred shares (350,048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 (2,055 shares)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Other treasury share purchases (101,271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w:t>
            </w:r>
          </w:p>
        </w:tc>
        <w:tc>
          <w:tcPr>
            <w:tcW w:w="0" w:type="dxa"/>
            <w:vAlign w:val="bottom"/>
          </w:tcPr>
          <w:p>
            <w:pPr>
              <w:spacing w:after="0"/>
              <w:rPr>
                <w:sz w:val="1"/>
                <w:szCs w:val="1"/>
                <w:color w:val="auto"/>
              </w:rPr>
            </w:pPr>
          </w:p>
        </w:tc>
      </w:tr>
      <w:tr>
        <w:trPr>
          <w:trHeight w:val="283"/>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December 31, 2012</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117,059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127,539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(23,583)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222,380</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June 30, 2011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199,671</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10,540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10,540</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Exercise of stock options (15,400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effect of exercised stock options and vesting of deferred</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of deferred shares (161,222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 (2,636 shares)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w w:val="96"/>
              </w:rPr>
              <w:t>Open market purchase of treasury shares (886,503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(8,126)</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treasury share purchases (45,143 shares)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1,735</w:t>
            </w: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December 31, 2011</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202,617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0960"/>
          </w:cols>
          <w:pgMar w:left="240" w:top="125" w:right="6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condensed consolidated financial statements include the accounts of Matrix Service Company (“Matrix”, “we”, “our”, “us”, “its” or the “Company”) and its subsidiaries, all of which are wholly owned. Intercompany balances and transactions have been eliminated in consolidation.</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and financial position for the interim periods presented. The accompanying condensed financial statements should be read in conjunction with the audited financial statements for the year ended June 30, 2012, included in the Company’s Annual Report on Form 10-K for the year then ended.</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business is cyclical due to the scope and timing of projects released by our customers. Therefore, results from year to year can vary. Turnarounds and planned outages at customer facilities are typically scheduled in the spring and the fall when the demand for energy is lower. As a result, quarterly operating results can exhibit seasonal fluctuations, especially in our Oil Gas &amp; Chemical segment.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Accordingly, results for any interim period may not necessarily be indicative of future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9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December 31, 2012, the Company acquired substantially all of the assets of Pelichem Industrial Cleaning Services, LLC (“Pelichem”). Pelichem is an industrial cleaning company based in Reserve, Louisiana that performs hydroblasting, vacuum services, chemical cleaning and industrial services.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purchase price is expected to be finalized and settled following a final true-up of working capital accounts that is expected to conclude during the third fiscal quarter. The following table summarizes the preliminary purchase price allocation of the acquisition which is subject to change as we complete the working capital adjustments:</w:t>
      </w:r>
    </w:p>
    <w:p>
      <w:pPr>
        <w:spacing w:after="0" w:line="282"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4,032</w:t>
            </w:r>
          </w:p>
        </w:tc>
      </w:tr>
      <w:tr>
        <w:trPr>
          <w:trHeight w:val="27"/>
        </w:trPr>
        <w:tc>
          <w:tcPr>
            <w:tcW w:w="7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deductible goodwill</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7"/>
        </w:trPr>
        <w:tc>
          <w:tcPr>
            <w:tcW w:w="7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Estimated working capital adjustment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7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 before working capital adjustment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r>
      <w:tr>
        <w:trPr>
          <w:trHeight w:val="20"/>
        </w:trPr>
        <w:tc>
          <w:tcPr>
            <w:tcW w:w="7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operating data related to this acquisition was not material. The acquisition was funded with cash on hand.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26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4"/>
          </w:tcPr>
          <w:p>
            <w:pPr>
              <w:jc w:val="right"/>
              <w:ind w:right="614"/>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Costs incurred and estimated earnings recognized on uncompleted contracts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774,749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822,508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736,480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68,562</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Progress billings in accounts receivable at December 31, 2012 and June 30, 2012 included retentions to be collected within one year of $23.3 million and $22.3 million, respectively. Contract retentions collectible beyond one year totaled $2.9 million at December 31, 2012 and $1.2 million at June 30,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continues to pursue collection of a certain receivable acquired in connection with the purchase of S.M. Electric Company, Inc. in February 2009. The recorded values at December 31, 2012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Canada Aboveground Storage Tank Project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and six months ended December 31, 2012, our results of operations were materially impacted by a charge resulting from a change in estimate for a project to construct aboveground storage tanks in western Canada. The charge was primarily driven by changes in facts and circumstances regarding lower than expected labor productivity and higher than expected direct employee costs. This change in estimate resulted in a $3.3 million and $3.0 million decrease in operating income, a $2.1 million and $2.0 million decrease in our net income and a $0.08 and $0.07 decrease in our diluted earnings per common share during the three and six months ended December 31, 2012, respectively. This change was the only change in estimate considered material to our results of operations during the periods presented herein.</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Billings on uncompleted contracts in excess of costs and estimated earnings included an accrued loss related to this project of $1.4 million at December 31, 2012.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53,675</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Cumulative impairment loss (A)</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June 30, 2012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Purchase of Pelichem (Note 2)</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Net balance at December 31, 2012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30,975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A $25.0 million impairment charge was recorded in February 2005 as a result of the Company’s operating performance in fiscal 2005.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At December 31, 2012</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At June 30, 2012</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8"/>
                <w:szCs w:val="18"/>
                <w:color w:val="auto"/>
              </w:rPr>
              <w:t>- 10-</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25" w:right="7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other intangible assets at December 31, 2012 compared to June 30, 2012, is due to the acquisition of certain assets of Pelichem. Specifically, amortizing intangible assets included customer based intangibles with a fair value of $1.6 million and other amortizing intangibles with a fair value of $0.3 million. The weighted average amortization periods are anticipated to be 15 and 5 years, respectively. Please refer to Note 2 - Acquisition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totaled $0.2 million in the six months ended December 31, 2012 and $0.2 million in the six months ended December 31, 2011.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is expected to be $0.5 million in fiscal 2013, $0.6 million annually in fiscal years 2014 to 2016, and $0.5 million in fiscal 2017.</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116" w:lineRule="exact"/>
        <w:rPr>
          <w:rFonts w:ascii="Arial" w:cs="Arial" w:eastAsia="Arial" w:hAnsi="Arial"/>
          <w:sz w:val="18"/>
          <w:szCs w:val="18"/>
          <w:color w:val="auto"/>
        </w:rPr>
      </w:pPr>
    </w:p>
    <w:p>
      <w:pPr>
        <w:ind w:left="1300" w:right="14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not exceed 2.5 times Consolidated EBITDA, as defined in the Credit Agreement, over the previous four quarters. For the four quarters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2012, Consolidated EBITDA, as defined in the Credit Agreement, was $45.6 million. Accordingly, at December 31, 2012,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Funded Indebtedness in excess of $114.0 million would have violated the Senior Leverage Ratio covenant. Consolidated Funded Indebtedness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was $4.5 million, which includes $3.4 million of outstanding borrowings, and $1.1 million of non-workers compensation related letters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33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w:t>
            </w:r>
          </w:p>
        </w:tc>
      </w:tr>
      <w:tr>
        <w:trPr>
          <w:trHeight w:val="192"/>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196"/>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tcPr>
          <w:p>
            <w:pPr>
              <w:jc w:val="right"/>
              <w:ind w:right="794"/>
              <w:spacing w:after="0"/>
              <w:rPr>
                <w:sz w:val="20"/>
                <w:szCs w:val="20"/>
                <w:color w:val="auto"/>
              </w:rPr>
            </w:pPr>
            <w:r>
              <w:rPr>
                <w:rFonts w:ascii="Arial" w:cs="Arial" w:eastAsia="Arial" w:hAnsi="Arial"/>
                <w:sz w:val="14"/>
                <w:szCs w:val="14"/>
                <w:color w:val="auto"/>
              </w:rPr>
              <w:t>(In thousands)</w:t>
            </w:r>
          </w:p>
        </w:tc>
      </w:tr>
      <w:tr>
        <w:trPr>
          <w:trHeight w:val="25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Capacity constraint due to the Senior Leverage Ratio</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9,662</w:t>
            </w:r>
          </w:p>
        </w:tc>
      </w:tr>
      <w:tr>
        <w:trPr>
          <w:trHeight w:val="27"/>
        </w:trPr>
        <w:tc>
          <w:tcPr>
            <w:tcW w:w="5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Capacity under the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115,338</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Borrowings outstanding</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8,499</w:t>
            </w:r>
          </w:p>
        </w:tc>
      </w:tr>
      <w:tr>
        <w:trPr>
          <w:trHeight w:val="257"/>
        </w:trPr>
        <w:tc>
          <w:tcPr>
            <w:tcW w:w="5800" w:type="dxa"/>
            <w:vAlign w:val="bottom"/>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106,839</w:t>
            </w: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the assets will be recovered.</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$9.3 million at December 31, 2012 and $8.5 million at June 30, 2012. There were no revenues related to claims included in costs and estimated earnings in excess of billings on uncompleted contracts at December 31, 2012 or June 30, 2012. Generally, collection of amounts related to unapproved change orders and claims is expected within twelve months. However, customers may not pay these amounts until final resolution of related claims, and accordingly, collection of these amounts may extend beyond one year.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380"/>
          </w:cols>
          <w:pgMar w:left="240" w:top="125" w:right="2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adverse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000" w:type="dxa"/>
            <w:vAlign w:val="bottom"/>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1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r>
      <w:tr>
        <w:trPr>
          <w:trHeight w:val="196"/>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color w:val="auto"/>
                <w:w w:val="94"/>
              </w:rPr>
              <w:t>(In thousands, except per share data)</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30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w:t>
            </w:r>
          </w:p>
        </w:tc>
      </w:tr>
      <w:tr>
        <w:trPr>
          <w:trHeight w:val="25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26,110</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9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EPS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26,110</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Dilutive nonvested deferred shares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40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020" w:type="dxa"/>
            <w:vAlign w:val="bottom"/>
          </w:tcPr>
          <w:p>
            <w:pPr>
              <w:jc w:val="right"/>
              <w:ind w:right="37"/>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3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2011</w:t>
            </w:r>
          </w:p>
        </w:tc>
      </w:tr>
      <w:tr>
        <w:trPr>
          <w:trHeight w:val="264"/>
        </w:trPr>
        <w:tc>
          <w:tcPr>
            <w:tcW w:w="3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4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Nonvested deferred shares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0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020" w:type="dxa"/>
            <w:vAlign w:val="bottom"/>
          </w:tcPr>
          <w:p>
            <w:pPr>
              <w:spacing w:after="0"/>
              <w:rPr>
                <w:sz w:val="24"/>
                <w:szCs w:val="24"/>
                <w:color w:val="auto"/>
              </w:rPr>
            </w:pPr>
          </w:p>
        </w:tc>
        <w:tc>
          <w:tcPr>
            <w:tcW w:w="2060" w:type="dxa"/>
            <w:vAlign w:val="bottom"/>
            <w:gridSpan w:val="2"/>
          </w:tcPr>
          <w:p>
            <w:pPr>
              <w:jc w:val="right"/>
              <w:ind w:right="628"/>
              <w:spacing w:after="0"/>
              <w:rPr>
                <w:sz w:val="20"/>
                <w:szCs w:val="20"/>
                <w:color w:val="auto"/>
              </w:rPr>
            </w:pPr>
            <w:r>
              <w:rPr>
                <w:rFonts w:ascii="Arial" w:cs="Arial" w:eastAsia="Arial" w:hAnsi="Arial"/>
                <w:sz w:val="18"/>
                <w:szCs w:val="18"/>
                <w:color w:val="auto"/>
              </w:rPr>
              <w:t>- 13-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consists of corporate asset balances.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chief operating decision maker evaluates performance and allocates resources based primarily on operating income. The results of each operating segment include an allocation of corporate costs. The accounting policies of the reportable segments are the same as those described in the summary of significant accounting policies. Intersegment sales and transfers are recorded at cost and eliminated in consolidation; therefore, no intercompany profit or loss is recognized.</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40" w:type="dxa"/>
            <w:vAlign w:val="bottom"/>
          </w:tcPr>
          <w:p>
            <w:pPr>
              <w:spacing w:after="0"/>
              <w:rPr>
                <w:sz w:val="13"/>
                <w:szCs w:val="13"/>
                <w:color w:val="auto"/>
              </w:rPr>
            </w:pPr>
          </w:p>
        </w:tc>
        <w:tc>
          <w:tcPr>
            <w:tcW w:w="11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2011</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50,123</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43,628</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83,393</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65,640</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95,749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99,710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203,601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195,632</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14,651</w:t>
            </w:r>
          </w:p>
        </w:tc>
      </w:tr>
      <w:tr>
        <w:trPr>
          <w:trHeight w:val="297"/>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gross revenues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221,974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201,164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432,734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371,672</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Less: Inter-segment revenues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1,179</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inter-segment revenues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1,387</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revenues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50,123</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43,628</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83,393</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65,640</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95,541</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97,645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99,543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201,911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194,453</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14,651</w:t>
            </w:r>
          </w:p>
        </w:tc>
      </w:tr>
      <w:tr>
        <w:trPr>
          <w:trHeight w:val="297"/>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consolidated revenues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221,436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200,964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431,044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370,285</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4,991</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11,335</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7,776</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9,283</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17,717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23,076</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r>
      <w:tr>
        <w:trPr>
          <w:trHeight w:val="297"/>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gross profit</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22,333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44,577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41,191</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3,221</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10,773</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8,772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16,696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17,810</w:t>
            </w: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assets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72,229</w:t>
            </w:r>
          </w:p>
        </w:tc>
        <w:tc>
          <w:tcPr>
            <w:tcW w:w="12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59,919</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72,229</w:t>
            </w:r>
          </w:p>
        </w:tc>
        <w:tc>
          <w:tcPr>
            <w:tcW w:w="12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59,919</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50,479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163,906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138,550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163,906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138,550</w:t>
            </w: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18,904</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47,746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47,746</w:t>
            </w: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315,598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376,074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315,598</w:t>
            </w: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5" w:right="1379" w:bottom="1440" w:gutter="0" w:footer="0" w:header="0"/>
        </w:sect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- 15-</w:t>
      </w:r>
    </w:p>
    <w:p>
      <w:pPr>
        <w:sectPr>
          <w:pgSz w:w="11900" w:h="16838" w:orient="portrait"/>
          <w:cols w:equalWidth="0" w:num="1">
            <w:col w:w="10280"/>
          </w:cols>
          <w:pgMar w:left="240" w:top="125" w:right="1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98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2012 Annual Report on Form 10-K filed with the SEC. For more information on our critical accounting policies, see Part II, Item 7 of our fiscal 2012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$9.3 million at December 31, 2012 and $8.5 million at June 30, 2012. There were no revenues related to claims included in costs and estimated earnings in excess of billings on uncompleted contracts at December 31, 2012 or June 30, 2012. The amounts ultimately realized may be significantly different than the recorded amounts resulting in a material adjustment to future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continues to pursue collection of certain receivables acquired in connection with the purchase of S.M. Electric Company, Inc. in February 2009. The recorded values at December 31, 2012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four significant reporting units with goodwill representing 42%, 21%, 14% and 11% of the total goodwill balance. Our most recent annual goodwill impairment test, performed in the fourth quarter of fiscal 2012, indicated that the fair value of these reporting units exceeded their respective carrying values by 46%, 84%, 106% and 40%, respectively. The remaining 12% of total goodwill is allocated over three other reporting units. Based on the excess of estimated fair value over carrying value and the absence of any indicators of impairment at December 31, 2012, the Company does not currently anticipate recording a goodwill impairment charge for any of its operating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recently issued accounting standards that we believe will have a material affect on our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225" w:lineRule="exact"/>
        <w:rPr>
          <w:sz w:val="20"/>
          <w:szCs w:val="20"/>
          <w:color w:val="auto"/>
        </w:rPr>
      </w:pPr>
    </w:p>
    <w:p>
      <w:pPr>
        <w:ind w:left="980" w:right="140" w:hanging="324"/>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171"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186" w:lineRule="exact"/>
        <w:rPr>
          <w:rFonts w:ascii="Arial" w:cs="Arial" w:eastAsia="Arial" w:hAnsi="Arial"/>
          <w:sz w:val="18"/>
          <w:szCs w:val="18"/>
          <w:color w:val="auto"/>
        </w:rPr>
      </w:pPr>
    </w:p>
    <w:p>
      <w:pPr>
        <w:ind w:left="980" w:right="340" w:hanging="324"/>
        <w:spacing w:after="0" w:line="30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54" w:lineRule="exact"/>
        <w:rPr>
          <w:rFonts w:ascii="Arial" w:cs="Arial" w:eastAsia="Arial" w:hAnsi="Arial"/>
          <w:sz w:val="16"/>
          <w:szCs w:val="16"/>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Industrial segment includes work in the mining and minerals industry, bulk material handling, thermal vacuum chambers, as well as work for clients in other industrial and manufacturing markets.</w:t>
      </w:r>
    </w:p>
    <w:p>
      <w:pPr>
        <w:spacing w:after="0" w:line="193" w:lineRule="exact"/>
        <w:rPr>
          <w:sz w:val="20"/>
          <w:szCs w:val="20"/>
          <w:color w:val="auto"/>
        </w:rPr>
      </w:pPr>
    </w:p>
    <w:p>
      <w:pPr>
        <w:ind w:right="3740"/>
        <w:spacing w:after="0" w:line="346" w:lineRule="auto"/>
        <w:rPr>
          <w:sz w:val="20"/>
          <w:szCs w:val="20"/>
          <w:color w:val="auto"/>
        </w:rPr>
      </w:pPr>
      <w:r>
        <w:rPr>
          <w:rFonts w:ascii="Arial" w:cs="Arial" w:eastAsia="Arial" w:hAnsi="Arial"/>
          <w:sz w:val="18"/>
          <w:szCs w:val="18"/>
          <w:b w:val="1"/>
          <w:bCs w:val="1"/>
          <w:color w:val="auto"/>
        </w:rPr>
        <w:t>Three Months Ended December 31, 2012 Compared to the Three Months Ended December 31, 2011 Consolidated</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Consolidated revenues were $221.4 million for the three months ended December 31, 2012, an increase of $20.4 million, or 10.1%, from consolidated revenues of $201.0 million in the same period in the prior fiscal year. The increase in consolidated revenues was a result of increases in Oil Gas &amp; Chemical and Electrical Infrastructure revenues, which increased $16.9 million and $6.5 million respectively, partially offset by decreases in Storage Solutions and Industrial revenues of $1.9 million and $1.1 million, respectively.</w:t>
      </w:r>
    </w:p>
    <w:p>
      <w:pPr>
        <w:spacing w:after="0" w:line="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Consolidated gross profit decreased from $23.1 million in the three months ended December 31, 2011 to $22.3 million in the three months ended December 31, 2012. The decrease of $0.8 million was due to lower gross margins which decreased to 10.1% in fiscal 2013 compared to 11.5% a year earlier. Fiscal 2013 gross margins were negatively affected by a $3.3 million charge related to a western Canada aboveground storage tank project. This project is discussed in Note 3 of the Notes to Condensed Consolidated Financial Statements included in Part 1, Item 1 of this Report on Form 10-Q.</w:t>
      </w:r>
    </w:p>
    <w:p>
      <w:pPr>
        <w:spacing w:after="0" w:line="1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Consolidated SG&amp;A expenses were $13.6 million in the three months ended December 31, 2012 compared to $11.9 million in the same period a year earlier. The increase of $1.7 million, or 14.3%, was primarily related to our planned investments in strategic growth areas and related support functions. SG&amp;A expense as a percentage of revenue was 6.1% in the three months ended December 31, 2012 compared to 5.9% in the same period a year earlier.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the three months ended December 31, 2012 and December 31, 2011.</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other income in the three months ended December 31, 2012. Other income in the three months ended December 31, 2011 was $0.3 million and related primarily to foreign currency transaction gains.</w:t>
      </w:r>
    </w:p>
    <w:p>
      <w:pPr>
        <w:spacing w:after="0" w:line="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effective tax rate was 36.5% for the three months ended December 31, 2012 and 38.0% for the three months ended December 31, 2011. The decrease in the effective tax rate was primarily the result of an increase in the estimate of certain tax credits available to the Company, partially offset by the effect of a change in deductibility limitations applying to certain items that have been previously fully deducted.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for the Electrical Infrastructure segment increased $6.5 million, or 14.9%, to $50.1 million in the three months ended December 31, 2012 compared to $43.6 million in the same period a year earlier. The higher revenue was primarily due to an increase in high voltage work related primarily to storm restoration services. Gross margins were 13.2% in the three months ended December 31, 2012 compared to 11.4% in the same period a year earlier. The improvement in gross margins in the second quarter of fiscal 2013 is due to the favorable effect of direct margins from storm restoration work and the improved recovery of overhead costs caused by a higher business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Revenues for the Oil Gas &amp; Chemical segment increased to $66.6 million in the three months ended December 31, 2012 compared to $49.7 million in the same period a year earlier. The increase of $16.9 million, or 34.0%, was primarily due to a higher level of turnaround and capital construction projects due to increased customer spending from existing customers and addition of new customers. Gross margins were 12.1% in the three months ended December 31, 2012 compared to 9.9% in the same period a year earlier. The improvement in gross margins in the second quarter of fiscal 2013 is primarily due to the favorable effect of the improved recovery of overhead costs caused by a higher business volume.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Revenues for the Storage Solutions segment decreased to $97.7 million in the three months ended December 31, 2012 compared to $99.6 million in the same period a year earlier. The decrease of $1.9 million was due to lower levels of domestic work associated with customer delays in our aboveground storage tank business largely offset by more work in western Canada. Gross margins decreased from 12.7% in the three months ended December 31, 2011 to 7.9% in the same period in the current year. The lower margins in the current quarter were due to lower direct margins caused by a $3.3 million charge related to a western Canada aboveground storage tank project. This project is discussed in Note 3 of the Notes to Condensed Consolidated Financial Statements included in Part 1, Item 1 of this Report on Form 10-Q, and higher unrecoverable overhead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Revenues for the Industrial segment totaled $7.0 million in the three months ended December 31, 2012 compared to $8.1 million in the same period a year earlier. The decrease of $1.1 million, or 13.6%, was primarily due to the timing of projects related to legacy industrial work, partially offset by higher revenues in our mining and minerals and bulk material handling businesses. Gross margins decreased from 6.0% in the three months ended December 31, 2011 to (1.3%) in the same period in the current year. Gross margins in the current quarter were negatively impacted by startup costs related to entry into the bulk material handling and mining and minerals markets.</w:t>
      </w:r>
    </w:p>
    <w:p>
      <w:pPr>
        <w:spacing w:after="0" w:line="211" w:lineRule="exact"/>
        <w:rPr>
          <w:sz w:val="20"/>
          <w:szCs w:val="20"/>
          <w:color w:val="auto"/>
        </w:rPr>
      </w:pPr>
    </w:p>
    <w:p>
      <w:pPr>
        <w:ind w:right="3660"/>
        <w:spacing w:after="0" w:line="346" w:lineRule="auto"/>
        <w:rPr>
          <w:sz w:val="20"/>
          <w:szCs w:val="20"/>
          <w:color w:val="auto"/>
        </w:rPr>
      </w:pPr>
      <w:r>
        <w:rPr>
          <w:rFonts w:ascii="Arial" w:cs="Arial" w:eastAsia="Arial" w:hAnsi="Arial"/>
          <w:sz w:val="18"/>
          <w:szCs w:val="18"/>
          <w:b w:val="1"/>
          <w:bCs w:val="1"/>
          <w:color w:val="auto"/>
        </w:rPr>
        <w:t>Six Months Ended Ended December 31, 2012 Compared to the Six Months Ended December 31, 2011 Consolidated</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revenues were $431.0 million for the six months ended December 31, 2012, an increase of $60.7 million, or 16.4%, from consolidated revenues of $370.3 million in the same period in the prior fiscal year. The increase in consolidated revenues was a result of increases in Oil Gas &amp; Chemical, Electrical Infrastructure and Storage Solutions revenues, which increased $38.2 million, $17.8 million and $7.4 million respectively, partially offset by a decrease of $2.7 million in Industrial revenues.</w:t>
      </w:r>
    </w:p>
    <w:p>
      <w:pPr>
        <w:spacing w:after="0" w:line="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Consolidated gross profit increased from $41.2 million in the six months ended December 31, 2011 to $44.6 million in the six months ended December 31, 2012. The increase of $3.4 million, or 8.3%, was due to higher revenues which increased by 16.4%, partially offset by lower gross margins which decreased to 10.3% in fiscal 2013 compared to 11.1% a year earlier. Fiscal 2013 results included a $3.0 million charge related to a western Canada aboveground storage tank project. This project is discussed in Note 3 of the Notes to Condensed Consolidated Financial Statements included in Part 1, Item 1 of this Report on Form 10-Q.</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SG&amp;A expenses were $27.9 million in the six months ended December 31, 2012 compared to $23.4 million in the same period a year earlier. The increase of $4.5 million, or 19.2%, was primarily related to our planned investments in the branding initiative, strategic growth areas and related support functions. The Company also incurred a bad debt charge of $0.7 million in fiscal 2013. SG&amp;A expense as a percentage of revenue was 6.5% in the six months ended December 31, 2012 compared to 6.3% in the same period a year earlier.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$0.4 million in the six months ended December 31, 2012 and December 31, 2011.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 the six months ended December 31, 2012 was $0.1 million compared to a loss of $0.4 million in the six months ended December 31,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prior period loss was related to foreign currency transaction losses.</w:t>
      </w:r>
    </w:p>
    <w:p>
      <w:pPr>
        <w:spacing w:after="0" w:line="7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effective tax rate was 38.2% for the six months ended December 31, 2012 and 38.0% for the six months ended December 31, 2011. The increase in the effective tax rate was due to a change in deductibility limitations applying to certain items that have previously been fully deducted, largely offset by an increase in the estimate of certain tax credits available to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Revenues for the Electrical Infrastructure segment increased $17.8 million, or 27.1%, to $83.4 million in the six months ended December 31, 2012 compared to $65.6 million in the same period a year earlier. The higher revenue was primarily due to an increase in high voltage work related primarily to storm restoration services. Gross margins were 13.6% in the six months ended December 31, 2012 compared to 11.8% in the same period a year earlier. The improvement in gross margins in fiscal 2013 is due to the favorable effect of direct margins from storm restoration work and the improved recovery of overhead costs caused by a higher business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for the Oil Gas &amp; Chemical segment increased to $133.7 million in the six months ended December 31, 2012 compared to $95.5 million in the same period a year earlier. The increase of $38.2 million, or 40.0%, was primarily due to a higher level of turnaround and capital construction projects due to increased spending from existing customers and addition of new customers. Gross margins were 11.9% in the six months ended December 31, 2012 compared to 9.7% in the same period a year earlier. The improvement in gross margins is primarily due to the favorable effect of the improved recovery of overhead costs caused by a higher business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the Storage Solutions segment increased to $201.9 million in the six months ended December 31, 2012 compared to $194.5 million in the same period a year earlier. The increase of $7.4 million was due to higher levels of work in Canada in our aboveground storage tank business. Gross margins decreased from 11.9% in the six months ended December 31, 2011 to 8.8% in the same period in the current year. The lower margins for the six months ended December 31, 2012 was due to lower direct margins caused by a $3.0 million charge related to a western Canada aboveground storage tank project. This project is discussed in Note 3 of the Notes to Condensed Consolidated Financial Statements included in Part 1, Item 1 of this Report on Form 10-Q, and higher unrecoverable overhead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for the Industrial segment totaled $12.0 million in the six months ended December 31, 2012 compared to $14.7 million in the same period a year earlier. The decrease of $2.7 million, or 18.4%, was primarily due to the timing of projects related to legacy industrial work, partially offset by higher revenues in our mining and minerals and bulk material handling businesses. Gross margins decreased from 7.2% in the six months ended December 31, 2011 to (3.2%) in the same period in the current year. Gross margins for the six months ended December 31, 2012 were negatively impacted by startup costs related to entry into the bulk material handling and mining and minerals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For long-term maintenance contracts we include only the amounts that we expect to recognize into revenue over the next 12 months. For all other arrangements, we calculate backlog as the estimated contract amount less revenues recognized as of the reporting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2012:</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September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116,857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264,908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534,646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65,246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169,818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291,911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(221,436)</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Backlog as of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118,041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115,468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337,081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34,531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605,121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2012:</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127,699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236,571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497,452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73,735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131,338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302,421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538,713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(431,044)</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Backlog as of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118,041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115,468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337,081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34,531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605,121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18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8" w:lineRule="exact"/>
        <w:rPr>
          <w:rFonts w:ascii="Arial" w:cs="Arial" w:eastAsia="Arial" w:hAnsi="Arial"/>
          <w:sz w:val="18"/>
          <w:szCs w:val="18"/>
          <w:color w:val="auto"/>
        </w:rPr>
      </w:pPr>
    </w:p>
    <w:p>
      <w:pPr>
        <w:ind w:left="5640" w:hanging="98"/>
        <w:spacing w:after="0"/>
        <w:tabs>
          <w:tab w:leader="none" w:pos="5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780" w:type="dxa"/>
            <w:vAlign w:val="bottom"/>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right"/>
              <w:ind w:right="33"/>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10,540</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6,458</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5,738</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23,179</w:t>
            </w: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define liquidity as the ongoing ability to pay our liabilities as they become due, fund business operations and meet all monetary contractual obligations. Our primary sources of liquidity for the six months ended December 31, 2012 were cash on hand at the beginning of the year, capacity under our senior revolving credit facility and cash generated from operations. Cash on hand at December 31, 2012 totaled $33.2 million and availability under the senior revolving credit facility totaled $102.1 million resulting in total funding availability of $135.3 million. We expect to fund our operations for the next twelve months through the use of cash generated from operations, existing cash balances and borrowings under our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0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2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increase the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amount of our revolving credit facility. We will continue to evaluate our working capital requirements and other factors to maintain sufficient liquidity.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Six Months Ended December 31, 2012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Cash flows provided by operating activities for the six months ended December 31, 2012 totaled $11.0 million. Major components of cash flows from operating activities are as follows: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7,944</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effect of changes in operating assets and liabilities</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(7,181)</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disposition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10,954</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225" w:lineRule="exact"/>
        <w:rPr>
          <w:sz w:val="20"/>
          <w:szCs w:val="20"/>
          <w:color w:val="auto"/>
        </w:rPr>
      </w:pPr>
    </w:p>
    <w:p>
      <w:pPr>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receivable increased by $43.8 million. The accounts receivable increase is due to a higher level of business and the timing of billings particularly in the Storage Solutions and Electrical Infrastructure segments. The receivable aging categories have not deteriorated and we do not anticipate any unusual collection difficulties.</w:t>
      </w:r>
    </w:p>
    <w:p>
      <w:pPr>
        <w:spacing w:after="0" w:line="181" w:lineRule="exact"/>
        <w:rPr>
          <w:rFonts w:ascii="Arial" w:cs="Arial" w:eastAsia="Arial" w:hAnsi="Arial"/>
          <w:sz w:val="18"/>
          <w:szCs w:val="18"/>
          <w:color w:val="auto"/>
        </w:rPr>
      </w:pPr>
    </w:p>
    <w:p>
      <w:pPr>
        <w:ind w:left="980" w:right="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change in the combined balance of costs and estimated earnings in excess of billings on uncompleted contracts and billings on uncompleted contracts in excess of costs and estimated earnings caused an increase in operating assets and liabilities and an increase to cash of $29.7 million in the six months ended December 31, 2012. This change was primarily attributable to our project portfolio permitting a higher degree of advanced billings in the first six months of fiscal 2013.</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payable increased by $9.8 million. The increase was primarily due to an increase in business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Investing activities used $20.2 million of cash in the six months ended December 31, 2012. This was due to capital expenditures of $12.0 million and the purchase of certain assets of Pelichem in the amount of $8.3 million as discussed in Note 2 - Acquisition. Capital expenditures included $6.4 million for the purchase of construction equipment, $3.3 million for transportation equipment, $2.2 million for office equipment and software and $0.1 million for land and buildings.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9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Financing activities provided $2.5 million of cash in the six months ended December 31, 2012 primarily due to net cash borrowings of $3.4 million, offset in party by treasury share purchases of $1.1 million. Cash borrowings were Canadian dollar advances under our credit agreement to mitigate foreign exchange rate risks.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9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980" w:right="1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 as of the end of each fiscal quarter.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December 31, 2012, Consolidated EBITDA was $45.6 million. Accordingly, at December 31, 2012, Consolidated Funded Indebtedness in excess of $114.0 million would have violated the Senior Leverage Ratio covenant. Consolidated Funded Indebtedness at December 31, 2012 was $4.5 million, which includes $3.4 million of outstanding borrowings, and $1.1 million of non-workers compensation related letters of credit.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stock buyback program, which was approved by the Board of Directors on February 4, 2009, was scheduled to expire on December 31, 2012. The program permitted the Company to purchase up to 3,000,000 shares of common stock provided that such purchases do not exceed $25.0 million in any calendar year. Since its inception, the Company has purchased a total of 886,503 shares under the stock buyback program at an average price of $9.17. On November 6, 2012, our Board of Directors approved a two year extension of the stock buyback plan, which will allow the Company to purchase up to 2,113,497 shares through the end of calendar year 2014 if sufficient liquidity exists and we believe that it is in the best interest of the stockholders.</w:t>
      </w:r>
    </w:p>
    <w:p>
      <w:pPr>
        <w:spacing w:after="0" w:line="10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101,271 shares in the first six months of fiscal 2013 to satisfy these obligations. These shares were returned to the Company’s pool of treasury shares.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1,869,558 treasury shares as of December 31, 2012 and intends to utilize these treasury shares solely in connection with equity awards under the Company’s stock incentive plans.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2012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2012, filed with the Securities and Exchange Commission. For more information on market risk, see Part II, Item 7A in our fiscal 2012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2012. Based on the foregoing, our Chief Executive Officer and Chief Financial Officer concluded that our disclosure controls and procedures were effective at the reasonable assurance level at December 31, 2012.</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December 31, 2012.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2013.</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2012</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November 1 to November 30, 2012</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25,255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2012</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18,720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80" w:hanging="316"/>
        <w:spacing w:after="0" w:line="26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mine safety violations or other regulatory matters required to be disclosed in this Form 10-Q under Section 1503(a) of the Dodd-Frank Wall Street Reform and Consumer Protection Act and Item 104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5" w:right="2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10: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31.2: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101.CAL:</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101.DEF:</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101.LAB:</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101.PRE: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 Long-Term Incentive Award Agreement 2012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CEO.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CFO.</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(section 906 of Sarbanes-Oxley Act of 2002) – CEO.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(section 906 of Sarbanes-Oxley Act of 2002) – CFO.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40" w:space="600"/>
            <w:col w:w="9480"/>
          </w:cols>
          <w:pgMar w:left="240" w:top="125" w:right="2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MATRIX SERVICE COMPANY</w:t>
            </w:r>
          </w:p>
        </w:tc>
      </w:tr>
      <w:tr>
        <w:trPr>
          <w:trHeight w:val="392"/>
        </w:trPr>
        <w:tc>
          <w:tcPr>
            <w:tcW w:w="4760" w:type="dxa"/>
            <w:vAlign w:val="bottom"/>
          </w:tcPr>
          <w:p>
            <w:pPr>
              <w:spacing w:after="0"/>
              <w:rPr>
                <w:sz w:val="20"/>
                <w:szCs w:val="20"/>
                <w:color w:val="auto"/>
              </w:rPr>
            </w:pPr>
            <w:r>
              <w:rPr>
                <w:rFonts w:ascii="Arial" w:cs="Arial" w:eastAsia="Arial" w:hAnsi="Arial"/>
                <w:sz w:val="18"/>
                <w:szCs w:val="18"/>
                <w:color w:val="auto"/>
              </w:rPr>
              <w:t>Date:    February 7, 2013</w:t>
            </w:r>
          </w:p>
        </w:tc>
        <w:tc>
          <w:tcPr>
            <w:tcW w:w="6620" w:type="dxa"/>
            <w:vAlign w:val="bottom"/>
          </w:tcPr>
          <w:p>
            <w:pPr>
              <w:ind w:left="20"/>
              <w:spacing w:after="0"/>
              <w:rPr>
                <w:sz w:val="20"/>
                <w:szCs w:val="20"/>
                <w:color w:val="auto"/>
              </w:rPr>
            </w:pPr>
            <w:r>
              <w:rPr>
                <w:rFonts w:ascii="Arial" w:cs="Arial" w:eastAsia="Arial" w:hAnsi="Arial"/>
                <w:sz w:val="18"/>
                <w:szCs w:val="18"/>
                <w:color w:val="auto"/>
              </w:rPr>
              <w:t>By: /s/ Kevin S. Cavanah</w:t>
            </w:r>
          </w:p>
        </w:tc>
      </w:tr>
      <w:tr>
        <w:trPr>
          <w:trHeight w:val="27"/>
        </w:trPr>
        <w:tc>
          <w:tcPr>
            <w:tcW w:w="476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222"/>
        </w:trPr>
        <w:tc>
          <w:tcPr>
            <w:tcW w:w="47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w w:val="97"/>
              </w:rPr>
              <w:t>Kevin S. Cavanah Vice President and Chief Financial Officer signing on behalf of the</w:t>
            </w:r>
          </w:p>
        </w:tc>
      </w:tr>
      <w:tr>
        <w:trPr>
          <w:trHeight w:val="230"/>
        </w:trPr>
        <w:tc>
          <w:tcPr>
            <w:tcW w:w="47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registrant and as the registrant’s principal financial officer</w:t>
            </w:r>
          </w:p>
        </w:tc>
      </w:tr>
      <w:tr>
        <w:trPr>
          <w:trHeight w:val="702"/>
        </w:trPr>
        <w:tc>
          <w:tcPr>
            <w:tcW w:w="4760" w:type="dxa"/>
            <w:vAlign w:val="bottom"/>
          </w:tcPr>
          <w:p>
            <w:pPr>
              <w:spacing w:after="0"/>
              <w:rPr>
                <w:sz w:val="24"/>
                <w:szCs w:val="24"/>
                <w:color w:val="auto"/>
              </w:rPr>
            </w:pPr>
          </w:p>
        </w:tc>
        <w:tc>
          <w:tcPr>
            <w:tcW w:w="6620" w:type="dxa"/>
            <w:vAlign w:val="bottom"/>
          </w:tcPr>
          <w:p>
            <w:pPr>
              <w:ind w:left="740"/>
              <w:spacing w:after="0"/>
              <w:rPr>
                <w:sz w:val="20"/>
                <w:szCs w:val="20"/>
                <w:color w:val="auto"/>
              </w:rPr>
            </w:pPr>
            <w:r>
              <w:rPr>
                <w:rFonts w:ascii="Arial" w:cs="Arial" w:eastAsia="Arial" w:hAnsi="Arial"/>
                <w:sz w:val="18"/>
                <w:szCs w:val="18"/>
                <w:color w:val="auto"/>
              </w:rPr>
              <w:t>- 27-</w:t>
            </w:r>
          </w:p>
        </w:tc>
      </w:tr>
    </w:tbl>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39"/>
        </w:trPr>
        <w:tc>
          <w:tcPr>
            <w:tcW w:w="1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360" w:type="dxa"/>
            <w:vAlign w:val="bottom"/>
          </w:tcPr>
          <w:p>
            <w:pPr>
              <w:spacing w:after="0"/>
              <w:rPr>
                <w:sz w:val="24"/>
                <w:szCs w:val="24"/>
                <w:color w:val="auto"/>
              </w:rPr>
            </w:pPr>
          </w:p>
        </w:tc>
      </w:tr>
      <w:tr>
        <w:trPr>
          <w:trHeight w:val="58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Matrix Service Company Long-Term Incentive Award Agreement 2012 Plan</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- 28-</w:t>
            </w:r>
          </w:p>
        </w:tc>
        <w:tc>
          <w:tcPr>
            <w:tcW w:w="236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30" w:name="page31"/>
    <w:bookmarkEnd w:id="30"/>
    <w:p>
      <w:pPr>
        <w:ind w:left="10620"/>
        <w:spacing w:after="0"/>
        <w:rPr>
          <w:sz w:val="20"/>
          <w:szCs w:val="20"/>
          <w:color w:val="auto"/>
        </w:rPr>
      </w:pPr>
      <w:r>
        <w:rPr>
          <w:rFonts w:ascii="Arial" w:cs="Arial" w:eastAsia="Arial" w:hAnsi="Arial"/>
          <w:sz w:val="16"/>
          <w:szCs w:val="16"/>
          <w:b w:val="1"/>
          <w:bCs w:val="1"/>
          <w:color w:val="auto"/>
        </w:rPr>
        <w:t>Exhibit 10</w:t>
      </w:r>
    </w:p>
    <w:p>
      <w:pPr>
        <w:spacing w:after="0" w:line="252" w:lineRule="exact"/>
        <w:rPr>
          <w:sz w:val="20"/>
          <w:szCs w:val="20"/>
          <w:color w:val="auto"/>
        </w:rPr>
      </w:pPr>
    </w:p>
    <w:p>
      <w:pPr>
        <w:ind w:left="10440"/>
        <w:spacing w:after="0"/>
        <w:rPr>
          <w:sz w:val="20"/>
          <w:szCs w:val="20"/>
          <w:color w:val="auto"/>
        </w:rPr>
      </w:pPr>
      <w:r>
        <w:rPr>
          <w:rFonts w:ascii="Arial" w:cs="Arial" w:eastAsia="Arial" w:hAnsi="Arial"/>
          <w:sz w:val="18"/>
          <w:szCs w:val="18"/>
          <w:color w:val="auto"/>
        </w:rPr>
        <w:t>Grantee:</w:t>
      </w:r>
    </w:p>
    <w:p>
      <w:pPr>
        <w:spacing w:after="0" w:line="50" w:lineRule="exact"/>
        <w:rPr>
          <w:sz w:val="20"/>
          <w:szCs w:val="20"/>
          <w:color w:val="auto"/>
        </w:rPr>
      </w:pPr>
    </w:p>
    <w:p>
      <w:pPr>
        <w:ind w:left="10360"/>
        <w:spacing w:after="0"/>
        <w:rPr>
          <w:sz w:val="20"/>
          <w:szCs w:val="20"/>
          <w:color w:val="auto"/>
        </w:rPr>
      </w:pPr>
      <w:r>
        <w:rPr>
          <w:rFonts w:ascii="Arial" w:cs="Arial" w:eastAsia="Arial" w:hAnsi="Arial"/>
          <w:sz w:val="18"/>
          <w:szCs w:val="18"/>
          <w:color w:val="auto"/>
        </w:rPr>
        <w:t>Shares: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AGREEMENT</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 20__</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«PostalCode»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289" w:lineRule="exact"/>
        <w:rPr>
          <w:sz w:val="20"/>
          <w:szCs w:val="20"/>
          <w:color w:val="auto"/>
        </w:rPr>
      </w:pPr>
    </w:p>
    <w:p>
      <w:pPr>
        <w:jc w:val="both"/>
        <w:ind w:firstLine="656"/>
        <w:spacing w:after="0" w:line="347" w:lineRule="auto"/>
        <w:tabs>
          <w:tab w:leader="none" w:pos="99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Award</w:t>
      </w:r>
      <w:r>
        <w:rPr>
          <w:rFonts w:ascii="Arial" w:cs="Arial" w:eastAsia="Arial" w:hAnsi="Arial"/>
          <w:sz w:val="16"/>
          <w:szCs w:val="16"/>
          <w:color w:val="auto"/>
        </w:rPr>
        <w:t>. The awards set forth in this Award Agreement (the "</w:t>
      </w:r>
      <w:r>
        <w:rPr>
          <w:rFonts w:ascii="Arial" w:cs="Arial" w:eastAsia="Arial" w:hAnsi="Arial"/>
          <w:sz w:val="16"/>
          <w:szCs w:val="16"/>
          <w:u w:val="single" w:color="auto"/>
          <w:color w:val="auto"/>
        </w:rPr>
        <w:t>Award Agreement</w:t>
      </w:r>
      <w:r>
        <w:rPr>
          <w:rFonts w:ascii="Arial" w:cs="Arial" w:eastAsia="Arial" w:hAnsi="Arial"/>
          <w:sz w:val="16"/>
          <w:szCs w:val="16"/>
          <w:color w:val="auto"/>
        </w:rPr>
        <w:t>") are subject to your acceptance of and agreement to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terms, conditions, and restrictions described in the 2012 Stock and Incentive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of Matrix Service Company,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73"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Restricted Stock Units and Cash-Based Long-Term Incentive Award.</w:t>
      </w:r>
    </w:p>
    <w:p>
      <w:pPr>
        <w:spacing w:after="0" w:line="225" w:lineRule="exact"/>
        <w:rPr>
          <w:rFonts w:ascii="Arial" w:cs="Arial" w:eastAsia="Arial" w:hAnsi="Arial"/>
          <w:sz w:val="18"/>
          <w:szCs w:val="18"/>
          <w:color w:val="auto"/>
        </w:rPr>
      </w:pPr>
    </w:p>
    <w:p>
      <w:pPr>
        <w:jc w:val="both"/>
        <w:ind w:left="660" w:firstLine="645"/>
        <w:spacing w:after="0" w:line="274" w:lineRule="auto"/>
        <w:tabs>
          <w:tab w:leader="none" w:pos="1796"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Restricted Stock Units and Performance Units Awards. </w:t>
      </w:r>
      <w:r>
        <w:rPr>
          <w:rFonts w:ascii="Arial" w:cs="Arial" w:eastAsia="Arial" w:hAnsi="Arial"/>
          <w:sz w:val="17"/>
          <w:szCs w:val="17"/>
          <w:color w:val="auto"/>
        </w:rPr>
        <w:t>The Company hereby grants to you an aggregate of up to</w:t>
      </w:r>
      <w:r>
        <w:rPr>
          <w:rFonts w:ascii="Arial" w:cs="Arial" w:eastAsia="Arial" w:hAnsi="Arial"/>
          <w:sz w:val="17"/>
          <w:szCs w:val="17"/>
          <w:b w:val="1"/>
          <w:bCs w:val="1"/>
          <w:color w:val="auto"/>
        </w:rPr>
        <w:t xml:space="preserve"> </w:t>
      </w:r>
      <w:r>
        <w:rPr>
          <w:rFonts w:ascii="Arial" w:cs="Arial" w:eastAsia="Arial" w:hAnsi="Arial"/>
          <w:sz w:val="17"/>
          <w:szCs w:val="17"/>
          <w:color w:val="auto"/>
          <w:highlight w:val="yellow"/>
        </w:rPr>
        <w:t>«Shares»</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units (individually, an "</w:t>
      </w:r>
      <w:r>
        <w:rPr>
          <w:rFonts w:ascii="Arial" w:cs="Arial" w:eastAsia="Arial" w:hAnsi="Arial"/>
          <w:sz w:val="17"/>
          <w:szCs w:val="17"/>
          <w:u w:val="single" w:color="auto"/>
          <w:color w:val="auto"/>
        </w:rPr>
        <w:t>RSU</w:t>
      </w:r>
      <w:r>
        <w:rPr>
          <w:rFonts w:ascii="Arial" w:cs="Arial" w:eastAsia="Arial" w:hAnsi="Arial"/>
          <w:sz w:val="17"/>
          <w:szCs w:val="17"/>
          <w:color w:val="auto"/>
        </w:rPr>
        <w:t>," and collectively, "</w:t>
      </w:r>
      <w:r>
        <w:rPr>
          <w:rFonts w:ascii="Arial" w:cs="Arial" w:eastAsia="Arial" w:hAnsi="Arial"/>
          <w:sz w:val="17"/>
          <w:szCs w:val="17"/>
          <w:u w:val="single" w:color="auto"/>
          <w:color w:val="auto"/>
        </w:rPr>
        <w:t>RSUs</w:t>
      </w:r>
      <w:r>
        <w:rPr>
          <w:rFonts w:ascii="Arial" w:cs="Arial" w:eastAsia="Arial" w:hAnsi="Arial"/>
          <w:sz w:val="17"/>
          <w:szCs w:val="17"/>
          <w:color w:val="auto"/>
        </w:rPr>
        <w:t>") as more specifically set forth in Section 2(f). Each RSU entitles you to receive one share of common stock, par value $.01 per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at such time as the restrictions described in Section 2(e) (ii) lapse as described in Section 2(f)(i). In addition, the Company hereby grants to you an aggregate of up to </w:t>
      </w:r>
      <w:r>
        <w:rPr>
          <w:rFonts w:ascii="Arial" w:cs="Arial" w:eastAsia="Arial" w:hAnsi="Arial"/>
          <w:sz w:val="17"/>
          <w:szCs w:val="17"/>
          <w:color w:val="auto"/>
          <w:highlight w:val="yellow"/>
        </w:rPr>
        <w:t>«Shares»</w:t>
      </w:r>
      <w:r>
        <w:rPr>
          <w:rFonts w:ascii="Arial" w:cs="Arial" w:eastAsia="Arial" w:hAnsi="Arial"/>
          <w:sz w:val="17"/>
          <w:szCs w:val="17"/>
          <w:color w:val="auto"/>
        </w:rPr>
        <w:t xml:space="preserve"> performance units (individually, a "</w:t>
      </w:r>
      <w:r>
        <w:rPr>
          <w:rFonts w:ascii="Arial" w:cs="Arial" w:eastAsia="Arial" w:hAnsi="Arial"/>
          <w:sz w:val="17"/>
          <w:szCs w:val="17"/>
          <w:u w:val="single" w:color="auto"/>
          <w:color w:val="auto"/>
        </w:rPr>
        <w:t>Performance Unit</w:t>
      </w:r>
      <w:r>
        <w:rPr>
          <w:rFonts w:ascii="Arial" w:cs="Arial" w:eastAsia="Arial" w:hAnsi="Arial"/>
          <w:sz w:val="17"/>
          <w:szCs w:val="17"/>
          <w:color w:val="auto"/>
        </w:rPr>
        <w:t>," and collectively, "</w:t>
      </w:r>
      <w:r>
        <w:rPr>
          <w:rFonts w:ascii="Arial" w:cs="Arial" w:eastAsia="Arial" w:hAnsi="Arial"/>
          <w:sz w:val="17"/>
          <w:szCs w:val="17"/>
          <w:u w:val="single" w:color="auto"/>
          <w:color w:val="auto"/>
        </w:rPr>
        <w:t>Performance Units</w:t>
      </w:r>
      <w:r>
        <w:rPr>
          <w:rFonts w:ascii="Arial" w:cs="Arial" w:eastAsia="Arial" w:hAnsi="Arial"/>
          <w:sz w:val="17"/>
          <w:szCs w:val="17"/>
          <w:color w:val="auto"/>
        </w:rPr>
        <w:t>"). Each Performance Unit entitles you to receive up to two Shares at such time as the restrictions described in Section 2(e)(ii) lapse as described in Section 2(f)(ii).</w:t>
      </w:r>
    </w:p>
    <w:p>
      <w:pPr>
        <w:spacing w:after="0" w:line="173" w:lineRule="exact"/>
        <w:rPr>
          <w:rFonts w:ascii="Arial" w:cs="Arial" w:eastAsia="Arial" w:hAnsi="Arial"/>
          <w:sz w:val="17"/>
          <w:szCs w:val="17"/>
          <w:color w:val="auto"/>
        </w:rPr>
      </w:pPr>
    </w:p>
    <w:p>
      <w:pPr>
        <w:jc w:val="both"/>
        <w:ind w:left="660" w:firstLine="658"/>
        <w:spacing w:after="0" w:line="274" w:lineRule="auto"/>
        <w:tabs>
          <w:tab w:leader="none" w:pos="1698" w:val="left"/>
        </w:tabs>
        <w:numPr>
          <w:ilvl w:val="2"/>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Form of Restricted Stock; Possession of Certificates. </w:t>
      </w:r>
      <w:r>
        <w:rPr>
          <w:rFonts w:ascii="Arial" w:cs="Arial" w:eastAsia="Arial" w:hAnsi="Arial"/>
          <w:sz w:val="17"/>
          <w:szCs w:val="17"/>
          <w:color w:val="auto"/>
        </w:rPr>
        <w:t>The Company shall issue the Shares you become entitled to receive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by book-entry registration or by issuance of a certificate or certificates for the Shares in your name as soon as practicable after the restrictions in Section 2(e)(ii) lapse as described in Section 2(f).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214" w:lineRule="exact"/>
        <w:rPr>
          <w:sz w:val="20"/>
          <w:szCs w:val="20"/>
          <w:color w:val="auto"/>
        </w:rPr>
      </w:pPr>
    </w:p>
    <w:p>
      <w:pPr>
        <w:jc w:val="both"/>
        <w:ind w:left="660" w:firstLine="645"/>
        <w:spacing w:after="0" w:line="289" w:lineRule="auto"/>
        <w:tabs>
          <w:tab w:leader="none" w:pos="1769"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Stockholder Rights Prior to Issuance of Shares. </w:t>
      </w:r>
      <w:r>
        <w:rPr>
          <w:rFonts w:ascii="Arial" w:cs="Arial" w:eastAsia="Arial" w:hAnsi="Arial"/>
          <w:sz w:val="17"/>
          <w:szCs w:val="17"/>
          <w:color w:val="auto"/>
        </w:rPr>
        <w:t>Neither you nor any of your beneficiaries shall be deemed to have any voting</w:t>
      </w:r>
      <w:r>
        <w:rPr>
          <w:rFonts w:ascii="Arial" w:cs="Arial" w:eastAsia="Arial" w:hAnsi="Arial"/>
          <w:sz w:val="17"/>
          <w:szCs w:val="17"/>
          <w:b w:val="1"/>
          <w:bCs w:val="1"/>
          <w:color w:val="auto"/>
        </w:rPr>
        <w:t xml:space="preserve"> </w:t>
      </w:r>
      <w:r>
        <w:rPr>
          <w:rFonts w:ascii="Arial" w:cs="Arial" w:eastAsia="Arial" w:hAnsi="Arial"/>
          <w:sz w:val="17"/>
          <w:szCs w:val="17"/>
          <w:color w:val="auto"/>
        </w:rPr>
        <w:t>rights, rights to receive dividends or other rights as a stockholder of the Company with respect to any Shares covered by the RSUs or the Performance Units until the date of book-entry registration or issuance by the Company of a certificate to you for such Shares.</w:t>
      </w:r>
    </w:p>
    <w:p>
      <w:pPr>
        <w:spacing w:after="0" w:line="158" w:lineRule="exact"/>
        <w:rPr>
          <w:rFonts w:ascii="Arial" w:cs="Arial" w:eastAsia="Arial" w:hAnsi="Arial"/>
          <w:sz w:val="17"/>
          <w:szCs w:val="17"/>
          <w:color w:val="auto"/>
        </w:rPr>
      </w:pPr>
    </w:p>
    <w:p>
      <w:pPr>
        <w:jc w:val="both"/>
        <w:ind w:left="660" w:firstLine="645"/>
        <w:spacing w:after="0" w:line="258" w:lineRule="auto"/>
        <w:tabs>
          <w:tab w:leader="none" w:pos="176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Cash-Based Long-Term Incentive Award. </w:t>
      </w:r>
      <w:r>
        <w:rPr>
          <w:rFonts w:ascii="Arial" w:cs="Arial" w:eastAsia="Arial" w:hAnsi="Arial"/>
          <w:sz w:val="18"/>
          <w:szCs w:val="18"/>
          <w:color w:val="auto"/>
        </w:rPr>
        <w:t>In addition to the RSUs and Performance Units, the Company hereby grants to you a</w:t>
      </w:r>
      <w:r>
        <w:rPr>
          <w:rFonts w:ascii="Arial" w:cs="Arial" w:eastAsia="Arial" w:hAnsi="Arial"/>
          <w:sz w:val="18"/>
          <w:szCs w:val="18"/>
          <w:b w:val="1"/>
          <w:bCs w:val="1"/>
          <w:color w:val="auto"/>
        </w:rPr>
        <w:t xml:space="preserve"> </w:t>
      </w:r>
      <w:r>
        <w:rPr>
          <w:rFonts w:ascii="Arial" w:cs="Arial" w:eastAsia="Arial" w:hAnsi="Arial"/>
          <w:sz w:val="18"/>
          <w:szCs w:val="18"/>
          <w:color w:val="auto"/>
        </w:rPr>
        <w:t>cash-based long-term incentive award, hereinafter referred to as the "</w:t>
      </w:r>
      <w:r>
        <w:rPr>
          <w:rFonts w:ascii="Arial" w:cs="Arial" w:eastAsia="Arial" w:hAnsi="Arial"/>
          <w:sz w:val="18"/>
          <w:szCs w:val="18"/>
          <w:u w:val="single" w:color="auto"/>
          <w:color w:val="auto"/>
        </w:rPr>
        <w:t>Performance Cash Award</w:t>
      </w:r>
      <w:r>
        <w:rPr>
          <w:rFonts w:ascii="Arial" w:cs="Arial" w:eastAsia="Arial" w:hAnsi="Arial"/>
          <w:sz w:val="18"/>
          <w:szCs w:val="18"/>
          <w:color w:val="auto"/>
        </w:rPr>
        <w:t xml:space="preserve">." The minimum award is zero, the target award is </w:t>
      </w:r>
      <w:r>
        <w:rPr>
          <w:rFonts w:ascii="Arial" w:cs="Arial" w:eastAsia="Arial" w:hAnsi="Arial"/>
          <w:sz w:val="18"/>
          <w:szCs w:val="18"/>
          <w:color w:val="auto"/>
          <w:highlight w:val="yellow"/>
        </w:rPr>
        <w:t>$[[</w:t>
      </w:r>
      <w:r>
        <w:rPr>
          <w:rFonts w:ascii="Arial" w:cs="Arial" w:eastAsia="Arial" w:hAnsi="Arial"/>
          <w:sz w:val="18"/>
          <w:szCs w:val="18"/>
          <w:color w:val="auto"/>
        </w:rPr>
        <w:t xml:space="preserve"> </w:t>
      </w:r>
      <w:r>
        <w:rPr>
          <w:rFonts w:ascii="Arial" w:cs="Arial" w:eastAsia="Arial" w:hAnsi="Arial"/>
          <w:sz w:val="18"/>
          <w:szCs w:val="18"/>
          <w:color w:val="auto"/>
          <w:highlight w:val="yellow"/>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Target Award</w:t>
      </w:r>
      <w:r>
        <w:rPr>
          <w:rFonts w:ascii="Arial" w:cs="Arial" w:eastAsia="Arial" w:hAnsi="Arial"/>
          <w:sz w:val="18"/>
          <w:szCs w:val="18"/>
          <w:color w:val="auto"/>
        </w:rPr>
        <w:t>") and the maximum award is</w:t>
      </w:r>
      <w:r>
        <w:rPr>
          <w:rFonts w:ascii="Arial" w:cs="Arial" w:eastAsia="Arial" w:hAnsi="Arial"/>
          <w:sz w:val="18"/>
          <w:szCs w:val="18"/>
          <w:color w:val="auto"/>
          <w:highlight w:val="yellow"/>
        </w:rPr>
        <w:t xml:space="preserve"> $[[ ]] </w:t>
      </w:r>
      <w:r>
        <w:rPr>
          <w:rFonts w:ascii="Arial" w:cs="Arial" w:eastAsia="Arial" w:hAnsi="Arial"/>
          <w:sz w:val="18"/>
          <w:szCs w:val="18"/>
          <w:color w:val="auto"/>
        </w:rPr>
        <w:t>(the "</w:t>
      </w:r>
      <w:r>
        <w:rPr>
          <w:rFonts w:ascii="Arial" w:cs="Arial" w:eastAsia="Arial" w:hAnsi="Arial"/>
          <w:sz w:val="18"/>
          <w:szCs w:val="18"/>
          <w:u w:val="single" w:color="auto"/>
          <w:color w:val="auto"/>
        </w:rPr>
        <w:t>Maximum Award</w:t>
      </w:r>
      <w:r>
        <w:rPr>
          <w:rFonts w:ascii="Arial" w:cs="Arial" w:eastAsia="Arial" w:hAnsi="Arial"/>
          <w:sz w:val="18"/>
          <w:szCs w:val="18"/>
          <w:color w:val="auto"/>
        </w:rPr>
        <w:t>"). The amount that will be paid in respect of the Performance Cash</w:t>
      </w:r>
      <w:r>
        <w:rPr>
          <w:rFonts w:ascii="Arial" w:cs="Arial" w:eastAsia="Arial" w:hAnsi="Arial"/>
          <w:sz w:val="18"/>
          <w:szCs w:val="18"/>
          <w:color w:val="auto"/>
          <w:highlight w:val="yellow"/>
        </w:rPr>
        <w:t xml:space="preserve"> </w:t>
      </w:r>
      <w:r>
        <w:rPr>
          <w:rFonts w:ascii="Arial" w:cs="Arial" w:eastAsia="Arial" w:hAnsi="Arial"/>
          <w:sz w:val="18"/>
          <w:szCs w:val="18"/>
          <w:color w:val="auto"/>
        </w:rPr>
        <w:t>Award will be determined based on the Company's Return on Invested Capital ("</w:t>
      </w:r>
      <w:r>
        <w:rPr>
          <w:rFonts w:ascii="Arial" w:cs="Arial" w:eastAsia="Arial" w:hAnsi="Arial"/>
          <w:sz w:val="18"/>
          <w:szCs w:val="18"/>
          <w:u w:val="single" w:color="auto"/>
          <w:color w:val="auto"/>
        </w:rPr>
        <w:t>ROIC</w:t>
      </w:r>
      <w:r>
        <w:rPr>
          <w:rFonts w:ascii="Arial" w:cs="Arial" w:eastAsia="Arial" w:hAnsi="Arial"/>
          <w:sz w:val="18"/>
          <w:szCs w:val="18"/>
          <w:color w:val="auto"/>
        </w:rPr>
        <w:t>"), as otherwise set forth herein and more fully described below. This Performance Cash Award entitles you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1" w:right="23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color w:val="auto"/>
        </w:rPr>
        <w:t>receive up to the Maximum Award at such time as the restrictions described in Section 2(e) lapse as described in Section 2(f) if the Maximum Performance Goal (as defined below) for ROIC established by the Committee is achieved.</w:t>
      </w:r>
    </w:p>
    <w:p>
      <w:pPr>
        <w:spacing w:after="0" w:line="234" w:lineRule="exact"/>
        <w:rPr>
          <w:sz w:val="20"/>
          <w:szCs w:val="20"/>
          <w:color w:val="auto"/>
        </w:rPr>
      </w:pPr>
    </w:p>
    <w:p>
      <w:pPr>
        <w:ind w:left="1020" w:hanging="37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242" w:lineRule="exact"/>
        <w:rPr>
          <w:rFonts w:ascii="Arial" w:cs="Arial" w:eastAsia="Arial" w:hAnsi="Arial"/>
          <w:sz w:val="18"/>
          <w:szCs w:val="18"/>
          <w:color w:val="auto"/>
        </w:rPr>
      </w:pPr>
    </w:p>
    <w:p>
      <w:pPr>
        <w:ind w:left="640" w:firstLine="653"/>
        <w:spacing w:after="0" w:line="342" w:lineRule="auto"/>
        <w:tabs>
          <w:tab w:leader="none" w:pos="1638" w:val="left"/>
        </w:tabs>
        <w:numPr>
          <w:ilvl w:val="2"/>
          <w:numId w:val="17"/>
        </w:numPr>
        <w:rPr>
          <w:rFonts w:ascii="Arial" w:cs="Arial" w:eastAsia="Arial" w:hAnsi="Arial"/>
          <w:sz w:val="16"/>
          <w:szCs w:val="16"/>
          <w:color w:val="auto"/>
        </w:rPr>
      </w:pPr>
      <w:r>
        <w:rPr>
          <w:rFonts w:ascii="Arial" w:cs="Arial" w:eastAsia="Arial" w:hAnsi="Arial"/>
          <w:sz w:val="16"/>
          <w:szCs w:val="16"/>
          <w:color w:val="auto"/>
        </w:rPr>
        <w:t>Your ownership of the RSUs and Performance Units and your right to receive the Performance Cash Award shall be subject to the restrictions set forth in subsection (ii) of this Section 2(e) until such restrictions lapse pursuant to the terms of Section 2(f).</w:t>
      </w:r>
    </w:p>
    <w:p>
      <w:pPr>
        <w:spacing w:after="0" w:line="123" w:lineRule="exact"/>
        <w:rPr>
          <w:rFonts w:ascii="Arial" w:cs="Arial" w:eastAsia="Arial" w:hAnsi="Arial"/>
          <w:sz w:val="16"/>
          <w:szCs w:val="16"/>
          <w:color w:val="auto"/>
        </w:rPr>
      </w:pPr>
    </w:p>
    <w:p>
      <w:pPr>
        <w:ind w:left="1680" w:hanging="387"/>
        <w:spacing w:after="0"/>
        <w:tabs>
          <w:tab w:leader="none" w:pos="16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restrictions referred to in subsection (i) of this Section 2(e) are as follows:</w:t>
      </w:r>
    </w:p>
    <w:p>
      <w:pPr>
        <w:spacing w:after="0" w:line="225" w:lineRule="exact"/>
        <w:rPr>
          <w:rFonts w:ascii="Arial" w:cs="Arial" w:eastAsia="Arial" w:hAnsi="Arial"/>
          <w:sz w:val="18"/>
          <w:szCs w:val="18"/>
          <w:color w:val="auto"/>
        </w:rPr>
      </w:pPr>
    </w:p>
    <w:p>
      <w:pPr>
        <w:jc w:val="both"/>
        <w:ind w:left="1300" w:firstLine="655"/>
        <w:spacing w:after="0" w:line="259" w:lineRule="auto"/>
        <w:tabs>
          <w:tab w:leader="none" w:pos="2468" w:val="left"/>
        </w:tabs>
        <w:numPr>
          <w:ilvl w:val="3"/>
          <w:numId w:val="17"/>
        </w:numPr>
        <w:rPr>
          <w:rFonts w:ascii="Arial" w:cs="Arial" w:eastAsia="Arial" w:hAnsi="Arial"/>
          <w:sz w:val="18"/>
          <w:szCs w:val="18"/>
          <w:color w:val="auto"/>
        </w:rPr>
      </w:pPr>
      <w:r>
        <w:rPr>
          <w:rFonts w:ascii="Arial" w:cs="Arial" w:eastAsia="Arial" w:hAnsi="Arial"/>
          <w:sz w:val="18"/>
          <w:szCs w:val="18"/>
          <w:color w:val="auto"/>
        </w:rPr>
        <w:t>At the time of your termination of employment with the Company or a Subsidiary, other than a termination of employment that occurs as a result of an event described in any of Subsections (iv) through (vii) of this Section 2(f), you shall forfeit the RSUs, Performance Units and the Performance Cash Award to the Company and all of your rights thereto shall terminate without any payment of consideration by the Company.</w:t>
      </w:r>
    </w:p>
    <w:p>
      <w:pPr>
        <w:spacing w:after="0" w:line="186" w:lineRule="exact"/>
        <w:rPr>
          <w:rFonts w:ascii="Arial" w:cs="Arial" w:eastAsia="Arial" w:hAnsi="Arial"/>
          <w:sz w:val="18"/>
          <w:szCs w:val="18"/>
          <w:color w:val="auto"/>
        </w:rPr>
      </w:pPr>
    </w:p>
    <w:p>
      <w:pPr>
        <w:jc w:val="both"/>
        <w:ind w:left="1300" w:firstLine="655"/>
        <w:spacing w:after="0" w:line="273" w:lineRule="auto"/>
        <w:tabs>
          <w:tab w:leader="none" w:pos="2471" w:val="left"/>
        </w:tabs>
        <w:numPr>
          <w:ilvl w:val="3"/>
          <w:numId w:val="17"/>
        </w:numPr>
        <w:rPr>
          <w:rFonts w:ascii="Arial" w:cs="Arial" w:eastAsia="Arial" w:hAnsi="Arial"/>
          <w:sz w:val="17"/>
          <w:szCs w:val="17"/>
          <w:color w:val="auto"/>
        </w:rPr>
      </w:pPr>
      <w:r>
        <w:rPr>
          <w:rFonts w:ascii="Arial" w:cs="Arial" w:eastAsia="Arial" w:hAnsi="Arial"/>
          <w:sz w:val="17"/>
          <w:szCs w:val="17"/>
          <w:color w:val="auto"/>
        </w:rPr>
        <w:t>You may not sell, assign, transfer or otherwise dispose of any RSUs or Performance Units, any portion of the Performance Cash Award or any rights under the RSUs, Performance Units or Performance Cash Award. No RSU, Performance Unit or Performance Cash Award and no rights under any such RSU, Performance Unit or Performance Cash Award may be pledged, alienated, attached or otherwise encumbered, other than by will or the laws of descent and distribution. If you or anyone claiming under or through you attempts to violate this Section 2(e)(ii)(B), such attempted violation shall be null and void and without effect, and all of the Company's obligations hereunder shall terminate.</w:t>
      </w:r>
    </w:p>
    <w:p>
      <w:pPr>
        <w:spacing w:after="0" w:line="174" w:lineRule="exact"/>
        <w:rPr>
          <w:rFonts w:ascii="Arial" w:cs="Arial" w:eastAsia="Arial" w:hAnsi="Arial"/>
          <w:sz w:val="17"/>
          <w:szCs w:val="17"/>
          <w:color w:val="auto"/>
        </w:rPr>
      </w:pPr>
    </w:p>
    <w:p>
      <w:pPr>
        <w:ind w:left="1000" w:hanging="355"/>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Lapse of Restrictions.</w:t>
      </w:r>
    </w:p>
    <w:p>
      <w:pPr>
        <w:spacing w:after="0" w:line="229" w:lineRule="exact"/>
        <w:rPr>
          <w:rFonts w:ascii="Arial" w:cs="Arial" w:eastAsia="Arial" w:hAnsi="Arial"/>
          <w:sz w:val="18"/>
          <w:szCs w:val="18"/>
          <w:color w:val="auto"/>
        </w:rPr>
      </w:pPr>
    </w:p>
    <w:p>
      <w:pPr>
        <w:jc w:val="both"/>
        <w:ind w:left="640" w:right="20" w:firstLine="626"/>
        <w:spacing w:after="0" w:line="312" w:lineRule="auto"/>
        <w:tabs>
          <w:tab w:leader="none" w:pos="161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restrictions described in Section 2(e)(ii) shall lapse with respect to the RSUs in four equal installments of 25 percent each on each of the first, second, third and fourth anniversaries of the date of this Award Agreement, such that the restrictions set forth in Section 2(e)(ii) shall have lapsed with respect to 100 percent of the RSUs on the fourth anniversary of the date of this Award Agreement.</w:t>
      </w:r>
    </w:p>
    <w:p>
      <w:pPr>
        <w:spacing w:after="0" w:line="187" w:lineRule="exact"/>
        <w:rPr>
          <w:rFonts w:ascii="Arial" w:cs="Arial" w:eastAsia="Arial" w:hAnsi="Arial"/>
          <w:sz w:val="16"/>
          <w:szCs w:val="16"/>
          <w:color w:val="auto"/>
        </w:rPr>
      </w:pPr>
    </w:p>
    <w:p>
      <w:pPr>
        <w:jc w:val="both"/>
        <w:ind w:left="640" w:firstLine="626"/>
        <w:spacing w:after="0" w:line="286" w:lineRule="auto"/>
        <w:tabs>
          <w:tab w:leader="none" w:pos="1691"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restrictions described in Section 2(e)(ii) shall lapse with respect to the Performance Units on the ___ anniversary of the date of this Award Agreement (the "</w:t>
      </w:r>
      <w:r>
        <w:rPr>
          <w:rFonts w:ascii="Arial" w:cs="Arial" w:eastAsia="Arial" w:hAnsi="Arial"/>
          <w:sz w:val="17"/>
          <w:szCs w:val="17"/>
          <w:u w:val="single" w:color="auto"/>
          <w:color w:val="auto"/>
        </w:rPr>
        <w:t>Measurement Date</w:t>
      </w:r>
      <w:r>
        <w:rPr>
          <w:rFonts w:ascii="Arial" w:cs="Arial" w:eastAsia="Arial" w:hAnsi="Arial"/>
          <w:sz w:val="17"/>
          <w:szCs w:val="17"/>
          <w:color w:val="auto"/>
        </w:rPr>
        <w:t>"), but only if and to the extent the Committee certifies in writing that the "</w:t>
      </w:r>
      <w:r>
        <w:rPr>
          <w:rFonts w:ascii="Arial" w:cs="Arial" w:eastAsia="Arial" w:hAnsi="Arial"/>
          <w:sz w:val="17"/>
          <w:szCs w:val="17"/>
          <w:u w:val="single" w:color="auto"/>
          <w:color w:val="auto"/>
        </w:rPr>
        <w:t>Shareholder Return Goals</w:t>
      </w:r>
      <w:r>
        <w:rPr>
          <w:rFonts w:ascii="Arial" w:cs="Arial" w:eastAsia="Arial" w:hAnsi="Arial"/>
          <w:sz w:val="17"/>
          <w:szCs w:val="17"/>
          <w:color w:val="auto"/>
        </w:rPr>
        <w:t>" set forth in this subsection (ii) are met. The Shareholder Return Goals are as follows:</w:t>
      </w:r>
    </w:p>
    <w:p>
      <w:pPr>
        <w:spacing w:after="0" w:line="200" w:lineRule="exact"/>
        <w:rPr>
          <w:sz w:val="20"/>
          <w:szCs w:val="20"/>
          <w:color w:val="auto"/>
        </w:rPr>
      </w:pPr>
    </w:p>
    <w:p>
      <w:pPr>
        <w:spacing w:after="0" w:line="25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368"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Percentage of Return-Based</w:t>
            </w:r>
          </w:p>
        </w:tc>
      </w:tr>
      <w:tr>
        <w:trPr>
          <w:trHeight w:val="216"/>
        </w:trPr>
        <w:tc>
          <w:tcPr>
            <w:tcW w:w="820" w:type="dxa"/>
            <w:vAlign w:val="bottom"/>
          </w:tcPr>
          <w:p>
            <w:pPr>
              <w:spacing w:after="0"/>
              <w:rPr>
                <w:sz w:val="18"/>
                <w:szCs w:val="18"/>
                <w:color w:val="auto"/>
              </w:rPr>
            </w:pPr>
          </w:p>
        </w:tc>
        <w:tc>
          <w:tcPr>
            <w:tcW w:w="21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9"/>
              </w:rPr>
              <w:t>Shareholder</w:t>
            </w:r>
          </w:p>
        </w:tc>
        <w:tc>
          <w:tcPr>
            <w:tcW w:w="620" w:type="dxa"/>
            <w:vAlign w:val="bottom"/>
          </w:tcPr>
          <w:p>
            <w:pPr>
              <w:spacing w:after="0"/>
              <w:rPr>
                <w:sz w:val="18"/>
                <w:szCs w:val="18"/>
                <w:color w:val="auto"/>
              </w:rPr>
            </w:pPr>
          </w:p>
        </w:tc>
        <w:tc>
          <w:tcPr>
            <w:tcW w:w="24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2"/>
              </w:rPr>
              <w:t>Total</w:t>
            </w:r>
          </w:p>
        </w:tc>
        <w:tc>
          <w:tcPr>
            <w:tcW w:w="720" w:type="dxa"/>
            <w:vAlign w:val="bottom"/>
          </w:tcPr>
          <w:p>
            <w:pPr>
              <w:spacing w:after="0"/>
              <w:rPr>
                <w:sz w:val="18"/>
                <w:szCs w:val="18"/>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RSUs for Which</w:t>
            </w:r>
          </w:p>
        </w:tc>
      </w:tr>
      <w:tr>
        <w:trPr>
          <w:trHeight w:val="194"/>
        </w:trPr>
        <w:tc>
          <w:tcPr>
            <w:tcW w:w="82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5"/>
              </w:rPr>
              <w:t>Return Goal</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20" w:type="dxa"/>
            <w:vAlign w:val="bottom"/>
            <w:gridSpan w:val="2"/>
          </w:tcPr>
          <w:p>
            <w:pPr>
              <w:jc w:val="center"/>
              <w:ind w:right="880"/>
              <w:spacing w:after="0" w:line="194" w:lineRule="exact"/>
              <w:rPr>
                <w:sz w:val="20"/>
                <w:szCs w:val="20"/>
                <w:color w:val="auto"/>
              </w:rPr>
            </w:pPr>
            <w:r>
              <w:rPr>
                <w:rFonts w:ascii="Arial" w:cs="Arial" w:eastAsia="Arial" w:hAnsi="Arial"/>
                <w:sz w:val="18"/>
                <w:szCs w:val="18"/>
                <w:b w:val="1"/>
                <w:bCs w:val="1"/>
                <w:color w:val="auto"/>
                <w:w w:val="91"/>
              </w:rPr>
              <w:t>Shareholder Return</w:t>
            </w:r>
          </w:p>
        </w:tc>
        <w:tc>
          <w:tcPr>
            <w:tcW w:w="2720" w:type="dxa"/>
            <w:vAlign w:val="bottom"/>
            <w:gridSpan w:val="3"/>
          </w:tcPr>
          <w:p>
            <w:pPr>
              <w:jc w:val="center"/>
              <w:ind w:left="470"/>
              <w:spacing w:after="0" w:line="194" w:lineRule="exact"/>
              <w:rPr>
                <w:sz w:val="20"/>
                <w:szCs w:val="20"/>
                <w:color w:val="auto"/>
              </w:rPr>
            </w:pPr>
            <w:r>
              <w:rPr>
                <w:rFonts w:ascii="Arial" w:cs="Arial" w:eastAsia="Arial" w:hAnsi="Arial"/>
                <w:sz w:val="18"/>
                <w:szCs w:val="18"/>
                <w:b w:val="1"/>
                <w:bCs w:val="1"/>
                <w:color w:val="auto"/>
                <w:w w:val="89"/>
              </w:rPr>
              <w:t>Conditions are Satisfied</w:t>
            </w:r>
          </w:p>
        </w:tc>
      </w:tr>
      <w:tr>
        <w:trPr>
          <w:trHeight w:val="20"/>
        </w:trPr>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3"/>
        </w:trPr>
        <w:tc>
          <w:tcPr>
            <w:tcW w:w="292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Threshold Total Shareholder Return</w:t>
            </w:r>
          </w:p>
        </w:tc>
        <w:tc>
          <w:tcPr>
            <w:tcW w:w="30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____ percentile of Peer Group</w:t>
            </w:r>
          </w:p>
        </w:tc>
        <w:tc>
          <w:tcPr>
            <w:tcW w:w="256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__%</w:t>
            </w:r>
          </w:p>
        </w:tc>
        <w:tc>
          <w:tcPr>
            <w:tcW w:w="16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1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Goal</w:t>
            </w: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2"/>
        </w:trPr>
        <w:tc>
          <w:tcPr>
            <w:tcW w:w="292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Above Threshold Total Shareholder</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100" w:type="dxa"/>
            <w:vAlign w:val="bottom"/>
            <w:gridSpan w:val="2"/>
          </w:tcPr>
          <w:p>
            <w:pPr>
              <w:jc w:val="center"/>
              <w:ind w:right="1100"/>
              <w:spacing w:after="0"/>
              <w:rPr>
                <w:sz w:val="20"/>
                <w:szCs w:val="20"/>
                <w:color w:val="auto"/>
              </w:rPr>
            </w:pPr>
            <w:r>
              <w:rPr>
                <w:rFonts w:ascii="Arial" w:cs="Arial" w:eastAsia="Arial" w:hAnsi="Arial"/>
                <w:sz w:val="18"/>
                <w:szCs w:val="18"/>
                <w:color w:val="auto"/>
                <w:w w:val="90"/>
              </w:rPr>
              <w:t>Return Goal</w:t>
            </w: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__%</w:t>
            </w:r>
          </w:p>
        </w:tc>
        <w:tc>
          <w:tcPr>
            <w:tcW w:w="16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____ percentile of Peer Group</w:t>
            </w: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29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Target Total Shareholder Return</w:t>
            </w:r>
          </w:p>
        </w:tc>
        <w:tc>
          <w:tcPr>
            <w:tcW w:w="30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____ percentile of Peer Group</w:t>
            </w:r>
          </w:p>
        </w:tc>
        <w:tc>
          <w:tcPr>
            <w:tcW w:w="256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__%</w:t>
            </w:r>
          </w:p>
        </w:tc>
        <w:tc>
          <w:tcPr>
            <w:tcW w:w="1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21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Goal</w:t>
            </w: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34"/>
        </w:trPr>
        <w:tc>
          <w:tcPr>
            <w:tcW w:w="292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Above Target Total Shareholder</w:t>
            </w:r>
          </w:p>
        </w:tc>
        <w:tc>
          <w:tcPr>
            <w:tcW w:w="30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____ percentile of Peer Group</w:t>
            </w:r>
          </w:p>
        </w:tc>
        <w:tc>
          <w:tcPr>
            <w:tcW w:w="256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__%</w:t>
            </w:r>
          </w:p>
        </w:tc>
        <w:tc>
          <w:tcPr>
            <w:tcW w:w="16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100" w:type="dxa"/>
            <w:vAlign w:val="bottom"/>
            <w:gridSpan w:val="2"/>
          </w:tcPr>
          <w:p>
            <w:pPr>
              <w:jc w:val="center"/>
              <w:ind w:right="1100"/>
              <w:spacing w:after="0"/>
              <w:rPr>
                <w:sz w:val="20"/>
                <w:szCs w:val="20"/>
                <w:color w:val="auto"/>
              </w:rPr>
            </w:pPr>
            <w:r>
              <w:rPr>
                <w:rFonts w:ascii="Arial" w:cs="Arial" w:eastAsia="Arial" w:hAnsi="Arial"/>
                <w:sz w:val="18"/>
                <w:szCs w:val="18"/>
                <w:color w:val="auto"/>
                <w:w w:val="90"/>
              </w:rPr>
              <w:t>Return Goal</w:t>
            </w: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9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Maximum Total Shareholder Return</w:t>
            </w: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21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Goal</w:t>
            </w:r>
          </w:p>
        </w:tc>
        <w:tc>
          <w:tcPr>
            <w:tcW w:w="30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____ percentile of Peer Group</w:t>
            </w:r>
          </w:p>
        </w:tc>
        <w:tc>
          <w:tcPr>
            <w:tcW w:w="256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__%</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60" w:firstLine="662"/>
        <w:spacing w:after="0" w:line="269" w:lineRule="auto"/>
        <w:rPr>
          <w:sz w:val="20"/>
          <w:szCs w:val="20"/>
          <w:color w:val="auto"/>
        </w:rPr>
      </w:pPr>
      <w:r>
        <w:rPr>
          <w:rFonts w:ascii="Arial" w:cs="Arial" w:eastAsia="Arial" w:hAnsi="Arial"/>
          <w:sz w:val="17"/>
          <w:szCs w:val="17"/>
          <w:color w:val="auto"/>
        </w:rPr>
        <w:t>The Committee shall certify on a nondiscretionary basis whether and the extent to which the Shareholder Return Goals have been met on or before the date on which the Company is required to make a book-entry registration or issue a certificate for Shares relating to the achievement of Shareholder Return Goals as set forth in Section 2(f)(viii).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 between such Shareholder Return Goals and the restrictions on such Performance Units shall be removed as of the Measurement Date and the remainder of the Performance Units will be forfeited to the Company. The Committee has the final authority to determine on a nondiscretionary basis whether the Shareholder Return Goals have been met and to what extent.</w:t>
      </w:r>
    </w:p>
    <w:p>
      <w:pPr>
        <w:spacing w:after="0" w:line="45" w:lineRule="exact"/>
        <w:rPr>
          <w:sz w:val="20"/>
          <w:szCs w:val="20"/>
          <w:color w:val="auto"/>
        </w:rPr>
      </w:pPr>
    </w:p>
    <w:p>
      <w:pPr>
        <w:ind w:left="180" w:firstLine="648"/>
        <w:spacing w:after="0" w:line="308" w:lineRule="auto"/>
        <w:rPr>
          <w:sz w:val="20"/>
          <w:szCs w:val="20"/>
          <w:color w:val="auto"/>
        </w:rPr>
      </w:pPr>
      <w:r>
        <w:rPr>
          <w:rFonts w:ascii="Arial" w:cs="Arial" w:eastAsia="Arial" w:hAnsi="Arial"/>
          <w:sz w:val="17"/>
          <w:szCs w:val="17"/>
          <w:color w:val="auto"/>
        </w:rPr>
        <w:t>For purposes of measuring the Shareholder Return Goals with respect to the Company and each of the companies in the Peer Group: "</w:t>
      </w:r>
      <w:r>
        <w:rPr>
          <w:rFonts w:ascii="Arial" w:cs="Arial" w:eastAsia="Arial" w:hAnsi="Arial"/>
          <w:sz w:val="17"/>
          <w:szCs w:val="17"/>
          <w:u w:val="single" w:color="auto"/>
          <w:color w:val="auto"/>
        </w:rPr>
        <w:t>Total Shareholder Return</w:t>
      </w:r>
      <w:r>
        <w:rPr>
          <w:rFonts w:ascii="Arial" w:cs="Arial" w:eastAsia="Arial" w:hAnsi="Arial"/>
          <w:sz w:val="17"/>
          <w:szCs w:val="17"/>
          <w:color w:val="auto"/>
        </w:rPr>
        <w:t>" shall mean the total shareholder return calculated by subtracting 1 from the following fraction:</w:t>
      </w:r>
    </w:p>
    <w:p>
      <w:pPr>
        <w:spacing w:after="0" w:line="9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Numerator: Ending Stock Value</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Denominator: Beginning Stock Value</w:t>
      </w:r>
    </w:p>
    <w:p>
      <w:pPr>
        <w:spacing w:after="0" w:line="34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300"/>
          </w:cols>
          <w:pgMar w:left="1360" w:top="742" w:right="239" w:bottom="1440" w:gutter="0" w:footer="0" w:header="0"/>
        </w:sectPr>
      </w:pPr>
    </w:p>
    <w:bookmarkStart w:id="33" w:name="page34"/>
    <w:bookmarkEnd w:id="33"/>
    <w:p>
      <w:pPr>
        <w:jc w:val="both"/>
        <w:ind w:left="10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Beginning Stock Value</w:t>
      </w:r>
      <w:r>
        <w:rPr>
          <w:rFonts w:ascii="Arial" w:cs="Arial" w:eastAsia="Arial" w:hAnsi="Arial"/>
          <w:sz w:val="16"/>
          <w:szCs w:val="16"/>
          <w:color w:val="auto"/>
        </w:rPr>
        <w:t>" shall mean, with respect to the Company and each of the companies in the Peer Group, $100, invested in common stock at the average closing stock price of such company for each of the trading days in the period covering April, May and June of 2012; "</w:t>
      </w:r>
      <w:r>
        <w:rPr>
          <w:rFonts w:ascii="Arial" w:cs="Arial" w:eastAsia="Arial" w:hAnsi="Arial"/>
          <w:sz w:val="16"/>
          <w:szCs w:val="16"/>
          <w:u w:val="single" w:color="auto"/>
          <w:color w:val="auto"/>
        </w:rPr>
        <w:t>Ending Stock Value</w:t>
      </w:r>
      <w:r>
        <w:rPr>
          <w:rFonts w:ascii="Arial" w:cs="Arial" w:eastAsia="Arial" w:hAnsi="Arial"/>
          <w:sz w:val="16"/>
          <w:szCs w:val="16"/>
          <w:color w:val="auto"/>
        </w:rPr>
        <w:t>" shall mean, with respect to the Company and each of the companies in the Peer Group, the average closing stock price of such company of one share of common stock for each of the trading days in the period covering April, May and June of 2015 multiplied by the sum of the number of shares represented by the Beginning Stock Value initial $100 investment plus such additional shares resulting from all dividends paid on common stock during the three-year measurement period being treated as though they are reinvested on the applicable ex-dividend dates at the applicable closing prices on such dates; and "</w:t>
      </w:r>
      <w:r>
        <w:rPr>
          <w:rFonts w:ascii="Arial" w:cs="Arial" w:eastAsia="Arial" w:hAnsi="Arial"/>
          <w:sz w:val="16"/>
          <w:szCs w:val="16"/>
          <w:u w:val="single" w:color="auto"/>
          <w:color w:val="auto"/>
        </w:rPr>
        <w:t>Peer Group</w:t>
      </w:r>
      <w:r>
        <w:rPr>
          <w:rFonts w:ascii="Arial" w:cs="Arial" w:eastAsia="Arial" w:hAnsi="Arial"/>
          <w:sz w:val="16"/>
          <w:szCs w:val="16"/>
          <w:color w:val="auto"/>
        </w:rPr>
        <w:t>" shall mean _____________________. The</w:t>
      </w:r>
    </w:p>
    <w:p>
      <w:pPr>
        <w:spacing w:after="0" w:line="3" w:lineRule="exact"/>
        <w:rPr>
          <w:sz w:val="20"/>
          <w:szCs w:val="20"/>
          <w:color w:val="auto"/>
        </w:rPr>
      </w:pPr>
    </w:p>
    <w:p>
      <w:pPr>
        <w:jc w:val="both"/>
        <w:ind w:left="100"/>
        <w:spacing w:after="0" w:line="268" w:lineRule="auto"/>
        <w:rPr>
          <w:sz w:val="20"/>
          <w:szCs w:val="20"/>
          <w:color w:val="auto"/>
        </w:rPr>
      </w:pPr>
      <w:r>
        <w:rPr>
          <w:rFonts w:ascii="Arial" w:cs="Arial" w:eastAsia="Arial" w:hAnsi="Arial"/>
          <w:sz w:val="17"/>
          <w:szCs w:val="17"/>
          <w:color w:val="auto"/>
        </w:rPr>
        <w:t>Company's ranking relative to members of the Peer Group will be determined by listing the Company and members 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 If a company or companies in the Peer Group files for bankruptcy at any time prior to the Measurement Date, then such company or companies shall have the lowest ranking in the Peer Group. If the common stock of a company or companies in the Peer Group ceases to trade on a national securities exchange as a result of a going private transaction or other acquisition at any time prior to the Measurement Date, then such company or companies shall be removed from the Peer Group.</w:t>
      </w:r>
    </w:p>
    <w:p>
      <w:pPr>
        <w:spacing w:after="0" w:line="49" w:lineRule="exact"/>
        <w:rPr>
          <w:sz w:val="20"/>
          <w:szCs w:val="20"/>
          <w:color w:val="auto"/>
        </w:rPr>
      </w:pPr>
    </w:p>
    <w:p>
      <w:pPr>
        <w:jc w:val="both"/>
        <w:ind w:left="80" w:firstLine="646"/>
        <w:spacing w:after="0" w:line="286" w:lineRule="auto"/>
        <w:tabs>
          <w:tab w:leader="none" w:pos="132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restrictions described in Section 2(e)(ii) shall lapse with respect to the Performance Cash Award on the second anniversary of the date of this Award Agreement (the "</w:t>
      </w:r>
      <w:r>
        <w:rPr>
          <w:rFonts w:ascii="Arial" w:cs="Arial" w:eastAsia="Arial" w:hAnsi="Arial"/>
          <w:sz w:val="17"/>
          <w:szCs w:val="17"/>
          <w:u w:val="single" w:color="auto"/>
          <w:color w:val="auto"/>
        </w:rPr>
        <w:t>ROIC Measurement Date</w:t>
      </w:r>
      <w:r>
        <w:rPr>
          <w:rFonts w:ascii="Arial" w:cs="Arial" w:eastAsia="Arial" w:hAnsi="Arial"/>
          <w:sz w:val="17"/>
          <w:szCs w:val="17"/>
          <w:color w:val="auto"/>
        </w:rPr>
        <w:t xml:space="preserve">"), but only if and to the extent the Committee certifies in writing that the </w:t>
      </w:r>
      <w:r>
        <w:rPr>
          <w:rFonts w:ascii="Arial" w:cs="Arial" w:eastAsia="Arial" w:hAnsi="Arial"/>
          <w:sz w:val="17"/>
          <w:szCs w:val="17"/>
          <w:u w:val="single" w:color="auto"/>
          <w:color w:val="auto"/>
        </w:rPr>
        <w:t>ROIC Performance Goals</w:t>
      </w:r>
      <w:r>
        <w:rPr>
          <w:rFonts w:ascii="Arial" w:cs="Arial" w:eastAsia="Arial" w:hAnsi="Arial"/>
          <w:sz w:val="17"/>
          <w:szCs w:val="17"/>
          <w:color w:val="auto"/>
        </w:rPr>
        <w:t xml:space="preserve"> set forth in this subsection (iii) are met. The ROIC Performance Goals are as follows:</w:t>
      </w:r>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9"/>
              </w:rPr>
              <w:t>Percentage of Performance Cash</w:t>
            </w:r>
          </w:p>
        </w:tc>
      </w:tr>
      <w:tr>
        <w:trPr>
          <w:trHeight w:val="216"/>
        </w:trPr>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Award for Which</w:t>
            </w:r>
          </w:p>
        </w:tc>
      </w:tr>
      <w:tr>
        <w:trPr>
          <w:trHeight w:val="194"/>
        </w:trPr>
        <w:tc>
          <w:tcPr>
            <w:tcW w:w="70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Arial" w:cs="Arial" w:eastAsia="Arial" w:hAnsi="Arial"/>
                <w:sz w:val="18"/>
                <w:szCs w:val="18"/>
                <w:b w:val="1"/>
                <w:bCs w:val="1"/>
                <w:color w:val="auto"/>
                <w:w w:val="95"/>
              </w:rPr>
              <w:t>ROIC Level</w:t>
            </w:r>
          </w:p>
        </w:tc>
        <w:tc>
          <w:tcPr>
            <w:tcW w:w="164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4"/>
              </w:rPr>
              <w:t>Average ROIC</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9"/>
              </w:rPr>
              <w:t>Conditions are Satisfied</w:t>
            </w:r>
          </w:p>
        </w:tc>
      </w:tr>
      <w:tr>
        <w:trPr>
          <w:trHeight w:val="20"/>
        </w:trPr>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88"/>
        </w:trPr>
        <w:tc>
          <w:tcPr>
            <w:tcW w:w="3280" w:type="dxa"/>
            <w:vAlign w:val="bottom"/>
            <w:gridSpan w:val="3"/>
          </w:tcPr>
          <w:p>
            <w:pPr>
              <w:spacing w:after="0"/>
              <w:rPr>
                <w:sz w:val="20"/>
                <w:szCs w:val="20"/>
                <w:color w:val="auto"/>
              </w:rPr>
            </w:pPr>
            <w:r>
              <w:rPr>
                <w:rFonts w:ascii="Arial" w:cs="Arial" w:eastAsia="Arial" w:hAnsi="Arial"/>
                <w:sz w:val="18"/>
                <w:szCs w:val="18"/>
                <w:color w:val="auto"/>
              </w:rPr>
              <w:t>Threshold ROIC Goal</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__%</w:t>
            </w:r>
          </w:p>
        </w:tc>
        <w:tc>
          <w:tcPr>
            <w:tcW w:w="560" w:type="dxa"/>
            <w:vAlign w:val="bottom"/>
          </w:tcPr>
          <w:p>
            <w:pPr>
              <w:spacing w:after="0"/>
              <w:rPr>
                <w:sz w:val="24"/>
                <w:szCs w:val="24"/>
                <w:color w:val="auto"/>
              </w:rPr>
            </w:pPr>
          </w:p>
        </w:tc>
        <w:tc>
          <w:tcPr>
            <w:tcW w:w="2760" w:type="dxa"/>
            <w:vAlign w:val="bottom"/>
            <w:gridSpan w:val="2"/>
          </w:tcPr>
          <w:p>
            <w:pPr>
              <w:jc w:val="center"/>
              <w:ind w:left="850"/>
              <w:spacing w:after="0"/>
              <w:rPr>
                <w:sz w:val="20"/>
                <w:szCs w:val="20"/>
                <w:color w:val="auto"/>
              </w:rPr>
            </w:pPr>
            <w:r>
              <w:rPr>
                <w:rFonts w:ascii="Arial" w:cs="Arial" w:eastAsia="Arial" w:hAnsi="Arial"/>
                <w:sz w:val="18"/>
                <w:szCs w:val="18"/>
                <w:color w:val="auto"/>
                <w:w w:val="94"/>
              </w:rPr>
              <w:t>__%</w:t>
            </w:r>
          </w:p>
        </w:tc>
        <w:tc>
          <w:tcPr>
            <w:tcW w:w="340" w:type="dxa"/>
            <w:vAlign w:val="bottom"/>
          </w:tcPr>
          <w:p>
            <w:pPr>
              <w:spacing w:after="0"/>
              <w:rPr>
                <w:sz w:val="24"/>
                <w:szCs w:val="24"/>
                <w:color w:val="auto"/>
              </w:rPr>
            </w:pPr>
          </w:p>
        </w:tc>
      </w:tr>
      <w:tr>
        <w:trPr>
          <w:trHeight w:val="567"/>
        </w:trPr>
        <w:tc>
          <w:tcPr>
            <w:tcW w:w="3280" w:type="dxa"/>
            <w:vAlign w:val="bottom"/>
            <w:gridSpan w:val="3"/>
          </w:tcPr>
          <w:p>
            <w:pPr>
              <w:spacing w:after="0"/>
              <w:rPr>
                <w:sz w:val="20"/>
                <w:szCs w:val="20"/>
                <w:color w:val="auto"/>
              </w:rPr>
            </w:pPr>
            <w:r>
              <w:rPr>
                <w:rFonts w:ascii="Arial" w:cs="Arial" w:eastAsia="Arial" w:hAnsi="Arial"/>
                <w:sz w:val="18"/>
                <w:szCs w:val="18"/>
                <w:color w:val="auto"/>
              </w:rPr>
              <w:t>Target ROIC Goal</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__%</w:t>
            </w:r>
          </w:p>
        </w:tc>
        <w:tc>
          <w:tcPr>
            <w:tcW w:w="560" w:type="dxa"/>
            <w:vAlign w:val="bottom"/>
          </w:tcPr>
          <w:p>
            <w:pPr>
              <w:spacing w:after="0"/>
              <w:rPr>
                <w:sz w:val="24"/>
                <w:szCs w:val="24"/>
                <w:color w:val="auto"/>
              </w:rPr>
            </w:pPr>
          </w:p>
        </w:tc>
        <w:tc>
          <w:tcPr>
            <w:tcW w:w="2760" w:type="dxa"/>
            <w:vAlign w:val="bottom"/>
            <w:gridSpan w:val="2"/>
          </w:tcPr>
          <w:p>
            <w:pPr>
              <w:jc w:val="center"/>
              <w:ind w:left="850"/>
              <w:spacing w:after="0"/>
              <w:rPr>
                <w:sz w:val="20"/>
                <w:szCs w:val="20"/>
                <w:color w:val="auto"/>
              </w:rPr>
            </w:pPr>
            <w:r>
              <w:rPr>
                <w:rFonts w:ascii="Arial" w:cs="Arial" w:eastAsia="Arial" w:hAnsi="Arial"/>
                <w:sz w:val="18"/>
                <w:szCs w:val="18"/>
                <w:color w:val="auto"/>
                <w:w w:val="94"/>
              </w:rPr>
              <w:t>__%</w:t>
            </w:r>
          </w:p>
        </w:tc>
        <w:tc>
          <w:tcPr>
            <w:tcW w:w="340" w:type="dxa"/>
            <w:vAlign w:val="bottom"/>
          </w:tcPr>
          <w:p>
            <w:pPr>
              <w:spacing w:after="0"/>
              <w:rPr>
                <w:sz w:val="24"/>
                <w:szCs w:val="24"/>
                <w:color w:val="auto"/>
              </w:rPr>
            </w:pPr>
          </w:p>
        </w:tc>
      </w:tr>
      <w:tr>
        <w:trPr>
          <w:trHeight w:val="810"/>
        </w:trPr>
        <w:tc>
          <w:tcPr>
            <w:tcW w:w="3280" w:type="dxa"/>
            <w:vAlign w:val="bottom"/>
            <w:gridSpan w:val="3"/>
          </w:tcPr>
          <w:p>
            <w:pPr>
              <w:spacing w:after="0"/>
              <w:rPr>
                <w:sz w:val="20"/>
                <w:szCs w:val="20"/>
                <w:color w:val="auto"/>
              </w:rPr>
            </w:pPr>
            <w:r>
              <w:rPr>
                <w:rFonts w:ascii="Arial" w:cs="Arial" w:eastAsia="Arial" w:hAnsi="Arial"/>
                <w:sz w:val="18"/>
                <w:szCs w:val="18"/>
                <w:color w:val="auto"/>
              </w:rPr>
              <w:t>Maximum ROIC Goal</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__%</w:t>
            </w:r>
          </w:p>
        </w:tc>
        <w:tc>
          <w:tcPr>
            <w:tcW w:w="560" w:type="dxa"/>
            <w:vAlign w:val="bottom"/>
          </w:tcPr>
          <w:p>
            <w:pPr>
              <w:spacing w:after="0"/>
              <w:rPr>
                <w:sz w:val="24"/>
                <w:szCs w:val="24"/>
                <w:color w:val="auto"/>
              </w:rPr>
            </w:pPr>
          </w:p>
        </w:tc>
        <w:tc>
          <w:tcPr>
            <w:tcW w:w="2760" w:type="dxa"/>
            <w:vAlign w:val="bottom"/>
            <w:gridSpan w:val="2"/>
          </w:tcPr>
          <w:p>
            <w:pPr>
              <w:jc w:val="center"/>
              <w:ind w:left="850"/>
              <w:spacing w:after="0"/>
              <w:rPr>
                <w:sz w:val="20"/>
                <w:szCs w:val="20"/>
                <w:color w:val="auto"/>
              </w:rPr>
            </w:pPr>
            <w:r>
              <w:rPr>
                <w:rFonts w:ascii="Arial" w:cs="Arial" w:eastAsia="Arial" w:hAnsi="Arial"/>
                <w:sz w:val="18"/>
                <w:szCs w:val="18"/>
                <w:color w:val="auto"/>
                <w:w w:val="94"/>
              </w:rPr>
              <w:t>__%</w:t>
            </w: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449" w:right="239" w:bottom="1440" w:gutter="0" w:footer="0" w:header="0"/>
        </w:sectPr>
      </w:pPr>
    </w:p>
    <w:bookmarkStart w:id="34" w:name="page35"/>
    <w:bookmarkEnd w:id="34"/>
    <w:p>
      <w:pPr>
        <w:jc w:val="both"/>
        <w:ind w:left="80" w:firstLine="648"/>
        <w:spacing w:after="0" w:line="287" w:lineRule="auto"/>
        <w:rPr>
          <w:sz w:val="20"/>
          <w:szCs w:val="20"/>
          <w:color w:val="auto"/>
        </w:rPr>
      </w:pPr>
      <w:r>
        <w:rPr>
          <w:rFonts w:ascii="Arial" w:cs="Arial" w:eastAsia="Arial" w:hAnsi="Arial"/>
          <w:sz w:val="16"/>
          <w:szCs w:val="16"/>
          <w:color w:val="auto"/>
        </w:rPr>
        <w:t>The Committee shall certify on a nondiscretionary basis whether and the extent to which the ROIC Performance Goals have been met on or before the date on which the Company is required to issue you a check in redemption of your Performance Cash Award as set forth in Section 2(f)(viii). In the event the Committee certifies that the Threshold ROIC Performance Goal has not been met, then all of the Performance Cash Award will be forfeited to the Company. In the event the Committee certifies that the Maximum ROIC Goal has been met, the conditions shall be deemed to have been met for a Performance Cash Award equal to ___% of the Target Performance Cash Award. In the event the Committee certifies that the Company has achieved an ROIC that is between the Threshold ROIC Performance Goal and the Target ROIC Performance Goal or between the Target ROIC Performance Goal and the Maximum ROIC Performance Goal set forth above, then the conditions with respect to the Performance Cash Award shall be deemed to have been met for a percentage of the Performance Cash Award determined by linear interpolation between such ROIC Performance Goals and the restrictions on such Performance Cash Award shall be removed as of the ROIC Measurement Date and the remainder of the Performance Cash Award will be forfeited. The Committee has the final authority to determine on a nondiscretionary basis whether the ROIC Performance Goals have been met and to what extent.</w:t>
      </w:r>
    </w:p>
    <w:p>
      <w:pPr>
        <w:spacing w:after="0" w:line="173"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color w:val="auto"/>
        </w:rPr>
        <w:t>For purposes of measuring the ROIC Performance Goals, "</w:t>
      </w:r>
      <w:r>
        <w:rPr>
          <w:rFonts w:ascii="Arial" w:cs="Arial" w:eastAsia="Arial" w:hAnsi="Arial"/>
          <w:sz w:val="18"/>
          <w:szCs w:val="18"/>
          <w:u w:val="single" w:color="auto"/>
          <w:color w:val="auto"/>
        </w:rPr>
        <w:t>Average ROIC</w:t>
      </w:r>
      <w:r>
        <w:rPr>
          <w:rFonts w:ascii="Arial" w:cs="Arial" w:eastAsia="Arial" w:hAnsi="Arial"/>
          <w:sz w:val="18"/>
          <w:szCs w:val="18"/>
          <w:color w:val="auto"/>
        </w:rPr>
        <w:t>" shall mean ROIC for fiscal 20__ and fiscal 20__ divided by 2, and "</w:t>
      </w:r>
      <w:r>
        <w:rPr>
          <w:rFonts w:ascii="Arial" w:cs="Arial" w:eastAsia="Arial" w:hAnsi="Arial"/>
          <w:sz w:val="18"/>
          <w:szCs w:val="18"/>
          <w:u w:val="single" w:color="auto"/>
          <w:color w:val="auto"/>
        </w:rPr>
        <w:t>ROIC</w:t>
      </w:r>
      <w:r>
        <w:rPr>
          <w:rFonts w:ascii="Arial" w:cs="Arial" w:eastAsia="Arial" w:hAnsi="Arial"/>
          <w:sz w:val="18"/>
          <w:szCs w:val="18"/>
          <w:color w:val="auto"/>
        </w:rPr>
        <w:t>" is the percentage derived from the following fraction:</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Numerator: Operating Income x (1 - Tax Rate)</w:t>
      </w:r>
    </w:p>
    <w:p>
      <w:pPr>
        <w:spacing w:after="0" w:line="225" w:lineRule="exact"/>
        <w:rPr>
          <w:sz w:val="20"/>
          <w:szCs w:val="20"/>
          <w:color w:val="auto"/>
        </w:rPr>
      </w:pPr>
    </w:p>
    <w:p>
      <w:pPr>
        <w:ind w:left="720" w:right="20"/>
        <w:spacing w:after="0" w:line="277" w:lineRule="auto"/>
        <w:rPr>
          <w:sz w:val="20"/>
          <w:szCs w:val="20"/>
          <w:color w:val="auto"/>
        </w:rPr>
      </w:pPr>
      <w:r>
        <w:rPr>
          <w:rFonts w:ascii="Arial" w:cs="Arial" w:eastAsia="Arial" w:hAnsi="Arial"/>
          <w:sz w:val="18"/>
          <w:szCs w:val="18"/>
          <w:color w:val="auto"/>
        </w:rPr>
        <w:t>Denominator: (prior year-end Total Assets + current year-end Total Assets/2) – (prior year-end Current Liabilities + current year-end Current liabilities/2) – (prior year-end Cash + current year-end Cash/2)</w:t>
      </w:r>
    </w:p>
    <w:p>
      <w:pPr>
        <w:spacing w:after="0" w:line="170" w:lineRule="exact"/>
        <w:rPr>
          <w:sz w:val="20"/>
          <w:szCs w:val="20"/>
          <w:color w:val="auto"/>
        </w:rPr>
      </w:pPr>
    </w:p>
    <w:p>
      <w:pPr>
        <w:ind w:left="1200" w:hanging="474"/>
        <w:spacing w:after="0"/>
        <w:tabs>
          <w:tab w:leader="none" w:pos="12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Notwithstanding the provisions of subsections (i), (ii) and (iii) of this Section 2(f), the restrictions described in Section 2(e)</w:t>
      </w:r>
    </w:p>
    <w:p>
      <w:pPr>
        <w:spacing w:after="0" w:line="46" w:lineRule="exact"/>
        <w:rPr>
          <w:rFonts w:ascii="Arial" w:cs="Arial" w:eastAsia="Arial" w:hAnsi="Arial"/>
          <w:sz w:val="16"/>
          <w:szCs w:val="16"/>
          <w:color w:val="auto"/>
        </w:rPr>
      </w:pPr>
    </w:p>
    <w:p>
      <w:pPr>
        <w:ind w:left="80" w:right="20" w:hanging="2"/>
        <w:spacing w:after="0" w:line="290" w:lineRule="auto"/>
        <w:tabs>
          <w:tab w:leader="none" w:pos="3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shall lapse with respect to the RSUs, the Performance Units and the Performance Cash Award (as if each of the Target Total Shareholder Return Goal and Target Performance Cash Award had been met) upon the occurrence of any of the following events:</w:t>
      </w:r>
    </w:p>
    <w:p>
      <w:pPr>
        <w:spacing w:after="0" w:line="162" w:lineRule="exact"/>
        <w:rPr>
          <w:sz w:val="20"/>
          <w:szCs w:val="20"/>
          <w:color w:val="auto"/>
        </w:rPr>
      </w:pPr>
    </w:p>
    <w:p>
      <w:pPr>
        <w:ind w:left="1140" w:hanging="38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Your death or "</w:t>
      </w:r>
      <w:r>
        <w:rPr>
          <w:rFonts w:ascii="Arial" w:cs="Arial" w:eastAsia="Arial" w:hAnsi="Arial"/>
          <w:sz w:val="18"/>
          <w:szCs w:val="18"/>
          <w:u w:val="single" w:color="auto"/>
          <w:color w:val="auto"/>
        </w:rPr>
        <w:t>Disability</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140" w:hanging="38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of Control of the Company.</w:t>
      </w:r>
    </w:p>
    <w:p>
      <w:pPr>
        <w:spacing w:after="0" w:line="225" w:lineRule="exact"/>
        <w:rPr>
          <w:sz w:val="20"/>
          <w:szCs w:val="20"/>
          <w:color w:val="auto"/>
        </w:rPr>
      </w:pPr>
    </w:p>
    <w:p>
      <w:pPr>
        <w:jc w:val="both"/>
        <w:ind w:left="80" w:firstLine="662"/>
        <w:spacing w:after="0" w:line="25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 For purposes of this Section 2(f)(iv), the Target Performance Goal shall be deemed to have been met on the date the restrictions lapse by reason of the occurrence prior to the Measurement Date or ROIC Measurement Date of any of the foregoing events, so that the conditions on issuance of 100 percent of the Performance Units and the Target Performance Cash Award shall be deemed satisfied on the date of such event.</w:t>
      </w:r>
    </w:p>
    <w:p>
      <w:pPr>
        <w:spacing w:after="0" w:line="193" w:lineRule="exact"/>
        <w:rPr>
          <w:sz w:val="20"/>
          <w:szCs w:val="20"/>
          <w:color w:val="auto"/>
        </w:rPr>
      </w:pPr>
    </w:p>
    <w:p>
      <w:pPr>
        <w:jc w:val="both"/>
        <w:ind w:left="80" w:firstLine="659"/>
        <w:spacing w:after="0" w:line="257" w:lineRule="auto"/>
        <w:tabs>
          <w:tab w:leader="none" w:pos="12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the provisions of subsection (i) of this Section 2(f), upon the occurrence of your "</w:t>
      </w:r>
      <w:r>
        <w:rPr>
          <w:rFonts w:ascii="Arial" w:cs="Arial" w:eastAsia="Arial" w:hAnsi="Arial"/>
          <w:sz w:val="18"/>
          <w:szCs w:val="18"/>
          <w:u w:val="single" w:color="auto"/>
          <w:color w:val="auto"/>
        </w:rPr>
        <w:t>Retirement</w:t>
      </w:r>
      <w:r>
        <w:rPr>
          <w:rFonts w:ascii="Arial" w:cs="Arial" w:eastAsia="Arial" w:hAnsi="Arial"/>
          <w:sz w:val="18"/>
          <w:szCs w:val="18"/>
          <w:color w:val="auto"/>
        </w:rPr>
        <w:t>," the restrictions described in Section 2(e)(ii) shall lapse with respect to a number of RSUs determined as follows: (x) the total number of RSUs awarded to you hereunder multiplied by a fraction, the numerator of which is equal to the number of full and partial months elapsed from the date of the Award to the date of your Retirement, and the denominator of which is 48, minus (y) the total number of RSUs which previously lapsed under Subsection (i) of this Section 2(f).</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220"/>
          </w:cols>
          <w:pgMar w:left="1440" w:top="368" w:right="239" w:bottom="1440" w:gutter="0" w:footer="0" w:header="0"/>
        </w:sectPr>
      </w:pPr>
    </w:p>
    <w:bookmarkStart w:id="35" w:name="page36"/>
    <w:bookmarkEnd w:id="35"/>
    <w:p>
      <w:pPr>
        <w:ind w:left="624" w:right="20" w:firstLine="662"/>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Retirement</w:t>
      </w:r>
      <w:r>
        <w:rPr>
          <w:rFonts w:ascii="Arial" w:cs="Arial" w:eastAsia="Arial" w:hAnsi="Arial"/>
          <w:sz w:val="18"/>
          <w:szCs w:val="18"/>
          <w:color w:val="auto"/>
        </w:rPr>
        <w:t>" or "</w:t>
      </w:r>
      <w:r>
        <w:rPr>
          <w:rFonts w:ascii="Arial" w:cs="Arial" w:eastAsia="Arial" w:hAnsi="Arial"/>
          <w:sz w:val="18"/>
          <w:szCs w:val="18"/>
          <w:u w:val="single" w:color="auto"/>
          <w:color w:val="auto"/>
        </w:rPr>
        <w:t>Retire</w:t>
      </w:r>
      <w:r>
        <w:rPr>
          <w:rFonts w:ascii="Arial" w:cs="Arial" w:eastAsia="Arial" w:hAnsi="Arial"/>
          <w:sz w:val="18"/>
          <w:szCs w:val="18"/>
          <w:color w:val="auto"/>
        </w:rPr>
        <w:t>" shall mean your voluntary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(as defined in Code Section 409A), on or after the date on which you attain age 65.</w:t>
      </w:r>
    </w:p>
    <w:p>
      <w:pPr>
        <w:spacing w:after="0" w:line="170" w:lineRule="exact"/>
        <w:rPr>
          <w:sz w:val="20"/>
          <w:szCs w:val="20"/>
          <w:color w:val="auto"/>
        </w:rPr>
      </w:pPr>
    </w:p>
    <w:p>
      <w:pPr>
        <w:jc w:val="both"/>
        <w:ind w:left="624" w:firstLine="659"/>
        <w:spacing w:after="0" w:line="255" w:lineRule="auto"/>
        <w:tabs>
          <w:tab w:leader="none" w:pos="1761" w:val="left"/>
        </w:tabs>
        <w:numPr>
          <w:ilvl w:val="2"/>
          <w:numId w:val="23"/>
        </w:numPr>
        <w:rPr>
          <w:rFonts w:ascii="Arial" w:cs="Arial" w:eastAsia="Arial" w:hAnsi="Arial"/>
          <w:sz w:val="18"/>
          <w:szCs w:val="18"/>
          <w:color w:val="auto"/>
        </w:rPr>
      </w:pPr>
      <w:r>
        <w:rPr>
          <w:rFonts w:ascii="Arial" w:cs="Arial" w:eastAsia="Arial" w:hAnsi="Arial"/>
          <w:sz w:val="18"/>
          <w:szCs w:val="18"/>
          <w:color w:val="auto"/>
        </w:rPr>
        <w:t>Notwithstanding the provisions of subsection (ii) of this Section 2(f), in the event that you Retire prior to the Measurement Date and the Committee subsequently determines and certifies that the Company has achieved a Shareholder Return Goal at a level at or above the Threshold Shareholder Return Goal, the restrictions described in Section 2(e)(ii) shall lapse with respect to a pro rata number of Performance Units equal to the total number of Performance Units for which the restrictions would have lapsed on the Measurement Date under Subsection (ii) of this Section 2(f) if you had not Retired prior to the Measurement Date, multiplied by a fraction, the numerator of which is equal to the number of full and partial months elapsed from the date of the Award to the date of your Retirement, and the denominator of which is 36.</w:t>
      </w:r>
    </w:p>
    <w:p>
      <w:pPr>
        <w:spacing w:after="0" w:line="189" w:lineRule="exact"/>
        <w:rPr>
          <w:rFonts w:ascii="Arial" w:cs="Arial" w:eastAsia="Arial" w:hAnsi="Arial"/>
          <w:sz w:val="18"/>
          <w:szCs w:val="18"/>
          <w:color w:val="auto"/>
        </w:rPr>
      </w:pPr>
    </w:p>
    <w:p>
      <w:pPr>
        <w:jc w:val="both"/>
        <w:ind w:left="624" w:firstLine="659"/>
        <w:spacing w:after="0" w:line="255" w:lineRule="auto"/>
        <w:tabs>
          <w:tab w:leader="none" w:pos="1888" w:val="left"/>
        </w:tabs>
        <w:numPr>
          <w:ilvl w:val="2"/>
          <w:numId w:val="23"/>
        </w:numPr>
        <w:rPr>
          <w:rFonts w:ascii="Arial" w:cs="Arial" w:eastAsia="Arial" w:hAnsi="Arial"/>
          <w:sz w:val="18"/>
          <w:szCs w:val="18"/>
          <w:color w:val="auto"/>
        </w:rPr>
      </w:pPr>
      <w:r>
        <w:rPr>
          <w:rFonts w:ascii="Arial" w:cs="Arial" w:eastAsia="Arial" w:hAnsi="Arial"/>
          <w:sz w:val="18"/>
          <w:szCs w:val="18"/>
          <w:color w:val="auto"/>
        </w:rPr>
        <w:t>Notwithstanding the provisions of subsection (iii) of this Section 2(f), in the event that you Retire prior to the ROIC Measurement Date and the Committee subsequently determines and certifies that the Company has achieved an ROIC Goal at a level at or above the Threshold ROIC Goal, the restrictions described in Section 2(e)(ii) shall lapse with respect to a pro rata portion of the Performance Cash Award equal to the total dollar amount for which the restrictions would have lapsed on the ROIC Measurement Date under Subsection (iii) of this Section 2(f) if you had not Retired prior to the ROIC Measurement Date, multiplied by a fraction, the numerator of which is equal to the number of full and partial months elapsed from the date of the Award to the date of your Retirement, and the denominator of which is 24.</w:t>
      </w:r>
    </w:p>
    <w:p>
      <w:pPr>
        <w:spacing w:after="0" w:line="189" w:lineRule="exact"/>
        <w:rPr>
          <w:rFonts w:ascii="Arial" w:cs="Arial" w:eastAsia="Arial" w:hAnsi="Arial"/>
          <w:sz w:val="18"/>
          <w:szCs w:val="18"/>
          <w:color w:val="auto"/>
        </w:rPr>
      </w:pPr>
    </w:p>
    <w:p>
      <w:pPr>
        <w:jc w:val="both"/>
        <w:ind w:left="624" w:firstLine="659"/>
        <w:spacing w:after="0" w:line="257" w:lineRule="auto"/>
        <w:tabs>
          <w:tab w:leader="none" w:pos="1854" w:val="left"/>
        </w:tabs>
        <w:numPr>
          <w:ilvl w:val="2"/>
          <w:numId w:val="23"/>
        </w:numPr>
        <w:rPr>
          <w:rFonts w:ascii="Arial" w:cs="Arial" w:eastAsia="Arial" w:hAnsi="Arial"/>
          <w:sz w:val="18"/>
          <w:szCs w:val="18"/>
          <w:color w:val="auto"/>
        </w:rPr>
      </w:pPr>
      <w:r>
        <w:rPr>
          <w:rFonts w:ascii="Arial" w:cs="Arial" w:eastAsia="Arial" w:hAnsi="Arial"/>
          <w:sz w:val="18"/>
          <w:szCs w:val="18"/>
          <w:color w:val="auto"/>
        </w:rPr>
        <w:t>On the date of the lapse of the restrictions in accordance with this Section 2(f), or in any event, no later than the earlier of ninety (90) days after such date or two and one half months following the end of the calendar year in which the restrictions lapsed in accordance with Section 2(f), the Company will make a book-entry registration or will issue you a certificate as provided in Section 2(c) of this Award Agreement for the Shares covered by such RSUs and Performance Units in redemption of such RSUs and Performance Units and will pay you by check in redemption of the Performance Cash Award.</w:t>
      </w:r>
    </w:p>
    <w:p>
      <w:pPr>
        <w:spacing w:after="0" w:line="184" w:lineRule="exact"/>
        <w:rPr>
          <w:rFonts w:ascii="Arial" w:cs="Arial" w:eastAsia="Arial" w:hAnsi="Arial"/>
          <w:sz w:val="18"/>
          <w:szCs w:val="18"/>
          <w:color w:val="auto"/>
        </w:rPr>
      </w:pPr>
    </w:p>
    <w:p>
      <w:pPr>
        <w:ind w:left="324" w:hanging="324"/>
        <w:spacing w:after="0"/>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Agreement with Respect to Taxes; Share Withholding</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618"/>
        <w:spacing w:after="0" w:line="276" w:lineRule="auto"/>
        <w:tabs>
          <w:tab w:leader="none" w:pos="1032" w:val="left"/>
        </w:tabs>
        <w:numPr>
          <w:ilvl w:val="1"/>
          <w:numId w:val="24"/>
        </w:numPr>
        <w:rPr>
          <w:rFonts w:ascii="Arial" w:cs="Arial" w:eastAsia="Arial" w:hAnsi="Arial"/>
          <w:sz w:val="17"/>
          <w:szCs w:val="17"/>
          <w:color w:val="auto"/>
        </w:rPr>
      </w:pPr>
      <w:r>
        <w:rPr>
          <w:rFonts w:ascii="Arial" w:cs="Arial" w:eastAsia="Arial" w:hAnsi="Arial"/>
          <w:sz w:val="17"/>
          <w:szCs w:val="17"/>
          <w:color w:val="auto"/>
        </w:rPr>
        <w:t>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Performance Cash Award, the RSUs, the Performance Units and/or the Shares and (2) the Company or any of its Affiliates shall, to the extent permitted by law, have the right to deduct from any payments of any kind otherwise due to you any taxes of any kind required by law to be withheld with respect to the Performance Cash Award, the RSUs, the Performance Units and the Shares.</w:t>
      </w:r>
    </w:p>
    <w:p>
      <w:pPr>
        <w:spacing w:after="0" w:line="172" w:lineRule="exact"/>
        <w:rPr>
          <w:rFonts w:ascii="Arial" w:cs="Arial" w:eastAsia="Arial" w:hAnsi="Arial"/>
          <w:sz w:val="17"/>
          <w:szCs w:val="17"/>
          <w:color w:val="auto"/>
        </w:rPr>
      </w:pPr>
    </w:p>
    <w:p>
      <w:pPr>
        <w:jc w:val="both"/>
        <w:ind w:left="4" w:firstLine="618"/>
        <w:spacing w:after="0" w:line="290" w:lineRule="auto"/>
        <w:tabs>
          <w:tab w:leader="none" w:pos="10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You agree that, if required by applicable law, you shall pay any taxes no later than the date as of which the value of the Performance Cash Award, RSUs, Performance Units and/or Shares first become includible in your gross income for income tax purposes; provided, however, that the Committee may, in accordance with Section 11(b) of the Plan, permit you to: (i) elect withholding by the Company of cash and/or Shares otherwise deliverable to you pursuant to this Award Agreement (provided, however, that the amount of any Shares so withheld shall not exceed the amount necessary to satisfy the Company's or any Affiliate's required tax withholding of obligations using the minimum statutory withholding rates for Federal, state and/or local tax purposes, including payroll taxes, that are applicable to supplemental taxable income) and/or (ii) tender to the Company Shares owned by you (or by you and your spouse jointly) and acquired more than six (6) months prior to such tender in full or partial satisfaction of such tax obligations, based, in each case, on the Fair Market Value of the Shares on the payment date as determined by the Committee.</w:t>
      </w:r>
    </w:p>
    <w:p>
      <w:pPr>
        <w:spacing w:after="0" w:line="200" w:lineRule="exact"/>
        <w:rPr>
          <w:sz w:val="20"/>
          <w:szCs w:val="20"/>
          <w:color w:val="auto"/>
        </w:rPr>
      </w:pPr>
    </w:p>
    <w:p>
      <w:pPr>
        <w:spacing w:after="0" w:line="21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368" w:right="239" w:bottom="1440" w:gutter="0" w:footer="0" w:header="0"/>
        </w:sectPr>
      </w:pPr>
    </w:p>
    <w:bookmarkStart w:id="36" w:name="page37"/>
    <w:bookmarkEnd w:id="36"/>
    <w:p>
      <w:pPr>
        <w:ind w:left="-20" w:firstLine="656"/>
        <w:spacing w:after="0" w:line="282" w:lineRule="auto"/>
        <w:tabs>
          <w:tab w:leader="none" w:pos="943"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Adjustment of Shares. </w:t>
      </w:r>
      <w:r>
        <w:rPr>
          <w:rFonts w:ascii="Arial" w:cs="Arial" w:eastAsia="Arial" w:hAnsi="Arial"/>
          <w:sz w:val="18"/>
          <w:szCs w:val="18"/>
          <w:color w:val="auto"/>
        </w:rPr>
        <w:t>The number of Shares subject to the RSUs and Performance Units awarded to you under this Award Agreement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as provided in the Plan.</w:t>
      </w:r>
    </w:p>
    <w:p>
      <w:pPr>
        <w:spacing w:after="0" w:line="161" w:lineRule="exact"/>
        <w:rPr>
          <w:rFonts w:ascii="Arial" w:cs="Arial" w:eastAsia="Arial" w:hAnsi="Arial"/>
          <w:sz w:val="18"/>
          <w:szCs w:val="18"/>
          <w:color w:val="auto"/>
        </w:rPr>
      </w:pPr>
    </w:p>
    <w:p>
      <w:pPr>
        <w:jc w:val="both"/>
        <w:ind w:left="-20" w:firstLine="656"/>
        <w:spacing w:after="0" w:line="258" w:lineRule="auto"/>
        <w:tabs>
          <w:tab w:leader="none" w:pos="99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Agreement With Respect to Securities Matters. </w:t>
      </w:r>
      <w:r>
        <w:rPr>
          <w:rFonts w:ascii="Arial" w:cs="Arial" w:eastAsia="Arial" w:hAnsi="Arial"/>
          <w:sz w:val="18"/>
          <w:szCs w:val="18"/>
          <w:color w:val="auto"/>
        </w:rPr>
        <w:t>You agree that you will not sell or otherwise transfer any Shares received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w:t>
      </w:r>
    </w:p>
    <w:p>
      <w:pPr>
        <w:spacing w:after="0" w:line="188"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83" w:lineRule="exact"/>
        <w:rPr>
          <w:sz w:val="20"/>
          <w:szCs w:val="20"/>
          <w:color w:val="auto"/>
        </w:rPr>
      </w:pPr>
    </w:p>
    <w:p>
      <w:pPr>
        <w:ind w:left="960" w:hanging="3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Forfeiture and Clawback.</w:t>
      </w:r>
    </w:p>
    <w:p>
      <w:pPr>
        <w:spacing w:after="0" w:line="256" w:lineRule="exact"/>
        <w:rPr>
          <w:rFonts w:ascii="Arial" w:cs="Arial" w:eastAsia="Arial" w:hAnsi="Arial"/>
          <w:sz w:val="18"/>
          <w:szCs w:val="18"/>
          <w:color w:val="auto"/>
        </w:rPr>
      </w:pPr>
    </w:p>
    <w:p>
      <w:pPr>
        <w:jc w:val="both"/>
        <w:ind w:left="640" w:firstLine="645"/>
        <w:spacing w:after="0" w:line="306" w:lineRule="auto"/>
        <w:tabs>
          <w:tab w:leader="none" w:pos="2136" w:val="left"/>
        </w:tabs>
        <w:numPr>
          <w:ilvl w:val="1"/>
          <w:numId w:val="26"/>
        </w:numPr>
        <w:rPr>
          <w:rFonts w:ascii="Arial" w:cs="Arial" w:eastAsia="Arial" w:hAnsi="Arial"/>
          <w:sz w:val="18"/>
          <w:szCs w:val="18"/>
          <w:color w:val="auto"/>
        </w:rPr>
      </w:pPr>
      <w:r>
        <w:rPr>
          <w:rFonts w:ascii="Arial" w:cs="Arial" w:eastAsia="Arial" w:hAnsi="Arial"/>
          <w:sz w:val="18"/>
          <w:szCs w:val="18"/>
          <w:color w:val="auto"/>
        </w:rPr>
        <w:t>You agree that in the event you violate the confidentiality, non-competition, non-solicitation or non-disparagement provisions of any agreement between you and the Company or any Affiliate, or any plan of the Company or any Affiliate in which you participate, you will forfeit in their entirety the Performance Cash Award, the RSUs and the Performance Units, and all of your rights thereto shall terminate without any payment of consideration by the Company.</w:t>
      </w:r>
    </w:p>
    <w:p>
      <w:pPr>
        <w:spacing w:after="0" w:line="186" w:lineRule="exact"/>
        <w:rPr>
          <w:rFonts w:ascii="Arial" w:cs="Arial" w:eastAsia="Arial" w:hAnsi="Arial"/>
          <w:sz w:val="18"/>
          <w:szCs w:val="18"/>
          <w:color w:val="auto"/>
        </w:rPr>
      </w:pPr>
    </w:p>
    <w:p>
      <w:pPr>
        <w:jc w:val="both"/>
        <w:ind w:left="640" w:firstLine="645"/>
        <w:spacing w:after="0" w:line="302" w:lineRule="auto"/>
        <w:tabs>
          <w:tab w:leader="none" w:pos="2146"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w:t>
      </w:r>
    </w:p>
    <w:p>
      <w:pPr>
        <w:spacing w:after="0" w:line="158" w:lineRule="exact"/>
        <w:rPr>
          <w:rFonts w:ascii="Arial" w:cs="Arial" w:eastAsia="Arial" w:hAnsi="Arial"/>
          <w:sz w:val="18"/>
          <w:szCs w:val="18"/>
          <w:color w:val="auto"/>
        </w:rPr>
      </w:pPr>
    </w:p>
    <w:p>
      <w:pPr>
        <w:jc w:val="both"/>
        <w:ind w:left="-20" w:firstLine="656"/>
        <w:spacing w:after="0" w:line="258" w:lineRule="auto"/>
        <w:tabs>
          <w:tab w:leader="none" w:pos="101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Compliance with 409A</w:t>
      </w:r>
      <w:r>
        <w:rPr>
          <w:rFonts w:ascii="Arial" w:cs="Arial" w:eastAsia="Arial" w:hAnsi="Arial"/>
          <w:sz w:val="18"/>
          <w:szCs w:val="18"/>
          <w:color w:val="auto"/>
        </w:rPr>
        <w:t>. The Company intends that this Award Agreement and the Plan either (a) comply with Section 409A and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183" w:lineRule="exact"/>
        <w:rPr>
          <w:rFonts w:ascii="Arial" w:cs="Arial" w:eastAsia="Arial" w:hAnsi="Arial"/>
          <w:sz w:val="18"/>
          <w:szCs w:val="18"/>
          <w:color w:val="auto"/>
        </w:rPr>
      </w:pPr>
    </w:p>
    <w:p>
      <w:pPr>
        <w:ind w:left="-20" w:right="20" w:firstLine="656"/>
        <w:spacing w:after="0" w:line="282" w:lineRule="auto"/>
        <w:tabs>
          <w:tab w:leader="none" w:pos="101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Definitions. </w:t>
      </w:r>
      <w:r>
        <w:rPr>
          <w:rFonts w:ascii="Arial" w:cs="Arial" w:eastAsia="Arial" w:hAnsi="Arial"/>
          <w:sz w:val="18"/>
          <w:szCs w:val="18"/>
          <w:color w:val="auto"/>
        </w:rPr>
        <w:t>Capitalized terms used in this Award Agreement and not otherwise defined herein 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364" w:right="239" w:bottom="1440" w:gutter="0" w:footer="0" w:header="0"/>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color w:val="auto"/>
        </w:rPr>
        <w:t>If you accept this Award Agreement and agree to the foregoing terms and conditions, please so confirm by signing and returning the duplicate copy of this Award Agreement enclosed for that purpose.</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-10160</wp:posOffset>
            </wp:positionV>
            <wp:extent cx="800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-19050</wp:posOffset>
            </wp:positionV>
            <wp:extent cx="571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-19050</wp:posOffset>
            </wp:positionV>
            <wp:extent cx="571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Award Agreement is accepted by me as of ______________________, and I hereby agree to the terms, conditions, and restrictions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above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6042025</wp:posOffset>
            </wp:positionH>
            <wp:positionV relativeFrom="paragraph">
              <wp:posOffset>528955</wp:posOffset>
            </wp:positionV>
            <wp:extent cx="800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«Grantee»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2012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lvl w:ilvl="1">
      <w:lvlJc w:val="left"/>
      <w:lvlText w:val="-"/>
      <w:numFmt w:val="bullet"/>
      <w:start w:val="1"/>
    </w:lvl>
  </w:abstractNum>
  <w:abstractNum w:abstractNumId="6">
    <w:nsid w:val="3F2DBA31"/>
    <w:multiLevelType w:val="hybridMultilevel"/>
    <w:lvl w:ilvl="0">
      <w:lvlJc w:val="left"/>
      <w:lvlText w:val="•"/>
      <w:numFmt w:val="bullet"/>
      <w:start w:val="1"/>
    </w:lvl>
    <w:lvl w:ilvl="1">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upperLetter"/>
      <w:start w:val="1"/>
    </w:lvl>
  </w:abstractNum>
  <w:abstractNum w:abstractNumId="14">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5">
    <w:nsid w:val="2D1D5AE9"/>
    <w:multiLevelType w:val="hybridMultilevel"/>
    <w:lvl w:ilvl="0">
      <w:lvlJc w:val="left"/>
      <w:lvlText w:val="(%1)"/>
      <w:numFmt w:val="lowerLetter"/>
      <w:start w:val="3"/>
    </w:lvl>
  </w:abstractNum>
  <w:abstractNum w:abstractNumId="16">
    <w:nsid w:val="6763845E"/>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7">
    <w:nsid w:val="75A2A8D4"/>
    <w:multiLevelType w:val="hybridMultilevel"/>
    <w:lvl w:ilvl="0">
      <w:lvlJc w:val="left"/>
      <w:lvlText w:val="(%1)"/>
      <w:numFmt w:val="lowerRoman"/>
      <w:start w:val="3"/>
    </w:lvl>
  </w:abstractNum>
  <w:abstractNum w:abstractNumId="18">
    <w:nsid w:val="8EDBDAB"/>
    <w:multiLevelType w:val="hybridMultilevel"/>
    <w:lvl w:ilvl="0">
      <w:lvlJc w:val="left"/>
      <w:lvlText w:val="%1"/>
      <w:numFmt w:val="lowerRoman"/>
      <w:start w:val="1"/>
    </w:lvl>
    <w:lvl w:ilvl="1">
      <w:lvlJc w:val="left"/>
      <w:lvlText w:val="(%2)"/>
      <w:numFmt w:val="lowerRoman"/>
      <w:start w:val="4"/>
    </w:lvl>
  </w:abstractNum>
  <w:abstractNum w:abstractNumId="19">
    <w:nsid w:val="79838CB2"/>
    <w:multiLevelType w:val="hybridMultilevel"/>
    <w:lvl w:ilvl="0">
      <w:lvlJc w:val="left"/>
      <w:lvlText w:val="(%1)"/>
      <w:numFmt w:val="lowerRoman"/>
      <w:start w:val="2"/>
    </w:lvl>
    <w:lvl w:ilvl="1">
      <w:lvlJc w:val="left"/>
      <w:lvlText w:val="%2"/>
      <w:numFmt w:val="lowerRoman"/>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Roman"/>
      <w:start w:val="5"/>
    </w:lvl>
  </w:abstractNum>
  <w:abstractNum w:abstractNumId="22">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3">
    <w:nsid w:val="54E49EB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6"/>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2019-12-06T05:03:29Z</dcterms:created>
  <dcterms:modified xsi:type="dcterms:W3CDTF">2019-12-06T05:03:29Z</dcterms:modified>
</cp:coreProperties>
</file>