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620" w:hanging="396"/>
        <w:spacing w:after="0"/>
        <w:tabs>
          <w:tab w:leader="none" w:pos="6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620" w:hanging="396"/>
        <w:spacing w:after="0"/>
        <w:tabs>
          <w:tab w:leader="none" w:pos="6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13"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3982085</wp:posOffset>
            </wp:positionH>
            <wp:positionV relativeFrom="paragraph">
              <wp:posOffset>-10160</wp:posOffset>
            </wp:positionV>
            <wp:extent cx="762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1-15461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MATRIX SERVICE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22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2">
            <w:col w:w="6900" w:space="720"/>
            <w:col w:w="38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 2012 there were 27,888,217 shares of the Company’s common stock, $0.01 par value per share, issued and 25,910,013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gridSpan w:val="2"/>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740" w:type="dxa"/>
            <w:vAlign w:val="bottom"/>
            <w:gridSpan w:val="3"/>
            <w:vMerge w:val="restart"/>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40" w:type="dxa"/>
            <w:vAlign w:val="bottom"/>
            <w:gridSpan w:val="10"/>
            <w:vMerge w:val="restart"/>
          </w:tcPr>
          <w:p>
            <w:pPr>
              <w:jc w:val="center"/>
              <w:ind w:right="2360"/>
              <w:spacing w:after="0"/>
              <w:rPr>
                <w:sz w:val="20"/>
                <w:szCs w:val="20"/>
                <w:color w:val="auto"/>
              </w:rPr>
            </w:pPr>
            <w:r>
              <w:rPr>
                <w:rFonts w:ascii="Arial" w:cs="Arial" w:eastAsia="Arial" w:hAnsi="Arial"/>
                <w:sz w:val="18"/>
                <w:szCs w:val="18"/>
                <w:b w:val="1"/>
                <w:bCs w:val="1"/>
                <w:color w:val="auto"/>
              </w:rPr>
              <w:t>FINANCIAL INFORMATION</w:t>
            </w: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8"/>
        </w:trPr>
        <w:tc>
          <w:tcPr>
            <w:tcW w:w="580" w:type="dxa"/>
            <w:vAlign w:val="bottom"/>
            <w:tcBorders>
              <w:bottom w:val="single" w:sz="8" w:color="0000EE"/>
            </w:tcBorders>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gridSpan w:val="10"/>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320" w:type="dxa"/>
            <w:vAlign w:val="bottom"/>
            <w:gridSpan w:val="5"/>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140" w:type="dxa"/>
            <w:vAlign w:val="bottom"/>
            <w:gridSpan w:val="10"/>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Income for the Three Months Ended September 30, 2012 and 2011</w:t>
              </w:r>
            </w:hyperlink>
          </w:p>
        </w:tc>
        <w:tc>
          <w:tcPr>
            <w:tcW w:w="2000" w:type="dxa"/>
            <w:vAlign w:val="bottom"/>
            <w:gridSpan w:val="4"/>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17"/>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Comprehensive Income for the Three Months Ended September 30, 2012 and 2011</w:t>
              </w:r>
            </w:hyperlink>
          </w:p>
        </w:tc>
        <w:tc>
          <w:tcPr>
            <w:tcW w:w="600" w:type="dxa"/>
            <w:vAlign w:val="bottom"/>
          </w:tcPr>
          <w:p>
            <w:pPr>
              <w:ind w:lef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Condensed Consolidated Balance Sheets as of September 30, 2012 and June 30, 2012</w:t>
              </w:r>
            </w:hyperlink>
          </w:p>
        </w:tc>
        <w:tc>
          <w:tcPr>
            <w:tcW w:w="2620" w:type="dxa"/>
            <w:vAlign w:val="bottom"/>
            <w:tcBorders>
              <w:top w:val="single" w:sz="8" w:color="0000EE"/>
            </w:tcBorders>
            <w:gridSpan w:val="4"/>
          </w:tcPr>
          <w:p>
            <w:pPr>
              <w:spacing w:after="0"/>
              <w:rPr>
                <w:sz w:val="24"/>
                <w:szCs w:val="24"/>
                <w:color w:val="auto"/>
              </w:rPr>
            </w:pPr>
          </w:p>
        </w:tc>
        <w:tc>
          <w:tcPr>
            <w:tcW w:w="860" w:type="dxa"/>
            <w:vAlign w:val="bottom"/>
            <w:gridSpan w:val="2"/>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 for the Three Months Ended September 30, 2012 and 2011</w:t>
              </w:r>
            </w:hyperlink>
          </w:p>
        </w:tc>
        <w:tc>
          <w:tcPr>
            <w:tcW w:w="1700" w:type="dxa"/>
            <w:vAlign w:val="bottom"/>
            <w:gridSpan w:val="3"/>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17"/>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Changes in Stockholders’ Equity for the Three Months Ended September 30, 2012 and 2011</w:t>
              </w:r>
            </w:hyperlink>
          </w:p>
        </w:tc>
        <w:tc>
          <w:tcPr>
            <w:tcW w:w="600" w:type="dxa"/>
            <w:vAlign w:val="bottom"/>
          </w:tcPr>
          <w:p>
            <w:pPr>
              <w:ind w:left="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5380" w:type="dxa"/>
            <w:vAlign w:val="bottom"/>
            <w:tcBorders>
              <w:top w:val="single" w:sz="8" w:color="0000EE"/>
            </w:tcBorders>
            <w:gridSpan w:val="8"/>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3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3200" w:type="dxa"/>
            <w:vAlign w:val="bottom"/>
            <w:gridSpan w:val="5"/>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3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5240" w:type="dxa"/>
            <w:vAlign w:val="bottom"/>
            <w:gridSpan w:val="7"/>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3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600" w:type="dxa"/>
            <w:vAlign w:val="bottom"/>
          </w:tcPr>
          <w:p>
            <w:pPr>
              <w:ind w:lef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1320" w:type="dxa"/>
            <w:vAlign w:val="bottom"/>
            <w:gridSpan w:val="5"/>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10"/>
          </w:tcPr>
          <w:p>
            <w:pPr>
              <w:jc w:val="center"/>
              <w:ind w:right="2360"/>
              <w:spacing w:after="0"/>
              <w:rPr>
                <w:sz w:val="20"/>
                <w:szCs w:val="20"/>
                <w:color w:val="auto"/>
              </w:rPr>
            </w:pPr>
            <w:r>
              <w:rPr>
                <w:rFonts w:ascii="Arial" w:cs="Arial" w:eastAsia="Arial" w:hAnsi="Arial"/>
                <w:sz w:val="18"/>
                <w:szCs w:val="18"/>
                <w:b w:val="1"/>
                <w:bCs w:val="1"/>
                <w:color w:val="auto"/>
              </w:rPr>
              <w:t>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w:t>
            </w:r>
          </w:p>
        </w:tc>
        <w:tc>
          <w:tcPr>
            <w:tcW w:w="680" w:type="dxa"/>
            <w:vAlign w:val="bottom"/>
            <w:gridSpan w:val="2"/>
          </w:tcPr>
          <w:p>
            <w:pPr>
              <w:spacing w:after="0"/>
              <w:rPr>
                <w:sz w:val="24"/>
                <w:szCs w:val="24"/>
                <w:color w:val="auto"/>
              </w:rPr>
            </w:pP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8200" w:type="dxa"/>
            <w:vAlign w:val="bottom"/>
            <w:gridSpan w:val="13"/>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3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50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600" w:type="dxa"/>
            <w:vAlign w:val="bottom"/>
          </w:tcPr>
          <w:p>
            <w:pPr>
              <w:ind w:left="2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600" w:type="dxa"/>
            <w:vAlign w:val="bottom"/>
          </w:tcPr>
          <w:p>
            <w:pPr>
              <w:ind w:left="2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3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5260" w:type="dxa"/>
            <w:vAlign w:val="bottom"/>
            <w:gridSpan w:val="8"/>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3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7240" w:type="dxa"/>
            <w:vAlign w:val="bottom"/>
            <w:gridSpan w:val="11"/>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3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7780" w:type="dxa"/>
            <w:vAlign w:val="bottom"/>
            <w:gridSpan w:val="12"/>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3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220" w:type="dxa"/>
            <w:vAlign w:val="bottom"/>
            <w:gridSpan w:val="14"/>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Signature</w:t>
              </w:r>
            </w:hyperlink>
          </w:p>
        </w:tc>
        <w:tc>
          <w:tcPr>
            <w:tcW w:w="2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38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209,608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169,321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 of revenues</w:t>
            </w:r>
          </w:p>
        </w:tc>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187,364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151,228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18,093</w:t>
            </w: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6,610</w:t>
            </w:r>
          </w:p>
        </w:tc>
      </w:tr>
      <w:tr>
        <w:trPr>
          <w:trHeight w:val="323"/>
        </w:trPr>
        <w:tc>
          <w:tcPr>
            <w:tcW w:w="64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r>
      <w:tr>
        <w:trPr>
          <w:trHeight w:val="221"/>
        </w:trPr>
        <w:tc>
          <w:tcPr>
            <w:tcW w:w="640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2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federal, state and foreign income taxes</w:t>
            </w:r>
          </w:p>
        </w:tc>
        <w:tc>
          <w:tcPr>
            <w:tcW w:w="2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900" w:type="dxa"/>
            <w:vAlign w:val="bottom"/>
            <w:gridSpan w:val="2"/>
          </w:tcPr>
          <w:p>
            <w:pPr>
              <w:ind w:left="27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4,684</w:t>
            </w:r>
          </w:p>
        </w:tc>
        <w:tc>
          <w:tcPr>
            <w:tcW w:w="30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3,509</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900" w:type="dxa"/>
            <w:vAlign w:val="bottom"/>
            <w:gridSpan w:val="2"/>
          </w:tcPr>
          <w:p>
            <w:pPr>
              <w:ind w:left="27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0.18</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Basic</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26,400</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26,722</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894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68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r>
      <w:tr>
        <w:trPr>
          <w:trHeight w:val="161"/>
        </w:trPr>
        <w:tc>
          <w:tcPr>
            <w:tcW w:w="8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w:t>
            </w:r>
          </w:p>
        </w:tc>
      </w:tr>
      <w:tr>
        <w:trPr>
          <w:trHeight w:val="222"/>
        </w:trPr>
        <w:tc>
          <w:tcPr>
            <w:tcW w:w="89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receivable, less allowances (September 30, 2012—$1,906 and June 30, 2012—$1,201)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156,844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266,199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230,516</w:t>
            </w:r>
          </w:p>
        </w:tc>
        <w:tc>
          <w:tcPr>
            <w:tcW w:w="0" w:type="dxa"/>
            <w:vAlign w:val="bottom"/>
          </w:tcPr>
          <w:p>
            <w:pPr>
              <w:spacing w:after="0"/>
              <w:rPr>
                <w:sz w:val="1"/>
                <w:szCs w:val="1"/>
                <w:color w:val="auto"/>
              </w:rPr>
            </w:pPr>
          </w:p>
        </w:tc>
      </w:tr>
      <w:tr>
        <w:trPr>
          <w:trHeight w:val="323"/>
        </w:trPr>
        <w:tc>
          <w:tcPr>
            <w:tcW w:w="936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and buildings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Construction equipment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Transportation equipment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Office equipment and software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138,966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133,689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(78,814)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362,850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323,135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61,664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45,637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wages and benefits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insurance</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7,055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Acquisition payable</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136,609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105,963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Long term debt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146,027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112,038</w:t>
            </w:r>
          </w:p>
        </w:tc>
        <w:tc>
          <w:tcPr>
            <w:tcW w:w="0" w:type="dxa"/>
            <w:vAlign w:val="bottom"/>
          </w:tcPr>
          <w:p>
            <w:pPr>
              <w:spacing w:after="0"/>
              <w:rPr>
                <w:sz w:val="1"/>
                <w:szCs w:val="1"/>
                <w:color w:val="auto"/>
              </w:rPr>
            </w:pPr>
          </w:p>
        </w:tc>
      </w:tr>
      <w:tr>
        <w:trPr>
          <w:trHeight w:val="322"/>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1"/>
              </w:rPr>
              <w:t>Common stock—$.01 par value; 60,000,000 shares authorized; 27,888,217 shares issued as of September 30, 2012, and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640"/>
              <w:spacing w:after="0"/>
              <w:rPr>
                <w:sz w:val="20"/>
                <w:szCs w:val="20"/>
                <w:color w:val="auto"/>
              </w:rPr>
            </w:pPr>
            <w:r>
              <w:rPr>
                <w:rFonts w:ascii="Arial" w:cs="Arial" w:eastAsia="Arial" w:hAnsi="Arial"/>
                <w:sz w:val="18"/>
                <w:szCs w:val="18"/>
                <w:color w:val="auto"/>
              </w:rPr>
              <w:t>June 30, 2012</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117,297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122,103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240,917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235,162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Less: Treasury stock, at cost—2,051,764 shares as of September 30, 2012, and 2,141,990 shares as of June 30, 2012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(24,065)</w:t>
            </w: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216,823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211,097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362,850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323,135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8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4,684</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2,826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Gain on sale of property, plant and equipment</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uncollectible accounts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866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(49,515)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(9,036)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(1,292)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12,541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15,344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Net cash used by operating activities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(20,998)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(12,121)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40" w:type="dxa"/>
            <w:vAlign w:val="bottom"/>
            <w:gridSpan w:val="2"/>
          </w:tcPr>
          <w:p>
            <w:pPr>
              <w:spacing w:after="0"/>
              <w:rPr>
                <w:sz w:val="20"/>
                <w:szCs w:val="20"/>
                <w:color w:val="auto"/>
              </w:rPr>
            </w:pPr>
            <w:r>
              <w:rPr>
                <w:rFonts w:ascii="Arial" w:cs="Arial" w:eastAsia="Arial" w:hAnsi="Arial"/>
                <w:sz w:val="18"/>
                <w:szCs w:val="18"/>
                <w:color w:val="auto"/>
              </w:rPr>
              <w:t>Acquisition of property, plant and equipment</w:t>
            </w:r>
          </w:p>
        </w:tc>
        <w:tc>
          <w:tcPr>
            <w:tcW w:w="2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(5,092)</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asset sales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(5,055)</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1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Issuances of common stock</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4"/>
                <w:szCs w:val="24"/>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Advances under credit agreement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Repayments of advances under credit agreement</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(4,473)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purchased by Employee Stock Purchase Plan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Open market purchase of treasury shares</w:t>
            </w:r>
          </w:p>
        </w:tc>
        <w:tc>
          <w:tcPr>
            <w:tcW w:w="2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treasury share purchases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(used) by financing activities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(22,556)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(20,672)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17,170</w:t>
            </w:r>
          </w:p>
        </w:tc>
        <w:tc>
          <w:tcPr>
            <w:tcW w:w="340" w:type="dxa"/>
            <w:vAlign w:val="bottom"/>
          </w:tcPr>
          <w:p>
            <w:pPr>
              <w:spacing w:after="0"/>
              <w:rPr>
                <w:sz w:val="19"/>
                <w:szCs w:val="19"/>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42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 on account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649</w:t>
            </w:r>
          </w:p>
        </w:tc>
        <w:tc>
          <w:tcPr>
            <w:tcW w:w="34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Paid-In</w:t>
            </w: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Treasury</w:t>
            </w:r>
          </w:p>
        </w:tc>
        <w:tc>
          <w:tcPr>
            <w:tcW w:w="1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Capital</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Income(Loss)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June 30, 2012</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w w:val="76"/>
              </w:rPr>
              <w:t>279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116,693</w:t>
            </w:r>
          </w:p>
        </w:tc>
        <w:tc>
          <w:tcPr>
            <w:tcW w:w="3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$ 117,419</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 (24,065)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ind w:left="640"/>
              <w:spacing w:after="0" w:line="142" w:lineRule="exact"/>
              <w:rPr>
                <w:sz w:val="20"/>
                <w:szCs w:val="20"/>
                <w:color w:val="auto"/>
              </w:rPr>
            </w:pPr>
            <w:r>
              <w:rPr>
                <w:rFonts w:ascii="Arial" w:cs="Arial" w:eastAsia="Arial" w:hAnsi="Arial"/>
                <w:sz w:val="14"/>
                <w:szCs w:val="14"/>
                <w:color w:val="auto"/>
                <w:w w:val="76"/>
              </w:rPr>
              <w:t>771</w:t>
            </w: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$211,097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4,684</w:t>
            </w:r>
          </w:p>
        </w:tc>
        <w:tc>
          <w:tcPr>
            <w:tcW w:w="2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467</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Exercise of stock options (16,600 shares)</w:t>
            </w: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effect of exercised stock options and vesting of deferred shares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Issuance of deferred shares (106,394 shares)</w:t>
            </w: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(276)</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 Plan (686 shares)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Other treasury share purchases (33,454 shares)</w:t>
            </w: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866</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4"/>
                <w:szCs w:val="14"/>
                <w:color w:val="auto"/>
              </w:rPr>
              <w:t>Balances, September 30, 2012</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2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ind w:left="260"/>
              <w:spacing w:after="0" w:line="155" w:lineRule="exact"/>
              <w:rPr>
                <w:sz w:val="20"/>
                <w:szCs w:val="20"/>
                <w:color w:val="auto"/>
              </w:rPr>
            </w:pPr>
            <w:r>
              <w:rPr>
                <w:rFonts w:ascii="Arial" w:cs="Arial" w:eastAsia="Arial" w:hAnsi="Arial"/>
                <w:sz w:val="14"/>
                <w:szCs w:val="14"/>
                <w:color w:val="auto"/>
                <w:w w:val="76"/>
              </w:rPr>
              <w:t>279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117,297</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80"/>
              </w:rPr>
              <w:t>$ 122,103</w:t>
            </w:r>
          </w:p>
        </w:tc>
        <w:tc>
          <w:tcPr>
            <w:tcW w:w="260" w:type="dxa"/>
            <w:vAlign w:val="bottom"/>
          </w:tcPr>
          <w:p>
            <w:pPr>
              <w:spacing w:after="0"/>
              <w:rPr>
                <w:sz w:val="13"/>
                <w:szCs w:val="13"/>
                <w:color w:val="auto"/>
              </w:rPr>
            </w:pP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7"/>
              </w:rPr>
              <w:t>$ (24,094)</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1,238</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216,823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Balances, June,30 2011</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260"/>
              <w:spacing w:after="0" w:line="143" w:lineRule="exact"/>
              <w:rPr>
                <w:sz w:val="20"/>
                <w:szCs w:val="20"/>
                <w:color w:val="auto"/>
              </w:rPr>
            </w:pPr>
            <w:r>
              <w:rPr>
                <w:rFonts w:ascii="Arial" w:cs="Arial" w:eastAsia="Arial" w:hAnsi="Arial"/>
                <w:sz w:val="14"/>
                <w:szCs w:val="14"/>
                <w:color w:val="auto"/>
              </w:rPr>
              <w:t>279</w:t>
            </w:r>
          </w:p>
        </w:tc>
        <w:tc>
          <w:tcPr>
            <w:tcW w:w="20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113,686</w:t>
            </w: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80"/>
              </w:rPr>
              <w:t>$ 100,231</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87"/>
              </w:rPr>
              <w:t>$ (15,961)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1,436</w:t>
            </w:r>
          </w:p>
        </w:tc>
        <w:tc>
          <w:tcPr>
            <w:tcW w:w="6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85"/>
              </w:rPr>
              <w:t>$199,671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3,509</w:t>
            </w:r>
          </w:p>
        </w:tc>
        <w:tc>
          <w:tcPr>
            <w:tcW w:w="2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(959)</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Exercise of stock options (5,400 shares)</w:t>
            </w: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effect of exercised stock options and vesting of deferred shares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Issuance of deferred shares (40,787 shares)</w:t>
            </w: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 Plan (1,012 shares)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Open market purchase of treasury shares (517,088 shares)</w:t>
            </w: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(4,872)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treasury share purchases (10,835 shares)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969</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September 30, 2011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279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114,561</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$ 103,740</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7"/>
              </w:rPr>
              <w:t>$ (20,818)</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477</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198,239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condensed consolidated financial statements include the accounts of Matrix Service Company (“Matrix”, “we”, “our”, “us”, “its” or the “Company”) and its subsidiaries, all of which are wholly owned. Intercompany balances and transactions have been eliminated in consolidation.</w:t>
      </w:r>
    </w:p>
    <w:p>
      <w:pPr>
        <w:spacing w:after="0" w:line="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of operations and financial position for the interim periods presented. The accompanying condensed financial statements should be read in conjunction with the audited financial statements for the year ended June 30, 2012, included in the Company’s Annual Report on Form 10-K for the year then ended.</w:t>
      </w:r>
    </w:p>
    <w:p>
      <w:pPr>
        <w:spacing w:after="0" w:line="12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Company’s business is cyclical due to the scope and timing of projects released by our customers. Therefore, results from year to year can vary. Turnarounds and planned outages at customer facilities are typically scheduled in the spring and the fall when the demand for energy is lower. As a result, quarterly operating results can exhibit seasonal fluctuations, especially in our Oil Gas &amp; Chemical segment.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Accordingly, results for any interim period may not necessarily be indicative of future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Contracts</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400" w:type="dxa"/>
            <w:vAlign w:val="bottom"/>
            <w:gridSpan w:val="3"/>
          </w:tcPr>
          <w:p>
            <w:pPr>
              <w:ind w:left="580"/>
              <w:spacing w:after="0"/>
              <w:rPr>
                <w:sz w:val="20"/>
                <w:szCs w:val="20"/>
                <w:color w:val="auto"/>
              </w:rPr>
            </w:pPr>
            <w:r>
              <w:rPr>
                <w:rFonts w:ascii="Arial" w:cs="Arial" w:eastAsia="Arial" w:hAnsi="Arial"/>
                <w:sz w:val="14"/>
                <w:szCs w:val="14"/>
                <w:b w:val="1"/>
                <w:bCs w:val="1"/>
                <w:color w:val="auto"/>
                <w:w w:val="83"/>
              </w:rPr>
              <w:t>September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6"/>
              </w:rPr>
              <w:t>Costs incurred and estimated earnings recognized on uncompleted contracts</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823,597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774,749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Billings on uncompleted contracts</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791,636</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736,480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Shown on balance sheet as:</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6"/>
              </w:rPr>
              <w:t>Costs and estimated earnings in excess of billings on uncompleted contracts</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w w:val="97"/>
              </w:rPr>
              <w:t>Billings on uncompleted contracts in excess of costs and estimated earnings</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45,637</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Progress billings in accounts receivable at September 30, 2012 and June 30, 2012 included retentions to be collected within one year of $21.3 million and $22.3 million, respectively. Contract retentions collectible beyond one year totaled $2.6 million at September 30, 2012 and $1.2 million at June 30, 2012.</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SME Receivables</w:t>
      </w:r>
    </w:p>
    <w:p>
      <w:pPr>
        <w:spacing w:after="0" w:line="9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Company continues to pursue collection of certain receivables acquired in connection with the purchase of S.M. Electric Company, Inc. in February 2009. The recorded values at September 30, 2012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 material adjustment to future earnings.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Intangible Assets Including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Oil Gas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Electrical</w:t>
            </w:r>
          </w:p>
        </w:tc>
        <w:tc>
          <w:tcPr>
            <w:tcW w:w="720" w:type="dxa"/>
            <w:vAlign w:val="bottom"/>
            <w:gridSpan w:val="2"/>
          </w:tcPr>
          <w:p>
            <w:pPr>
              <w:jc w:val="center"/>
              <w:ind w:left="97"/>
              <w:spacing w:after="0" w:line="149" w:lineRule="exact"/>
              <w:rPr>
                <w:sz w:val="20"/>
                <w:szCs w:val="20"/>
                <w:color w:val="auto"/>
              </w:rPr>
            </w:pPr>
            <w:r>
              <w:rPr>
                <w:rFonts w:ascii="Arial" w:cs="Arial" w:eastAsia="Arial" w:hAnsi="Arial"/>
                <w:sz w:val="14"/>
                <w:szCs w:val="14"/>
                <w:b w:val="1"/>
                <w:bCs w:val="1"/>
                <w:color w:val="auto"/>
                <w:w w:val="98"/>
              </w:rPr>
              <w:t>&amp;</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1"/>
              </w:rPr>
              <w:t>Storage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Infrastucture</w:t>
            </w:r>
          </w:p>
        </w:tc>
        <w:tc>
          <w:tcPr>
            <w:tcW w:w="18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Chemical</w:t>
            </w:r>
          </w:p>
        </w:tc>
        <w:tc>
          <w:tcPr>
            <w:tcW w:w="26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Solutions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color w:val="auto"/>
                <w:w w:val="96"/>
              </w:rPr>
              <w:t>(In thousands)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$ 5,841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7,097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Cumulative impairment loss (A)</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(17,653)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(3,000)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(3,425)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September 30,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$ 2,841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$25.0 million impairment charge was recorded in February 2005 as a result of the Company’s operating performance in fiscal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At September 30, 2012</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Gross Carrying</w:t>
            </w:r>
          </w:p>
        </w:tc>
        <w:tc>
          <w:tcPr>
            <w:tcW w:w="48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(Years)</w:t>
            </w: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480"/>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 to 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Customer based</w:t>
            </w:r>
          </w:p>
        </w:tc>
        <w:tc>
          <w:tcPr>
            <w:tcW w:w="17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 to 15</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2,657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 to 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Total amortizing intangibles</w:t>
            </w: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0"/>
              </w:rPr>
              <w:t>Indefinite</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7,534</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(1,142)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600" w:type="dxa"/>
            <w:vAlign w:val="bottom"/>
            <w:gridSpan w:val="2"/>
            <w:vMerge w:val="restart"/>
          </w:tcPr>
          <w:p>
            <w:pPr>
              <w:jc w:val="right"/>
              <w:ind w:right="719"/>
              <w:spacing w:after="0"/>
              <w:rPr>
                <w:sz w:val="20"/>
                <w:szCs w:val="20"/>
                <w:color w:val="auto"/>
              </w:rPr>
            </w:pPr>
            <w:r>
              <w:rPr>
                <w:rFonts w:ascii="Arial" w:cs="Arial" w:eastAsia="Arial" w:hAnsi="Arial"/>
                <w:sz w:val="18"/>
                <w:szCs w:val="18"/>
                <w:color w:val="auto"/>
              </w:rPr>
              <w:t>-9-</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260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At June 30, 2012</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Gross Carrying</w:t>
            </w:r>
          </w:p>
        </w:tc>
        <w:tc>
          <w:tcPr>
            <w:tcW w:w="6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Useful Life</w:t>
            </w:r>
          </w:p>
        </w:tc>
        <w:tc>
          <w:tcPr>
            <w:tcW w:w="14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2"/>
              </w:rPr>
              <w:t>(Years)</w:t>
            </w: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4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0"/>
              </w:rPr>
              <w:t>6 to 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Customer based</w:t>
            </w: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1 to 15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 to 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Total amortizing intangibles</w:t>
            </w: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5,664</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7,534</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(1,030)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Amortization expense totaled approximately $0.1 million in the first quarter of fiscal 2013 and the first quarter of fiscal 2012. Amortization expense is expected to be $0.4 million annually in fiscal years 2013 to 2016 and $0.3 million in fiscal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a five-year senior secured revolving credit facility (the “Credit Agreement”) of $125.0 million that expires November 7, 2016. Advances under the Credit Agreement may be used for working capital, issuance of letters of credit and other lawful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as of the end of each fiscal quarter.</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September 30, 2012, Consolidated EBITDA, as defined in the Credit Agreement, was $48.1 million. Accordingly, at September 30, 2012, Consolidated Funded Indebtedness in excess of $120.2 million would have violated the Senior Leverage Ratio covenant. The Consolidated Funded Indebtedness at September 30, 2012 was $4.5 million.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126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3"/>
          </w:tcPr>
          <w:p>
            <w:pPr>
              <w:jc w:val="right"/>
              <w:ind w:right="577"/>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Capacity constraint due to the Senior Leverage Ratio</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Capacity under the credit facility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120,233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Borrowings outstanding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3,355</w:t>
            </w:r>
          </w:p>
        </w:tc>
        <w:tc>
          <w:tcPr>
            <w:tcW w:w="58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Letters of credit subject to the credit facility</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100" w:type="dxa"/>
            <w:vAlign w:val="bottom"/>
            <w:shd w:val="clear" w:color="auto" w:fill="CCEEFF"/>
          </w:tcPr>
          <w:p>
            <w:pPr>
              <w:spacing w:after="0"/>
              <w:rPr>
                <w:sz w:val="18"/>
                <w:szCs w:val="18"/>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Availability under the senior credit facility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108,432</w:t>
            </w: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106,839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complies with ASC 740, “Income Taxes”. Deferred income taxes are computed using the liability method whereby deferred tax assets and liabilities are recognized based on temporary differences between the financial and tax basis of assets and liabilities using presently enacted tax rates. Valuation allowances are established against deferred tax assets to the extent management believes that it is not probable the assets will be recovered.</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coverage limits and self-insured retentions.</w:t>
      </w:r>
    </w:p>
    <w:p>
      <w:pPr>
        <w:spacing w:after="0" w:line="13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of $9.4 million at September 30, 2012 and $8.5 million at June 30, 2012. There were no revenues related to claims included in costs and estimated earnings in excess of billings on uncompleted contracts at September 30, 2012 or June 30, 2012. Generally, collection of amounts related to unapproved change orders and claims is expected within twelve months. However, customers may not pay these amounts until final resolution of related claims, and accordingly, collection of these amounts may extend beyond one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adverse impact on the Company’s financial position, results of operations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Common Share</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82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gridSpan w:val="4"/>
          </w:tcPr>
          <w:p>
            <w:pPr>
              <w:jc w:val="right"/>
              <w:ind w:right="254"/>
              <w:spacing w:after="0" w:line="142" w:lineRule="exact"/>
              <w:rPr>
                <w:sz w:val="20"/>
                <w:szCs w:val="20"/>
                <w:color w:val="auto"/>
              </w:rPr>
            </w:pPr>
            <w:r>
              <w:rPr>
                <w:rFonts w:ascii="Arial" w:cs="Arial" w:eastAsia="Arial" w:hAnsi="Arial"/>
                <w:sz w:val="14"/>
                <w:szCs w:val="14"/>
                <w:color w:val="auto"/>
                <w:w w:val="90"/>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 income</w:t>
            </w:r>
          </w:p>
        </w:tc>
        <w:tc>
          <w:tcPr>
            <w:tcW w:w="2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4,684</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25,788</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Basic EPS</w:t>
            </w: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60" w:type="dxa"/>
            <w:vAlign w:val="bottom"/>
            <w:gridSpan w:val="2"/>
            <w:vMerge w:val="continue"/>
          </w:tcPr>
          <w:p>
            <w:pPr>
              <w:spacing w:after="0"/>
              <w:rPr>
                <w:sz w:val="18"/>
                <w:szCs w:val="18"/>
                <w:color w:val="auto"/>
              </w:rPr>
            </w:pPr>
          </w:p>
        </w:tc>
        <w:tc>
          <w:tcPr>
            <w:tcW w:w="2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9"/>
              </w:rPr>
              <w:t>Weighted average shares outstanding – basic</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25,788</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Dilutive stock options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Dilutive nonvested deferred shares</w:t>
            </w:r>
          </w:p>
        </w:tc>
        <w:tc>
          <w:tcPr>
            <w:tcW w:w="2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Diluted EPS</w:t>
            </w: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gridSpan w:val="2"/>
            <w:vMerge w:val="continue"/>
          </w:tcPr>
          <w:p>
            <w:pPr>
              <w:spacing w:after="0"/>
              <w:rPr>
                <w:sz w:val="18"/>
                <w:szCs w:val="18"/>
                <w:color w:val="auto"/>
              </w:rPr>
            </w:pPr>
          </w:p>
        </w:tc>
        <w:tc>
          <w:tcPr>
            <w:tcW w:w="2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80" w:type="dxa"/>
            <w:vAlign w:val="bottom"/>
            <w:vMerge w:val="restart"/>
          </w:tcPr>
          <w:p>
            <w:pPr>
              <w:jc w:val="right"/>
              <w:ind w:right="1372"/>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2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90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auto"/>
              </w:rPr>
              <w:t>2012</w:t>
            </w:r>
          </w:p>
        </w:tc>
        <w:tc>
          <w:tcPr>
            <w:tcW w:w="17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ind w:right="792"/>
              <w:spacing w:after="0" w:line="142" w:lineRule="exact"/>
              <w:rPr>
                <w:sz w:val="20"/>
                <w:szCs w:val="20"/>
                <w:color w:val="auto"/>
              </w:rPr>
            </w:pPr>
            <w:r>
              <w:rPr>
                <w:rFonts w:ascii="Arial" w:cs="Arial" w:eastAsia="Arial" w:hAnsi="Arial"/>
                <w:sz w:val="14"/>
                <w:szCs w:val="14"/>
                <w:color w:val="auto"/>
                <w:w w:val="89"/>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Nonvested deferred shares</w:t>
            </w:r>
          </w:p>
        </w:tc>
        <w:tc>
          <w:tcPr>
            <w:tcW w:w="2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antidilutive securities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Segment Information</w:t>
      </w:r>
    </w:p>
    <w:p>
      <w:pPr>
        <w:spacing w:after="0" w:line="9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Company completed an update of its long-term business strategy in fiscal 2012. This strategic update along with certain changes in our organizational structure led to a reassessment of our operating segments. As a result of these events, we have revised our reportable segments to better align with the current management of the business. Accordingly, our segments are: Electrical Infrastructure, Oil Gas &amp; Chemical, Storage Solutions, and Industrial.</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nuclear facilities, coal fired power stations, and renewable energy installations.</w:t>
      </w:r>
    </w:p>
    <w:p>
      <w:pPr>
        <w:spacing w:after="0" w:line="143"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renewable energy, industrial and natural gas, gas processing and compression, and upstream petroleum markets.</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Storage Solutions segment includes new construction of, as well as planned and emergency maintenance services for, crude and refined products aboveground storage tanks.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Industrial segment includes work in the mining and minerals industry, bulk material handling, thermal vacuum chambers, as well as work for clients in other industrial and manufacturing markets.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Other consists of corporate asset balances.</w:t>
      </w:r>
    </w:p>
    <w:p>
      <w:pPr>
        <w:spacing w:after="0" w:line="17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chief operating decision maker evaluates performance and allocates resources based primarily on operating income. The results of each operating segment include an allocation of corporate costs. The accounting policies of the reportable segments are the same as those described in the summary of significant accounting policies. Intersegment sales and transfers are recorded at cost and eliminated in consolidation; therefore, no intercompany profit or loss is recognized.</w:t>
      </w:r>
    </w:p>
    <w:p>
      <w:pPr>
        <w:spacing w:after="0" w:line="8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1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120" w:type="dxa"/>
            <w:vAlign w:val="bottom"/>
            <w:tcBorders>
              <w:top w:val="single" w:sz="8" w:color="auto"/>
            </w:tcBorders>
            <w:gridSpan w:val="3"/>
          </w:tcPr>
          <w:p>
            <w:pPr>
              <w:ind w:left="30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2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revenues</w:t>
            </w:r>
          </w:p>
        </w:tc>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Electrical Infrastructure</w:t>
            </w:r>
          </w:p>
        </w:tc>
        <w:tc>
          <w:tcPr>
            <w:tcW w:w="312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33,270</w:t>
            </w:r>
          </w:p>
        </w:tc>
        <w:tc>
          <w:tcPr>
            <w:tcW w:w="36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Oil Gas &amp; Chemical</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Storage Solutions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105,418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20" w:type="dxa"/>
            <w:vAlign w:val="bottom"/>
          </w:tcPr>
          <w:p>
            <w:pPr>
              <w:ind w:left="440"/>
              <w:spacing w:after="0"/>
              <w:rPr>
                <w:sz w:val="20"/>
                <w:szCs w:val="20"/>
                <w:color w:val="auto"/>
              </w:rPr>
            </w:pPr>
            <w:r>
              <w:rPr>
                <w:rFonts w:ascii="Arial" w:cs="Arial" w:eastAsia="Arial" w:hAnsi="Arial"/>
                <w:sz w:val="18"/>
                <w:szCs w:val="18"/>
                <w:color w:val="auto"/>
              </w:rPr>
              <w:t>Total gross revenues</w:t>
            </w:r>
          </w:p>
        </w:tc>
        <w:tc>
          <w:tcPr>
            <w:tcW w:w="312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210,760</w:t>
            </w:r>
          </w:p>
        </w:tc>
        <w:tc>
          <w:tcPr>
            <w:tcW w:w="36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170,508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Inter-segment revenues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Electrical Infrastructure</w:t>
            </w:r>
          </w:p>
        </w:tc>
        <w:tc>
          <w:tcPr>
            <w:tcW w:w="312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Oil Gas &amp; Chemical</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Storage Solutions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20" w:type="dxa"/>
            <w:vAlign w:val="bottom"/>
          </w:tcPr>
          <w:p>
            <w:pPr>
              <w:ind w:left="440"/>
              <w:spacing w:after="0"/>
              <w:rPr>
                <w:sz w:val="20"/>
                <w:szCs w:val="20"/>
                <w:color w:val="auto"/>
              </w:rPr>
            </w:pPr>
            <w:r>
              <w:rPr>
                <w:rFonts w:ascii="Arial" w:cs="Arial" w:eastAsia="Arial" w:hAnsi="Arial"/>
                <w:sz w:val="18"/>
                <w:szCs w:val="18"/>
                <w:color w:val="auto"/>
              </w:rPr>
              <w:t>Total inter-segment revenues</w:t>
            </w:r>
          </w:p>
        </w:tc>
        <w:tc>
          <w:tcPr>
            <w:tcW w:w="312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1,152</w:t>
            </w:r>
          </w:p>
        </w:tc>
        <w:tc>
          <w:tcPr>
            <w:tcW w:w="36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revenues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Electrical Infrastructure</w:t>
            </w:r>
          </w:p>
        </w:tc>
        <w:tc>
          <w:tcPr>
            <w:tcW w:w="312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33,270</w:t>
            </w:r>
          </w:p>
        </w:tc>
        <w:tc>
          <w:tcPr>
            <w:tcW w:w="36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Oil Gas &amp; Chemical</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Storage Solutions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104,266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20" w:type="dxa"/>
            <w:vAlign w:val="bottom"/>
          </w:tcPr>
          <w:p>
            <w:pPr>
              <w:ind w:left="440"/>
              <w:spacing w:after="0"/>
              <w:rPr>
                <w:sz w:val="20"/>
                <w:szCs w:val="20"/>
                <w:color w:val="auto"/>
              </w:rPr>
            </w:pPr>
            <w:r>
              <w:rPr>
                <w:rFonts w:ascii="Arial" w:cs="Arial" w:eastAsia="Arial" w:hAnsi="Arial"/>
                <w:sz w:val="18"/>
                <w:szCs w:val="18"/>
                <w:color w:val="auto"/>
              </w:rPr>
              <w:t>Total consolidated revenues</w:t>
            </w:r>
          </w:p>
        </w:tc>
        <w:tc>
          <w:tcPr>
            <w:tcW w:w="312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209,608</w:t>
            </w:r>
          </w:p>
        </w:tc>
        <w:tc>
          <w:tcPr>
            <w:tcW w:w="36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169,321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Electrical Infrastructure</w:t>
            </w:r>
          </w:p>
        </w:tc>
        <w:tc>
          <w:tcPr>
            <w:tcW w:w="312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4,706</w:t>
            </w:r>
          </w:p>
        </w:tc>
        <w:tc>
          <w:tcPr>
            <w:tcW w:w="36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Oil Gas &amp; Chemical</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Storage Solutions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9,969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ind w:left="440"/>
              <w:spacing w:after="0"/>
              <w:rPr>
                <w:sz w:val="20"/>
                <w:szCs w:val="20"/>
                <w:color w:val="auto"/>
              </w:rPr>
            </w:pPr>
            <w:r>
              <w:rPr>
                <w:rFonts w:ascii="Arial" w:cs="Arial" w:eastAsia="Arial" w:hAnsi="Arial"/>
                <w:sz w:val="18"/>
                <w:szCs w:val="18"/>
                <w:color w:val="auto"/>
              </w:rPr>
              <w:t>Total gross profit</w:t>
            </w:r>
          </w:p>
        </w:tc>
        <w:tc>
          <w:tcPr>
            <w:tcW w:w="2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20" w:type="dxa"/>
            <w:vAlign w:val="bottom"/>
            <w:vMerge w:val="continue"/>
          </w:tcPr>
          <w:p>
            <w:pPr>
              <w:spacing w:after="0"/>
              <w:rPr>
                <w:sz w:val="19"/>
                <w:szCs w:val="19"/>
                <w:color w:val="auto"/>
              </w:rPr>
            </w:pPr>
          </w:p>
        </w:tc>
        <w:tc>
          <w:tcPr>
            <w:tcW w:w="312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22,244</w:t>
            </w:r>
          </w:p>
        </w:tc>
        <w:tc>
          <w:tcPr>
            <w:tcW w:w="36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Electrical Infrastructure</w:t>
            </w:r>
          </w:p>
        </w:tc>
        <w:tc>
          <w:tcPr>
            <w:tcW w:w="312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2,319</w:t>
            </w:r>
          </w:p>
        </w:tc>
        <w:tc>
          <w:tcPr>
            <w:tcW w:w="36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Oil Gas &amp; Chemical</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Storage Solutions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ind w:left="440"/>
              <w:spacing w:after="0"/>
              <w:rPr>
                <w:sz w:val="20"/>
                <w:szCs w:val="20"/>
                <w:color w:val="auto"/>
              </w:rPr>
            </w:pPr>
            <w:r>
              <w:rPr>
                <w:rFonts w:ascii="Arial" w:cs="Arial" w:eastAsia="Arial" w:hAnsi="Arial"/>
                <w:sz w:val="18"/>
                <w:szCs w:val="18"/>
                <w:color w:val="auto"/>
              </w:rPr>
              <w:t>Total operating income</w:t>
            </w:r>
          </w:p>
        </w:tc>
        <w:tc>
          <w:tcPr>
            <w:tcW w:w="2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20" w:type="dxa"/>
            <w:vAlign w:val="bottom"/>
            <w:vMerge w:val="continue"/>
          </w:tcPr>
          <w:p>
            <w:pPr>
              <w:spacing w:after="0"/>
              <w:rPr>
                <w:sz w:val="19"/>
                <w:szCs w:val="19"/>
                <w:color w:val="auto"/>
              </w:rPr>
            </w:pPr>
          </w:p>
        </w:tc>
        <w:tc>
          <w:tcPr>
            <w:tcW w:w="312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7,924</w:t>
            </w:r>
          </w:p>
        </w:tc>
        <w:tc>
          <w:tcPr>
            <w:tcW w:w="36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assets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Electrical Infrastructure</w:t>
            </w:r>
          </w:p>
        </w:tc>
        <w:tc>
          <w:tcPr>
            <w:tcW w:w="312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56,826</w:t>
            </w:r>
          </w:p>
        </w:tc>
        <w:tc>
          <w:tcPr>
            <w:tcW w:w="36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Oil Gas &amp; Chemical</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Storage Solutions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186,600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2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assets</w:t>
            </w:r>
          </w:p>
        </w:tc>
        <w:tc>
          <w:tcPr>
            <w:tcW w:w="312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362,850</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299,273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960" w:type="dxa"/>
            <w:vAlign w:val="bottom"/>
            <w:vMerge w:val="restart"/>
          </w:tcPr>
          <w:p>
            <w:pPr>
              <w:ind w:left="86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CRITICAL ACCOUNTING ESTIMATES</w:t>
      </w:r>
    </w:p>
    <w:p>
      <w:pPr>
        <w:spacing w:after="0" w:line="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There have been no material changes in our critical accounting policies from those reported in our fiscal 2012 Annual Report on Form 10-K filed with the SEC. For more information on our critical accounting policies, see Part II, Item 7 of our fiscal 2012 Annual Report on Form 10-K. The following section provides certain information with respect to our critical accounting estimates as of the close of our most recent quarterly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of $9.4 million at September 30, 2012 and $8.5 million at June 30, 2012. There were no revenues related to claims included in costs and estimated earnings in excess of billings on uncompleted contracts at September 30, 2012 or June 30, 2012. The amounts ultimately realized may be significantly different than the recorded amounts resulting in a material adjustment to future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SME Receivables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continues to pursue collection of certain receivables acquired in connection with the purchase of S.M. Electric Company, Inc. in February 2009. The recorded values at September 30, 2012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an adjustment to future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Company has four significant reporting units with goodwill representing 42%, 21%, 14% and 11% of the total goodwill balance. Our most recent annual goodwill impairment test, performed in the fourth quarter of fiscal 2012, indicated that the fair value of these reporting units exceeded their respective carrying values by 46%, 84%, 106% and 40%, respectively. Based on the excess of estimated fair value over carrying value and the absence of any indicators of impairment at September 30, 2012, the Company does not currently anticipate recording a goodwill impairment charge for any of its operating units.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are no recently issued accounting standards that we believe will have a material affect on our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fiscal 2012, the Company completed an update of its long-term business strategy. This strategic update along with certain changes in our organizational structure led to a reassessment of our operating segments. As a result of these events, we have revised our reportable segments to better align with the current management of the business. Our segments are as follows:</w:t>
      </w:r>
    </w:p>
    <w:p>
      <w:pPr>
        <w:spacing w:after="0" w:line="59" w:lineRule="exact"/>
        <w:rPr>
          <w:sz w:val="20"/>
          <w:szCs w:val="20"/>
          <w:color w:val="auto"/>
        </w:rPr>
      </w:pPr>
    </w:p>
    <w:p>
      <w:pPr>
        <w:ind w:left="900" w:right="12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nuclear facilities, coal fired power stations, and renewable energy installations.</w:t>
      </w:r>
    </w:p>
    <w:p>
      <w:pPr>
        <w:spacing w:after="0" w:line="31" w:lineRule="exact"/>
        <w:rPr>
          <w:rFonts w:ascii="Arial" w:cs="Arial" w:eastAsia="Arial" w:hAnsi="Arial"/>
          <w:sz w:val="16"/>
          <w:szCs w:val="16"/>
          <w:color w:val="auto"/>
        </w:rPr>
      </w:pPr>
    </w:p>
    <w:p>
      <w:pPr>
        <w:ind w:left="900" w:right="40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renewable energy, industrial and natural gas, gas processing and compression, and upstream petroleum markets.</w:t>
      </w:r>
    </w:p>
    <w:p>
      <w:pPr>
        <w:spacing w:after="0" w:line="62"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Storage Solutions segment includes new construction of, as well as planned and emergency maintenance services for, crude and refined products aboveground storage tanks.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31"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Industrial segment includes work in the mining and minerals industry, bulk material handling, thermal vacuum chambers, as well as work for clients in other industrial and manufacturing markets.</w:t>
      </w:r>
    </w:p>
    <w:p>
      <w:pPr>
        <w:spacing w:after="0" w:line="207" w:lineRule="exact"/>
        <w:rPr>
          <w:sz w:val="20"/>
          <w:szCs w:val="20"/>
          <w:color w:val="auto"/>
        </w:rPr>
      </w:pPr>
    </w:p>
    <w:p>
      <w:pPr>
        <w:ind w:right="3820"/>
        <w:spacing w:after="0" w:line="347" w:lineRule="auto"/>
        <w:rPr>
          <w:sz w:val="20"/>
          <w:szCs w:val="20"/>
          <w:color w:val="auto"/>
        </w:rPr>
      </w:pPr>
      <w:r>
        <w:rPr>
          <w:rFonts w:ascii="Arial" w:cs="Arial" w:eastAsia="Arial" w:hAnsi="Arial"/>
          <w:sz w:val="18"/>
          <w:szCs w:val="18"/>
          <w:b w:val="1"/>
          <w:bCs w:val="1"/>
          <w:color w:val="auto"/>
        </w:rPr>
        <w:t>Three Months Ended September 30, 2012 Compared to the Three Months Ended September 30, 2011 Consolidated</w:t>
      </w:r>
    </w:p>
    <w:p>
      <w:pPr>
        <w:spacing w:after="0" w:line="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Consolidated revenues were $209.6 million for the three months ended September 30, 2012, an increase of $40.3 million, or 23.8%, from consolidated revenues of $169.3 million in the same period in the prior fiscal year. The increase in consolidated revenues was a result of increases in Oil Gas &amp; Chemical, Electrical Infrastructure and Storage Solutions revenues, which increased $21.3 million, $11.3 million and $9.3 million, respectively, partially offset by a decrease of $1.6 million in Industrial revenues.</w:t>
      </w:r>
    </w:p>
    <w:p>
      <w:pPr>
        <w:spacing w:after="0" w:line="14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Consolidated gross profit increased from $18.1 million in the three months ended September 30, 2011 to $22.2 million in the three months ended September 30, 2012. The increase of $4.1 million, or 22.7%, was primarily due to higher revenues in the first quarter of the current fiscal year. Gross margins were 10.6% in the three months ended September 30, 2012 compared to 10.7% in the same period a year earlier.</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Consolidated SG&amp;A expenses were $14.3 million in the three months ended September 30, 2012 compared to $11.5 million in the same period a year earlier. The increase of $2.8 million, or 24.3%, was primarily related to our planned investments in the branding initiative and strategic growth areas. In addition, the first quarter results include a bad debt charge of $0.7 million. SG&amp;A expense as a percentage of revenue remained unchanged at 6.8%.</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Net interest expense was $0.2 million in the three months ended September 30, 2012 and $0.3 million in the three months ended September 30, 2011.</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Other income in the three months ended September 30, 2012 was $0.1 million compared to a loss of $0.7 million in the three months ended September 30,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prior period loss was related primarily to foreign currency transaction losses.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effective tax rate was 40.0% for the three months ended September 30, 2012 and 38.0% for the three months ended September 30, 2011. The increase in the effective tax rate in the first quarter of fiscal 2013 was due to a change in the deductibility limitations applying to certain items that had previously been fully deducted.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Revenues for the Electrical Infrastructure segment increased $11.3 million, or 51.4%, to $33.3 million in the three months ended September 30, 2012 compared to $22.0 million in the same period a year earlier. The higher revenue was primarily due to an increase in high voltage work in the Northeastern United States. Gross margins were 14.1% in the three months ended September 30, 2012 compared to 12.7% in the same period a year earlier. The improvement in gross margins in the first quarter of fiscal 2013 is due to the favorable effect of the improved recovery of overhead costs caused by a higher business volume.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Revenues for the Oil Gas &amp; Chemical segment increased to $67.1 million in the three months ended September 30, 2012 compared to $45.8 million in the same period a year earlier. The increase of $21.3 million, or 46.5%, was primarily due to a higher level of turnaround and capital construction projects. Gross margins were 11.7% in the three months ended September 30, 2012 compared to 9.5% in the same period a year earlier. The improvement in gross margins in the first quarter of fiscal 2013 is primarily due to improved project execution and the favorable effect of the improved recovery of overhead costs caused by a higher business volume.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Revenues for the Storage Solutions segment increased to $104.2 million in the three months ended September 30, 2012 compared to $94.9 million in the same period a year earlier. The increase of $9.3 million, or 9.8%, was due to higher levels of work both domestically and in Canada in our aboveground storage tank business. Gross margins decreased from 10.9% in the three months ended September 30, 2011 to 9.6% in the same period in the current year. The lower margins in the current quarter were due to geographic expansion and short-term softening of the market as expected.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Revenues for the Industrial segment totaled $5.0 million in the three months ended September 30, 2012 compared to $6.6 million in the same period a year earlier. The decrease of $1.6 million, or 24.2%, was largely due to the timing of projects related to legacy industrial work, offset in part by higher revenues in our mining and minerals and bulk material handling businesses. Gross margins decreased from 8.7% in the three months ended September 30, 2011 to (6.0%) in the same period in the current year. Gross margins in the current quarter were negatively impacted by startup costs related to our entry into the bulk material handling and mining and minerals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long-term maintenance contracts we include only the amounts that we expect to recognize into revenue over the next 12 months. For all other arrangements, we calculate backlog as the estimated contract amount less revenues recognized as of the reporting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September 30,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Electrical</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Oil Gas &amp;</w:t>
            </w:r>
          </w:p>
        </w:tc>
        <w:tc>
          <w:tcPr>
            <w:tcW w:w="2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Storage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Chemical</w:t>
            </w:r>
          </w:p>
        </w:tc>
        <w:tc>
          <w:tcPr>
            <w:tcW w:w="2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Solutions</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Industrial</w:t>
            </w:r>
          </w:p>
        </w:tc>
        <w:tc>
          <w:tcPr>
            <w:tcW w:w="1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Backlog as of June 30,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127,699</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$117,862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$ 236,571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$ 497,452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awards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40,889</w:t>
            </w:r>
          </w:p>
        </w:tc>
        <w:tc>
          <w:tcPr>
            <w:tcW w:w="2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66,092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132,603</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7,218</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246,802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(33,270)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(67,097)</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(104,266)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(4,975)</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(209,608)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Backlog as of September 30, 2012</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135,318</w:t>
            </w:r>
          </w:p>
        </w:tc>
        <w:tc>
          <w:tcPr>
            <w:tcW w:w="20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116,857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$ 264,908</w:t>
            </w: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17,563</w:t>
            </w:r>
          </w:p>
        </w:tc>
        <w:tc>
          <w:tcPr>
            <w:tcW w:w="18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$ 534,646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27" w:lineRule="exact"/>
        <w:rPr>
          <w:sz w:val="20"/>
          <w:szCs w:val="20"/>
          <w:color w:val="auto"/>
        </w:rPr>
      </w:pPr>
    </w:p>
    <w:p>
      <w:pPr>
        <w:ind w:left="900" w:right="12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50"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w w:val="89"/>
              </w:rPr>
              <w:t>Three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600" w:type="dxa"/>
            <w:vAlign w:val="bottom"/>
            <w:gridSpan w:val="3"/>
          </w:tcPr>
          <w:p>
            <w:pPr>
              <w:ind w:left="78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3"/>
          </w:tcPr>
          <w:p>
            <w:pPr>
              <w:jc w:val="center"/>
              <w:ind w:left="3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Interest expense</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16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w:t>
            </w: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0" w:type="dxa"/>
            <w:vAlign w:val="bottom"/>
            <w:vMerge w:val="restart"/>
          </w:tcPr>
          <w:p>
            <w:pPr>
              <w:jc w:val="right"/>
              <w:ind w:right="1592"/>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define liquidity as the ongoing ability to pay our liabilities as they become due, fund business operations and meet all monetary contractual obligations. Our primary sources of liquidity for the three months ended September 30, 2012 were cash on hand at the beginning of the year, capacity under our senior revolving credit facility and cash generated from operations. Cash on hand at September 30, 2012 totaled $17.2 million and availability under the senior revolving credit facility totaled $108.4 million resulting in total funding availability of $125.6 million. We expect to fund our operations for the next twelve months through the use of cash generated from operations, existing cash balances and borrowings under our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90" w:lineRule="exact"/>
        <w:rPr>
          <w:sz w:val="20"/>
          <w:szCs w:val="20"/>
          <w:color w:val="auto"/>
        </w:rPr>
      </w:pPr>
    </w:p>
    <w:p>
      <w:pPr>
        <w:ind w:left="900" w:right="1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50" w:lineRule="exact"/>
        <w:rPr>
          <w:rFonts w:ascii="Arial" w:cs="Arial" w:eastAsia="Arial" w:hAnsi="Arial"/>
          <w:sz w:val="18"/>
          <w:szCs w:val="18"/>
          <w:color w:val="auto"/>
        </w:rPr>
      </w:pPr>
    </w:p>
    <w:p>
      <w:pPr>
        <w:ind w:left="1920" w:right="860" w:hanging="318"/>
        <w:spacing w:after="0" w:line="268"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50" w:lineRule="exact"/>
        <w:rPr>
          <w:rFonts w:ascii="Arial" w:cs="Arial" w:eastAsia="Arial" w:hAnsi="Arial"/>
          <w:sz w:val="18"/>
          <w:szCs w:val="18"/>
          <w:color w:val="auto"/>
        </w:rPr>
      </w:pPr>
    </w:p>
    <w:p>
      <w:pPr>
        <w:ind w:left="1920" w:right="200" w:hanging="318"/>
        <w:spacing w:after="0" w:line="268"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Capacity constraints under our senior revolving credit facility and remaining in compliance with all covenants contained in the credit agreement</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an effective shelf registration statement on file with the SEC under which we may issue, from time to time, up to $400 million of senior debt securities, subordinated debt securities, common stock, preferred stock and warrants. This shelf gives us additional flexibility, when capital market conditions are favorable, to grow our business, finance acquisitions or to optimize our balance sheet in order to improve or maintain our financial flexibility. We may also elect to issue term debt or increase the amount of our revolving credit facility. We will continue to evaluate our working capital requirements and other factors to maintain sufficient liquidity.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 the Three Months Ended September 30,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Operating Activities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flows used for operating activities for the three months ended September 30, 2012 totaled $21.0 million. Major components of cash flows used for operating activities for the first quarter of fiscal 2013 are as follows: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Non-cash expenses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effect of changes in operating assets and liabilities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(30,152)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property, plant and equipment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operating activities</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(20,998)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cash effect of significant changes in operating assets and liabilities include the following:</w:t>
      </w:r>
    </w:p>
    <w:p>
      <w:pPr>
        <w:spacing w:after="0" w:line="90" w:lineRule="exact"/>
        <w:rPr>
          <w:sz w:val="20"/>
          <w:szCs w:val="20"/>
          <w:color w:val="auto"/>
        </w:rPr>
      </w:pPr>
    </w:p>
    <w:p>
      <w:pPr>
        <w:ind w:left="900" w:right="4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change in the combined balances of costs and estimated earnings in excess of billings on uncompleted contracts and billings on uncompleted contracts in excess of costs and estimated earnings caused an increase in operating assets and liabilities and an increase to cash of $6.3 million in the three months ended September 30, 2012. This change was primarily attributable to our project portfolio permitting a higher degree of advanced billings in the first quarter of fiscal 2013.</w:t>
      </w:r>
    </w:p>
    <w:p>
      <w:pPr>
        <w:spacing w:after="0" w:line="62" w:lineRule="exact"/>
        <w:rPr>
          <w:rFonts w:ascii="Arial" w:cs="Arial" w:eastAsia="Arial" w:hAnsi="Arial"/>
          <w:sz w:val="18"/>
          <w:szCs w:val="18"/>
          <w:color w:val="auto"/>
        </w:rPr>
      </w:pPr>
    </w:p>
    <w:p>
      <w:pPr>
        <w:ind w:left="900" w:right="180" w:hanging="325"/>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Accounts receivable increased by $49.5 million. The accounts receivable increase is due to a higher level of business and the timing of billings particularly in the Storage Solutions and Electrical Infrastructure segments. We view this increase as a short-term fluctuation. The receivable aging categories have not deteriorated and we do not anticipate any unusual collection difficulties.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Accounts payable increased by $12.5 million. The increase was primarily due to an increase in business activity.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Investing activities used $5.1 million of cash in the three months ended September 30, 2012 due to capital expenditures. Capital expenditures included $2.4 million for the purchase of construction equipment, $1.4 million for transportation equipment, $1.2 million for office equipment and software and $0.1 million for land and buildings.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Financing activities provided $3.1 million of cash in the three months ended September 30, 2012 primarily due to net cash borrowings of $3.4 million, offset in part by treasury share purchases of $0.4 million. Cash borrowings were Canadian dollar advances under our credit agreement to mitigate foreign exchange rate risks.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Revolving Credit Facility</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a five-year senior secured revolving credit facility (the “Credit Agreement”) of $125.0 million that expires November 7, 2016. Advances under the Credit Agreement may be used for working capital, issuance of letters of credit and other lawful corporate purposes.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be required to maintain a Fixed Charge Coverage Ratio, as defined in the agreement, greater than or equal to 1.25 to 1.00 as of the end of each fiscal quarter.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14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noted previously, the Credit Agreement includes a Senior Leverage Ratio covenant which provides that Consolidated Funded Indebtedness may not exceed 2.5 times Consolidated EBITDA, as defined in the agreement, over the previous four quarters. For the four quarters ended September 30, 2012, Consolidated EBITDA was $48.1 million. Accordingly, at September 30, 2012, Consolidated Funded Indebtedness in excess of $120.2 million would have violated the Senior Leverage Ratio covenant. The Consolidated Funded Indebtedness at September 30, 2012 was $4.5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Company’s existing stock buyback program, which was approved by the Board of Directors on February 4, 2009, was scheduled to expire on December 31, 2012. The program permits the Company to purchase up to 3,000,000 shares of common stock provided that such purchases do not exceed $25.0 million in any calendar year. Since its inception, the Company has purchased a total of 886,503 shares under our stock buyback program at an average price of $9.17. On November 6, 2012, our Board of Directors approved a two year extension of the stock buyback plan, which will allow the Company to purchase up to an additional 2,113,497 shares through the end of calendar year 2014 if sufficient liquidity exists and we believe that it is in the best interest of the stockholders.</w:t>
      </w:r>
    </w:p>
    <w:p>
      <w:pPr>
        <w:spacing w:after="0" w:line="11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33,454 shares in the first quarter of fiscal 2013 to satisfy these obligations. These shares were returned to the Company’s pool of treasury shares.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has 2,051,764 treasury shares as of September 30, 2012 and intends to utilize these treasury shares solely in connection with equity awards under the Company’s stock incentive plans.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generate sufficient cash from operations or to raise cash in order to meet our short and long-term capital requirements;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6" w:lineRule="exact"/>
        <w:rPr>
          <w:sz w:val="20"/>
          <w:szCs w:val="20"/>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2012 and listed from time to time in our filings with the Securities and Exchange Commission;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and mining and minerals industries in particular;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There have been no material changes in market risk faced by us from those reported in our Annual Report on Form 10-K for the fiscal year ended June 30, 2012, filed with the Securities and Exchange Commission. For more information on market risk, see Part II, Item 7A in our fiscal 2012 Annual Report on Form 10-K.</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2012. Based on the foregoing, our Chief Executive Officer and Chief Financial Officer concluded that our disclosure controls and procedures were effective at the reasonable assurance level at September 30, 2012.</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September 30,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first quarter of fiscal year 2013.</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Total Number</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of Shares</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r>
      <w:tr>
        <w:trPr>
          <w:trHeight w:val="149"/>
        </w:trPr>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 That</w:t>
            </w:r>
          </w:p>
        </w:tc>
      </w:tr>
      <w:tr>
        <w:trPr>
          <w:trHeight w:val="149"/>
        </w:trPr>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May Yet Be</w:t>
            </w:r>
          </w:p>
        </w:tc>
      </w:tr>
      <w:tr>
        <w:trPr>
          <w:trHeight w:val="149"/>
        </w:trPr>
        <w:tc>
          <w:tcPr>
            <w:tcW w:w="49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Announced</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Purchased</w:t>
            </w:r>
          </w:p>
        </w:tc>
      </w:tr>
      <w:tr>
        <w:trPr>
          <w:trHeight w:val="149"/>
        </w:trPr>
        <w:tc>
          <w:tcPr>
            <w:tcW w:w="49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1"/>
              </w:rPr>
              <w:t>of Shares</w:t>
            </w:r>
          </w:p>
        </w:tc>
        <w:tc>
          <w:tcPr>
            <w:tcW w:w="100" w:type="dxa"/>
            <w:vAlign w:val="bottom"/>
          </w:tcPr>
          <w:p>
            <w:pPr>
              <w:spacing w:after="0"/>
              <w:rPr>
                <w:sz w:val="12"/>
                <w:szCs w:val="12"/>
                <w:color w:val="auto"/>
              </w:rPr>
            </w:pPr>
          </w:p>
        </w:tc>
        <w:tc>
          <w:tcPr>
            <w:tcW w:w="13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Paid</w:t>
            </w: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Plans or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the Plans</w:t>
            </w:r>
          </w:p>
        </w:tc>
      </w:tr>
      <w:tr>
        <w:trPr>
          <w:trHeight w:val="161"/>
        </w:trPr>
        <w:tc>
          <w:tcPr>
            <w:tcW w:w="4980" w:type="dxa"/>
            <w:vAlign w:val="bottom"/>
          </w:tcPr>
          <w:p>
            <w:pPr>
              <w:spacing w:after="0"/>
              <w:rPr>
                <w:sz w:val="14"/>
                <w:szCs w:val="1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Purchased</w:t>
            </w:r>
          </w:p>
        </w:tc>
        <w:tc>
          <w:tcPr>
            <w:tcW w:w="100" w:type="dxa"/>
            <w:vAlign w:val="bottom"/>
          </w:tcPr>
          <w:p>
            <w:pPr>
              <w:spacing w:after="0"/>
              <w:rPr>
                <w:sz w:val="14"/>
                <w:szCs w:val="14"/>
                <w:color w:val="auto"/>
              </w:rPr>
            </w:pPr>
          </w:p>
        </w:tc>
        <w:tc>
          <w:tcPr>
            <w:tcW w:w="13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Per Share</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Programs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or Programs</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July 1 to July 31, 2012</w:t>
            </w:r>
          </w:p>
        </w:tc>
        <w:tc>
          <w:tcPr>
            <w:tcW w:w="8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Share Repurchase Program (A)</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2,113,497</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Transactions (B)</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ind w:left="237"/>
              <w:spacing w:after="0"/>
              <w:rPr>
                <w:sz w:val="20"/>
                <w:szCs w:val="20"/>
                <w:color w:val="auto"/>
              </w:rPr>
            </w:pPr>
            <w:r>
              <w:rPr>
                <w:rFonts w:ascii="Arial" w:cs="Arial" w:eastAsia="Arial" w:hAnsi="Arial"/>
                <w:sz w:val="18"/>
                <w:szCs w:val="18"/>
                <w:color w:val="auto"/>
                <w:w w:val="84"/>
              </w:rPr>
              <w:t>11.68</w:t>
            </w:r>
          </w:p>
        </w:tc>
        <w:tc>
          <w:tcPr>
            <w:tcW w:w="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b w:val="1"/>
                <w:bCs w:val="1"/>
                <w:color w:val="auto"/>
              </w:rPr>
              <w:t>August 1 to August 31, 2012</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 Repurchase Program (A)</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2,113,497</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Employee Transactions (B)</w:t>
            </w:r>
          </w:p>
        </w:tc>
        <w:tc>
          <w:tcPr>
            <w:tcW w:w="800" w:type="dxa"/>
            <w:vAlign w:val="bottom"/>
          </w:tcPr>
          <w:p>
            <w:pPr>
              <w:ind w:left="320"/>
              <w:spacing w:after="0"/>
              <w:rPr>
                <w:sz w:val="20"/>
                <w:szCs w:val="20"/>
                <w:color w:val="auto"/>
              </w:rPr>
            </w:pPr>
            <w:r>
              <w:rPr>
                <w:rFonts w:ascii="Arial" w:cs="Arial" w:eastAsia="Arial" w:hAnsi="Arial"/>
                <w:sz w:val="18"/>
                <w:szCs w:val="18"/>
                <w:color w:val="auto"/>
                <w:w w:val="83"/>
              </w:rPr>
              <w:t>33,230</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10.46</w:t>
            </w:r>
          </w:p>
        </w:tc>
        <w:tc>
          <w:tcPr>
            <w:tcW w:w="660" w:type="dxa"/>
            <w:vAlign w:val="bottom"/>
          </w:tcPr>
          <w:p>
            <w:pPr>
              <w:spacing w:after="0"/>
              <w:rPr>
                <w:sz w:val="18"/>
                <w:szCs w:val="18"/>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1 to September 30, 2012</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Share Repurchase Program (A)</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2,113,497</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Transactions (B)</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15"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were no mine safety violations or other regulatory matters required to be disclosed in this Form 10-Q under Section 1503(a) of the Dodd-Frank Wall Street Reform and Consumer Protection Act and Item 104 of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459"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Exhibit 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32.2: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Exhibit 101.INS: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101.SCH:</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101.CAL: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101.DEF:</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101.LAB: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101.PRE: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Amendment 1 to Amended and Restated Matrix Service Company Deferred Compensation Plan for Members of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Sarbanes-Oxley Act of 2002 – CEO.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Sarbanes-Oxley Act of 2002 – CFO.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1350 (section 906 of Sarbanes-Oxley Act of 2002) – CEO.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1350 (section 906 of Sarbanes-Oxley Act of 2002) – CFO.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Labels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280" w:space="560"/>
            <w:col w:w="9580"/>
          </w:cols>
          <w:pgMar w:left="240" w:top="459" w:right="239" w:bottom="1440" w:gutter="0" w:footer="0" w:header="0"/>
          <w:type w:val="continuous"/>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b w:val="1"/>
                <w:bCs w:val="1"/>
                <w:color w:val="auto"/>
              </w:rPr>
              <w:t>MATRIX SERVICE COMPANY</w:t>
            </w:r>
          </w:p>
        </w:tc>
      </w:tr>
      <w:tr>
        <w:trPr>
          <w:trHeight w:val="433"/>
        </w:trPr>
        <w:tc>
          <w:tcPr>
            <w:tcW w:w="3660" w:type="dxa"/>
            <w:vAlign w:val="bottom"/>
          </w:tcPr>
          <w:p>
            <w:pPr>
              <w:spacing w:after="0"/>
              <w:rPr>
                <w:sz w:val="20"/>
                <w:szCs w:val="20"/>
                <w:color w:val="auto"/>
              </w:rPr>
            </w:pPr>
            <w:r>
              <w:rPr>
                <w:rFonts w:ascii="Arial" w:cs="Arial" w:eastAsia="Arial" w:hAnsi="Arial"/>
                <w:sz w:val="18"/>
                <w:szCs w:val="18"/>
                <w:color w:val="auto"/>
              </w:rPr>
              <w:t>Date: November 9, 2012</w:t>
            </w:r>
          </w:p>
        </w:tc>
        <w:tc>
          <w:tcPr>
            <w:tcW w:w="2060" w:type="dxa"/>
            <w:vAlign w:val="bottom"/>
          </w:tcPr>
          <w:p>
            <w:pPr>
              <w:spacing w:after="0"/>
              <w:rPr>
                <w:sz w:val="24"/>
                <w:szCs w:val="24"/>
                <w:color w:val="auto"/>
              </w:rPr>
            </w:pP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 /s/ Kevin S. Cavanah</w:t>
            </w:r>
          </w:p>
        </w:tc>
      </w:tr>
      <w:tr>
        <w:trPr>
          <w:trHeight w:val="202"/>
        </w:trPr>
        <w:tc>
          <w:tcPr>
            <w:tcW w:w="36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w w:val="89"/>
              </w:rPr>
              <w:t>Kevin S. Cavanah Vice President and Chief Financial Officer signing on behalf</w:t>
            </w:r>
          </w:p>
        </w:tc>
      </w:tr>
      <w:tr>
        <w:trPr>
          <w:trHeight w:val="222"/>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of the registrant and as the registrant’s principal financial officer</w:t>
            </w:r>
          </w:p>
        </w:tc>
      </w:tr>
      <w:tr>
        <w:trPr>
          <w:trHeight w:val="365"/>
        </w:trPr>
        <w:tc>
          <w:tcPr>
            <w:tcW w:w="3660" w:type="dxa"/>
            <w:vAlign w:val="bottom"/>
          </w:tcPr>
          <w:p>
            <w:pPr>
              <w:spacing w:after="0"/>
              <w:rPr>
                <w:sz w:val="24"/>
                <w:szCs w:val="24"/>
                <w:color w:val="auto"/>
              </w:rPr>
            </w:pPr>
          </w:p>
        </w:tc>
        <w:tc>
          <w:tcPr>
            <w:tcW w:w="7760" w:type="dxa"/>
            <w:vAlign w:val="bottom"/>
            <w:gridSpan w:val="2"/>
          </w:tcPr>
          <w:p>
            <w:pPr>
              <w:jc w:val="right"/>
              <w:ind w:right="5472"/>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60" w:type="dxa"/>
            <w:vAlign w:val="bottom"/>
          </w:tcPr>
          <w:p>
            <w:pPr>
              <w:spacing w:after="0"/>
              <w:rPr>
                <w:sz w:val="17"/>
                <w:szCs w:val="17"/>
                <w:color w:val="auto"/>
              </w:rPr>
            </w:pPr>
          </w:p>
        </w:tc>
      </w:tr>
      <w:tr>
        <w:trPr>
          <w:trHeight w:val="545"/>
        </w:trPr>
        <w:tc>
          <w:tcPr>
            <w:tcW w:w="1560" w:type="dxa"/>
            <w:vAlign w:val="bottom"/>
          </w:tcPr>
          <w:p>
            <w:pPr>
              <w:spacing w:after="0"/>
              <w:rPr>
                <w:sz w:val="20"/>
                <w:szCs w:val="20"/>
                <w:color w:val="auto"/>
              </w:rPr>
            </w:pPr>
            <w:r>
              <w:rPr>
                <w:rFonts w:ascii="Arial" w:cs="Arial" w:eastAsia="Arial" w:hAnsi="Arial"/>
                <w:sz w:val="18"/>
                <w:szCs w:val="18"/>
                <w:color w:val="auto"/>
              </w:rPr>
              <w:t>Exhibit 10:</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w w:val="88"/>
              </w:rPr>
              <w:t>Amendment 1 to Amended and Restated Matrix Service Company Deferred Compensation Plan for Members of the Board of Directors</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Exhibit 31.1:</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Exhibit 31.2:</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Exhibit 32.1:</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rPr>
              <w:t>Certification Pursuant to 18 U.S.C. 1350 (section 906 of Sarbanes-Oxley Act of 2002) – CEO.</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Exhibit 32.2:</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rPr>
              <w:t>Certification Pursuant to 18 U.S.C. 1350 (section 906 of Sarbanes-Oxley Act of 2002) – CFO.</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Exhibit 101.INS:</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Exhibit 101.SCH:</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rPr>
              <w:t>XBRL Taxonomy Schema Document.</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Exhibit 101.CAL:</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Exhibit 101.DEF:</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Exhibit 101.LAB:</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Exhibit 101.PRE:</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560" w:type="dxa"/>
            <w:vAlign w:val="bottom"/>
          </w:tcPr>
          <w:p>
            <w:pPr>
              <w:spacing w:after="0"/>
              <w:rPr>
                <w:sz w:val="24"/>
                <w:szCs w:val="24"/>
                <w:color w:val="auto"/>
              </w:rPr>
            </w:pPr>
          </w:p>
        </w:tc>
        <w:tc>
          <w:tcPr>
            <w:tcW w:w="4840" w:type="dxa"/>
            <w:vAlign w:val="bottom"/>
            <w:gridSpan w:val="2"/>
          </w:tcPr>
          <w:p>
            <w:pPr>
              <w:ind w:left="4000"/>
              <w:spacing w:after="0"/>
              <w:rPr>
                <w:sz w:val="20"/>
                <w:szCs w:val="20"/>
                <w:color w:val="auto"/>
              </w:rPr>
            </w:pPr>
            <w:r>
              <w:rPr>
                <w:rFonts w:ascii="Arial" w:cs="Arial" w:eastAsia="Arial" w:hAnsi="Arial"/>
                <w:sz w:val="18"/>
                <w:szCs w:val="18"/>
                <w:color w:val="auto"/>
              </w:rPr>
              <w:t>-26-</w:t>
            </w:r>
          </w:p>
        </w:tc>
        <w:tc>
          <w:tcPr>
            <w:tcW w:w="49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MEMBERS OF THE BOARD OF DIRECTORS</w:t>
      </w:r>
    </w:p>
    <w:p>
      <w:pPr>
        <w:spacing w:after="0" w:line="165" w:lineRule="exact"/>
        <w:rPr>
          <w:sz w:val="20"/>
          <w:szCs w:val="20"/>
          <w:color w:val="auto"/>
        </w:rPr>
      </w:pPr>
    </w:p>
    <w:p>
      <w:pPr>
        <w:ind w:right="60" w:firstLine="464"/>
        <w:spacing w:after="0" w:line="255"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Introduction</w:t>
      </w:r>
      <w:r>
        <w:rPr>
          <w:rFonts w:ascii="Arial" w:cs="Arial" w:eastAsia="Arial" w:hAnsi="Arial"/>
          <w:sz w:val="18"/>
          <w:szCs w:val="18"/>
          <w:color w:val="auto"/>
        </w:rPr>
        <w:t>. The Matrix Service Company Deferred Compensation Plan for Members of the Board of Directors was adopted effective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2006 and was amended and restated effective December 31, 2008 (the “Plan”). The Plan also amended in part the Matrix Service Company Deferred Compensation Plan for Members of the Board of Directors adopted effective January 1, 2005 (the “2005 Plan”) and the Deferred Fee Plan for Members of the Board of Directors of Matrix Service Company adopted effective October 18, 2000 (the “2000 Plan”). Capitalized terms used herein without definition shall have the meanings provided in the Plan.</w:t>
      </w:r>
    </w:p>
    <w:p>
      <w:pPr>
        <w:spacing w:after="0" w:line="142" w:lineRule="exact"/>
        <w:rPr>
          <w:rFonts w:ascii="Arial" w:cs="Arial" w:eastAsia="Arial" w:hAnsi="Arial"/>
          <w:sz w:val="18"/>
          <w:szCs w:val="18"/>
          <w:color w:val="auto"/>
        </w:rPr>
      </w:pPr>
    </w:p>
    <w:p>
      <w:pPr>
        <w:ind w:right="14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this Amendment 1 (this “Amendment”), is to allow Participants who have a right to receive Compensation under the Plan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the occurrence of a Termination Date to earn interest on Deferred Fees during the twelve (12) month period following the Termination Date.</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Plan, the 2000 Plan and the 2005 Plan are hereby amended as follows: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The third sentence of Paragraph A of Article IV is hereby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to read as follows:</w:t>
      </w:r>
    </w:p>
    <w:p>
      <w:pPr>
        <w:spacing w:after="0" w:line="90" w:lineRule="exact"/>
        <w:rPr>
          <w:sz w:val="20"/>
          <w:szCs w:val="20"/>
          <w:color w:val="auto"/>
        </w:rPr>
      </w:pPr>
    </w:p>
    <w:p>
      <w:pPr>
        <w:ind w:left="1500" w:right="120" w:firstLine="397"/>
        <w:spacing w:after="0" w:line="256" w:lineRule="auto"/>
        <w:rPr>
          <w:sz w:val="20"/>
          <w:szCs w:val="20"/>
          <w:color w:val="auto"/>
        </w:rPr>
      </w:pPr>
      <w:r>
        <w:rPr>
          <w:rFonts w:ascii="Arial" w:cs="Arial" w:eastAsia="Arial" w:hAnsi="Arial"/>
          <w:sz w:val="18"/>
          <w:szCs w:val="18"/>
          <w:color w:val="auto"/>
        </w:rPr>
        <w:t>“The amount of Compensation due any Participant under this Plan and the applicable Election Agreement shall be calculated as of the date of the applicable Triggering Event; provided, however, that if the applicable Triggering Event with respect to any Participant is the occurrence of a Termination Date, the amount of Compensation due with respect to such Participant shall be calculated as of the one-year anniversary of the Termination Date.”</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(b) The first sentence of Article IV, Paragraph C.1. is hereby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to read as follows:</w:t>
      </w:r>
    </w:p>
    <w:p>
      <w:pPr>
        <w:spacing w:after="0" w:line="90" w:lineRule="exact"/>
        <w:rPr>
          <w:sz w:val="20"/>
          <w:szCs w:val="20"/>
          <w:color w:val="auto"/>
        </w:rPr>
      </w:pPr>
    </w:p>
    <w:p>
      <w:pPr>
        <w:ind w:left="1500" w:right="40" w:firstLine="397"/>
        <w:spacing w:after="0" w:line="290" w:lineRule="auto"/>
        <w:rPr>
          <w:sz w:val="20"/>
          <w:szCs w:val="20"/>
          <w:color w:val="auto"/>
        </w:rPr>
      </w:pPr>
      <w:r>
        <w:rPr>
          <w:rFonts w:ascii="Arial" w:cs="Arial" w:eastAsia="Arial" w:hAnsi="Arial"/>
          <w:sz w:val="16"/>
          <w:szCs w:val="16"/>
          <w:color w:val="auto"/>
        </w:rPr>
        <w:t>“Where a Participant has executed an Election Agreement under this Plan on or after December 31, 2006, Compensation shall be equal to the amount of Deferred Fees commencing on the date of the Election, plus the rate of interest or earnings otherwise payable upon such Deferred Fees as specified in the Election Agreement for the period from the date of the Election to the date of the Triggering Event; provided, however, that if the applicable Triggering Event with respect to any Participant is the occurrence of a Termination Date, Compensation shall be equal to the amount of Deferred Fees commencing on the date of the Election, plus the rate of interest or earnings otherwise payable upon such Deferred Fees as specified in the Election Agreement for the period from the date of the Election to the date which is the one-year anniversary of the date of the Triggering Event.”</w:t>
      </w:r>
    </w:p>
    <w:p>
      <w:pPr>
        <w:spacing w:after="0" w:line="3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(c) The first sentence of Article IV, Paragraph C.2. is hereby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to read as follows:</w:t>
      </w:r>
    </w:p>
    <w:p>
      <w:pPr>
        <w:spacing w:after="0" w:line="90" w:lineRule="exact"/>
        <w:rPr>
          <w:sz w:val="20"/>
          <w:szCs w:val="20"/>
          <w:color w:val="auto"/>
        </w:rPr>
      </w:pPr>
    </w:p>
    <w:p>
      <w:pPr>
        <w:jc w:val="both"/>
        <w:ind w:left="1500" w:right="340" w:firstLine="397"/>
        <w:spacing w:after="0" w:line="259" w:lineRule="auto"/>
        <w:rPr>
          <w:sz w:val="20"/>
          <w:szCs w:val="20"/>
          <w:color w:val="auto"/>
        </w:rPr>
      </w:pPr>
      <w:r>
        <w:rPr>
          <w:rFonts w:ascii="Arial" w:cs="Arial" w:eastAsia="Arial" w:hAnsi="Arial"/>
          <w:sz w:val="18"/>
          <w:szCs w:val="18"/>
          <w:color w:val="auto"/>
        </w:rPr>
        <w:t>“Where a Participant has executed an Election Agreement under the 2000 Plan or 2005 Plan, the amount of Compensation shall be equal to the value of the Units or Compensation (including accrued interest) as specified by those Plans and defined by this Plan for the period from the date of Election to the date of the Triggering Event;</w:t>
      </w:r>
    </w:p>
    <w:p>
      <w:pPr>
        <w:sectPr>
          <w:pgSz w:w="11900" w:h="16838" w:orient="portrait"/>
          <w:cols w:equalWidth="0" w:num="1">
            <w:col w:w="11420"/>
          </w:cols>
          <w:pgMar w:left="240" w:top="125" w:right="239" w:bottom="1440" w:gutter="0" w:footer="0" w:header="0"/>
        </w:sectPr>
      </w:pPr>
    </w:p>
    <w:bookmarkStart w:id="29" w:name="page30"/>
    <w:bookmarkEnd w:id="29"/>
    <w:p>
      <w:pPr>
        <w:ind w:left="10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however, that if the applicable Triggering Event with respect to any Participant is the occurrence of a Termination Date, the amount of Compensation shall be equal to the value of the Units or Compensation (including accrued interest) as specified by those Plans and defined by this Plan for the period from the date of Election to the date which is the one-year anniversary of the date of the Triggering Event.”</w:t>
      </w:r>
    </w:p>
    <w:p>
      <w:pPr>
        <w:spacing w:after="0" w:line="143" w:lineRule="exact"/>
        <w:rPr>
          <w:sz w:val="20"/>
          <w:szCs w:val="20"/>
          <w:color w:val="auto"/>
        </w:rPr>
      </w:pPr>
    </w:p>
    <w:p>
      <w:pPr>
        <w:ind w:left="180" w:hanging="176"/>
        <w:spacing w:after="0"/>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No Change</w:t>
      </w:r>
      <w:r>
        <w:rPr>
          <w:rFonts w:ascii="Arial" w:cs="Arial" w:eastAsia="Arial" w:hAnsi="Arial"/>
          <w:sz w:val="16"/>
          <w:szCs w:val="16"/>
          <w:color w:val="auto"/>
        </w:rPr>
        <w:t>. Except as specifically set forth herein, this Amendment does not change the terms of the Plan, the 2000 Plan or the 2005 Plan.</w:t>
      </w:r>
    </w:p>
    <w:p>
      <w:pPr>
        <w:spacing w:after="0" w:line="194" w:lineRule="exact"/>
        <w:rPr>
          <w:rFonts w:ascii="Arial" w:cs="Arial" w:eastAsia="Arial" w:hAnsi="Arial"/>
          <w:sz w:val="16"/>
          <w:szCs w:val="16"/>
          <w:color w:val="auto"/>
        </w:rPr>
      </w:pPr>
    </w:p>
    <w:p>
      <w:pPr>
        <w:ind w:left="180" w:hanging="176"/>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This Amendment shall take effect and be adopted on the date that the Board approves this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28</w:t>
      </w:r>
      <w:r>
        <w:rPr>
          <w:rFonts w:ascii="Arial" w:cs="Arial" w:eastAsia="Arial" w:hAnsi="Arial"/>
          <w:sz w:val="11"/>
          <w:szCs w:val="11"/>
          <w:color w:val="auto"/>
        </w:rPr>
        <w:t>th</w:t>
      </w:r>
      <w:r>
        <w:rPr>
          <w:rFonts w:ascii="Arial" w:cs="Arial" w:eastAsia="Arial" w:hAnsi="Arial"/>
          <w:sz w:val="18"/>
          <w:szCs w:val="18"/>
          <w:color w:val="auto"/>
        </w:rPr>
        <w:t xml:space="preserve"> day of August, 2012.</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MATRIX SERVICE COMPANY</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Nancy E.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-13970</wp:posOffset>
            </wp:positionV>
            <wp:extent cx="19259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2595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Nancy E. Austin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 of Human Resources</w:t>
      </w:r>
    </w:p>
    <w:p>
      <w:pPr>
        <w:spacing w:after="0" w:line="16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700" w:top="280" w:right="4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0593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93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John R. Hewitt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056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61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Kevin S. Cavanah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September 30, 2012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1710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710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John R. Hewitt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6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September 30, 2012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3069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Kevin S. Cavanah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lvl w:ilvl="1">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2019-12-09T10:02:49Z</dcterms:created>
  <dcterms:modified xsi:type="dcterms:W3CDTF">2019-12-09T10:02:49Z</dcterms:modified>
</cp:coreProperties>
</file>