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446405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-195580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26"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4"/>
          <w:szCs w:val="14"/>
          <w:color w:val="auto"/>
        </w:rPr>
        <w:t>(Mark One)</w:t>
      </w:r>
    </w:p>
    <w:p>
      <w:pPr>
        <w:ind w:left="1860" w:hanging="981"/>
        <w:spacing w:after="0" w:line="184" w:lineRule="auto"/>
        <w:tabs>
          <w:tab w:leader="none" w:pos="1860" w:val="left"/>
        </w:tabs>
        <w:numPr>
          <w:ilvl w:val="0"/>
          <w:numId w:val="1"/>
        </w:numPr>
        <w:rPr>
          <w:rFonts w:ascii="MS PGothic" w:cs="MS PGothic" w:eastAsia="MS PGothic" w:hAnsi="MS PGothic"/>
          <w:sz w:val="39"/>
          <w:szCs w:val="39"/>
          <w:color w:val="auto"/>
          <w:vertAlign w:val="subscript"/>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3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fiscal year ended June 30, 2017</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ind w:left="1860" w:hanging="981"/>
        <w:spacing w:after="0"/>
        <w:tabs>
          <w:tab w:leader="none" w:pos="18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0" w:lineRule="exact"/>
        <w:rPr>
          <w:sz w:val="24"/>
          <w:szCs w:val="24"/>
          <w:color w:val="auto"/>
        </w:rPr>
      </w:pPr>
    </w:p>
    <w:p>
      <w:pPr>
        <w:ind w:left="3620"/>
        <w:spacing w:after="0"/>
        <w:tabs>
          <w:tab w:leader="none" w:pos="67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Commission File No. 1-15461</w:t>
      </w:r>
    </w:p>
    <w:p>
      <w:pPr>
        <w:spacing w:after="0" w:line="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MATRIX SERVICE COMPANY</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jc w:val="center"/>
              <w:ind w:right="265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73-1352174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40" w:type="dxa"/>
            <w:vAlign w:val="bottom"/>
          </w:tcPr>
          <w:p>
            <w:pPr>
              <w:jc w:val="center"/>
              <w:ind w:right="267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040" w:type="dxa"/>
            <w:vAlign w:val="bottom"/>
          </w:tcPr>
          <w:p>
            <w:pPr>
              <w:jc w:val="center"/>
              <w:ind w:right="26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8040" w:type="dxa"/>
            <w:vAlign w:val="bottom"/>
          </w:tcPr>
          <w:p>
            <w:pPr>
              <w:jc w:val="center"/>
              <w:ind w:right="2679"/>
              <w:spacing w:after="0"/>
              <w:rPr>
                <w:sz w:val="20"/>
                <w:szCs w:val="20"/>
                <w:color w:val="auto"/>
              </w:rPr>
            </w:pPr>
            <w:r>
              <w:rPr>
                <w:rFonts w:ascii="Times New Roman" w:cs="Times New Roman" w:eastAsia="Times New Roman" w:hAnsi="Times New Roman"/>
                <w:sz w:val="14"/>
                <w:szCs w:val="14"/>
                <w:b w:val="1"/>
                <w:bCs w:val="1"/>
                <w:color w:val="auto"/>
              </w:rPr>
              <w:t>5100 E. Skelly Drive, Suite 500</w:t>
            </w:r>
          </w:p>
        </w:tc>
        <w:tc>
          <w:tcPr>
            <w:tcW w:w="128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74135</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040" w:type="dxa"/>
            <w:vAlign w:val="bottom"/>
          </w:tcPr>
          <w:p>
            <w:pPr>
              <w:jc w:val="center"/>
              <w:ind w:right="2659"/>
              <w:spacing w:after="0"/>
              <w:rPr>
                <w:sz w:val="20"/>
                <w:szCs w:val="20"/>
                <w:color w:val="auto"/>
              </w:rPr>
            </w:pPr>
            <w:r>
              <w:rPr>
                <w:rFonts w:ascii="Times New Roman" w:cs="Times New Roman" w:eastAsia="Times New Roman" w:hAnsi="Times New Roman"/>
                <w:sz w:val="14"/>
                <w:szCs w:val="14"/>
                <w:b w:val="1"/>
                <w:bCs w:val="1"/>
                <w:color w:val="auto"/>
              </w:rPr>
              <w:t>Tulsa, Oklahoma</w:t>
            </w:r>
          </w:p>
        </w:tc>
        <w:tc>
          <w:tcPr>
            <w:tcW w:w="12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40" w:type="dxa"/>
            <w:vAlign w:val="bottom"/>
          </w:tcPr>
          <w:p>
            <w:pPr>
              <w:jc w:val="center"/>
              <w:ind w:right="26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jc w:val="center"/>
              <w:ind w:left="271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(918) 838-8822</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40" w:type="dxa"/>
            <w:vAlign w:val="bottom"/>
          </w:tcPr>
          <w:p>
            <w:pPr>
              <w:jc w:val="center"/>
              <w:ind w:left="329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40" w:type="dxa"/>
            <w:vAlign w:val="bottom"/>
          </w:tcPr>
          <w:p>
            <w:pPr>
              <w:jc w:val="center"/>
              <w:ind w:left="3299"/>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40" w:type="dxa"/>
            <w:vAlign w:val="bottom"/>
          </w:tcPr>
          <w:p>
            <w:pPr>
              <w:jc w:val="center"/>
              <w:ind w:left="3299"/>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20" w:type="dxa"/>
            <w:vAlign w:val="bottom"/>
            <w:gridSpan w:val="2"/>
          </w:tcPr>
          <w:p>
            <w:pPr>
              <w:jc w:val="center"/>
              <w:ind w:left="271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Name of each exchange on which registered: NASDAQ Global Select Market (common stock)</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64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4"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380"/>
          </w:cols>
          <w:pgMar w:left="240" w:top="229" w:right="279" w:bottom="1440" w:gutter="0" w:footer="0" w:header="0"/>
        </w:sectPr>
      </w:pPr>
    </w:p>
    <w:p>
      <w:pPr>
        <w:spacing w:after="0" w:line="12"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7">
            <w:col w:w="2280" w:space="540"/>
            <w:col w:w="1200" w:space="80"/>
            <w:col w:w="160" w:space="540"/>
            <w:col w:w="1540" w:space="80"/>
            <w:col w:w="160" w:space="540"/>
            <w:col w:w="1980" w:space="80"/>
            <w:col w:w="2200"/>
          </w:cols>
          <w:pgMar w:left="240" w:top="229" w:right="27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78" w:lineRule="exact"/>
        <w:rPr>
          <w:sz w:val="24"/>
          <w:szCs w:val="24"/>
          <w:color w:val="auto"/>
        </w:rPr>
      </w:pPr>
    </w:p>
    <w:p>
      <w:pPr>
        <w:sectPr>
          <w:pgSz w:w="11900" w:h="16838" w:orient="portrait"/>
          <w:cols w:equalWidth="0" w:num="2">
            <w:col w:w="2380" w:space="80"/>
            <w:col w:w="8920"/>
          </w:cols>
          <w:pgMar w:left="240" w:top="229" w:right="279" w:bottom="1440" w:gutter="0" w:footer="0" w:header="0"/>
          <w:type w:val="continuous"/>
        </w:sect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19"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$590 million.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September 5, 2017 was 26,722,392 shares.</w:t>
      </w:r>
    </w:p>
    <w:p>
      <w:pPr>
        <w:spacing w:after="0" w:line="5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Certain sections of the registrant’s definitive proxy statement relating to the registrant’s 2017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7"/>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gridSpan w:val="5"/>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8580" w:type="dxa"/>
            <w:vAlign w:val="bottom"/>
            <w:gridSpan w:val="18"/>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Risk Factors</w:t>
              </w:r>
            </w:hyperlink>
          </w:p>
        </w:tc>
        <w:tc>
          <w:tcPr>
            <w:tcW w:w="8320" w:type="dxa"/>
            <w:vAlign w:val="bottom"/>
            <w:gridSpan w:val="16"/>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9"/>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Unresolved Staff Comments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19</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9"/>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Properties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20</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Legal Proceedings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21</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22</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8"/>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Selected Financial Data</w:t>
              </w:r>
            </w:hyperlink>
          </w:p>
        </w:tc>
        <w:tc>
          <w:tcPr>
            <w:tcW w:w="1160" w:type="dxa"/>
            <w:vAlign w:val="bottom"/>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24</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6"/>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25</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4"/>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Quantitative and Qualitative Disclosures About Market Risk</w:t>
              </w:r>
            </w:hyperlink>
          </w:p>
        </w:tc>
        <w:tc>
          <w:tcPr>
            <w:tcW w:w="2100" w:type="dxa"/>
            <w:vAlign w:val="bottom"/>
            <w:gridSpan w:val="2"/>
          </w:tcPr>
          <w:p>
            <w:pPr>
              <w:spacing w:after="0"/>
              <w:rPr>
                <w:sz w:val="24"/>
                <w:szCs w:val="24"/>
                <w:color w:val="auto"/>
              </w:rPr>
            </w:pPr>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42</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4"/>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Financial Statements and Supplementary Data</w:t>
              </w:r>
            </w:hyperlink>
          </w:p>
        </w:tc>
        <w:tc>
          <w:tcPr>
            <w:tcW w:w="486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44</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85</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gridSpan w:val="16"/>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Controls and Procedures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85</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7"/>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Other Information</w:t>
              </w:r>
            </w:hyperlink>
          </w:p>
        </w:tc>
        <w:tc>
          <w:tcPr>
            <w:tcW w:w="7460" w:type="dxa"/>
            <w:vAlign w:val="bottom"/>
            <w:gridSpan w:val="12"/>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85</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Directors, Executive Officers and Corporate Governance</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86</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8"/>
          </w:tcPr>
          <w:p>
            <w:pPr>
              <w:spacing w:after="0"/>
              <w:rPr>
                <w:rFonts w:ascii="Times New Roman" w:cs="Times New Roman" w:eastAsia="Times New Roman" w:hAnsi="Times New Roman"/>
                <w:sz w:val="18"/>
                <w:szCs w:val="18"/>
                <w:color w:val="0000EE"/>
                <w:w w:val="98"/>
              </w:rPr>
            </w:pPr>
            <w:hyperlink w:anchor="page87">
              <w:r>
                <w:rPr>
                  <w:rFonts w:ascii="Times New Roman" w:cs="Times New Roman" w:eastAsia="Times New Roman" w:hAnsi="Times New Roman"/>
                  <w:sz w:val="18"/>
                  <w:szCs w:val="18"/>
                  <w:color w:val="0000EE"/>
                  <w:w w:val="98"/>
                </w:rPr>
                <w:t>Executive Compensation</w:t>
              </w:r>
            </w:hyperlink>
          </w:p>
        </w:tc>
        <w:tc>
          <w:tcPr>
            <w:tcW w:w="2280" w:type="dxa"/>
            <w:vAlign w:val="bottom"/>
            <w:gridSpan w:val="5"/>
          </w:tcPr>
          <w:p>
            <w:pPr>
              <w:spacing w:after="0"/>
              <w:rPr>
                <w:sz w:val="24"/>
                <w:szCs w:val="24"/>
                <w:color w:val="auto"/>
              </w:rPr>
            </w:pPr>
          </w:p>
        </w:tc>
        <w:tc>
          <w:tcPr>
            <w:tcW w:w="514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86</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86</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17"/>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Certain Relationships and Related Transactions, and Director Independence</w:t>
              </w:r>
            </w:hyperlink>
          </w:p>
        </w:tc>
        <w:tc>
          <w:tcPr>
            <w:tcW w:w="1940" w:type="dxa"/>
            <w:vAlign w:val="bottom"/>
            <w:gridSpan w:val="2"/>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86</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5"/>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Principal Accountant Fees and Services</w:t>
              </w:r>
            </w:hyperlink>
          </w:p>
        </w:tc>
        <w:tc>
          <w:tcPr>
            <w:tcW w:w="3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86</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1"/>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Exhibits and Financial Statement Schedules</w:t>
              </w:r>
            </w:hyperlink>
          </w:p>
        </w:tc>
        <w:tc>
          <w:tcPr>
            <w:tcW w:w="606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87</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06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1"/>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Form 10-K Summary</w:t>
              </w:r>
            </w:hyperlink>
          </w:p>
        </w:tc>
        <w:tc>
          <w:tcPr>
            <w:tcW w:w="606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89</w:t>
              </w:r>
            </w:hyperlink>
          </w:p>
        </w:tc>
      </w:tr>
      <w:tr>
        <w:trPr>
          <w:trHeight w:val="912"/>
        </w:trPr>
        <w:tc>
          <w:tcPr>
            <w:tcW w:w="1260" w:type="dxa"/>
            <w:vAlign w:val="bottom"/>
          </w:tcPr>
          <w:p>
            <w:pPr>
              <w:spacing w:after="0"/>
              <w:rPr>
                <w:sz w:val="24"/>
                <w:szCs w:val="24"/>
                <w:color w:val="auto"/>
              </w:rPr>
            </w:pPr>
          </w:p>
        </w:tc>
        <w:tc>
          <w:tcPr>
            <w:tcW w:w="1540" w:type="dxa"/>
            <w:vAlign w:val="bottom"/>
            <w:tcBorders>
              <w:top w:val="single" w:sz="8" w:color="0000EE"/>
            </w:tcBorders>
            <w:gridSpan w:val="5"/>
          </w:tcPr>
          <w:p>
            <w:pPr>
              <w:spacing w:after="0"/>
              <w:rPr>
                <w:sz w:val="24"/>
                <w:szCs w:val="24"/>
                <w:color w:val="auto"/>
              </w:rPr>
            </w:pPr>
          </w:p>
        </w:tc>
        <w:tc>
          <w:tcPr>
            <w:tcW w:w="3900" w:type="dxa"/>
            <w:vAlign w:val="bottom"/>
            <w:gridSpan w:val="10"/>
          </w:tcPr>
          <w:p>
            <w:pPr>
              <w:jc w:val="right"/>
              <w:ind w:right="89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others, such things as:</w:t>
      </w:r>
    </w:p>
    <w:p>
      <w:pPr>
        <w:spacing w:after="0" w:line="171" w:lineRule="exact"/>
        <w:rPr>
          <w:sz w:val="20"/>
          <w:szCs w:val="20"/>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of crude oil, natural gas and other commodity prices;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revenues and margins from each of our segments;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industries we serve;</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from operations or to raise cash in order to meet our short and long-term capital requirements;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impact of new or existing regulations or market forces on the demand for our services;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other trends of the industries we serve;</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likelihood of a future impairment;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agreement.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22" w:lineRule="exact"/>
        <w:rPr>
          <w:sz w:val="20"/>
          <w:szCs w:val="20"/>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discussed in Item 1A of this Annual Report and listed from time to time in our filings with the Securities and Exchange Commission;</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or business conditions in general and in the oil, gas, power, iron and steel, agricultural and mining industries in particular;</w:t>
      </w:r>
    </w:p>
    <w:p>
      <w:pPr>
        <w:spacing w:after="0" w:line="171" w:lineRule="exact"/>
        <w:rPr>
          <w:rFonts w:ascii="Times New Roman" w:cs="Times New Roman" w:eastAsia="Times New Roman" w:hAnsi="Times New Roman"/>
          <w:sz w:val="18"/>
          <w:szCs w:val="18"/>
          <w:color w:val="auto"/>
        </w:rPr>
      </w:pPr>
    </w:p>
    <w:p>
      <w:pPr>
        <w:ind w:left="640" w:right="820" w:hanging="321"/>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creditworthiness of our customer base and the higher risk of non-payment of receivables due to low prevailing crude oil and other commodity prices;</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inherently uncertain outcome of current and future litigation;</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reserves for contingencies;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many of which are beyond our control.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began operations in 1984 as an Oklahoma corporation under the name of Matrix Service. In 1989, we incorporated in the State of Delaware under the name of Matrix Service Company. We provide engineering, fabrication, infrastructure, construction, and maintenance services primarily to the oil, gas, power, petrochemical, industrial, agricultural, mining and minerals markets. We also sell products for crude oil and refined product aboveground storage tanks and process heating equipment used in the oil, gas and petrochemical markets. We maintain regional offices throughout the United States, Canada and other international locations, and operate through separate union and merit subsidiaries.</w:t>
      </w:r>
    </w:p>
    <w:p>
      <w:pPr>
        <w:spacing w:after="0" w:line="1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licensed to operate in all 50 states, in four Canadian provinces and in other international locations. Our principal executive offices are located at 5100 E. Skelly Drive, Suite 500, Tulsa, Oklahoma 74135. Our telephone number is (918) 838-8822. Unless the context otherwise requires, all references herein to “Matrix Service Company”, “Matrix”, the “Company” or to “we”, “our”, and “us” are to Matrix Service Company and its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REPORTS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public website is </w:t>
      </w:r>
      <w:r>
        <w:rPr>
          <w:rFonts w:ascii="Times New Roman" w:cs="Times New Roman" w:eastAsia="Times New Roman" w:hAnsi="Times New Roman"/>
          <w:sz w:val="18"/>
          <w:szCs w:val="18"/>
          <w:u w:val="single" w:color="auto"/>
          <w:color w:val="auto"/>
        </w:rPr>
        <w:t>matrixservicecompany.com</w:t>
      </w:r>
      <w:r>
        <w:rPr>
          <w:rFonts w:ascii="Times New Roman" w:cs="Times New Roman" w:eastAsia="Times New Roman" w:hAnsi="Times New Roman"/>
          <w:sz w:val="18"/>
          <w:szCs w:val="18"/>
          <w:color w:val="auto"/>
        </w:rPr>
        <w:t>. We make available free of charge through the "Investor Relations" section of our website our annual reports to stockholders,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("SEC"). Any materials we file with or furnish to the SEC is also maintained on the SEC website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contained on our website, or available by hyperlink from our website, is not incorporated into this Form 10-K or other documents we file with, or furnish to, the SEC. We intend to use our website as a means of disclosing material non-public information and for complying with our disclosure obligations under Regulation FD. Such disclosures will be included on our website in the "Investor Relations" section. We also intend to use social media channels as a means of disclosing material non-public information and for complying with our disclosure obligations under Regulation FD. We encourage investors, the media, and others interested in Matrix to review the information posted on the company Facebook site (</w:t>
      </w:r>
      <w:r>
        <w:rPr>
          <w:rFonts w:ascii="Times New Roman" w:cs="Times New Roman" w:eastAsia="Times New Roman" w:hAnsi="Times New Roman"/>
          <w:sz w:val="18"/>
          <w:szCs w:val="18"/>
          <w:u w:val="single" w:color="auto"/>
          <w:color w:val="auto"/>
        </w:rPr>
        <w:t>facebook.com/matrixservicecompany</w:t>
      </w:r>
      <w:r>
        <w:rPr>
          <w:rFonts w:ascii="Times New Roman" w:cs="Times New Roman" w:eastAsia="Times New Roman" w:hAnsi="Times New Roman"/>
          <w:sz w:val="18"/>
          <w:szCs w:val="18"/>
          <w:color w:val="auto"/>
        </w:rPr>
        <w:t>), the company Linkedin account (</w:t>
      </w:r>
      <w:r>
        <w:rPr>
          <w:rFonts w:ascii="Times New Roman" w:cs="Times New Roman" w:eastAsia="Times New Roman" w:hAnsi="Times New Roman"/>
          <w:sz w:val="18"/>
          <w:szCs w:val="18"/>
          <w:u w:val="single" w:color="auto"/>
          <w:color w:val="auto"/>
        </w:rPr>
        <w:t>linkedin.com/company/matrix-service-company</w:t>
      </w:r>
      <w:r>
        <w:rPr>
          <w:rFonts w:ascii="Times New Roman" w:cs="Times New Roman" w:eastAsia="Times New Roman" w:hAnsi="Times New Roman"/>
          <w:sz w:val="18"/>
          <w:szCs w:val="18"/>
          <w:color w:val="auto"/>
        </w:rPr>
        <w:t>) and the company twitter account (</w:t>
      </w:r>
      <w:r>
        <w:rPr>
          <w:rFonts w:ascii="Times New Roman" w:cs="Times New Roman" w:eastAsia="Times New Roman" w:hAnsi="Times New Roman"/>
          <w:sz w:val="18"/>
          <w:szCs w:val="18"/>
          <w:u w:val="single" w:color="auto"/>
          <w:color w:val="auto"/>
        </w:rPr>
        <w:t>twitter.com/matrixserviceco</w:t>
      </w:r>
      <w:r>
        <w:rPr>
          <w:rFonts w:ascii="Times New Roman" w:cs="Times New Roman" w:eastAsia="Times New Roman" w:hAnsi="Times New Roman"/>
          <w:sz w:val="18"/>
          <w:szCs w:val="18"/>
          <w:color w:val="auto"/>
        </w:rPr>
        <w:t xml:space="preserve">). Investors, the media or other interested parties can subscribe to the twitter feed at the address listed above. Any updates to the list of social media channels Matrix will use to announce material information will be posted on the "Investor Relations" page of the company's website at </w:t>
      </w:r>
      <w:r>
        <w:rPr>
          <w:rFonts w:ascii="Times New Roman" w:cs="Times New Roman" w:eastAsia="Times New Roman" w:hAnsi="Times New Roman"/>
          <w:sz w:val="18"/>
          <w:szCs w:val="18"/>
          <w:u w:val="single" w:color="auto"/>
          <w:color w:val="auto"/>
        </w:rPr>
        <w:t>matrixservicecompany.com</w:t>
      </w:r>
      <w:r>
        <w:rPr>
          <w:rFonts w:ascii="Times New Roman" w:cs="Times New Roman" w:eastAsia="Times New Roman" w:hAnsi="Times New Roman"/>
          <w:sz w:val="18"/>
          <w:szCs w:val="18"/>
          <w:color w:val="auto"/>
        </w:rPr>
        <w:t>. Accordingly, investors should monitor such portions of our website and social media channels, in addition to following our press releases, SEC filings and public conference calls and webcasts.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natural gas fired power stations, and renewable energy installations.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 Gas &amp; Chemical segment includes turnaround activities, plant maintenance, engineering and construction in the downstream and midstream petroleum industries. Our customers in these industries are engaged in refining crude oil and processing, fractionating, and marketing of natural gas and natural gas liquids. Another key offering is industrial cleaning services, which include hydroblasting, hydroexcavating, chemical cleaning and vacuum services. We also perform work in the petrochemical, upstream petroleum, and sulfur extraction, recovery and processing markets.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Industrial segment primarily includes construction and maintenance work in the iron and steel, mining and minerals, and agricultural industries.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Houston Interests, LLC</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12, 2016, the Company completed the acquisition of Houston Interests, LLC ("Houston Interests"), a premier global solutions company that provides consulting, engineering, design, construction services and systems integration for $42.5 million, net of working capital adjustments and cash acquired. Houston Interests brings expertise to the Company in natural gas processing; sulfur recovery, processing and handling; liquid terminals, silos and other bulk storage; process plant design; power generation environmental controls and material handling; industrial power distribution; electrical, instrumentation and controls; marine structures; material handling systems and terminals for cement, sulfur, fertilizer, coal and grain; and process heaters. The business has been included in our Matrix PDM Engineering, Inc. subsidiary, and its operating results have been included in the Oil Gas &amp; Chemical and Industrial segments.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Matrix Applied Technologies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2016, the Company completed the acquisition of all outstanding stock of Baillie Tank Equipment, Ltd. ("BTE"), an internationally-based company with nearly 20 years of experience in the design and manufacture of products for use on aboveground storage tanks. Founded in 1998, BTE is a provider of tank products including geodesic domes, aluminum internal floating roofs, floating suction and skimmer systems, roof drain systems, and seals. BTE is headquartered in Sydney, Australia with a manufacturing facility in Seoul, South Korea. The Company acquired BTE to expand its service offerings of certain technical solutions for aboveground storage tanks. The business is now known as Matrix Applied Technologies, and its operating results are included in the Storage Solutions segment.</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purchased BTE with cash on-hand for a net purchase price of $13.0 million. The Company paid $15.4 million when including the subsequent repayment of long-term debt acquired and the settlement of certain other liabilities acquired, and excluding the cash acquired and certain amounts owed to the former owners for working capital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HDB Ltd. Limited Partnership</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22, 2014, the Company purchased substantially all of the assets of HDB Ltd. Limited Partnership ("HDB"). HDB, headquartered in Bakersfield, California provides construction, fabrication and turnaround services to energy companies throughout California's central valley. The acquisition advanced a strategic goal of the Company to expand into the upstream energy market. The acquisition purchase price was $5.6 million and was funded with cash on hand. Commencing on August 22, 2014, HDB's operating results are included in the Oil Gas &amp; Chemical segment.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provided services to approximately 600 customers in fiscal 2017. One customer, Energy Transfer Partners, L.P., accounted for $233.7 million or 19.5% of our consolidated revenue, all of which was in the Storage Solutions segment. Another customer, TransCanada Corporation, accounted for $183.2 million or 15.3% of our consolidated revenue, $171.8 million of which was in the Electrical Infrastructure segment and $11.4 million of which was in the Storage Solutions segment. The loss of these major customers or other significant customers could have a material adverse effect on the Company; however, we are not dependent on any single contract or customer on an on-going basis.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Matrix markets its services and products primarily through its marketing and business development personnel, senior professional staff and its operating management. We competitively bid most of our projects; however, we have a number of preferred provider relationships with customers who award us work through long-term agreements. Our projects have durations ranging from a few days to multiple years.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information for our operating segments is provided in Item 7. Management’s Discussion and Analysis of Financial Condition and Results of Operations, and in Note 13-Segment Information of the Notes to Consolidated Financial Statements included in Item 8. Financial Statements and Supplementary Data.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industry is highly fragmented and intensely competitive. We compete with local, regional, national and international contractors and service providers. Competitors vary with the markets we serve with few competitors competing in all of the markets we serve or in all of the services we provide. Contracts are generally awarded based on price, quality, safety performance, schedule, and customer satisfaction.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08" w:lineRule="exact"/>
        <w:rPr>
          <w:sz w:val="20"/>
          <w:szCs w:val="20"/>
          <w:color w:val="auto"/>
        </w:rPr>
      </w:pPr>
    </w:p>
    <w:p>
      <w:pPr>
        <w:ind w:left="640" w:hanging="3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awards;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customer commitments on cost plus arrangements; and</w:t>
      </w:r>
    </w:p>
    <w:p>
      <w:pPr>
        <w:spacing w:after="0" w:line="171" w:lineRule="exact"/>
        <w:rPr>
          <w:rFonts w:ascii="Times New Roman" w:cs="Times New Roman" w:eastAsia="Times New Roman" w:hAnsi="Times New Roman"/>
          <w:sz w:val="18"/>
          <w:szCs w:val="18"/>
          <w:color w:val="auto"/>
        </w:rPr>
      </w:pPr>
    </w:p>
    <w:p>
      <w:pPr>
        <w:ind w:left="640" w:right="80" w:hanging="321"/>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time and material arrangements in which the estimated value is firm or can be estimated with a reasonable amount of certainty in both timing and amount.</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long-term maintenance contracts, we include only the amounts that we expect to recognize as revenue over the next 12 months. For all other arrangements, we calculate backlog as the estimated contract amount less revenues recognized as of the reporting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in fiscal 2017:</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240" w:type="dxa"/>
            <w:vAlign w:val="bottom"/>
          </w:tcPr>
          <w:p>
            <w:pPr>
              <w:spacing w:after="0"/>
              <w:rPr>
                <w:sz w:val="13"/>
                <w:szCs w:val="13"/>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 as of June 30,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369,791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91,478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359,013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868,672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 awards</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245,409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409,550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264,234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1,060,592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backlog from Houston Interests (Note 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29,697</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Project scope adjustment</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(1,197,509)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Backlog as of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162,637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287,007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141,551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91,078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682,273</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left="540" w:hanging="316"/>
        <w:spacing w:after="0" w:line="247" w:lineRule="auto"/>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2017, the Company reached a settlement agreement with the customer on a large project in the Electrical Infrastructure segment. The agreement resolved open claims and modified the terms enabling the Company to recover all costs and overhead to perform the remainder of the work. In addition, the execution strategy was revised and a significant portion of future work will no longer be performed by the Company. The magnitude of the scope reduction is based on the Company’s best estimate at this time but may change as the detailed execution plan continues to develop.</w:t>
      </w:r>
    </w:p>
    <w:p>
      <w:pPr>
        <w:spacing w:after="0" w:line="1" w:lineRule="exact"/>
        <w:rPr>
          <w:rFonts w:ascii="Times New Roman" w:cs="Times New Roman" w:eastAsia="Times New Roman" w:hAnsi="Times New Roman"/>
          <w:sz w:val="14"/>
          <w:szCs w:val="14"/>
          <w:color w:val="auto"/>
        </w:rPr>
      </w:pPr>
    </w:p>
    <w:p>
      <w:pPr>
        <w:ind w:left="540" w:hanging="316"/>
        <w:spacing w:after="0"/>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-517525</wp:posOffset>
            </wp:positionV>
            <wp:extent cx="797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 awards in all segments are cyclical and are typically the result of a sales process that can take several months to complete. Historically, backlog in the Storage Solutions and Electrical Infrastructure segments generally have the greatest volatility because individual project awards can be less frequent and more significant. We expect to recognize approximately 92% of our total backlog reported as of June 30, 2017 as revenue within the next year.</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backlog in the Electrical Infrastructure segment during the year ended June 30, 2017 is mainly attributable to the work, including the project scope adjustment, related to the previously announced Napanee Power Generating Station project partially offset by transmission and distribution awards, which continue to meet the Company's expectations and the award for the electrical balance of plant work for PSEG Power's new 540-megawatt combined cycle power facility in New Jersey.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backlog in the Oil, Gas &amp; Chemical segment during the year ended June 30, 2017 is mainly attributable to backlog acquired from Houston Interests and increased project awards such as the previously announced award for the engineering, procurement and construction of a liquefied natural gas ("LNG") storage and vaporization facility for Southwest Gas Company, the previously announced Ultra-Low-Sulfur Gasoline Relocation Project awarded by KBR, Inc., and the previously announced award for the engineering, project management, procurement and commissioning of a 200 million cubic foot per day cryogenic gas recovery plant located in the SCOOP play of Southern Oklahoma's Woodford Shale and Springer Shale formations.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decline in backlog in the Storage Solutions segment during the year ended June 30, 2017 is attributable to the work related to the previously announced project for the construction of terminals supporting the Dakota Access Pipeline partially offset by storage solutions awards, including the previously announced award for the engineering, procurement, fabrication and construction of a 2 million gallon LNG tank for the JAX LNG Bunker Facility near the Port of Jacksonville in Florida, and the previously announced EPC award to construct 10 new tanks at the Vopak Americas Brownfield Expansion Project at the Deer Park, TX terminal. In addition, we continue to see a more cautious approach to decision-making on the part of clients and prolonged market uncertainty, which is delaying the timing of awards.</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backlog in the Industrial segment during the year ended June 30, 2017 is primarily attributable to increased project awards, including an award for a thermal vacuum chamber project during the second fiscal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Other Factors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future operating results.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Sources and Availability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Steel plate and steel pipe are key materials used by the Company. Supplies of these materials are available throughout the United States and globally from numerous sources. We anticipate that adequate amounts of these materials will be available in the foreseeable future. However, the price, quantity, and the delivery schedules of these materials could change rapidly due to various factors, including producer capacity, the level of imports, worldwide demand, tariffs on imported steel and other market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There can be no assurance that our insurance and the additional insurance coverage provided by our subcontractors will fully protect us against a valid claim or loss under the contracts with our customers.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2017, the Company had 4,001 employees of which 896 were employed in non-field positions and 3,105 were employed in field or shop positions. The number of employees varies significantly throughout the year because of the number, type and size of projects we have in progress at any particular time.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subsidiaries include both merit and union companies. The union businesses operate under collective bargaining agreements with various unions representing different groups of our employees. Union agreements provide union employees with benefits including health and welfare, pension, training programs and competitive compensation plans. We have not experienced any strikes or work stoppages in recent years. We maintain health and welfare, retirement and training programs for our merit employees and administrative personnel.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Technology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Matrix Service Company’s subsidiaries have several patents and patents pending, and continue to pursue new ideas and innovations to better serve our customers in several areas of our business. The Flex-A-Span® and Flex-A-Seal® trademarks are utilized to market the Company’s unique seals for floating roof tanks. The FastFroth® trademark is utilized to market the Company’s unique industrial cleaning process. Our patented RS 1000 Tank Mixer controls sludge build-up in crude oil tanks through resuspension. The Flexible Fluid Containment System patent covers a system that captures and contains flue leaking from pipe and valve connections. The Flex-A-Swivel patent refers to our unique pipe swivel joint assembly. Our patent for Spacerless or Geocomposite Double Bottom for Storage Tanks relates to a replacement bottom with leak detection and containment that allows for the retrofitting of an existing tank while minimizing the loss of capacity. The patent for the Training Tank for Personnel Entry, Exit and Rescue relates to a training device that can be used to train personnel on equipment that is made to simulate confined space scenarios.</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holds a perpetual license to use various patents and technologies related to LNG storage tanks, LIN/LOX storage tanks, LPG storage tanks and thermal vacuum chambers.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Company’s intellectual property is not its main business, we believe that the ability to use these patents and technology enables us to expand our presence in the markets and minimizes the development costs typically associated with organic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 Regulations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regulation by the United States Occupational Safety and Health Administration (“OSHA”) and Mine Safety and Health Administration (“MSHA”),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The Company has established and consistently reinforces and monitors compliance with comprehensive programs intended to ensure that it complies with all applicable health and safety regulations to protect the safety of its workers, subcontractors and customers. While the Company believes that it operates safely and prudently, there can be no assurance that accidents will not occur or that the Company will not incur substantial liability in connection with the operation of its businesses. In order to minimize the financial exposure resulting from potential accidents associated with the Company's work, the Company maintains liability insurance to limit losses that could result from our work.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and the operations of its customers are subject to extensive and changing environmental laws and regulations. These laws and regulations relate primarily to air and water pollutants and the management and disposal of hazardous materials. The Company is exposed to potential liability for personal injury or property damage caused by any release, spill, exposure or other accident involving such pollutants, substances or hazardous materials.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limit costs incurred as a result of environmental exposure, the Company maintains contractor’s pollution liability insurance that covers liability that may be incurred as a result of accidental releases of hazardous materials.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it is currently in compliance, in all material aspects, with all applicable environmental laws and regulations. The Company does not expect any material charges in subsequent periods relating to environmental conditions that currently exist and does not currently foresee any significant future capital spending relating to environmental matters.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Our Business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projects are conducted at a variety of sites including construction sites and industrial facilities. With each location, hazards are part of the day to day exposures that we must manage on a continuous basis to ensure our employees return home from work the same way they arrived. We understand that everyone plays a role with safety and everyone can make a difference with their active participation. With our proactive approach, our strategy is to identify the exposures and correct them before they result in an incident whether that involves an injury, damage or destruction of property, plant and equipment or environmental impact. We are intensely focused on maintaining a strong safety culture and strive for zero incidents.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could be negatively impacted if we are not able to maintain appropriate utilization of our workforce.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which could result in a decline of future project awards. The utilization of our workforce is impacted by numerous factors including:</w:t>
      </w:r>
    </w:p>
    <w:p>
      <w:pPr>
        <w:spacing w:after="0" w:line="122" w:lineRule="exact"/>
        <w:rPr>
          <w:sz w:val="20"/>
          <w:szCs w:val="20"/>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headcount requirements for various operating units based upon our forecast of the demand for our products and services;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talent base and manage attrition;</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schedule our portfolio of projects to efficiently utilize our employees and minimize downtime between project assignments; and</w:t>
      </w:r>
    </w:p>
    <w:p>
      <w:pPr>
        <w:spacing w:after="0" w:line="171" w:lineRule="exact"/>
        <w:rPr>
          <w:rFonts w:ascii="Times New Roman" w:cs="Times New Roman" w:eastAsia="Times New Roman" w:hAnsi="Times New Roman"/>
          <w:sz w:val="18"/>
          <w:szCs w:val="18"/>
          <w:color w:val="auto"/>
        </w:rPr>
      </w:pPr>
    </w:p>
    <w:p>
      <w:pPr>
        <w:ind w:left="640" w:hanging="321"/>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invest time and resources into functions such as training, business development, employee recruiting, and sales that are not chargeable to customer projects.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demand for our products and services depends upon the existence of construction and maintenance projects in the midstream and downstream petroleum, power and other heavy industries in the United States and Canada. Therefore, it is likely that our business will continue to be cyclical in nature and vulnerable to general downturns in the United States, Canadian and world economies and changes in commodity prices, which could adversely affect the demand for our products and services.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availability of engineering and construction projects is dependent upon economic conditions in the oil, gas, and power industries, specifically, the level of capital expenditures on energy infrastructure. A prolonged period of sluggish economic conditions in North America has had and may continue to have an adverse impact on the level of capital expenditures of our customers and/or their ability to finance these expenditures. Our failure to obtain projects, the delay of project awards, the cancellation of projects or delays in the execution of contracts may result in under-utilization of our resources, which could adversely impact our revenue, margins, operating results and cash flow. There are numerous factors beyond our control that influence the level of maintenance and capital expenditures of our customers, including:</w:t>
      </w:r>
    </w:p>
    <w:p>
      <w:pPr>
        <w:spacing w:after="0" w:line="134" w:lineRule="exact"/>
        <w:rPr>
          <w:sz w:val="20"/>
          <w:szCs w:val="20"/>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projected commodity prices, including oil, gas, power, steel and mineral prices;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margins;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oil, gas and electricity;</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oil, gas and power companies to generate, access and deploy capital;</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production and transportation costs;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incentives, including those for alternative energy projects;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restraints on the rates that power companies may charge their customers;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national and international political and economic conditions.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profitability may be adversely affected by a reduced level of activity in the hydrocarbon industry.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recent years, demand from the worldwide hydrocarbon industry has been a significant generator of our revenue. Numerous factors influence capital expenditure decisions in the hydrocarbon industry, including, but not limited to, the following:</w:t>
      </w:r>
    </w:p>
    <w:p>
      <w:pPr>
        <w:spacing w:after="0" w:line="108" w:lineRule="exact"/>
        <w:rPr>
          <w:sz w:val="20"/>
          <w:szCs w:val="20"/>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projected oil and gas prices;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extraction, production and transportation costs;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margins;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rate, size and location of new oil and gas reserves;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challenges and advances;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export hydrocarbon products;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hydrocarbon production;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taxes, price controls, and laws and regulations.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aforementioned factors are beyond our control and could have a material adverse effect on our results of operations, particularly in the Storage Solutions and Oil Gas &amp; Chemical segments, and on our financial position or cash flow.</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Storage Solutions segment are influenced by the overall forward market for crude oil, and certain market conditions may adversely affect that segment’s financial and operating results.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our Storage Solutions segment may be influenced by the overall forward market for crude oil. A “contango” market (meaning that the price of crude oil for future delivery is higher than the current price) is associated with greater demand for crude oil storage capacity, because a party can simultaneously purchase crude oil at current prices for storage and sell at higher prices for future delivery. A “backwardated” market (meaning that the price of crude oil for future delivery is lower than the current price) is associated with lower demand for crude oil storage capacity, because a party can capture a premium for prompt delivery of crude oil rather than storing it for future sale. A prolonged backwardated market or other adverse market conditions could have an adverse impact on demand for new construction in our Storage Solutions segment. Finally, higher absolute levels of crude oil prices increase the costs of financing and insuring crude oil in storage, which negatively affects storage economics. As a result, the overall forward market for crude oil may have an adverse effect on our Storage Solution segment’s business, results of operations and financial condition.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amount of our work is performed under fixed price contracts. Under fixed-price contracts, we agree to perform the contract for a fixed-price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in providing services in excess of original project scope without having an approved change order.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are recognized using the percentage-of-completion method of accounting. Under percentage-of-completion accounting, contract revenues and earnings are recognized ratably over the contract term based on the proportion of actual costs incurred to total estimated costs. In addition, some contracts contain penalty provisions for failure to achieve certain milestones, schedules or performance standards. We review our estimates of contract revenues,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estimates of costs to complete fixed price contracts indicate a loss, a provision is made through a contract write-down for the total loss anticipated in the period the loss is determined. Contract profit estimates are also adjusted, on a percentage of completion basis, in the fiscal period in which it is determined that an adjustment is required. No restatements are made to prior periods. Further, a number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requirements of the percentage-of-completion method of accounting, the possibility exists that we could have estimated and reported a profit on a contract over several prior periods and later determine that all or a portion of such previously estimated and reported profits were overstated. If this occurs, the full aggregate amount of the overstatement will be reported for the period in which such determination is made.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results could differ from the estimates and assumptions that we use to prepare our financial statements.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prepare financial statements in conformity with generally accepted accounting principles, management is required to make estimates and assumptions, as of the date of the financial statements, which affect the reported values of assets, liabilities, revenues and expenses and disclosures of contingent assets and liabilities. Areas requiring significant estimation by our management include:</w:t>
      </w:r>
    </w:p>
    <w:p>
      <w:pPr>
        <w:spacing w:after="0" w:line="122" w:lineRule="exact"/>
        <w:rPr>
          <w:sz w:val="20"/>
          <w:szCs w:val="20"/>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costs and application of percentage-of-completion accounting;</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uncollectible receivables from customers for invoiced amounts;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collectibility of unapproved change orders and claims against customers;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income taxes and related valuation allowances;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goodwill and intangible assets;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assets acquired and liabilities assumed in connection with business combinations;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estimated liabilities, including litigation and insurance reserves.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actual results could materially differ from these estimates.</w:t>
      </w:r>
    </w:p>
    <w:p>
      <w:pPr>
        <w:spacing w:after="0" w:line="16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steel industry is cyclical and sensitive to general economic conditions, which could have a material adverse effect on our operating results and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percentage of our Industrial segment's revenues are derived from the steel industry. Demand for steel products is cyclical in nature and sensitive to general economic conditions. The timing and magnitude of the cycles in the markets in which our customers’ products are used, including automobiles and residential construction, are difficult to predict. The cyclical nature of our customers’ operations tends to reflect and be amplified by changes in economic conditions, both domestically and internationally, supply/demand imbalances and foreign currency exchange fluctuations. Economic downturns or a prolonged period of slow growth in the U.S. and foreign markets or any of the industries in which our steel industry customers operate could have a material adverse effect on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imports of foreign steel into the U.S. may reduce our customers’ profitability and capital spending plans.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economic slowdown in China and other countries has affected the supply and price of steel products. Expansions and contractions in these economies can significantly affect the price of steel and of finished steel products. Additionally, in a number of foreign countries, such as China, steel producers are generally government-owned and may therefore make production decisions based on political or other factors that do not reflect market conditions. Disruptions in foreign markets from excess steel production may encourage importers to target the U.S. with excess capacity at aggressive prices, and existing trade laws and regulations may be inadequate to prevent unfair trade practices, which could have a material adverse effect on our steel industry customers. In recent months, new tariffs have resulted in a reduction in imports of steel products into the U.S. However, we have not yet seen a significant increase in the demand for the maintenance and construction work we provide to our domestic steel industry customers.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depend upon the award of new contracts and the timing of those awards.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are derived primarily from contracts awarded on a project-by-project basis. Generally, it is difficult to predict whether and when we will be awarded a new contract due to lengthy and complex bidding and selection processes, changes in existing or forecasted market conditions, access to financing, governmental regulations, permitting and environmental matters. Because our revenues are derived from contract awards, our results of operations and cash flows can fluctuate materially from period to period.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may result in significant transaction expenses, and unidentified liabilities and risks associated with entering new markets. We may also be unable to profitably integrate and operate these businesses.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lack sufficient management, financial and other resources to successfully integrate future acquisitions, including acquisitions in markets where we have not previously operated. Any future acquisitions may result in significant transaction expenses, unexpected liabilities and other risks in addition to the integration and consolidation risks.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make any future acquisitions, we will likely assume liabilities of the acquired business or have exposure to contingent liabilities that may not be adequately covered by insurance or indemnification, if any, from the former owners of the acquired business. These potential liabilities could have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our acquisitions, which could cause our business to suffer.</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successfully complete our ongoing integration of the operations, personnel and technology from our recent acquisitions. Because of their size and complexity, if we fail to complete our integration efforts successfully, we may experience interruptions in our business activities, a decrease in the quality of our services, a deterioration in our employee and customer relationships, and harm to our reputation, all of which could have a material adverse effect on our business, financial condition and results of operations. Our recent integration activities have required significant attention from management, which potentially decreases the time that management may devote to serve existing customers, attract new customers and develop new services and strategies. We may also experience difficulties in combining corporate cultures, maintaining employee morale and retaining key employees. The continuing integration efforts may also impose substantial demands on our operations or other projects. We will have to actively strive to demonstrate to our existing customers that these integrations have not resulted in adverse changes in our standards or business focus. Our recent acquisitions have involved a significant capital commitment, and the return that we achieve on any capital invested may be less than the return achieved on our other projects or investments. There will be challenges in consolidating and rationalizing information technology platforms and administrative infrastructures. In addition, any delays or increased costs of integrating the acquired companies could adversely affect our operations, financial results and liquidity.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growth opportunities, operating margins and synergies that are anticipated from acquisitions.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benefits we expect to achieve as a result of an acquisition will depend, in part, on our ability to realize the anticipated growth opportunities, operating margins and synergies. Our success in realizing these growth opportunities, operating margins and synergies, and the timing of this realization, depends on the successful integration of the acquired business and operations with our existing business and operations. Even if we are able to integrate existing and acquired businesses successfully, this integration may not result in the realization of the full benefits of the growth opportunities, operating margins and synergies we currently expect within the anticipated time frame or at all. Accordingly, the benefits from an acquisition may be offset by costs incurred or delays in integrating the companies, which could cause our revenue assumptions and operating margin to be inaccurate.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cash flow from operations, together with available borrowings under our senior revolving credit facility, are insufficient to make future investments, acquisitions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take advantage of acquisitions or other opportunities, or respond to competitive challenges.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each of our business segments, which may have a material adverse effect on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competition in all areas of our business from regional, national and international competitors. Our competitors range from small, family-owned businesses to well-established, well-financed entities, both privately and publicly held, including many large engineering and construction companies and specialty contractors. We compete primarily on the basis of price, customer satisfaction, safety performance and programs, quality of our products and services, and schedule. As a result, an increase in the level of competition in one or more markets may result in lower operating margins than we have recently experienced.</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significant customers could adversely affect 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or more customers have in the past and may in the future contribute a material portion of our revenues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events, including those associated with our strategic plan, could negatively affect our liquidity position.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provide no assurance that we will have sufficient cash from operations or the credit capacity to meet all of our future cash needs should we encounter significant working capital requirements or incur significant acquisition costs. Insufficient cash from operations, significant working capital requirements, and contract disputes have in the past, and could in the future, reduce availability under our senior revolving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difficult work sites and environments, which may adversely affect our overall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susceptible to adverse weather conditions, which may harm our business and financial results.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may be adversely affected by severe weather in areas where we have significant operations. Repercussions of severe weather conditions may include:</w:t>
      </w:r>
    </w:p>
    <w:p>
      <w:pPr>
        <w:spacing w:after="0" w:line="108" w:lineRule="exact"/>
        <w:rPr>
          <w:sz w:val="20"/>
          <w:szCs w:val="20"/>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services;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operations;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performance schedules in accordance with contracts and potential liability for liquidated damages;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fatalities;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related damage to our facilities;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information systems;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receive machinery, equipment and materials at jobsites;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senior revolving credit facility imposes restrictions that may limit business alternatives.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senior revolving credit facility contains covenants that restrict or limit our ability to incur additional debt, acquire or dispose of assets, repurchase equity, or make certain distributions, including dividends. In addition, our senior revolving credit facility requires that we comply with a number of financial covenants. These covenants and restrictions may impact our ability to effectively execute operating and strategic plans and our operating performance may not be sufficient to comply with the required covenants.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failure to comply with one or more of the covenants in our senior revolving credit facility could result in an event of default. We can provide no assurance that a default could be remedied, or that our creditors would grant a waiver or amend the terms of the senior revolving credit facility. If an event of default occurs, our lenders could elect to declare all amounts outstanding under the facility to be immediately due and payable, terminate all commitments, refuse to extend further credit, and require us to provide cash to collateralize any outstanding letters of credit. If an event of default occurs and the lenders under the senior revolving credit facility accelerate the maturity of any loans or other debt outstanding, we may not have sufficient liquidity to repay amounts outstanding under the existing agreement.</w:t>
      </w:r>
    </w:p>
    <w:p>
      <w:pPr>
        <w:spacing w:after="0" w:line="130" w:lineRule="exact"/>
        <w:rPr>
          <w:sz w:val="20"/>
          <w:szCs w:val="20"/>
          <w:color w:val="auto"/>
        </w:rPr>
      </w:pPr>
    </w:p>
    <w:p>
      <w:pPr>
        <w:ind w:lef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revenues and profitability.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attract and retain qualified engineers, project managers, skilled craftsmen and other experienced professionals in accordance with our needs is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Competent and experienced engineers,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project managers are involved in most aspects of contracting and contract execution including:</w:t>
      </w:r>
    </w:p>
    <w:p>
      <w:pPr>
        <w:spacing w:after="0" w:line="171" w:lineRule="exact"/>
        <w:rPr>
          <w:sz w:val="20"/>
          <w:szCs w:val="20"/>
          <w:color w:val="auto"/>
        </w:rPr>
      </w:pPr>
    </w:p>
    <w:p>
      <w:pPr>
        <w:ind w:left="640" w:right="220" w:hanging="321"/>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the bidding process, including providing estimates of significant cost components, such as material and equipment needs, and the size, productivity and composition of the workforce;</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contracts;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project performance, including performance by our employees, subcontractors and other third-party suppliers and vendors;</w:t>
      </w:r>
    </w:p>
    <w:p>
      <w:pPr>
        <w:spacing w:after="0" w:line="171" w:lineRule="exact"/>
        <w:rPr>
          <w:rFonts w:ascii="Times New Roman" w:cs="Times New Roman" w:eastAsia="Times New Roman" w:hAnsi="Times New Roman"/>
          <w:sz w:val="18"/>
          <w:szCs w:val="18"/>
          <w:color w:val="auto"/>
        </w:rPr>
      </w:pPr>
    </w:p>
    <w:p>
      <w:pPr>
        <w:ind w:left="640" w:right="140" w:hanging="321"/>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costs for completion of contracts that is used to estimate amounts that can be reported as revenues and earnings on the contract under the percentage-of-completion method of accounting;</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requests for change orders and the final terms of approved change orders; and</w:t>
      </w:r>
    </w:p>
    <w:p>
      <w:pPr>
        <w:spacing w:after="0" w:line="171" w:lineRule="exact"/>
        <w:rPr>
          <w:rFonts w:ascii="Times New Roman" w:cs="Times New Roman" w:eastAsia="Times New Roman" w:hAnsi="Times New Roman"/>
          <w:sz w:val="18"/>
          <w:szCs w:val="18"/>
          <w:color w:val="auto"/>
        </w:rPr>
      </w:pPr>
    </w:p>
    <w:p>
      <w:pPr>
        <w:ind w:left="640" w:right="40" w:hanging="321"/>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contribute to multiemployer plans that could result in liabilities to us if those plans are terminated or if we withdraw from those plans.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or withdraw from a multiemployer pension plan,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for future periods may be affected by impairment charges.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have grown in part through acquisitions, goodwill and other acquired intangible assets represent a substantial portion of our assets. We perform annual goodwill impairment reviews in the fourth quarter of every fiscal year. In addition, we perform an impairment review whenever events or changes in circumstances indicate the carrying value of goodwill or an intangible or fixed asset may not be recoverable. Current market conditions have resulted in a significant reduction in the difference between the fair values and carrying amounts of our assets, which has increased the likelihood of an impairment. If market conditions further deteriorate, we may determine that a significant impairment has occurred, which could require us to write off a portion of our assets and could adversely affect our financial condition or results of operations. As of June 30, 2017 the Company had $26.3 million of amortizing intangible assets and $113.5 million of non-amortizing goodwill representing 4.5% and 19.4% of the Company's total assets, respectively.</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projects expose us to potential professional liability, product liability, pollution liability, warranty and other claims, which could be expensive, damage our reputation and harm our business. We may not be able to obtain or maintain adequate insurance to cover these claims.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subcontractor or partner misconduct or our overall failure to comply with laws or regulations could harm our reputation, damage our relationships with customers, reduce our revenues and profits, and subject us to criminal and civil enforcement actions.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comply with applicable laws or regulations or acts of misconduct could subject us to fines and penalties, harm our reputation, damage our relationships with customers, reduce our revenues and profits and subject us to criminal and civil enforcement 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factors and changes in laws and regulations could increase our costs and liabilities.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the Comprehensive Environmental Response, Compensation and Liability Act of 1980 (“CERCLA”), and comparable state and foreign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potential loss of business under a recently enacted California statute.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2013, the California Legislature enacted, and the governor signed, Senate Bill 54 ("SB 54"). SB 54 imposes requirements as to prevailing wages on certain private projects and requires employers to maintain a workforce in which sixty percent of the workers have graduated from an approved apprenticeship program, regardless of whether public funds are used. SB 54 was enacted in an attempt to ensure that parties constructing or performing work on projects in refineries or otherwise involving “chemical manufacturing and processing facilities that generate, store, treat, handle, refine, process, and transport hazardous materials” do not create safety hazards by employing unskilled or untrained workers to perform the work. To accomplish this purpose, the statute requires that owners who are “contracting for the performance of construction, alteration, demolition, installation, repair, or maintenance work” on such facilities must ensure that the outside contractors use a “skilled and trained workforce.” A skilled and trained workforce is defined in the statute as a workforce in which all of the workers are registered apprentices or skilled journey persons paid at least prevailing wages. SB 54 primarily has implications to the volume of opportunities for our merit operations in refineries in the State of California. SB 54 is not applicable to contracts entered into prior to January 1, 2014. Our Oil Gas &amp; Chemical segment derived a portion of its revenues in previous years utilizing non-union employees on refinery construction and maintenance projects located in the State of California under contracts entered into prior to January 1, 2014. We intend to comply with SB 54 and adjust our business practices accordingly. However, we have experienced a decline in revenue from our refinery customers located in the State of California as our backlog from older contracts expires and we revise our business practices to conform to SB 54.</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or outage in our operational systems or cyber security attacks on any of our systems, or those of third parties, may adversely affect our financial results.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dependent upon our operational systems to process a large amount of data and complex transactions. If any of our financial, operational, or other data processing systems fail or have other significant shortcomings, our financial results could be adversely affected. Our financial results could also be adversely affected if our operational systems fail, either as a result of inadvertent error, platform failure, or by deliberate tampering with or manipulation of our operational systems. In addition, dependence upon automated systems may further increase the risk that operational system flaws, employee tampering or manipulation of those systems could result in losses that are difficult to detect.</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become more reliant on technology to help increase efficiency in our business. We use numerous technologies to help run our operations, and this may subject our business to increased risks. Any cyber security attack that affects our facilities, our customers and any financial data could have a material adverse effect on our business. In addition, a cyber attack on our customer and employee data may result in a financial loss, including potential fines for failure to safeguard data, and may negatively impact our reputation. Third-party systems on which we rely could also suffer system failure. Any of these occurrences could disrupt our business, result in potential liability or reputational damage or otherwise have an adverse effect on our financial results.</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internally and externally developed software applications and systems to support critical functions including project management, estimating, scheduling,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scheduling, accounting and financial information to other systems, thus increasing our operational expense as well as disrupting the management of our business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U.S. Foreign Corrupt Practices Act and similar worldwide anti-bribery laws.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Foreign Corrupt Practices Act and similar anti-bribery laws in other jurisdictions generally prohibit companies and their intermediaries from making improper payments to officials or others for the purpose of obtaining or retaining business. Our policies mandate compliance with these anti-bribery laws. We operate in parts of the world that have experienced corruption to some degree and, in certain circumstances, strict compliance with anti-bribery laws may conflict with local customs and practices. We train our personnel concerning anti-bribery laws and issues, and we also inform our customers, vendors, and others who work for us or on our behalf that they must comply with anti-bribery law requirements. We also have procedures and controls in place to monitor compliance. We cannot assure that our internal controls and procedures always will protect us from the possible reckless or criminal acts committed by our employees or agents. If we are found to be liable for anti-bribery law violations (either due to our own acts or our inadvertence, or due to the acts or inadvertence of others including our partners, agents, subcontractors or suppliers), we could suffer from criminal or civil penalties or other sanctions, including contract cancellations or debarment, and loss of reputation, any of which could have a material adverse effect on our business. Litigation or investigations relating to alleged or suspected violations of anti-bribery laws, even if ultimately such litigation or investigations demonstrate that we did not violate anti-bribery laws, could be costly and could divert management's attention away from other aspects of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political and other risks associated with international operations could adversely affect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operations are conducted outside the United States, and accordingly, our business is subject to risks associated with doing business internationally, including changes in foreign currency exchange rates, instability in political or economic conditions, difficulty in repatriating cash proceeds, differing employee relations, differing regulatory environments, trade protection measures, and difficulty in administering and enforcing corporate policies which may be different than the normal business practices of local cultures.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Our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which is listed on the NASDAQ Global Select Market, has experienced significant price and volume fluctuations. These fluctuations could continue in the future, and our stockholders may not be able to resell their shares of common stock at or above the purchase price paid.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change significantly in response to various factors and events beyond our control, including the following:</w:t>
      </w:r>
    </w:p>
    <w:p>
      <w:pPr>
        <w:spacing w:after="0" w:line="171" w:lineRule="exact"/>
        <w:rPr>
          <w:sz w:val="20"/>
          <w:szCs w:val="20"/>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described in this Item 1A;</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our customers’ industries;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security markets;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ownership of our common stock in the hands of a small number of institutional investors;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shortfall in operating revenue or net income from that expected by securities analysts and investors;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 or the financial performance of our competitors or companies in our industry.</w:t>
      </w:r>
    </w:p>
    <w:p>
      <w:pPr>
        <w:spacing w:after="0" w:line="171" w:lineRule="exact"/>
        <w:rPr>
          <w:sz w:val="20"/>
          <w:szCs w:val="20"/>
          <w:color w:val="auto"/>
        </w:rPr>
      </w:pPr>
    </w:p>
    <w:p>
      <w:pPr>
        <w:ind w:left="60" w:right="60"/>
        <w:spacing w:after="0" w:line="266" w:lineRule="auto"/>
        <w:rPr>
          <w:sz w:val="20"/>
          <w:szCs w:val="20"/>
          <w:color w:val="auto"/>
        </w:rPr>
      </w:pPr>
      <w:r>
        <w:rPr>
          <w:rFonts w:ascii="Times New Roman" w:cs="Times New Roman" w:eastAsia="Times New Roman" w:hAnsi="Times New Roman"/>
          <w:sz w:val="18"/>
          <w:szCs w:val="18"/>
          <w:color w:val="auto"/>
        </w:rPr>
        <w:t>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depress our stock price.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equity securities, which could lead to dilution of our issued and outstanding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issuance of additional common stock, restricted stock units or securities convertible into our common stock could result in dilution of the ownership interest held by existing stockholders. We are authorized to issue, without stockholder approval 5,000,000 shares of preferred stock, par value $0.01 per share, in one or more series, which may give other stockholders dividend, conversion, voting, and liquidation rights, among other rights, which may be superior to the rights of holders of our common stock. In addition, we are authorized to issue, without stockholder approval, a significant number of additional shares of our common stock and securities convertible into either common stock or preferred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activists could cause a disruption to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activist investor may indicate disagreement with our strategic direction or capital allocation policies and may seek representation on our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Our business, operating results or financial condition could be adversely affected and may result in, among other things:</w:t>
      </w:r>
    </w:p>
    <w:p>
      <w:pPr>
        <w:spacing w:after="0" w:line="207"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including increased legal expenses, insurance, administrative expenses and associated costs incurred in connection with director election contests;</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our future direction, which could result in the loss of potential business opportunities and could make it more difficult to attract, retain, or motivate qualified personnel, and strain relationships with investors and customers;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delay in our ability to effectively execute our current business strategy and to implement new strategies.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properties of Matrix Service Company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Borders>
              <w:bottom w:val="single" w:sz="8" w:color="CCEEFF"/>
            </w:tcBorders>
          </w:tcPr>
          <w:p>
            <w:pPr>
              <w:spacing w:after="0"/>
              <w:rPr>
                <w:sz w:val="16"/>
                <w:szCs w:val="16"/>
                <w:color w:val="auto"/>
              </w:rPr>
            </w:pPr>
          </w:p>
        </w:tc>
        <w:tc>
          <w:tcPr>
            <w:tcW w:w="3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42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35"/>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Tulsa, Oklahoma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headquarters and 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Bakersfield, California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Bellingham, Washington</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Canonsburg, Pennsylvania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Electrical Infrastructure, Oil Gas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&amp; Chemical, Industrial</w:t>
            </w: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Catoosa, Oklahoma</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Fabrication facilities, regional office and</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Leased &amp;</w:t>
            </w:r>
          </w:p>
        </w:tc>
      </w:tr>
      <w:tr>
        <w:trPr>
          <w:trHeight w:val="243"/>
        </w:trPr>
        <w:tc>
          <w:tcPr>
            <w:tcW w:w="3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 xml:space="preserve">Owned </w:t>
            </w:r>
            <w:r>
              <w:rPr>
                <w:rFonts w:ascii="Times New Roman" w:cs="Times New Roman" w:eastAsia="Times New Roman" w:hAnsi="Times New Roman"/>
                <w:sz w:val="21"/>
                <w:szCs w:val="21"/>
                <w:color w:val="auto"/>
                <w:w w:val="96"/>
                <w:vertAlign w:val="superscript"/>
              </w:rPr>
              <w:t>(1)</w:t>
            </w:r>
          </w:p>
        </w:tc>
      </w:tr>
      <w:tr>
        <w:trPr>
          <w:trHeight w:val="224"/>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Columbus, Ohio</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Eddystone, Pennsylvania</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Hammond, Indiana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Oil Gas &amp; Chemical, Industrial</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Houston, Texas</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offices and warehouse</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 &amp;</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24"/>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Metairie, Louisiana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Orange, California</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Fabrication facility, regional office and</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 &amp;</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24"/>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Pittsburgh, Pennsylvania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Rahway, New Jersey</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Infrastructure, Oil Gas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&amp; Chemical,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4"/>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Reserve, Louisiana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Oil Gas &amp; Chemical</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Sewickley, Pennsylvania</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4"/>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Temperance, Michigan</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Tucson, Arizona</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Industrial, Storage Solutions, Oil</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Gas &amp; Chemical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Burlington, Ontario, Canada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Electrical Infrastructure,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Industrial, Storage Solutions</w:t>
            </w: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Calgary, Alberta,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Leduc, Alberta, Canada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Sarnia, Ontario,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Seoul, South Korea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Fabrication facility, regional office and</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4"/>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Sydney, Australia</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0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r>
    </w:tbl>
    <w:p>
      <w:pPr>
        <w:spacing w:after="0" w:line="247" w:lineRule="exact"/>
        <w:rPr>
          <w:sz w:val="20"/>
          <w:szCs w:val="20"/>
          <w:color w:val="auto"/>
        </w:rPr>
      </w:pPr>
    </w:p>
    <w:p>
      <w:pPr>
        <w:ind w:left="540" w:hanging="316"/>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facilities were constructed by the Company on land acquired through ground leases with renewal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locations listed above, Matrix has smaller regional locations and temporary office facilities at numerous customer locations throughout the United States and Canada.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to be disclosed in this annual report under Section 1503(a) of the Dodd-Frank Act and Item 104 of Regulation S-K is included in Exhibit 95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(“NASDAQ”) under the trading symbol “MTRX”. The following table sets forth the high and low sale prices for our common stock as reported by NASDAQ for the periods indicated: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Fiscal Year 2017</w:t>
            </w:r>
          </w:p>
        </w:tc>
        <w:tc>
          <w:tcPr>
            <w:tcW w:w="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Fiscal Year 2016</w:t>
            </w:r>
          </w:p>
        </w:tc>
      </w:tr>
      <w:tr>
        <w:trPr>
          <w:trHeight w:val="264"/>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22"/>
                <w:szCs w:val="22"/>
                <w:color w:val="auto"/>
              </w:rPr>
            </w:pP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19.57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15.88</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24.00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16.47</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23.20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26.22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19.41</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23.45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15.00</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20.97</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15.02</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17.70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19.40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14.07</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our stockholders maintain their shares in "street name" accounts and are not individually stockholders of record. As of July 21, 2017, there were 24 holders of record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except that, pursuant to an amendment to our Credit Agreement, from August 31, 2017 through December 31, 2017, the total of cash dividend payments, along with share repurchases, may not exceed $5.0 million. In addition, during this time we are prohibited from paying cash dividends or repurchasing stock unless the pro forma Leverage Ratio, as defined in the Credit Agreement, is less than or equal to 2.50 to 1.00 (see Item 8. Financial Statements and Supplementary Data, Note 5 - Debt for information about the amended Credit Agreement subsequent event). While we currently do not intend to pay cash dividends, any future dividend payments will depend on our financial condition, capital requirements and earnings as well as other relevant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Credit Agreement limits the Company's purchases of its equity securities to $30.0 million in any calendar year, except from August 31, 2017 through December 31, 2017, when share repurchases, along with cash dividend payments, may not exceed an aggregate basket of $5.0 million and may only be made if the pro forma Leverage Ratio is less than or equal to 2.50 to 1.00 (see Item 8. Financial Statements and Supplementary Data, Note 5 - Debt for information about the amended Credit Agreement subsequent event). The table below sets forth the information with respect to purchases made by the Company of its common stock during the fourth quarter of the fiscal year ended June 30,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 w:type="dxa"/>
            <w:vAlign w:val="bottom"/>
          </w:tcPr>
          <w:p>
            <w:pPr>
              <w:spacing w:after="0"/>
              <w:rPr>
                <w:sz w:val="12"/>
                <w:szCs w:val="12"/>
                <w:color w:val="auto"/>
              </w:rPr>
            </w:pPr>
          </w:p>
        </w:tc>
        <w:tc>
          <w:tcPr>
            <w:tcW w:w="15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6"/>
                <w:szCs w:val="16"/>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(C)</w:t>
            </w: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April 1 to April 30, 2017</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5"/>
                <w:szCs w:val="25"/>
                <w:color w:val="auto"/>
                <w:vertAlign w:val="superscript"/>
              </w:rPr>
              <w:t>(A)</w:t>
            </w: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5,347,594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(B)</w:t>
            </w:r>
          </w:p>
        </w:tc>
        <w:tc>
          <w:tcPr>
            <w:tcW w:w="1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May 1 to May 31, 2017</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5"/>
                <w:szCs w:val="25"/>
                <w:color w:val="auto"/>
                <w:vertAlign w:val="superscript"/>
              </w:rPr>
              <w:t>(A)</w:t>
            </w:r>
          </w:p>
        </w:tc>
        <w:tc>
          <w:tcPr>
            <w:tcW w:w="1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5,347,594</w:t>
            </w: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(B)</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282</w:t>
            </w:r>
          </w:p>
        </w:tc>
        <w:tc>
          <w:tcPr>
            <w:tcW w:w="3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8.70</w:t>
            </w:r>
          </w:p>
        </w:tc>
        <w:tc>
          <w:tcPr>
            <w:tcW w:w="340" w:type="dxa"/>
            <w:vAlign w:val="bottom"/>
          </w:tcPr>
          <w:p>
            <w:pPr>
              <w:spacing w:after="0"/>
              <w:rPr>
                <w:sz w:val="23"/>
                <w:szCs w:val="23"/>
                <w:color w:val="auto"/>
              </w:rPr>
            </w:pPr>
          </w:p>
        </w:tc>
        <w:tc>
          <w:tcPr>
            <w:tcW w:w="19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1 to June 30, 2017</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5"/>
                <w:szCs w:val="25"/>
                <w:color w:val="auto"/>
                <w:vertAlign w:val="superscript"/>
              </w:rPr>
              <w:t>(A)</w:t>
            </w: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5,347,594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(B)</w:t>
            </w:r>
          </w:p>
        </w:tc>
        <w:tc>
          <w:tcPr>
            <w:tcW w:w="1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540" w:hanging="316"/>
        <w:spacing w:after="0"/>
        <w:tabs>
          <w:tab w:leader="none" w:pos="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purchased under our stock buyback program.</w:t>
      </w:r>
    </w:p>
    <w:p>
      <w:pPr>
        <w:spacing w:after="0" w:line="17" w:lineRule="exact"/>
        <w:rPr>
          <w:rFonts w:ascii="Times New Roman" w:cs="Times New Roman" w:eastAsia="Times New Roman" w:hAnsi="Times New Roman"/>
          <w:sz w:val="14"/>
          <w:szCs w:val="14"/>
          <w:color w:val="auto"/>
        </w:rPr>
      </w:pPr>
    </w:p>
    <w:p>
      <w:pPr>
        <w:ind w:left="540" w:hanging="316"/>
        <w:spacing w:after="0"/>
        <w:tabs>
          <w:tab w:leader="none" w:pos="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 to satisfy the employee’s tax withholding obligation that is incurred upon the vesting of deferred shares granted under the Company’s stock incentive plans.</w:t>
      </w:r>
    </w:p>
    <w:p>
      <w:pPr>
        <w:spacing w:after="0" w:line="1" w:lineRule="exact"/>
        <w:rPr>
          <w:rFonts w:ascii="Times New Roman" w:cs="Times New Roman" w:eastAsia="Times New Roman" w:hAnsi="Times New Roman"/>
          <w:sz w:val="14"/>
          <w:szCs w:val="14"/>
          <w:color w:val="auto"/>
        </w:rPr>
      </w:pPr>
    </w:p>
    <w:p>
      <w:pPr>
        <w:ind w:left="540" w:right="20" w:hanging="316"/>
        <w:spacing w:after="0" w:line="245" w:lineRule="auto"/>
        <w:tabs>
          <w:tab w:leader="none" w:pos="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12, 2016, the Board of Directors approved a new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The December 2016 Program will continue through December 31, 2018 unless and until revoked by the Board of Directors. The amount shown as the maximum number of shares that may yet be purchased was calculated using the closing price of our stock on the last trading day of the fiscal period and the cumulative limit of $50.0 million remaining under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-731520</wp:posOffset>
            </wp:positionV>
            <wp:extent cx="660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data)</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9"/>
        </w:trPr>
        <w:tc>
          <w:tcPr>
            <w:tcW w:w="3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2"/>
                <w:szCs w:val="12"/>
                <w:color w:val="auto"/>
              </w:rPr>
            </w:pPr>
          </w:p>
        </w:tc>
        <w:tc>
          <w:tcPr>
            <w:tcW w:w="1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2"/>
                <w:szCs w:val="12"/>
                <w:color w:val="auto"/>
              </w:rPr>
            </w:pPr>
          </w:p>
        </w:tc>
        <w:tc>
          <w:tcPr>
            <w:tcW w:w="1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3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1,197,509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1,311,917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1,343,135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1,263,089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892,574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1,116,506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1,185,926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1,255,765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1,126,616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797,872</w:t>
            </w:r>
          </w:p>
        </w:tc>
        <w:tc>
          <w:tcPr>
            <w:tcW w:w="1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81,003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125,991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87,370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136,473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94,702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76,144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85,109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78,568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77,866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57,988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58,607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36,714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36,877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24,008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20"/>
                <w:szCs w:val="20"/>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Matrix Service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28,863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17,157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35,810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24,008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2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share-diluted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139,654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129,416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114,209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105,687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131,908</w:t>
            </w:r>
          </w:p>
        </w:tc>
        <w:tc>
          <w:tcPr>
            <w:tcW w:w="1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586,030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564,967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561,689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568,932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409,978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44,682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11,621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13,939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23,589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23,231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provided (used) by operations</w:t>
            </w:r>
          </w:p>
        </w:tc>
        <w:tc>
          <w:tcPr>
            <w:tcW w:w="2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33,587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76,988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57,084</w:t>
            </w:r>
          </w:p>
        </w:tc>
        <w:tc>
          <w:tcPr>
            <w:tcW w:w="1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682,273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868,672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1,420,598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915,826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626,737</w:t>
            </w:r>
          </w:p>
        </w:tc>
        <w:tc>
          <w:tcPr>
            <w:tcW w:w="100" w:type="dxa"/>
            <w:vAlign w:val="bottom"/>
            <w:shd w:val="clear" w:color="auto" w:fill="CCEEFF"/>
          </w:tcPr>
          <w:p>
            <w:pPr>
              <w:spacing w:after="0"/>
              <w:rPr>
                <w:sz w:val="21"/>
                <w:szCs w:val="21"/>
                <w:color w:val="auto"/>
              </w:rPr>
            </w:pPr>
          </w:p>
        </w:tc>
      </w:tr>
      <w:tr>
        <w:trPr>
          <w:trHeight w:val="27"/>
        </w:trPr>
        <w:tc>
          <w:tcPr>
            <w:tcW w:w="3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400"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090909"/>
        </w:rPr>
        <w:t>Refer to the Results of Operations section included in Part II, Item 7 of this Annual Report on Form 10-K for a discussion of the impacts of business combinations and contract charges that materially impacted the comparability of information in the Selected Financial Data table above, particularly for the fiscal year ended 2017 in comparison to the fiscal year ended 2016, and the fiscal year ended 2016 in comparison to the fiscal year ended 2015.</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revenues and expenses during the reporting period. We base our estimates on historical experience and various other assumptions that are believed to be reasonable under the circumstances. Actual results could differ from these estimates under different assumptions or conditions. Note 1-Summary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Matrix records revenue on fixed-price contracts on a percentage-of-completion basis, primarily based on costs incurred to date compared to the total estimated cost. The Company records revenue on cost-plus and time-and-material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a provision is made through a contract write-down for the total loss anticipated. A number of our contracts contain various cost and performance incentives and penalties that impact the earnings we realize from our contracts. Adjustments related to these incentives and penalties are recorded in the period on a percentage of completion basis when estimable and probable.</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Indirect costs, such as salaries and benefits, supplies and tools, equipment costs and insurance costs, are charged to projects based upon direct labor hours and overhead allocation rates per direct labor hour or a percentage of cost incurred.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 and evaluated for accuracy throughout the year based upon actual direct labor hours and actual costs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Orders and Claims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 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2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legal basis for the claim;</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costs were caused by circumstances that were unforeseen by the Company and are not the result of deficiencies in our performance;</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are identifiable or determinable and are reasonable in view of the work performed;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evidence supporting the claim is objective and verifiable.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all of the these requirements are met, revenue from a claim is recorded only to the extent that we have incurred costs relating to the claim.</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2017 and June 30, 2016, costs and estimated earnings in excess of billings on uncompleted contracts included revenues for unapproved change orders and claims of $11.0 million and $10.3 million, respectively. Historically, our collections for unapproved change orders and claims have approximated the amount of revenue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or losses that could be significant.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perform our annual test during the fourth quarter of each fiscal year and in any other period in which indicators of impairment warrant additional tests.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 We performed our annual goodwill impairment test as of May 31, 2017, which resulted in lower headroom, however no impairment was indicated. We define "headroom" as the percentage difference between the fair value of a reporting unit and its carrying value.</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utilizes a discounted cash flow analysis, referred to as an income approach, to determine the estimated fair value of our reporting units. Significant judgments and assumptions including forecasted project awards, discount rate, anticipated revenue growth rate, gross margins, operating expenses, working capital needs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 We also consider the combined carrying values of our reporting units to our market capitalization.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consider the amount of headroom for each reporting unit when determining whether an impairment existed. The amount of headroom varies by reporting unit. Our significant assumptions, including revenue growth rates, gross margins, discount rate and other factors may change in light of changes in the economic and competitive environment in which we operate. Assuming that all other components of our fair value estimate remain unchanged, a change in the following assumptions would have the following effect on headroom:</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Sensitivity Analysis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7"/>
        </w:trPr>
        <w:tc>
          <w:tcPr>
            <w:tcW w:w="2420" w:type="dxa"/>
            <w:vAlign w:val="bottom"/>
          </w:tcPr>
          <w:p>
            <w:pPr>
              <w:spacing w:after="0"/>
              <w:rPr>
                <w:sz w:val="18"/>
                <w:szCs w:val="18"/>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Goodwill as of June 30,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1% Decline in Revenue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1% Decline in Gross</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 Increase in</w:t>
            </w:r>
          </w:p>
        </w:tc>
      </w:tr>
      <w:tr>
        <w:trPr>
          <w:trHeight w:val="212"/>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2017 (in thousands)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Headroom</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Growth Rate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Margin Percentage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Discount Rate</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Reporting Unit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42,217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4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Reporting Unit 2</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7,994</w:t>
            </w:r>
          </w:p>
        </w:tc>
        <w:tc>
          <w:tcPr>
            <w:tcW w:w="1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Reporting Unit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6,112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Reporting Unit 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4,132</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 reporting units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53,046</w:t>
            </w:r>
          </w:p>
        </w:tc>
        <w:tc>
          <w:tcPr>
            <w:tcW w:w="12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center"/>
              <w:ind w:right="100"/>
              <w:spacing w:after="0" w:line="270" w:lineRule="exact"/>
              <w:rPr>
                <w:sz w:val="20"/>
                <w:szCs w:val="20"/>
                <w:color w:val="auto"/>
              </w:rPr>
            </w:pPr>
            <w:r>
              <w:rPr>
                <w:rFonts w:ascii="Times New Roman" w:cs="Times New Roman" w:eastAsia="Times New Roman" w:hAnsi="Times New Roman"/>
                <w:sz w:val="18"/>
                <w:szCs w:val="18"/>
                <w:color w:val="auto"/>
                <w:w w:val="95"/>
              </w:rPr>
              <w:t>7%</w:t>
            </w:r>
            <w:r>
              <w:rPr>
                <w:rFonts w:ascii="Times New Roman" w:cs="Times New Roman" w:eastAsia="Times New Roman" w:hAnsi="Times New Roman"/>
                <w:sz w:val="25"/>
                <w:szCs w:val="25"/>
                <w:color w:val="auto"/>
                <w:w w:val="95"/>
                <w:vertAlign w:val="superscript"/>
              </w:rPr>
              <w:t>(2)</w:t>
            </w:r>
            <w:r>
              <w:rPr>
                <w:rFonts w:ascii="Times New Roman" w:cs="Times New Roman" w:eastAsia="Times New Roman" w:hAnsi="Times New Roman"/>
                <w:sz w:val="18"/>
                <w:szCs w:val="18"/>
                <w:color w:val="auto"/>
                <w:w w:val="95"/>
              </w:rPr>
              <w:t xml:space="preserve"> to 172%</w:t>
            </w:r>
          </w:p>
        </w:tc>
        <w:tc>
          <w:tcPr>
            <w:tcW w:w="1800" w:type="dxa"/>
            <w:vAlign w:val="bottom"/>
            <w:gridSpan w:val="2"/>
            <w:shd w:val="clear" w:color="auto" w:fill="CCEEFF"/>
          </w:tcPr>
          <w:p>
            <w:pPr>
              <w:jc w:val="center"/>
              <w:ind w:right="100"/>
              <w:spacing w:after="0" w:line="270" w:lineRule="exact"/>
              <w:rPr>
                <w:sz w:val="20"/>
                <w:szCs w:val="20"/>
                <w:color w:val="auto"/>
              </w:rPr>
            </w:pPr>
            <w:r>
              <w:rPr>
                <w:rFonts w:ascii="Times New Roman" w:cs="Times New Roman" w:eastAsia="Times New Roman" w:hAnsi="Times New Roman"/>
                <w:sz w:val="18"/>
                <w:szCs w:val="18"/>
                <w:color w:val="auto"/>
                <w:w w:val="94"/>
              </w:rPr>
              <w:t>4%</w:t>
            </w:r>
            <w:r>
              <w:rPr>
                <w:rFonts w:ascii="Times New Roman" w:cs="Times New Roman" w:eastAsia="Times New Roman" w:hAnsi="Times New Roman"/>
                <w:sz w:val="25"/>
                <w:szCs w:val="25"/>
                <w:color w:val="auto"/>
                <w:w w:val="94"/>
                <w:vertAlign w:val="superscript"/>
              </w:rPr>
              <w:t>(2)</w:t>
            </w:r>
            <w:r>
              <w:rPr>
                <w:rFonts w:ascii="Times New Roman" w:cs="Times New Roman" w:eastAsia="Times New Roman" w:hAnsi="Times New Roman"/>
                <w:sz w:val="18"/>
                <w:szCs w:val="18"/>
                <w:color w:val="auto"/>
                <w:w w:val="94"/>
              </w:rPr>
              <w:t xml:space="preserve"> to 166%</w:t>
            </w:r>
          </w:p>
        </w:tc>
        <w:tc>
          <w:tcPr>
            <w:tcW w:w="1820" w:type="dxa"/>
            <w:vAlign w:val="bottom"/>
            <w:gridSpan w:val="2"/>
            <w:shd w:val="clear" w:color="auto" w:fill="CCEEFF"/>
          </w:tcPr>
          <w:p>
            <w:pPr>
              <w:jc w:val="center"/>
              <w:ind w:right="100"/>
              <w:spacing w:after="0" w:line="270" w:lineRule="exact"/>
              <w:rPr>
                <w:sz w:val="20"/>
                <w:szCs w:val="20"/>
                <w:color w:val="auto"/>
              </w:rPr>
            </w:pPr>
            <w:r>
              <w:rPr>
                <w:rFonts w:ascii="Times New Roman" w:cs="Times New Roman" w:eastAsia="Times New Roman" w:hAnsi="Times New Roman"/>
                <w:sz w:val="18"/>
                <w:szCs w:val="18"/>
                <w:color w:val="auto"/>
                <w:w w:val="94"/>
              </w:rPr>
              <w:t>-14%</w:t>
            </w:r>
            <w:r>
              <w:rPr>
                <w:rFonts w:ascii="Times New Roman" w:cs="Times New Roman" w:eastAsia="Times New Roman" w:hAnsi="Times New Roman"/>
                <w:sz w:val="25"/>
                <w:szCs w:val="25"/>
                <w:color w:val="auto"/>
                <w:w w:val="94"/>
                <w:vertAlign w:val="superscript"/>
              </w:rPr>
              <w:t>(2)</w:t>
            </w:r>
            <w:r>
              <w:rPr>
                <w:rFonts w:ascii="Times New Roman" w:cs="Times New Roman" w:eastAsia="Times New Roman" w:hAnsi="Times New Roman"/>
                <w:sz w:val="18"/>
                <w:szCs w:val="18"/>
                <w:color w:val="auto"/>
                <w:w w:val="94"/>
              </w:rPr>
              <w:t xml:space="preserve"> to 68%</w:t>
            </w:r>
          </w:p>
        </w:tc>
        <w:tc>
          <w:tcPr>
            <w:tcW w:w="1700" w:type="dxa"/>
            <w:vAlign w:val="bottom"/>
            <w:shd w:val="clear" w:color="auto" w:fill="CCEEFF"/>
          </w:tcPr>
          <w:p>
            <w:pPr>
              <w:jc w:val="center"/>
              <w:spacing w:after="0" w:line="270" w:lineRule="exact"/>
              <w:rPr>
                <w:sz w:val="20"/>
                <w:szCs w:val="20"/>
                <w:color w:val="auto"/>
              </w:rPr>
            </w:pPr>
            <w:r>
              <w:rPr>
                <w:rFonts w:ascii="Times New Roman" w:cs="Times New Roman" w:eastAsia="Times New Roman" w:hAnsi="Times New Roman"/>
                <w:sz w:val="18"/>
                <w:szCs w:val="18"/>
                <w:color w:val="auto"/>
                <w:w w:val="94"/>
              </w:rPr>
              <w:t>0%</w:t>
            </w:r>
            <w:r>
              <w:rPr>
                <w:rFonts w:ascii="Times New Roman" w:cs="Times New Roman" w:eastAsia="Times New Roman" w:hAnsi="Times New Roman"/>
                <w:sz w:val="25"/>
                <w:szCs w:val="25"/>
                <w:color w:val="auto"/>
                <w:w w:val="94"/>
                <w:vertAlign w:val="superscript"/>
              </w:rPr>
              <w:t>(2)</w:t>
            </w:r>
            <w:r>
              <w:rPr>
                <w:rFonts w:ascii="Times New Roman" w:cs="Times New Roman" w:eastAsia="Times New Roman" w:hAnsi="Times New Roman"/>
                <w:sz w:val="18"/>
                <w:szCs w:val="18"/>
                <w:color w:val="auto"/>
                <w:w w:val="94"/>
              </w:rPr>
              <w:t xml:space="preserve"> to 145%</w:t>
            </w:r>
          </w:p>
        </w:tc>
      </w:tr>
    </w:tbl>
    <w:p>
      <w:pPr>
        <w:spacing w:after="0" w:line="288" w:lineRule="exact"/>
        <w:rPr>
          <w:sz w:val="20"/>
          <w:szCs w:val="20"/>
          <w:color w:val="auto"/>
        </w:rPr>
      </w:pPr>
    </w:p>
    <w:p>
      <w:pPr>
        <w:jc w:val="both"/>
        <w:ind w:left="540" w:hanging="316"/>
        <w:spacing w:after="0" w:line="261" w:lineRule="auto"/>
        <w:tabs>
          <w:tab w:leader="none" w:pos="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model for Reporting Unit 2 incorporates the award of a significant project prior to the end of the second fiscal quarter, with project work to commence shortly thereafter. Management has concluded this award is probable of occurring. If the project is ultimately not awarded to us, the Company currently expects this would represent a triggering event requiring an interim evaluation of goodwill with respect to this reporting unit, which could result in a material impairment.</w:t>
      </w:r>
    </w:p>
    <w:p>
      <w:pPr>
        <w:spacing w:after="0" w:line="69" w:lineRule="exact"/>
        <w:rPr>
          <w:rFonts w:ascii="Times New Roman" w:cs="Times New Roman" w:eastAsia="Times New Roman" w:hAnsi="Times New Roman"/>
          <w:sz w:val="14"/>
          <w:szCs w:val="14"/>
          <w:color w:val="auto"/>
        </w:rPr>
      </w:pPr>
    </w:p>
    <w:p>
      <w:pPr>
        <w:ind w:left="540" w:hanging="316"/>
        <w:spacing w:after="0" w:line="282" w:lineRule="auto"/>
        <w:tabs>
          <w:tab w:leader="none" w:pos="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goodwill attributable to the December 2016 acquisition of Houston Interests. Since the acquisition was recorded at fair value, the anticipated headroom at June 30, 2017 for the Houston Interests related reporting units were not expected to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97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8"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If the market view of revenue opportunities or gross margins changes for any of the reporting units, the Company may need to perform an interim impairment analysis, which could result in a material impairment of goodwill.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required to perform an interim goodwill analysis, and such analysis indicates impairment, the Company would need to perform an impairment analysis of relevant customer relationships and other intangible assets. With respect to Reporting Unit 2 referenced above, customer relationships with a net book value of $7.2 million as of June 30, 2017 could potentially be impaired if the reporting unit is concluded to be impaired. We will continue to monitor all intangible assets for indications of impairment and perform tests as necessary.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2014-09, Revenue from Contracts with Customers (Topic 606)</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 Early adoption is permitted on a limited basis.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currently evaluating the impact of adopting the ASU on the Company's financial position, results of operations, cash flows and related disclosures. Adoption of this ASU is expected to affect the manner in which the Company determines the unit of account for its projects (i.e., performance obligations). Under existing guidance, the Company may have multiple performance obligations for large, complex projects. Upon adoption, the Company expects that similar projects may have fewer performance obligations, possibly just one in some cases, which will result in a more constant recognition of revenue and profit over the term of the project. The Company will adopt this standard on July 1, 2018 using the modified retrospective method of application, which may result in a cumulative effect adjustment to retained earnings as of the date of adoption.</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completed its review of the new revenue standard and is currently developing a plan to review its contracts in order to confirm its understanding of how the new standard will impact its revenue recognition policy, disclosures, processes and internal controls. At this time, we cannot reliably estimate the amount of any potential retrospective adjustment.</w:t>
      </w:r>
    </w:p>
    <w:p>
      <w:pPr>
        <w:spacing w:after="0" w:line="120"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2014-15, Presentation of Financial Statements—Going Concern (Subtopic 205-40): Disclosure of Uncertainties about an Entity’s Ability to Continue as a Going Concern</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ASU was adopted during the Company's first fiscal quarter ending September 30, 2016. In connection with the adoption of the ASU, the Company now performs an assessment of its ability to continue as a going concern on a quarterly basis. Disclosure regarding the status of the Company's ability to continue as a going concern is required when there are conditions or events that raise substantial doubt about its ability to continue as a going concern within one year after the date that the financial statements are issued.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2015-16, Business Combinations (Topic 805): Simplifying the Accounting for Measurement-Period Adjustments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We adopted this standard on July 1, 2016 with no material impact to the Company's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2016-02, Leases (Topic 842)</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ASU is effective for fiscal years beginning after December 15, 2018, including interim periods within those fiscal years. Early adoption is permitted, but we do not plan to do so at this time.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evaluating the ASU's expected impact on our financial statements. See Note 8 - Operating Leases for more information about the timing and amount of future operating lease payments, which we believe is indicative of the materiality of adoption of the ASU to our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2016-09, Stock Compensation (Topic 718): Improvements to Employee Share-Based Payment Accounting</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2016, the FASB issued ASU 2016-09, which simplified several aspects of accounting for stock-based compensation transactions, including the accounting for income taxes and forfeitures and statutory tax withholding requirements. The Company adopted the ASU during its first fiscal quarter ending September 30, 2016. The following is a description of the key provisions of the ASU and their impacts to the Company's financial statements: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Accounting for Income Taxes</w:t>
      </w:r>
      <w:r>
        <w:rPr>
          <w:rFonts w:ascii="Times New Roman" w:cs="Times New Roman" w:eastAsia="Times New Roman" w:hAnsi="Times New Roman"/>
          <w:sz w:val="18"/>
          <w:szCs w:val="18"/>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Previously, the Company recognized any excess tax benefits in additional paid-in capital ("APIC") in the balance sheet and any tax deficiencies were recognized as a reduction of APIC to the extent the Company has accumulated excess tax benefits. Any tax deficiencies in excess of accumulated excess tax benefits in APIC were recognized in the provision for income taxes. The amendments also require the Company to only present excess tax benefits and tax deficiencies in the operating section of its statements of cash flows as a component of deferred tax activity. Previously, the Company was required to present such items in both the financing section and operating section of its statements of cash flows. Amendments related to the recognition of excess tax benefits and tax deficiencies in income are required to be applied prospectively, and amendments related to the cash flow statement presentation of excess tax benefits and tax deficiencies may be applied either retrospectively or prospectively.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applied the amendments requiring the recognition of excess tax benefits and tax deficiencies in income prospectively. As a result, the Company recognized $0.5 million of excess tax benefits in its provision for income taxes during the year ended June 30, 2017, which increased basic and diluted earnings per share by $0.02. Under the prior accounting standard, the Company would have recognized the excess tax benefits in equity as APIC. The amendments relating to the presentation of excess tax benefits and tax deficiencies in the statement of cash flows were applied retrospectively. The effect of the retrospective adjustment was to eliminate the presentation of an operating cash outflow and a financing cash inflow for excess tax benefits on exercised stock options and vesting of deferred shares. These eliminations decreased net cash provided by operating activities by $3.3 million and decreased net cash used by financing activities by $3.3 million for the year ended June 30, 2016, and decreased net cash provided by operating activities by $1.8 million and increased cash provided by financing activities by $1.8 million for the year ended June 30, 2015. Net cash flows did not change in either year as a result of the retrospective adjustment.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Accounting for Forfeitures</w:t>
      </w:r>
      <w:r>
        <w:rPr>
          <w:rFonts w:ascii="Times New Roman" w:cs="Times New Roman" w:eastAsia="Times New Roman" w:hAnsi="Times New Roman"/>
          <w:sz w:val="18"/>
          <w:szCs w:val="18"/>
          <w:color w:val="auto"/>
        </w:rPr>
        <w:t>: The amendments in this ASU allow the Company to elect, as a company-wide accounting policy, either to continue to estimate the amount of forfeitures to exclude from compensation expense or to exclude forfeitures from compensation expense as they occur. Upon the adoption of the ASU during the first quarter of fiscal 2017, the Company elected to account for forfeitures as they occur. The Company is required to apply these amendments on a modified retrospective basis with a cumulative adjustment to retained earnings as of the beginning of the fiscal year. The Company recorded a modified retrospective adjustment to reduce the June 30, 2016 retained earnings balance and increase the APIC balance by $0.1 million each.</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Statutory Tax Withholding Requirements</w:t>
      </w:r>
      <w:r>
        <w:rPr>
          <w:rFonts w:ascii="Times New Roman" w:cs="Times New Roman" w:eastAsia="Times New Roman" w:hAnsi="Times New Roman"/>
          <w:sz w:val="18"/>
          <w:szCs w:val="18"/>
          <w:color w:val="auto"/>
        </w:rPr>
        <w:t>: Under the prior accounting standard, an entire award must be classified as a liability if the fair value of the shares withheld exceeds the Company's minimum statutory withholding obligation. Under the ASU, the Company is allowed to withhold shares with a fair value up to the amount of tax owed using the maximum statutory tax rate in the employee's applicable jurisdictions. The Company is allowed to determine one maximum rate for all employees in each jurisdiction, rather than a rate for each employee in the jurisdiction. Also, the ASU requires that cash outflows to reacquire shares withheld for taxes to be classified in the financing section of the statement of cash flows.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the ASU during the first quarter of fiscal 2017. Since the Company did not have any awards classified as liabilities due to statutory tax withholding requirements as of June 30, 2017, and since the Company already presented its cash outflows for reacquiring shares withheld for taxes as a financing activity in its statements of cash flows, these amendments did not have any impact on its financial statements upon adoption. The Company does not expect changes to employee withholdings for stock compensation to have a material impact to the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2016-13, Financial Instruments - Credit Losses (Topic 326): Measurement of Credit Losses on Financial Instruments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2017-04, Intangibles - Goodwill and Other (Topic 350): Simplifying the Test for Goodwill Impairment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26, 2017, the FASB issued ASU 2017-04, which simplifies the goodwill impairment test by eliminating step two from the procedure. Previously, goodwill was tested for impairment by performing a two-step test. The first step involves determining the fair value of a reporting unit and comparing it to the carrying amount of the reporting unit's net assets. If the fair value of the reporting unit is less than its carrying amount, then the goodwill assigned to that reporting unit is determined to be impaired and step two must then be completed to measure the amount of the impairment. Step two involved measuring the reporting unit's assets and liabilities at fair value following a process similar to determining the fair value of assets acquired and liabilities assumed in a business combination. The net fair value of the assets acquired and liabilities assumed was then compared to the fair value of the reporting unit in order to compute the implied goodwill for the reporting unit. The difference between the carrying amount of the reporting unit's goodwill and the amount of the implied goodwill computed was the amount of the goodwill impairment to be recognized. Under ASU 2017-04, instead of performing step two of the test, the Company will recognize an impairment charge to the extent a reporting unit's fair value is less than the carrying amount of its net assets, as indicated by step one of the test.</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standard must be applied prospectively and must be adopted in fiscal years beginning after December 15, 2019. Early adoption is permitted and the Company adopted the ASU during its fourth fiscal quarter of 2017. The Company performed its annual goodwill impairment test on May 31, 2017 in accordance with the adopted ASU.</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2017-09, Compensation-Stock Compensation (Topic 718): Scope of Modification Accounting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ASU 2017-09 is effective for interim and annual reporting periods beginning after December 15, 2017. Early adoption is permitted and prospective application is required. Management does not expect the adoption of ASU 2017-09 to have a material impact on the Company’s financial position, results of operations or cash flows.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natural gas fired power stations, and renewable energy installations.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 Gas &amp; Chemical segment includes turnaround activities, plant maintenance, engineering and construction in the downstream and midstream petroleum industries. Our customers in these industries are engaged in refining crude oil and processing, fractionating, and marketing of natural gas and natural gas liquids. Another key offering is industrial cleaning services, which include hydroblasting, hydroexcavating, chemical cleaning and vacuum services. We also perform work in the petrochemical, upstream petroleum, and sulfur extraction, recovery and processing markets.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Storage Solutions segment includes new construction of crude and refined products, ASTs, as well as planned and emergency maintenance services. The Storage Solutions segment also includes balance of plant work in storage terminals and tank farms. Also included in the Storage Solutions segment is work related to specialty storage tanks, including LNG, LIN/LOX, LPG tanks and other specialty vessels, including spheres. Finally, we offer AST products, including geodesic domes, aluminum internal floating roofs, floating suction and skimmer systems, roof drain systems and floating roof seals.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Industrial segment primarily includes construction and maintenance work in the iron and steel, mining and minerals, and agricultural industries.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work for all segments is performed in the United States, with 19.7% of revenues generated internationally during fiscal 2017, 14.0% in fiscal 2016 and 10.2% in fiscal 2014. The percentage of revenues generated internationally is expected to decrease in fiscal 2018 compared to fiscal 2017 as work on a significant Canadian project in our Electrical Infrastructure segment nears completion. Significant period to period changes in revenues, gross profits and operating results are discussed below on a consolidated basis and for each segment.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4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24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4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00" w:type="dxa"/>
            <w:vAlign w:val="bottom"/>
          </w:tcPr>
          <w:p>
            <w:pPr>
              <w:spacing w:after="0"/>
              <w:rPr>
                <w:sz w:val="13"/>
                <w:szCs w:val="13"/>
                <w:color w:val="auto"/>
              </w:rPr>
            </w:pPr>
          </w:p>
        </w:tc>
        <w:tc>
          <w:tcPr>
            <w:tcW w:w="110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373,384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240,523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481,696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101,906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1,197,509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55,651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5,540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81,003</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 %</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15,446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21,458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6,517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76,144</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22,928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4,859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2016</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349,011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249,795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563,512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149,599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1,311,917</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21"/>
                <w:szCs w:val="21"/>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29,301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18,553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67,843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10,294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125,991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1"/>
                <w:szCs w:val="21"/>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18,157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22,056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10,502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85,109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40,882</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257,930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305,360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503,123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276,722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1,343,135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(loss)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(31,444)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58,085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35,335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87,370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 %</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18,330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18,373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78,568</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(44,293)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29,069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16,962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8,802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1"/>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Variances Fiscal Year 2017 to Fiscal Year 2016</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(81,816)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(47,693)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(114,408)</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(44,988)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(8,965)</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(36,023)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Variances Fiscal Year 2016 to Fiscal Year 2015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91,081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(55,565)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60,389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(127,123)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(31,218)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60,745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38,621</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1"/>
                <w:szCs w:val="21"/>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5,378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(7,871)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6,541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55,437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(17,170)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32,080</w:t>
            </w: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Commodity Price Volatility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 decline in crude oil prices beginning in late 2014 and uncertainty in the energy industry has continued to negatively impact our results, particularly in the Oil Gas &amp; Chemical and Storage Solutions segments. In our Storage Solutions segment, our customers continue to take a long-term view of the market, but continue to be cautious short-term. In our Oil Gas &amp; Chemical segment, we are beginning to see some capital project awards and an improving outlook in routine maintenance and turnaround work. Although we are seeing some positive signs, our customers have been responding to prolonged lower crude oil prices and commodity price uncertainty by reducing spending on capital projects and delaying elective maintenance. This response tends to lag the price movements of crude oil and other commodities due to budget cycles and the long-term nature of planning for capital projects, especially large capital projects. While the average price of crude oil has increased modestly and the business environment in the energy industry did improve during fiscal 2017, increased volumes of project awards in these segments could lag these positive developments.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Industrial segment, our iron and steel customers have been facing challenges related to the global steel production over-capacity and the strong U.S. Dollar, which led to fewer project awards and lower work volumes in fiscal 2017. However, we are currently experiencing increased bidding activity and have been awarded more projects recently, both of which suggest that business conditions for our iron and steel customers may be improving. Furthermore, the value of the U.S. Dollar has been trending downward since the middle of fiscal 2017, the price of crude oil has modestly increased during fiscal 2017 and we are seeing improving economic conditions in other industrial markets. These developments tend to increase demand for steel, which in turn may lead to more project awards from our iron and steel customers near term. In the mining and minerals markets, fiscal 2017 experienced lower spending due to the softness of other commodity prices. However, copper prices, to which our clients are particularly exposed, have increased in recent months.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expect fluctuation in commodity prices to have a significant impact on the Electrical Infrastructure segment.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2017 Versus Fiscal 2016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Consolidated revenue was $1.197 billion in fiscal 2017, a decrease of $114.4 million, or 8.7% from consolidated revenue of $1.312 billion in fiscal 2016. On a segment basis, consolidated revenue decreased in the Storage Solutions, Industrial and Oil Gas &amp; Chemical segments by $81.8 million, $47.7 million, and $9.3 million, respectively, which were partially offset by higher revenue in the Electrical Infrastructure segment of $24.4 million.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gross profit was $81.0 million in fiscal 2017 compared to $126.0 million in fiscal 2016. Gross margin decreased to 6.8% in fiscal 2017 compared to 9.6% in fiscal 2016. The reduction in gross margin in fiscal 2017 is primarily attributable to lower volumes, which led to increased under recovery of construction overhead costs, and the financial impact of an Electrical Infrastructure project (more fully discussed in Item 8. Financial Statements and Supplementary Data, Note 3 - Uncompleted Contracts).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SG&amp;A expenses were $76.1 million in fiscal 2017 compared to $85.1 million in the prior year. The decrease is primarily related to lower incentive compensation expense in fiscal 2017 and a bad debt charge of $5.2 million from a client bankruptcy in fiscal 2016. Fiscal 2017 SG&amp;A expense included $1.1 million of acquisition and integration costs from the Houston Interests acquisition and fiscal 2016 SG&amp;A expense included $1.2 million of acquisition and integration costs from the Baillie Tank Equipment acquisition (See Item 8. Financial Statements and Supplementary Data, Note 2 - Acquisitions).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expense was $2.1 million in fiscal 2017, and $0.7 million in the prior year. The higher interest expense in fiscal 2017 is primarily attributable to the higher average debt balance in the current year, which is largely attributable to the borrowings used to fund the Houston Interests acquisition, which was completed in the second quarter of fiscal 2017, and borrowings due to the timing of collections and disbursements on the previously announced Electrical Infrastructure project.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fiscal 2017 was 94.4% compared to 35.6% in the same period a year earlier. Our effective tax rate for fiscal 2017 was impacted, in part, by the Electrical Infrastructure project discussed above. The loss on this project produced a tax benefit in Canada, which has a lower tax rate than the U.S. At the same time, the Company earned most of its taxable income domestically, which is taxed at a much higher rate. A full analysis of the Company's provision for income taxes is included in Item 8. Financial Statements and Supplementary Data, Note 6 - Income Taxes.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Matrix Service Company and the related fully diluted loss per share were $0.2 million and $0.01, respectively, in fiscal 2017 compared to net income and fully diluted earnings per share of $28.9 million and $1.07, respectively, in fiscal 2016.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Electrical Infrastructure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for the Electrical Infrastructure segment increased $24.4 million to $373.4 million in fiscal 2017 compared to $349.0 million in fiscal 2016. The increase in revenue was primarily a result of higher volumes on a significant power generation project, partially offset by lower volumes in transmission and distribution work. The fiscal 2017 gross margin was 1.9% compared to 8.4% in fiscal 2016. The lower fiscal 2017 gross margin was primarily attributable to the financial impact of the project referenced in the discussion of consolidated results above (more fully discussed in Item 8. Financial Statements and Supplementary Data, Note 3 - Uncompleted Contracts). Fiscal 2016 gross margin was negatively impacted by charges recorded in connection with an acquired EPC joint venture project (more fully discussed in Item 8. Financial Statements and Supplementary Data, Note 3 - Uncompleted Contracts).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Gas &amp; Chemical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Oil Gas &amp; Chemical segment was $240.5 million in fiscal 2017 compared to $249.8 million in fiscal 2016. The decrease in revenue is related to lower volume across the business as refiners continue to limit spending as the result of continued volatility in commodity prices and market uncertainty, partially offset by incremental revenues associated with Houston Interests, which was acquired in December 2016 (See Item 8. Financial Statements and Supplementary Data, Note 2 - Acquisitions). The gross margin was 5.3% in fiscal 2017 compared to 7.4% in fiscal 2016. The gross margin for fiscal 2017 was affected by lower volume, which led to increased under recovery of overhead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Solutions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Storage Solutions segment was $481.7 million in fiscal 2017 compared to $563.5 million in the prior year. The decrease is primarily attributable to reduced activity during the second half of fiscal 2017 on the previously announced project for the construction of crude gathering terminals that support the Dakota Access Pipeline project and lower volumes in our domestic storage business. Gross margin was 11.6% in fiscal 2017 as a result of strong project execution, partially offset by increased under recovery of overhead costs due to lower volumes. Gross margin in fiscal 2016 was 12.0% as a result of effective project execution.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Industrial segment was $101.9 million in fiscal 2017 compared to $149.6 million in fiscal 2016. The decline in revenue is primarily attributable to lower business volumes in the iron and steel and mining markets as a result of depressed commodity prices, and lower revenue recognized on a large fertilizer project. The gross margin was 5.4% in fiscal 2017 compared to 6.9% in the prior year. The fiscal 2017 gross margin was negatively impacted by the under recovery of construction overhead costs due to reduced volume.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2016 Versus Fiscal 2015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revenue was $1.312 billion in fiscal 2016, a decrease of $31.2 million, or 2.3% from consolidated revenue of $1.343 billion in fiscal 2015. On a segment basis, consolidated revenue increased in the Electrical Infrastructure and Storage Solutions segments by $91.1 million and $60.4 million, respectively, but were offset by lower revenue in the Industrial and Oil Gas &amp; Chemical segments of $127.1 million and $55.6 million, respectively.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gross profit was $126.0 million in fiscal 2016 compared to $87.4 million in fiscal 2015. The Company recorded project charges of $7.1 million and $53.4 million on the acquired EPC joint venture project in fiscal 2016 and fiscal 2015, respectively. The charges, which are discussed in Item 8. Financial Statements and Supplementary Data, Note 3 - Uncompleted Contracts, reduced fiscal 2016 gross margins by 0.6% to 9.6% and reduced fiscal 2015 gross margins by 4.3% to 6.5%.</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SG&amp;A expenses were $85.1 million in fiscal 2016 compared to $78.6 million in the prior year. The increase in fiscal 2016 is primarily related to a bad debt charge of $5.2 million, increased incentive expense related to higher profitability over the prior fiscal year, severance payments, and $1.2 million of costs related to the Baillie Tank Equipment, Ltd. acquisition described in Note 2.</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expense was $0.7 million in fiscal 2016, and $0.8 million in the prior year. Fiscal 2015 results include $0.3 million of interest income attributable to an award received due to the settlement of a customer dispute.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fiscal 2016 was 35.6% compared to 123.2% in the same period a year earlier. Our effective tax rate for fiscal 2016 and 2015 was impacted, in part, by the acquired EPC joint venture project charges in which the Company has a 65% interest and does not receive a tax benefit. A full analysis of the Company's provision for income taxes is included in Item 8. Financial Statements and Supplementary Data, Note 6 - Income Taxes.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Fiscal 2016 net income attributable to Matrix Service Company and the related fully diluted earnings per share were $28.9 million and $1.07, compared to $17.2 million and $0.63 in the same period a year earlier.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Electrical Infrastructure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Electrical Infrastructure segment increased $91.1 million to $349.0 million in fiscal 2016 compared to $257.9 million in the same period a year earlier. The increased revenue volume in fiscal 2016 was due to volume increases in power delivery and accelerating work on the previously announced Napanee Generating Station. The Company recorded project charges of $7.1 million and $53.4 million on the acquired EPC joint venture project in fiscal 2016 and fiscal 2015. The charges, which are discussed in Item 8. Financial Statements and Supplementary Data, Note 3 - Uncompleted Contracts, reduced fiscal 2016 segment gross margins by 2.3% to 8.4% and reduced fiscal 2015 segment gross margins by 22.2% to (12.2%).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Gas &amp; Chemical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Oil Gas &amp; Chemical segment was $249.8 million in fiscal 2016 compared to $305.4 million in the same period a year earlier. The decrease of $55.6 million is largely related to a significant turnaround in fiscal 2015 and lower levels of capital work in fiscal 2016. Fiscal 2016 gross margins were 7.4% compared to 8.3% a year earlier. Gross margins for fiscal 2016 were affected by lower volume, which led to the under recovery of overhead costs, and a project charge in our upstream business. Fiscal 2015 margins were negatively affected by lower than expected profitability on a significant turnaround.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Solutions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Storage Solutions segment increased to $563.5 million in fiscal 2016 compared to $503.1 million in the prior year. The increase of $60.4 million is primarily attributable to a previously announced project for the construction of crude gathering terminals feeding the Dakota Access Pipeline, partially offset by lower revenue volume in our Canadian operations. Gross margins were 12.0% for fiscal 2016 compared to 11.5% in the prior year. Fiscal 2016 margins were positively impacted by the improved recovery of construction overhead costs along with strong project execution.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for the Industrial segment decreased $127.1 million to $149.6 million in fiscal 2016 compared to $276.7 million in the same period a year earlier. The decline in revenue is primarily attributable to lower business volumes in the iron and steel and mining markets, and lower revenue recognized on a large fertilizer project that is nearing completion. Gross margins were 6.9% in fiscal 2016 compared to 12.8% in the same period a year earlier. Fiscal 2016 margins were positively impacted by strong project execution offset by a forecasted unfavorable customer settlement and lower margins on iron and steel work due to lower volume. Fiscal 2015 gross margins were high primarily due to profit recognized on favorable project completions and a favorable settlement with a customer.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is a supplemental, non-GAAP financial measure. EBITDA is defined as net income (loss) before interest expense, income taxes, depreciation and amortization. We have presented Adjusted EBITDA, which we define as net income (loss) attributable to Matrix Service Company before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income (loss) attributable to Matrix Service Company”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income (loss) attributable to Matrix Service Company,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93" w:lineRule="exact"/>
        <w:rPr>
          <w:sz w:val="20"/>
          <w:szCs w:val="20"/>
          <w:color w:val="auto"/>
        </w:rPr>
      </w:pPr>
    </w:p>
    <w:p>
      <w:pPr>
        <w:ind w:left="980" w:right="300" w:hanging="32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interest expense. Because we have borrowed money to finance our operations and to acquire businesses, pay commitment fees to maintain our senior revolving credit facility, and incur fees to issue letters of credit under the senior revolving credit facility, interest expense is a necessary and ongoing part of our costs and has assisted us in generating revenue. Therefore, any measure that excludes interest expense has material limitations.</w:t>
      </w:r>
    </w:p>
    <w:p>
      <w:pPr>
        <w:spacing w:after="0" w:line="180"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income taxes. Because the payment of income taxes is a necessary and ongoing part of our operations, any measure that excludes income taxes has material limitations.</w:t>
      </w:r>
    </w:p>
    <w:p>
      <w:pPr>
        <w:spacing w:after="0" w:line="161"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net income (loss) attributable to Matrix Service Company follows:</w:t>
      </w: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080" w:type="dxa"/>
            <w:vAlign w:val="bottom"/>
          </w:tcPr>
          <w:p>
            <w:pPr>
              <w:jc w:val="right"/>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Matrix Service Company</w:t>
            </w:r>
          </w:p>
        </w:tc>
        <w:tc>
          <w:tcPr>
            <w:tcW w:w="2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28,863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17,157</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10,090</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21,602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21,441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23,480</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25,938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65,272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51,963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liquidity as the ability to pay our liabilities as they become due, fund business operations and meet all contractual and financial obligations. Our primary sources of liquidity in fiscal 2017 were cash on hand at the beginning of the year, capacity under our senior revolving credit facility and cash generated from operations. Cash on hand at June 30, 2017 totaled $43.8 million and availability under the senior revolving credit facility totaled $78.4 million, resulting in total liquidity of $122.2 million. The United States Dollar equivalent of Canadian, South Korean, Australian and Colombian deposits totaled $7.7 million and is included in our consolidated cash balance. We expect to fund our operations for the next twelve months through the use of cash generated from operations, existing cash balances and borrowings under our senior revolving credit facility, as necessary.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routinely impact our short-term liquidity and that may impact our long-term liquidity include, but are not limited to:</w:t>
      </w:r>
    </w:p>
    <w:p>
      <w:pPr>
        <w:spacing w:after="0" w:line="171" w:lineRule="exact"/>
        <w:rPr>
          <w:sz w:val="20"/>
          <w:szCs w:val="20"/>
          <w:color w:val="auto"/>
        </w:rPr>
      </w:pPr>
    </w:p>
    <w:p>
      <w:pPr>
        <w:ind w:left="640" w:right="100" w:hanging="321"/>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07"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cost plus and fixed price customer contracts are billed based on milestones which may require us to incur significant expenditures prior to collections from our customers.</w:t>
      </w:r>
    </w:p>
    <w:p>
      <w:pPr>
        <w:spacing w:after="0" w:line="107" w:lineRule="exact"/>
        <w:rPr>
          <w:rFonts w:ascii="Times New Roman" w:cs="Times New Roman" w:eastAsia="Times New Roman" w:hAnsi="Times New Roman"/>
          <w:sz w:val="18"/>
          <w:szCs w:val="18"/>
          <w:color w:val="auto"/>
        </w:rPr>
      </w:pPr>
    </w:p>
    <w:p>
      <w:pPr>
        <w:ind w:left="1000" w:right="140" w:hanging="317"/>
        <w:spacing w:after="0" w:line="282" w:lineRule="auto"/>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material contracts are normally billed in arrears. Therefore, we are routinely required to carry these costs until they can be billed and collected.</w:t>
      </w:r>
    </w:p>
    <w:p>
      <w:pPr>
        <w:spacing w:after="0" w:line="10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large construction projects may require significant retentions or security in the form of letters of credit.</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both short and long-term liquidity include:</w:t>
      </w:r>
    </w:p>
    <w:p>
      <w:pPr>
        <w:spacing w:after="0" w:line="171" w:lineRule="exact"/>
        <w:rPr>
          <w:sz w:val="20"/>
          <w:szCs w:val="20"/>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new businesses.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in new operations.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under our stock buyback program.</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disputes which can be significant.</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issues, including those caused by weak commodity prices or other factors which can lead to credit deterioration of our customers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under our senior revolving credit facility and remaining in compliance with all covenants contained in the Credit Agreement</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on hand outside of the United States that cannot be repatriated without incremental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by Operating Activities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used by operating activities for the twelve months ended June 30, 2017 totaled $18.7 million. Major components of cash flows from operating activities for the year ending June 30, 2017 are as follows:</w:t>
      </w:r>
    </w:p>
    <w:p>
      <w:pPr>
        <w:spacing w:after="0" w:line="26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Net Cash Used by Operating Activities</w:t>
      </w:r>
    </w:p>
    <w:p>
      <w:pPr>
        <w:spacing w:after="0" w:line="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expenses</w:t>
            </w:r>
          </w:p>
        </w:tc>
        <w:tc>
          <w:tcPr>
            <w:tcW w:w="8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30,669</w:t>
            </w:r>
          </w:p>
        </w:tc>
      </w:tr>
      <w:tr>
        <w:trPr>
          <w:trHeight w:val="27"/>
        </w:trPr>
        <w:tc>
          <w:tcPr>
            <w:tcW w:w="8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w:t>
            </w:r>
          </w:p>
        </w:tc>
        <w:tc>
          <w:tcPr>
            <w:tcW w:w="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effect of changes in working capital, net of acquisitions</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(47,286)</w:t>
            </w:r>
          </w:p>
        </w:tc>
      </w:tr>
      <w:tr>
        <w:trPr>
          <w:trHeight w:val="27"/>
        </w:trPr>
        <w:tc>
          <w:tcPr>
            <w:tcW w:w="8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r>
      <w:tr>
        <w:trPr>
          <w:trHeight w:val="257"/>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(18,746)</w:t>
            </w:r>
          </w:p>
        </w:tc>
      </w:tr>
      <w:tr>
        <w:trPr>
          <w:trHeight w:val="20"/>
        </w:trPr>
        <w:tc>
          <w:tcPr>
            <w:tcW w:w="8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changes, net of effects from acquisitions, at June 30, 2017 in comparison to June 30, 2016 include the following:</w:t>
      </w:r>
    </w:p>
    <w:p>
      <w:pPr>
        <w:spacing w:after="0" w:line="252" w:lineRule="exact"/>
        <w:rPr>
          <w:sz w:val="20"/>
          <w:szCs w:val="20"/>
          <w:color w:val="auto"/>
        </w:rPr>
      </w:pPr>
    </w:p>
    <w:p>
      <w:pPr>
        <w:ind w:left="640" w:right="100" w:hanging="321"/>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of bad debt expense recognized during the period, increased by $11.9 million during fiscal 2017, which reduced cash flows from operating activities. The variance is primarily attributable to the timing of billing and collections.</w:t>
      </w:r>
    </w:p>
    <w:p>
      <w:pPr>
        <w:spacing w:after="0" w:line="107" w:lineRule="exact"/>
        <w:rPr>
          <w:rFonts w:ascii="Times New Roman" w:cs="Times New Roman" w:eastAsia="Times New Roman" w:hAnsi="Times New Roman"/>
          <w:sz w:val="18"/>
          <w:szCs w:val="18"/>
          <w:color w:val="auto"/>
        </w:rPr>
      </w:pPr>
    </w:p>
    <w:p>
      <w:pPr>
        <w:ind w:left="640" w:right="20" w:hanging="321"/>
        <w:spacing w:after="0" w:line="256"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estimated earnings in excess of billings on uncompleted contracts ("CIE") decreased $13.6 million while billings on uncompleted contracts in excess of costs and estimated earnings ("BIE") increased $5.2 million, both of which increased cash flows from operating activities. The changes were due to the timing of invoice billings and collections. CIE and BIE balances can experience significant day-to-day fluctuations based on contract terms, the timing of when job costs are incurred, the invoicing of those job costs to the customer and subsequent cash collection, and other factors. See the Consolidated Statement of Cash Flows at Part 2, Item 8 of this Annual Report on Form 10-K for adjustments to net income and the impact of operating activities.</w:t>
      </w:r>
    </w:p>
    <w:p>
      <w:pPr>
        <w:spacing w:after="0" w:line="133" w:lineRule="exact"/>
        <w:rPr>
          <w:rFonts w:ascii="Times New Roman" w:cs="Times New Roman" w:eastAsia="Times New Roman" w:hAnsi="Times New Roman"/>
          <w:sz w:val="18"/>
          <w:szCs w:val="18"/>
          <w:color w:val="auto"/>
        </w:rPr>
      </w:pPr>
    </w:p>
    <w:p>
      <w:pPr>
        <w:ind w:left="640" w:right="200" w:hanging="321"/>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by $37.0 million, which reduced cash flows from operating activities. The decrease was primarily due to the timing of payments and lower volumes of work in fiscal 2017 compared to the prior year.</w:t>
      </w:r>
    </w:p>
    <w:p>
      <w:pPr>
        <w:spacing w:after="0" w:line="107" w:lineRule="exact"/>
        <w:rPr>
          <w:rFonts w:ascii="Times New Roman" w:cs="Times New Roman" w:eastAsia="Times New Roman" w:hAnsi="Times New Roman"/>
          <w:sz w:val="18"/>
          <w:szCs w:val="18"/>
          <w:color w:val="auto"/>
        </w:rPr>
      </w:pPr>
    </w:p>
    <w:p>
      <w:pPr>
        <w:ind w:left="640" w:right="120" w:hanging="321"/>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decreased by $9.6 million, which reduced cash flows from operating activities. The decrease was primarily due to lower volumes of work in fiscal 2017 compared to the prior year and timing.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for Investing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$51.4 million of cash during the year ended June 30, 2017 due to $40.8 million of cash paid for the acquisition of Houston Interests and capital expenditures of $11.9 million, partially offset by proceeds from asset dispositions of $1.3 million. Capital expenditures included $4.4 million for office equipment and software, $3.8 million for the purchase of construction, fabrication equipment and small tools, $3.3 million for transportation equipment, and $0.4 million for land and buildings. The Company expects to spend approximately $8.2 million on capital expenditures in fiscal 2018.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activities provided $42.7 million of cash during the year ended June 30, 2017 primarily due to net borrowings under our senior revolving credit facility of $44.7 million and capital contributions received from the non-controlling interest holder of the EPC joint venture of $0.9 million. These sources of cash were partially offset by the repurchase of $2.3 million of Company stock for payment of withholding taxes due on equity-based compensation and the $1.1 million payment of fees related to the amendment and restatement and extension of our senior revolving credit facility.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borrowings at June 30, 2017 under our senior revolving credit facility were primarily used to fund the acquisition of Houston Interests and working capital needs in our Canadian business due to the timing of collections and disbursements on the previously announced Electrical Infrastructure project.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Revolving Credit Facility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 which replaced the Third Amended and Restated Credit Agreement dated as of November 7, 2011, as previously amended (the "Prior Credit Agreement").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a five-year senior secured revolving credit facility of $300.0 million that expires February 8, 2022, which replaces the $250.0 million senior secured revolving credit facility under the Prior Credit Agreement. The new credit facility may be used for working capital, acquisitions, capital expenditures, issuances of letters of credit and other lawful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the following covenants and borrowing limitations:</w:t>
      </w:r>
    </w:p>
    <w:p>
      <w:pPr>
        <w:spacing w:after="0" w:line="171" w:lineRule="exact"/>
        <w:rPr>
          <w:sz w:val="20"/>
          <w:szCs w:val="20"/>
          <w:color w:val="auto"/>
        </w:rPr>
      </w:pPr>
    </w:p>
    <w:p>
      <w:pPr>
        <w:ind w:left="640" w:hanging="321"/>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determined as of the end of each fiscal quarter, may not exceed 3.00 to 1.00.</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Coverage Ratio, determined as of the end of each fiscal quarter, greater than or equal to 1.25 to 1.00.</w:t>
      </w:r>
    </w:p>
    <w:p>
      <w:pPr>
        <w:spacing w:after="0" w:line="171" w:lineRule="exact"/>
        <w:rPr>
          <w:rFonts w:ascii="Times New Roman" w:cs="Times New Roman" w:eastAsia="Times New Roman" w:hAnsi="Times New Roman"/>
          <w:sz w:val="18"/>
          <w:szCs w:val="18"/>
          <w:color w:val="auto"/>
        </w:rPr>
      </w:pPr>
    </w:p>
    <w:p>
      <w:pPr>
        <w:ind w:left="640" w:right="520" w:hanging="321"/>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new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or the Adjusted LIBO Rate, in the case of revolving loans denominated in U.S.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Prime Rate or the CDOR rate, in the case of revolving loans denominated in Canadian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 Rate, in the case of revolving loans denominated in Pounds Sterling or Australian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EURIBO Rate, in the case of revolving loans denominated in Euros,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includes a Leverage Ratio covenant, which provides that Consolidated Funded Indebtedness, as of the end of any fiscal quarter, may not exceed 3.0 times Consolidated EBITDA, as defined in the Credit Agreement, over the previous four quarters. For the four quarters ended June 30, 2017, Consolidated EBITDA, as defined in the Credit Agreement, was $43.6 million. Accordingly, at June 30, 2017, there was a restriction on our ability to access the full amount of the senior revolving credit facility. However, any continued constraint in future fiscal periods is not expected to impact our ability to operate the business. Consolidated Funded Indebtedness, as defined in the Credit Agreement, at June 30, 2017 was $52.5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as defined in the Credit Agreement, or "Covenant EBITDA," differs from Adjusted EBITDA, as reported under "Results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 Non-GAAP Financial Measure," in Item 7 primarily because it permits the Company to:</w:t>
      </w:r>
    </w:p>
    <w:p>
      <w:pPr>
        <w:spacing w:after="0" w:line="15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non-cash stock-based compensation expense,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pro forma EBITDA of acquired businesses as if the acquisition occurred at the beginning of the previous four quarters,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certain other extraordinary items, as defined in the Credit Agreement. The Company excluded as extraordinary items the acquisition and integration costs incurred during the previous four quarters.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under the senior revolving credit facility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420" w:type="dxa"/>
            <w:vAlign w:val="bottom"/>
          </w:tcPr>
          <w:p>
            <w:pPr>
              <w:spacing w:after="0"/>
              <w:rPr>
                <w:sz w:val="16"/>
                <w:szCs w:val="16"/>
                <w:color w:val="auto"/>
              </w:rPr>
            </w:pPr>
          </w:p>
        </w:tc>
        <w:tc>
          <w:tcPr>
            <w:tcW w:w="1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6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21"/>
                <w:szCs w:val="21"/>
                <w:color w:val="auto"/>
              </w:rPr>
            </w:pPr>
          </w:p>
        </w:tc>
      </w:tr>
      <w:tr>
        <w:trPr>
          <w:trHeight w:val="255"/>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revolving credit facility</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Capacity constraint due to the Senior Leverage Ratio</w:t>
            </w:r>
          </w:p>
        </w:tc>
        <w:tc>
          <w:tcPr>
            <w:tcW w:w="14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169,092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20,138</w:t>
            </w:r>
          </w:p>
        </w:tc>
      </w:tr>
      <w:tr>
        <w:trPr>
          <w:trHeight w:val="27"/>
        </w:trPr>
        <w:tc>
          <w:tcPr>
            <w:tcW w:w="6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Capacity under the senior revolving credit facility</w:t>
            </w:r>
          </w:p>
        </w:tc>
        <w:tc>
          <w:tcPr>
            <w:tcW w:w="1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130,908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179,862</w:t>
            </w: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outstanding</w:t>
            </w:r>
          </w:p>
        </w:tc>
        <w:tc>
          <w:tcPr>
            <w:tcW w:w="14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44,682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1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20,755</w:t>
            </w:r>
          </w:p>
        </w:tc>
      </w:tr>
      <w:tr>
        <w:trPr>
          <w:trHeight w:val="237"/>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Availability under the senior revolving credit facility</w:t>
            </w:r>
          </w:p>
        </w:tc>
        <w:tc>
          <w:tcPr>
            <w:tcW w:w="1420" w:type="dxa"/>
            <w:vAlign w:val="bottom"/>
            <w:tcBorders>
              <w:top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78,401</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159,107</w:t>
            </w:r>
          </w:p>
        </w:tc>
      </w:tr>
      <w:tr>
        <w:trPr>
          <w:trHeight w:val="27"/>
        </w:trPr>
        <w:tc>
          <w:tcPr>
            <w:tcW w:w="64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the constraint reduces our liquidity, the Company believes that the remaining availability under our senior revolving credit facility along with cash on hand and cash generated from operations will provide sufficient liquidity to achieve both our short-term and long-term business objectives. In addition, the credit agreement amendment discussed below under the caption "Subsequent Event" will further enhance our liquidity during the first half of fiscal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all other affirmative, negative, and financial covenants under the Credit Agreement.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borrowings at June 30, 2017 under our Credit Agreement were primarily used to fund the acquisition of Houston Interests and working capital needs in our Canadian business due to the timing of collections and disbursements on the previously announced Electrical Infrastructure project.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2017, the Company was at the lowest margin tier for the Adjusted LIBO Rate, EURIBO Rate, Alternate Base Rate, CDOR and Canadian Prime Rate loans and the lowest tier for the Unused Revolving Credit Facility Fee.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31, 2017, the Company entered in to an amendment to its Credit Agreement, which provided the following:</w:t>
      </w:r>
    </w:p>
    <w:p>
      <w:pPr>
        <w:spacing w:after="0" w:line="225" w:lineRule="exact"/>
        <w:rPr>
          <w:sz w:val="20"/>
          <w:szCs w:val="20"/>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permitted Leverage Ratio was temporarily increased to 4.00 to 1.00 for the quarters ending September 30, 2017, and December 31, 2017. The maximum Leverage Ratio will revert back to 3.00 to 1.00 beginning with the quarter ending March 31, 2018.</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 Coverage Ratio will not be tested for the quarters ending September 30, 2017 and December 31, 2017, but will be in effect and tested quarterly thereafter beginning with the quarter ending March 31, 2018.</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minimum Consolidated EBITDA covenant was added solely for the four-quarter period ending December 31, 2017. For this period, the Company is required to achieve Consolidated EBITDA of $15.0 million.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Payments covenant was amended to restrict cash dividends and share repurchases during the period beginning August 31, 2017 and ending December 31, 2017 to an aggregate basket of $5.0 million. In addition, during such period, both cash dividends and share repurchases are prohibited unless the pro forma Leverage Ratio is less than or equal to 2.50 to 1.00. Thereafter, the restriction reverts back to limiting cash dividends to 50% of net income for each fiscal year, and limiting share repurchases to $30.0 million per calendar year.</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increased pricing tier was added for the "Covenant Relief Period" beginning on August 31, 2017 and ending on the date we deliver our financial statements and compliance certificate for the fiscal quarter ending December 31, 2017. If our Leverage Ratio as of any quarterly calculation date during the Covenant Relief Period exceeds 3.00 to 1.00: (1) the Applicable Margin on ABR loans will be 1.875%; (2) the Applicable Margin for Adjusted LIBO, EURIBO and CDOR will be 2.875%; (3) the Applicable Margin for Canadian Prime Rate loans will be 3.375%; and (4) the unused credit facility fee will be 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except that, pursuant to an amendment to our Credit Agreement, from August 31, 2017 through December 31, 2017, the total of cash dividend payments, along with share repurchases, may not exceed $5.0 million. In addition, during this time we are prohibited from paying cash dividends or repurchasing stock unless the pro forma Leverage Ratio, as defined in the Credit Agreement, is less than or equal to 2.50 to 1.00 (see Item 8. Financial Statements and Supplementary Data, Note 5 - Debt for information about the amended Credit Agreement subsequent event). While we currently do not intend to pay cash dividends, any future dividend payments will depend on our financial condition, capital requirements and earnings as well as other relevant factors.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12, 2016, the Board of Directors approved a new stock buyback program (the "December 2016 Program"), which replaced the previous program that had been in place since November 2014. Under the December 2016 Program, the Company may repurchase common stock of the Company in any calendar year commencing with calendar year 2016 and continuing through calendar year 2018, up to a maximum of $25.0 million per calendar year.</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repurchase its stock from time to time in the open market at prevailing market prices or in privately negotiated transactions, except during the period from August 31, 2017 until December 31, 2017, when share repurchases, along with cash dividend payments, are restricted to an aggregate basket of $5.0 million under our Credit Agreement. In addition, during this time share repurchases may only be made if the pro forma Leverage Ratio is less than or equal to 2.50 to 1.00 (see Item 8. Financial Statements and Supplementary Data, Note 5 - Debt for information about the amended Credit Agreement subsequent event). The December 2016 Program will continue through December 31, 2018 unless and until it is modified or revoked by the Board of Directors. No shares have been repurchased under the December 2016 Program as of June 30, 2017.</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stock buyback program, the Company may withhold shares of common stock to satisfy the tax withholding obligations upon vesting of an employee’s deferred shares. Matrix withheld 134,535 and 205,504 shares of common stock during fiscal 2017 and 2016, respectively, to satisfy these obligations. These shares were returned to the Company’s pool of treasury shares. The Company has 1,287,655 treasury shares as of June 30, 2017 and intends to utilize these treasury shares in connection with equity awards under the Company’s stock incentive plans and for sales to the Employee Stock Purchase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2017, the following off-balance sheet arrangements were in place to support our ordinary course obligations: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Expiration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6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12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Letters of credit</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15,659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15,659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Surety bonds</w:t>
            </w:r>
          </w:p>
        </w:tc>
        <w:tc>
          <w:tcPr>
            <w:tcW w:w="2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67,271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69,518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82,930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85,177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both"/>
        <w:ind w:left="540" w:right="20" w:hanging="316"/>
        <w:spacing w:after="0" w:line="261" w:lineRule="auto"/>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letters of credit issued under our senior revolving credit facility are in support of our workers’ compensation insurance programs or certain construction contracts. The letters of credit that support our workers’ compensation programs are expected to renew annually through the term of our senior revolving credit facility. The letters of credit that support construction contracts will expire within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97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 at June 30, 2017 are summarized below:</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Contractual Obligations by Expiration Period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Borrowings under senior revolving credit facility</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44,682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44,682</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Interest payments on debt</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12,283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35,951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5,795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12,448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18,870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57,264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10,129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98,711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540" w:hanging="316"/>
        <w:spacing w:after="0" w:line="282" w:lineRule="auto"/>
        <w:tabs>
          <w:tab w:leader="none" w:pos="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total debt principal at June 30, 2017 is carried to maturity with no future borrowings or repayments. Interest payments on debt assumes the lowest margin tier that the Company was at for the fiscal year ended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97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interest rate risk results primarily from our variable rate indebtedness under our Credit Agreement, which is influenced by movements in short-term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our $300.0 million senior revolving credit facility bear interest at a rate per annum equal to:</w:t>
      </w:r>
    </w:p>
    <w:p>
      <w:pPr>
        <w:spacing w:after="0" w:line="153" w:lineRule="exact"/>
        <w:rPr>
          <w:sz w:val="20"/>
          <w:szCs w:val="20"/>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or the Adjusted LIBO Rate, in the case of revolving loans denominated in U.S.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Prime Rate or the CDOR rate, in the case of revolving loans denominated in Canadian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 Rate, in the case of revolving loans denominated in Pounds Sterling or Australian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EURIBO Rate, in the case of revolving loans denominated in Euros,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31, 2017, the Company amended its Credit Agreement, which resulted in an additional pricing tier so that if our Leverage Ratio exceeds 3.00 to 1.00 during the Covenant Relief Period: (1) the Applicable Margin on ABR loans will be 1.875%; (2) the Applicable Margin for Adjusted LIBO, EURIBO and CDOR will be 2.875%; (3) the Applicable Margin for Canadian Prime Rate loans will be 3.375%; and (4) the unused credit facility fee will be 0.50%. See Item 8. Financial Statements and Supplementary Data, Note 5 - Debt for more information about the amended Credit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with interest rate risk at June 30, 2017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Maturity by Fiscal Year</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Fair Value as</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center"/>
              <w:ind w:right="104"/>
              <w:spacing w:after="0" w:line="137" w:lineRule="exact"/>
              <w:rPr>
                <w:sz w:val="20"/>
                <w:szCs w:val="20"/>
                <w:color w:val="auto"/>
              </w:rPr>
            </w:pPr>
            <w:r>
              <w:rPr>
                <w:rFonts w:ascii="Times New Roman" w:cs="Times New Roman" w:eastAsia="Times New Roman" w:hAnsi="Times New Roman"/>
                <w:sz w:val="14"/>
                <w:szCs w:val="14"/>
                <w:b w:val="1"/>
                <w:bCs w:val="1"/>
                <w:color w:val="auto"/>
              </w:rPr>
              <w:t>of June 30,</w:t>
            </w:r>
          </w:p>
        </w:tc>
        <w:tc>
          <w:tcPr>
            <w:tcW w:w="0" w:type="dxa"/>
            <w:vAlign w:val="bottom"/>
          </w:tcPr>
          <w:p>
            <w:pPr>
              <w:spacing w:after="0"/>
              <w:rPr>
                <w:sz w:val="1"/>
                <w:szCs w:val="1"/>
                <w:color w:val="auto"/>
              </w:rPr>
            </w:pPr>
          </w:p>
        </w:tc>
      </w:tr>
      <w:tr>
        <w:trPr>
          <w:trHeight w:val="63"/>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restart"/>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2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5"/>
                <w:szCs w:val="5"/>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rate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44,682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44,682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44,682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with interest rate risk at June 30, 2016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Maturity by Fiscal Year</w:t>
            </w: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Fair Value as</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center"/>
              <w:ind w:right="104"/>
              <w:spacing w:after="0" w:line="137" w:lineRule="exact"/>
              <w:rPr>
                <w:sz w:val="20"/>
                <w:szCs w:val="20"/>
                <w:color w:val="auto"/>
              </w:rPr>
            </w:pPr>
            <w:r>
              <w:rPr>
                <w:rFonts w:ascii="Times New Roman" w:cs="Times New Roman" w:eastAsia="Times New Roman" w:hAnsi="Times New Roman"/>
                <w:sz w:val="14"/>
                <w:szCs w:val="14"/>
                <w:b w:val="1"/>
                <w:bCs w:val="1"/>
                <w:color w:val="auto"/>
              </w:rPr>
              <w:t>of June 30,</w:t>
            </w:r>
          </w:p>
        </w:tc>
        <w:tc>
          <w:tcPr>
            <w:tcW w:w="0" w:type="dxa"/>
            <w:vAlign w:val="bottom"/>
          </w:tcPr>
          <w:p>
            <w:pPr>
              <w:spacing w:after="0"/>
              <w:rPr>
                <w:sz w:val="1"/>
                <w:szCs w:val="1"/>
                <w:color w:val="auto"/>
              </w:rPr>
            </w:pPr>
          </w:p>
        </w:tc>
      </w:tr>
      <w:tr>
        <w:trPr>
          <w:trHeight w:val="63"/>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restart"/>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rate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Matrix Service Company has subsidiaries with operations in Canada, South Korea and Colombia, which use the Canadian Dollar, South Korean Won and Colombian Peso, respectively, as their functional currencies. The Company also has a subsidiary with operations in Australia, but its functional currency is the U.S. Dollar since its sales are primarily denominated in U.S. Dollars. The Company's operations in Colombia resulted from business acquired as part of the Houston Interests, LLC acquisition and the operations in South Korea and Australia were acquired in the Baillie Tank Equipment, Ltd. acquisition. Both acquisitions are discussed in Note 2 of the Notes to Consolidated Financial Statements included in Part II, Item 8 of this Annual Report on Form 10-K.</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movements in the Canadian Dollar to U.S. Dollar exchange rate have not significantly impacted the Company's results. Also, the Company does not expect exchange rate fluctuations in its South Korean, Australian and Colombian operations to materially impact its financial results since these operations represent an insignificant portion of the Company's consolidated revenues and expenses. However, further growth in its Canadian, South Korean, Australian and/or Colombian operations and/or significant fluctuations in the Canadian Dollar, South Korean Won, Australian Dollar and/or Colombian Peso to U.S. Dollar exchange rates could impact the Company’s financial results in the future.</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not entered into derivative instruments to hedge foreign currency risk, but periodically evaluates the materiality of our foreign currency exposure. To mitigate our risk, on occasion we borrow Canadian Dollars under our senior revolving credit facility to settle U.S. Dollar account balances. A 10% unfavorable change in the Canadian Dollar against the U.S. Dollar would not have had a material impact on the financial results of the Company for the fiscal year ended June 30, 2017.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 direct commodity exposure, but we do have exposure to materials derived from certain commodities including steel plate, steel pipe, and copper which are key materials used by the Company. Supplies of these materials are available throughout the United States and worldwide. We anticipate that adequate amounts of these materials will be available in the foreseeable future. However, the price, quantity, and delivery schedules of these materials could change rapidly due to various factors, including producer capacity, the level of foreign imports, worldwide demand, the imposition or removal of tariffs on imported steel and other market conditions. We mitigate these risks primarily by procuring materials upon contract execution to ensure that our purchase price approximates the costs included in the project estimate, and also by negotiating contract escalation clauses to cover unexpected costs due to fluctuations in materials derived from certain commodities.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1220" w:type="dxa"/>
            <w:vAlign w:val="bottom"/>
            <w:gridSpan w:val="17"/>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12"/>
        </w:trPr>
        <w:tc>
          <w:tcPr>
            <w:tcW w:w="112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r>
      <w:tr>
        <w:trPr>
          <w:trHeight w:val="567"/>
        </w:trPr>
        <w:tc>
          <w:tcPr>
            <w:tcW w:w="40" w:type="dxa"/>
            <w:vAlign w:val="bottom"/>
          </w:tcPr>
          <w:p>
            <w:pPr>
              <w:spacing w:after="0"/>
              <w:rPr>
                <w:sz w:val="24"/>
                <w:szCs w:val="24"/>
                <w:color w:val="auto"/>
              </w:rPr>
            </w:pPr>
          </w:p>
        </w:tc>
        <w:tc>
          <w:tcPr>
            <w:tcW w:w="11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 of the Company</w:t>
            </w:r>
          </w:p>
        </w:tc>
        <w:tc>
          <w:tcPr>
            <w:tcW w:w="18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15"/>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Management’s Report on Internal Control Over Financial Reporting</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Reports of Independent Registered Public Accounting Firm</w:t>
            </w:r>
          </w:p>
        </w:tc>
        <w:tc>
          <w:tcPr>
            <w:tcW w:w="600" w:type="dxa"/>
            <w:vAlign w:val="bottom"/>
            <w:tcBorders>
              <w:top w:val="single" w:sz="8" w:color="0000EE"/>
            </w:tcBorders>
          </w:tcPr>
          <w:p>
            <w:pPr>
              <w:spacing w:after="0"/>
              <w:rPr>
                <w:sz w:val="24"/>
                <w:szCs w:val="24"/>
                <w:color w:val="auto"/>
              </w:rPr>
            </w:pPr>
          </w:p>
        </w:tc>
        <w:tc>
          <w:tcPr>
            <w:tcW w:w="594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7">
              <w:r>
                <w:rPr>
                  <w:rFonts w:ascii="Times New Roman" w:cs="Times New Roman" w:eastAsia="Times New Roman" w:hAnsi="Times New Roman"/>
                  <w:sz w:val="18"/>
                  <w:szCs w:val="18"/>
                  <w:color w:val="0000EE"/>
                  <w:w w:val="88"/>
                </w:rPr>
                <w:t>46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Consolidated Statements of Income for the Years Ended June 30, 2017, June 30, 2016, and June 30, 2015</w:t>
              </w:r>
            </w:hyperlink>
          </w:p>
        </w:tc>
        <w:tc>
          <w:tcPr>
            <w:tcW w:w="292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4"/>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Consolidated Statements of Comprehensive Income for the Years Ended June 30, 2017, June 30, 2016, and June 30,</w:t>
              </w:r>
            </w:hyperlink>
          </w:p>
        </w:tc>
        <w:tc>
          <w:tcPr>
            <w:tcW w:w="1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80" w:type="dxa"/>
            <w:vAlign w:val="bottom"/>
            <w:gridSpan w:val="4"/>
          </w:tcPr>
          <w:p>
            <w:pPr>
              <w:ind w:left="720"/>
              <w:spacing w:after="0" w:line="196" w:lineRule="exact"/>
              <w:rPr>
                <w:rFonts w:ascii="Times New Roman" w:cs="Times New Roman" w:eastAsia="Times New Roman" w:hAnsi="Times New Roman"/>
                <w:sz w:val="18"/>
                <w:szCs w:val="18"/>
                <w:color w:val="0000EE"/>
                <w:w w:val="94"/>
              </w:rPr>
            </w:pPr>
            <w:hyperlink w:anchor="page50">
              <w:r>
                <w:rPr>
                  <w:rFonts w:ascii="Times New Roman" w:cs="Times New Roman" w:eastAsia="Times New Roman" w:hAnsi="Times New Roman"/>
                  <w:sz w:val="18"/>
                  <w:szCs w:val="18"/>
                  <w:color w:val="0000EE"/>
                  <w:w w:val="94"/>
                </w:rPr>
                <w:t>2015</w:t>
              </w:r>
            </w:hyperlink>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Pr>
          <w:p>
            <w:pPr>
              <w:jc w:val="right"/>
              <w:spacing w:after="0" w:line="196" w:lineRule="exact"/>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49</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Consolidated Balance Sheets as of June 30, 2017 and June 30, 2016</w:t>
              </w:r>
            </w:hyperlink>
          </w:p>
        </w:tc>
        <w:tc>
          <w:tcPr>
            <w:tcW w:w="5620" w:type="dxa"/>
            <w:vAlign w:val="bottom"/>
            <w:gridSpan w:val="5"/>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Consolidated Statements of Cash Flows for the Years Ended June 30, 2017, June 30, 2016, and June 30, 2015</w:t>
              </w:r>
            </w:hyperlink>
          </w:p>
        </w:tc>
        <w:tc>
          <w:tcPr>
            <w:tcW w:w="262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3">
              <w:r>
                <w:rPr>
                  <w:rFonts w:ascii="Times New Roman" w:cs="Times New Roman" w:eastAsia="Times New Roman" w:hAnsi="Times New Roman"/>
                  <w:sz w:val="18"/>
                  <w:szCs w:val="18"/>
                  <w:color w:val="0000EE"/>
                  <w:w w:val="88"/>
                </w:rPr>
                <w:t>52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Consolidated Statements of Changes in Stockholders’ Equity for the Years Ended June 30, 2017, June 30, 2016, and</w:t>
              </w:r>
            </w:hyperlink>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June 30, 2015</w:t>
              </w:r>
            </w:hyperlink>
          </w:p>
        </w:tc>
        <w:tc>
          <w:tcPr>
            <w:tcW w:w="9500" w:type="dxa"/>
            <w:vAlign w:val="bottom"/>
            <w:gridSpan w:val="11"/>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5">
              <w:r>
                <w:rPr>
                  <w:rFonts w:ascii="Times New Roman" w:cs="Times New Roman" w:eastAsia="Times New Roman" w:hAnsi="Times New Roman"/>
                  <w:sz w:val="18"/>
                  <w:szCs w:val="18"/>
                  <w:color w:val="0000EE"/>
                  <w:w w:val="88"/>
                </w:rPr>
                <w:t>54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Notes to Consolidated Financial Statements</w:t>
              </w:r>
            </w:hyperlink>
          </w:p>
        </w:tc>
        <w:tc>
          <w:tcPr>
            <w:tcW w:w="736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6">
              <w:r>
                <w:rPr>
                  <w:rFonts w:ascii="Times New Roman" w:cs="Times New Roman" w:eastAsia="Times New Roman" w:hAnsi="Times New Roman"/>
                  <w:sz w:val="18"/>
                  <w:szCs w:val="18"/>
                  <w:color w:val="0000EE"/>
                  <w:w w:val="88"/>
                </w:rPr>
                <w:t>55</w:t>
              </w:r>
            </w:hyperlink>
          </w:p>
        </w:tc>
      </w:tr>
      <w:tr>
        <w:trPr>
          <w:trHeight w:val="372"/>
        </w:trPr>
        <w:tc>
          <w:tcPr>
            <w:tcW w:w="40" w:type="dxa"/>
            <w:vAlign w:val="bottom"/>
          </w:tcPr>
          <w:p>
            <w:pPr>
              <w:spacing w:after="0"/>
              <w:rPr>
                <w:sz w:val="24"/>
                <w:szCs w:val="24"/>
                <w:color w:val="auto"/>
              </w:rPr>
            </w:pPr>
          </w:p>
        </w:tc>
        <w:tc>
          <w:tcPr>
            <w:tcW w:w="27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Quarterly Financial Data (Unaudited)</w:t>
              </w:r>
            </w:hyperlink>
          </w:p>
        </w:tc>
        <w:tc>
          <w:tcPr>
            <w:tcW w:w="8480" w:type="dxa"/>
            <w:vAlign w:val="bottom"/>
            <w:gridSpan w:val="10"/>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4">
              <w:r>
                <w:rPr>
                  <w:rFonts w:ascii="Times New Roman" w:cs="Times New Roman" w:eastAsia="Times New Roman" w:hAnsi="Times New Roman"/>
                  <w:sz w:val="18"/>
                  <w:szCs w:val="18"/>
                  <w:color w:val="0000EE"/>
                  <w:w w:val="88"/>
                </w:rPr>
                <w:t>83</w:t>
              </w:r>
            </w:hyperlink>
          </w:p>
        </w:tc>
      </w:tr>
      <w:tr>
        <w:trPr>
          <w:trHeight w:val="372"/>
        </w:trPr>
        <w:tc>
          <w:tcPr>
            <w:tcW w:w="40" w:type="dxa"/>
            <w:vAlign w:val="bottom"/>
          </w:tcPr>
          <w:p>
            <w:pPr>
              <w:spacing w:after="0"/>
              <w:rPr>
                <w:sz w:val="24"/>
                <w:szCs w:val="24"/>
                <w:color w:val="auto"/>
              </w:rPr>
            </w:pPr>
          </w:p>
        </w:tc>
        <w:tc>
          <w:tcPr>
            <w:tcW w:w="11180" w:type="dxa"/>
            <w:vAlign w:val="bottom"/>
            <w:gridSpan w:val="16"/>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Schedule II—Valuation and Qualifying Accounts</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85">
              <w:r>
                <w:rPr>
                  <w:rFonts w:ascii="Times New Roman" w:cs="Times New Roman" w:eastAsia="Times New Roman" w:hAnsi="Times New Roman"/>
                  <w:sz w:val="18"/>
                  <w:szCs w:val="18"/>
                  <w:color w:val="0000EE"/>
                  <w:w w:val="88"/>
                </w:rPr>
                <w:t>84</w:t>
              </w:r>
            </w:hyperlink>
          </w:p>
        </w:tc>
      </w:tr>
      <w:tr>
        <w:trPr>
          <w:trHeight w:val="20"/>
        </w:trPr>
        <w:tc>
          <w:tcPr>
            <w:tcW w:w="40" w:type="dxa"/>
            <w:vAlign w:val="bottom"/>
          </w:tcPr>
          <w:p>
            <w:pPr>
              <w:spacing w:after="0" w:line="20" w:lineRule="exact"/>
              <w:rPr>
                <w:sz w:val="1"/>
                <w:szCs w:val="1"/>
                <w:color w:val="auto"/>
              </w:rPr>
            </w:pPr>
          </w:p>
        </w:tc>
        <w:tc>
          <w:tcPr>
            <w:tcW w:w="3540" w:type="dxa"/>
            <w:vAlign w:val="bottom"/>
            <w:gridSpan w:val="7"/>
            <w:shd w:val="clear" w:color="auto" w:fill="0000EE"/>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26"/>
        </w:trPr>
        <w:tc>
          <w:tcPr>
            <w:tcW w:w="112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180" w:type="dxa"/>
            <w:vAlign w:val="bottom"/>
          </w:tcPr>
          <w:p>
            <w:pPr>
              <w:spacing w:after="0"/>
              <w:rPr>
                <w:sz w:val="24"/>
                <w:szCs w:val="24"/>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is filed as a part of this report under Schedule II – Valuation and Qualifying Accounts for the three fiscal years ended June 30, 2017, June 30, 2016 and June 30, 2015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management of Matrix Service Company (the “Company”) and its wholly-owned subsidiaries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4" w:lineRule="exact"/>
        <w:rPr>
          <w:sz w:val="20"/>
          <w:szCs w:val="20"/>
          <w:color w:val="auto"/>
        </w:rPr>
      </w:pPr>
    </w:p>
    <w:p>
      <w:pPr>
        <w:ind w:firstLine="8"/>
        <w:spacing w:after="0" w:line="261"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June 30, 2017. In making this assessment, the Company’s management used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set forth by the Committee of Sponsoring Organizations of the Treadway Commission (“COSO”) in Internal Control-Integrated Framework.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year 2017, the Company completed the acquisition of Houston Interests, LLC ("Houston Interests"). Refer to Note 2 - Acquisitions, for additional information regarding this event. Management has excluded this business from its evaluation of the effectiveness of the Company's internal control over financial reporting as of June 30, 2017. The revenues attributable to this business represented approximately 3 percent of the Company's consolidated revenues for the year ended June 30, 2017 and its aggregate total assets represented approximately 13 percent of the Company's consolidated total assets as of June 30, 2017.</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2017 was effective.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issued an attestation report on the effectiveness of the Company’s internal control over financial reporting as of June 30, 2017.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John R. Hewitt</w:t>
            </w:r>
          </w:p>
        </w:tc>
        <w:tc>
          <w:tcPr>
            <w:tcW w:w="2500" w:type="dxa"/>
            <w:vAlign w:val="bottom"/>
          </w:tcPr>
          <w:p>
            <w:pPr>
              <w:spacing w:after="0"/>
              <w:rPr>
                <w:sz w:val="20"/>
                <w:szCs w:val="20"/>
                <w:color w:val="auto"/>
              </w:rPr>
            </w:pPr>
          </w:p>
        </w:tc>
        <w:tc>
          <w:tcPr>
            <w:tcW w:w="4680" w:type="dxa"/>
            <w:vAlign w:val="bottom"/>
          </w:tcPr>
          <w:p>
            <w:pPr>
              <w:jc w:val="center"/>
              <w:ind w:left="262"/>
              <w:spacing w:after="0"/>
              <w:rPr>
                <w:sz w:val="20"/>
                <w:szCs w:val="20"/>
                <w:color w:val="auto"/>
              </w:rPr>
            </w:pPr>
            <w:r>
              <w:rPr>
                <w:rFonts w:ascii="Times New Roman" w:cs="Times New Roman" w:eastAsia="Times New Roman" w:hAnsi="Times New Roman"/>
                <w:sz w:val="18"/>
                <w:szCs w:val="18"/>
                <w:color w:val="auto"/>
                <w:w w:val="99"/>
              </w:rPr>
              <w:t>/S/ Kevin S. Cavanah</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R. Hewitt</w:t>
            </w:r>
          </w:p>
        </w:tc>
        <w:tc>
          <w:tcPr>
            <w:tcW w:w="2500" w:type="dxa"/>
            <w:vAlign w:val="bottom"/>
          </w:tcPr>
          <w:p>
            <w:pPr>
              <w:spacing w:after="0"/>
              <w:rPr>
                <w:sz w:val="16"/>
                <w:szCs w:val="16"/>
                <w:color w:val="auto"/>
              </w:rPr>
            </w:pPr>
          </w:p>
        </w:tc>
        <w:tc>
          <w:tcPr>
            <w:tcW w:w="4680" w:type="dxa"/>
            <w:vAlign w:val="bottom"/>
            <w:vMerge w:val="restart"/>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Kevin S. Cavanah</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2500" w:type="dxa"/>
            <w:vAlign w:val="bottom"/>
          </w:tcPr>
          <w:p>
            <w:pPr>
              <w:spacing w:after="0"/>
              <w:rPr>
                <w:sz w:val="17"/>
                <w:szCs w:val="17"/>
                <w:color w:val="auto"/>
              </w:rPr>
            </w:pPr>
          </w:p>
        </w:tc>
        <w:tc>
          <w:tcPr>
            <w:tcW w:w="4680" w:type="dxa"/>
            <w:vAlign w:val="bottom"/>
            <w:vMerge w:val="restart"/>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Vice President and Chief Financial Officer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September 11, 2017</w:t>
            </w:r>
          </w:p>
        </w:tc>
        <w:tc>
          <w:tcPr>
            <w:tcW w:w="25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240" w:type="dxa"/>
            <w:vAlign w:val="bottom"/>
          </w:tcPr>
          <w:p>
            <w:pPr>
              <w:spacing w:after="0"/>
              <w:rPr>
                <w:sz w:val="24"/>
                <w:szCs w:val="24"/>
                <w:color w:val="auto"/>
              </w:rPr>
            </w:pPr>
          </w:p>
        </w:tc>
        <w:tc>
          <w:tcPr>
            <w:tcW w:w="25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45</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3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Matrix Service Company and subsidiaries (the “Company”) as of June 30, 2017, based on the criteria established in Internal Control - Integrated Framework (2013) issued by the Committee of Sponsoring Organizations of the Treadway Commission. As described in Management’s Report on Internal Control Over Financial Reporting, management excluded from its assessment the internal control over financial reporting at Houston Interests, LLC, which was acquired on December 12, 2016 and whose financial statements constitute 3% of the Company’s consolidated revenues and 13% of the Company’s consolidated total assets of the consolidated financial statement amounts as of and for the year ended June 30, 2017. Accordingly, our audit did not include the internal control over financial reporting at Houston Interests, LLC.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our opinion, the Company maintained, in all material respects, effective internal control over financial reporting as of June 30, 2017, based on the criteria established in Internal Control-Integrated Framework (2013) issued by the Committee of Sponsoring Organizations of the Treadway Commission.</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as of and for the year ended June 30, 2017 and financial statement schedule of the Company and our report dated September 11, 2017 expressed an unqualified opinion on those financial statements and financial statement schedule.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2017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Matrix Service Company and subsidiaries (the “Company”) as of June 30, 2017 and 2016, and the related consolidated statements of income, comprehensive income, cash flows and changes in stockholders’ equity for each of the three years in the period ended June 30, 2017.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Matrix Service Company and subsidiaries as of June 30, 2017 and 2016, and the results of their operations and their cash flows for each of the three years in the period ended June 30, 2017,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Company’s internal control over financial reporting as of June 30, 2017, based on the criteria established in Internal Control-Integrated Framework (2013) issued by the Committee of Sponsoring Organizations of the Treadway Commission and our report dated September 11, 2017 expressed an unqualified opinion on the Company’s internal control over financial reporting.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1,197,509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1,311,917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1,343,135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1,116,506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1,185,926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1,255,765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87,370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78,568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8,802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39,653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8,192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federal, state and foreign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10,090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25,537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Matrix Service Company</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28,863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17,157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earnings (loss)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26,597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26,603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27,100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27,177</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48</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49"/>
        </w:trPr>
        <w:tc>
          <w:tcPr>
            <w:tcW w:w="7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100" w:type="dxa"/>
            <w:vAlign w:val="bottom"/>
          </w:tcPr>
          <w:p>
            <w:pPr>
              <w:jc w:val="right"/>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 (net of tax of $180, $236 and $606 for the years ended</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1"/>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June 30, 2017, 2016 and 2015, respectively)</w:t>
            </w:r>
          </w:p>
        </w:tc>
        <w:tc>
          <w:tcPr>
            <w:tcW w:w="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24,618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r>
      <w:tr>
        <w:trPr>
          <w:trHeight w:val="27"/>
        </w:trPr>
        <w:tc>
          <w:tcPr>
            <w:tcW w:w="7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(19,055)</w:t>
            </w: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Matrix Service Company</w:t>
            </w:r>
          </w:p>
        </w:tc>
        <w:tc>
          <w:tcPr>
            <w:tcW w:w="94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27,944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11,413</w:t>
            </w:r>
          </w:p>
        </w:tc>
      </w:tr>
      <w:tr>
        <w:trPr>
          <w:trHeight w:val="27"/>
        </w:trPr>
        <w:tc>
          <w:tcPr>
            <w:tcW w:w="7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49</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3"/>
                <w:szCs w:val="13"/>
                <w:color w:val="auto"/>
              </w:rPr>
            </w:pPr>
          </w:p>
        </w:tc>
        <w:tc>
          <w:tcPr>
            <w:tcW w:w="14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660" w:type="dxa"/>
            <w:vAlign w:val="bottom"/>
            <w:tcBorders>
              <w:bottom w:val="single" w:sz="8" w:color="CCEEFF"/>
            </w:tcBorders>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43,805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71,656</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allowances (2017 - $9,887; 2016 - $8,403)</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210,953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190,434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91,180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104,001</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3,935</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5,411</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358,630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375,446</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Land and buildings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38,916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39,224</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 equipment</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94,298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90,386</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Transportation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49,046</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Office equipment and software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36,556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29,577</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7,475</w:t>
            </w: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 at cost</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224,296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215,708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(130,977)</w:t>
            </w: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80,274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84,731</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113,501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78,293</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26,296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20,999</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3,719</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1,779</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586,030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564,967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3"/>
                <w:szCs w:val="13"/>
                <w:color w:val="auto"/>
              </w:rPr>
            </w:pPr>
          </w:p>
        </w:tc>
        <w:tc>
          <w:tcPr>
            <w:tcW w:w="14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660" w:type="dxa"/>
            <w:vAlign w:val="bottom"/>
            <w:tcBorders>
              <w:bottom w:val="single" w:sz="8" w:color="CCEEFF"/>
            </w:tcBorders>
            <w:shd w:val="clear" w:color="auto" w:fill="CCEEFF"/>
          </w:tcPr>
          <w:p>
            <w:pPr>
              <w:ind w:left="24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105,649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141,445</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75,127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58,327</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27,716</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insurance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9,246</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2,675</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6,621</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218,976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246,030</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3,198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 under senior revolving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44,682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264,221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249,401</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Matrix Service Company stockholders' equity:</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stock—$.01 par value; 60,000,000 shares authorized; 27,888,217 shares issued as of</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6"/>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June 30, 2017 and June 30, 2016; 26,600,562 and 26,297,145 shares outstanding as of June 30,</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1"/>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2017 and June 30, 2016</w:t>
            </w: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128,419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126,958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222,974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223,257</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344,348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343,649</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treasury stock, at cost — 1,287,655 and 1,591,072 shares as of June 30, 2017 and June 30, 2016</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(26,907)</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Matrix Service Company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321,809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316,742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321,809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315,566</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586,030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564,967</w:t>
            </w:r>
          </w:p>
        </w:tc>
      </w:tr>
      <w:tr>
        <w:trPr>
          <w:trHeight w:val="27"/>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51</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25,537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1"/>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activities, net of effects of 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23,480</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uncollectible accounts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6,302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w:t>
            </w:r>
          </w:p>
        </w:tc>
      </w:tr>
      <w:tr>
        <w:trPr>
          <w:trHeight w:val="225"/>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increasing (decreasing) cash, net of effects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acquisitions: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6,831</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11,558</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12,957</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33,587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26,240</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7"/>
        </w:trPr>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Acquisitions, net of cash acquired (Note 2)</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Acquisition of property, plant and equipment</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Proceeds from asset sales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cash used by investing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8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(15,773)</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(51,419)</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-505460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-162560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8" w:lineRule="exact"/>
        <w:rPr>
          <w:sz w:val="20"/>
          <w:szCs w:val="20"/>
          <w:color w:val="auto"/>
        </w:rPr>
      </w:pPr>
    </w:p>
    <w:p>
      <w:pPr>
        <w:jc w:val="center"/>
        <w:ind w:right="48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ind w:right="4820"/>
        <w:spacing w:after="0"/>
        <w:rPr>
          <w:sz w:val="20"/>
          <w:szCs w:val="20"/>
          <w:color w:val="auto"/>
        </w:rPr>
      </w:pPr>
      <w:r>
        <w:rPr>
          <w:rFonts w:ascii="Times New Roman" w:cs="Times New Roman" w:eastAsia="Times New Roman" w:hAnsi="Times New Roman"/>
          <w:sz w:val="18"/>
          <w:szCs w:val="18"/>
          <w:i w:val="1"/>
          <w:iCs w:val="1"/>
          <w:color w:val="auto"/>
        </w:rPr>
        <w:t>52</w:t>
      </w:r>
    </w:p>
    <w:p>
      <w:pPr>
        <w:sectPr>
          <w:pgSz w:w="11900" w:h="16838" w:orient="portrait"/>
          <w:cols w:equalWidth="0" w:num="2">
            <w:col w:w="4100" w:space="720"/>
            <w:col w:w="6600"/>
          </w:cols>
          <w:pgMar w:left="240" w:top="121" w:right="23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under senior revolving credit facility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126,933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Repayments of advances under senior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debt amendment fees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 market purchase of treasury shares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5"/>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common stock for payment of statutory taxes due on equity-based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contributions from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8,546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acquired long-term debt</w:t>
            </w:r>
          </w:p>
        </w:tc>
        <w:tc>
          <w:tcPr>
            <w:tcW w:w="3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42,732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71,656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79,239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77,115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43,805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79,239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6,960</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acquisition working capital adjustment (Note 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Purchases of property, plant and equipment on account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Assumption of debt from acquisition (Note 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53</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5"/>
                <w:szCs w:val="5"/>
                <w:color w:val="auto"/>
              </w:rPr>
            </w:pPr>
          </w:p>
        </w:tc>
        <w:tc>
          <w:tcPr>
            <w:tcW w:w="112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9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5"/>
                <w:szCs w:val="5"/>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7"/>
                <w:szCs w:val="7"/>
                <w:color w:val="auto"/>
              </w:rPr>
            </w:pPr>
          </w:p>
        </w:tc>
        <w:tc>
          <w:tcPr>
            <w:tcW w:w="640" w:type="dxa"/>
            <w:vAlign w:val="bottom"/>
            <w:vMerge w:val="restart"/>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5"/>
                <w:szCs w:val="5"/>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5"/>
                <w:szCs w:val="5"/>
                <w:color w:val="auto"/>
              </w:rPr>
            </w:pPr>
          </w:p>
        </w:tc>
        <w:tc>
          <w:tcPr>
            <w:tcW w:w="13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July 1,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119,777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177,237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282,283</w:t>
            </w: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Capital contributions from noncontrolling interest</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8,546</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(5,744)</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sold to Employee Stock Purchase</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07"/>
        </w:trPr>
        <w:tc>
          <w:tcPr>
            <w:tcW w:w="3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Plan (13,243 shares)</w:t>
            </w:r>
          </w:p>
        </w:tc>
        <w:tc>
          <w:tcPr>
            <w:tcW w:w="14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Exercise of stock options (55,200 shares)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Issuance of deferred shares (326,763 shares)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repurchased to satisfy tax</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0" w:type="dxa"/>
            <w:vAlign w:val="bottom"/>
          </w:tcPr>
          <w:p>
            <w:pPr>
              <w:spacing w:after="0"/>
              <w:rPr>
                <w:sz w:val="1"/>
                <w:szCs w:val="1"/>
                <w:color w:val="auto"/>
              </w:rPr>
            </w:pPr>
          </w:p>
        </w:tc>
      </w:tr>
      <w:tr>
        <w:trPr>
          <w:trHeight w:val="107"/>
        </w:trPr>
        <w:tc>
          <w:tcPr>
            <w:tcW w:w="35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withholding obligations (105,058 shares)</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Tax effect of exercised stock options and vesting of</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1,802</w:t>
            </w:r>
          </w:p>
        </w:tc>
        <w:tc>
          <w:tcPr>
            <w:tcW w:w="0" w:type="dxa"/>
            <w:vAlign w:val="bottom"/>
          </w:tcPr>
          <w:p>
            <w:pPr>
              <w:spacing w:after="0"/>
              <w:rPr>
                <w:sz w:val="1"/>
                <w:szCs w:val="1"/>
                <w:color w:val="auto"/>
              </w:rPr>
            </w:pPr>
          </w:p>
        </w:tc>
      </w:tr>
      <w:tr>
        <w:trPr>
          <w:trHeight w:val="107"/>
        </w:trPr>
        <w:tc>
          <w:tcPr>
            <w:tcW w:w="3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shares</w:t>
            </w:r>
          </w:p>
        </w:tc>
        <w:tc>
          <w:tcPr>
            <w:tcW w:w="14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Open market purchases of treasury shares (283,772</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07"/>
        </w:trPr>
        <w:tc>
          <w:tcPr>
            <w:tcW w:w="35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6,302</w:t>
            </w:r>
          </w:p>
        </w:tc>
        <w:tc>
          <w:tcPr>
            <w:tcW w:w="0" w:type="dxa"/>
            <w:vAlign w:val="bottom"/>
          </w:tcPr>
          <w:p>
            <w:pPr>
              <w:spacing w:after="0"/>
              <w:rPr>
                <w:sz w:val="1"/>
                <w:szCs w:val="1"/>
                <w:color w:val="auto"/>
              </w:rPr>
            </w:pPr>
          </w:p>
        </w:tc>
      </w:tr>
      <w:tr>
        <w:trPr>
          <w:trHeight w:val="213"/>
        </w:trPr>
        <w:tc>
          <w:tcPr>
            <w:tcW w:w="3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June 30, 2015</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123,038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194,394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(18,489)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284,554</w:t>
            </w:r>
          </w:p>
        </w:tc>
        <w:tc>
          <w:tcPr>
            <w:tcW w:w="0" w:type="dxa"/>
            <w:vAlign w:val="bottom"/>
          </w:tcPr>
          <w:p>
            <w:pPr>
              <w:spacing w:after="0"/>
              <w:rPr>
                <w:sz w:val="1"/>
                <w:szCs w:val="1"/>
                <w:color w:val="auto"/>
              </w:rPr>
            </w:pPr>
          </w:p>
        </w:tc>
      </w:tr>
      <w:tr>
        <w:trPr>
          <w:trHeight w:val="37"/>
        </w:trPr>
        <w:tc>
          <w:tcPr>
            <w:tcW w:w="3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Capital contributions from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10,892</w:t>
            </w: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28,863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25,537</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53"/>
        </w:trPr>
        <w:tc>
          <w:tcPr>
            <w:tcW w:w="35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sold to Employee Stock Purchase</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07"/>
        </w:trPr>
        <w:tc>
          <w:tcPr>
            <w:tcW w:w="35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Plan (17,304 shares)</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Exercise of stock options (68,037 shares)</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Issuance of deferred shares (631,443 shares)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repurchased to satisfy tax</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w:t>
            </w:r>
          </w:p>
        </w:tc>
        <w:tc>
          <w:tcPr>
            <w:tcW w:w="0" w:type="dxa"/>
            <w:vAlign w:val="bottom"/>
          </w:tcPr>
          <w:p>
            <w:pPr>
              <w:spacing w:after="0"/>
              <w:rPr>
                <w:sz w:val="1"/>
                <w:szCs w:val="1"/>
                <w:color w:val="auto"/>
              </w:rPr>
            </w:pPr>
          </w:p>
        </w:tc>
      </w:tr>
      <w:tr>
        <w:trPr>
          <w:trHeight w:val="107"/>
        </w:trPr>
        <w:tc>
          <w:tcPr>
            <w:tcW w:w="3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withholding obligations (205,504 shares)</w:t>
            </w:r>
          </w:p>
        </w:tc>
        <w:tc>
          <w:tcPr>
            <w:tcW w:w="14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Tax effect of exercised stock options and vesting of</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3,261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3,261</w:t>
            </w:r>
          </w:p>
        </w:tc>
        <w:tc>
          <w:tcPr>
            <w:tcW w:w="0" w:type="dxa"/>
            <w:vAlign w:val="bottom"/>
          </w:tcPr>
          <w:p>
            <w:pPr>
              <w:spacing w:after="0"/>
              <w:rPr>
                <w:sz w:val="1"/>
                <w:szCs w:val="1"/>
                <w:color w:val="auto"/>
              </w:rPr>
            </w:pPr>
          </w:p>
        </w:tc>
      </w:tr>
      <w:tr>
        <w:trPr>
          <w:trHeight w:val="107"/>
        </w:trPr>
        <w:tc>
          <w:tcPr>
            <w:tcW w:w="35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deferred shares</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Open market purchases of treasury shares (654,958</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(10,461)</w:t>
            </w:r>
          </w:p>
        </w:tc>
        <w:tc>
          <w:tcPr>
            <w:tcW w:w="0" w:type="dxa"/>
            <w:vAlign w:val="bottom"/>
          </w:tcPr>
          <w:p>
            <w:pPr>
              <w:spacing w:after="0"/>
              <w:rPr>
                <w:sz w:val="1"/>
                <w:szCs w:val="1"/>
                <w:color w:val="auto"/>
              </w:rPr>
            </w:pPr>
          </w:p>
        </w:tc>
      </w:tr>
      <w:tr>
        <w:trPr>
          <w:trHeight w:val="107"/>
        </w:trPr>
        <w:tc>
          <w:tcPr>
            <w:tcW w:w="3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6,317</w:t>
            </w:r>
          </w:p>
        </w:tc>
        <w:tc>
          <w:tcPr>
            <w:tcW w:w="0" w:type="dxa"/>
            <w:vAlign w:val="bottom"/>
          </w:tcPr>
          <w:p>
            <w:pPr>
              <w:spacing w:after="0"/>
              <w:rPr>
                <w:sz w:val="1"/>
                <w:szCs w:val="1"/>
                <w:color w:val="auto"/>
              </w:rPr>
            </w:pPr>
          </w:p>
        </w:tc>
      </w:tr>
      <w:tr>
        <w:trPr>
          <w:trHeight w:val="51"/>
        </w:trPr>
        <w:tc>
          <w:tcPr>
            <w:tcW w:w="35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June 30, 2016</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126,958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223,257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315,566</w:t>
            </w:r>
          </w:p>
        </w:tc>
        <w:tc>
          <w:tcPr>
            <w:tcW w:w="0" w:type="dxa"/>
            <w:vAlign w:val="bottom"/>
          </w:tcPr>
          <w:p>
            <w:pPr>
              <w:spacing w:after="0"/>
              <w:rPr>
                <w:sz w:val="1"/>
                <w:szCs w:val="1"/>
                <w:color w:val="auto"/>
              </w:rPr>
            </w:pPr>
          </w:p>
        </w:tc>
      </w:tr>
      <w:tr>
        <w:trPr>
          <w:trHeight w:val="153"/>
        </w:trPr>
        <w:tc>
          <w:tcPr>
            <w:tcW w:w="35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Retrospective adjustment upon adoption of ASU</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35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2016-09 (see Note 1)</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Balances, June 30, 2016, as adjusted</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127,058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223,157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315,566</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Capital contributions from Non-Controlling Interest</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37"/>
        </w:trPr>
        <w:tc>
          <w:tcPr>
            <w:tcW w:w="3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Sold to Employee Stock Purchase</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07"/>
        </w:trPr>
        <w:tc>
          <w:tcPr>
            <w:tcW w:w="3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Plan (16,609 shares)</w:t>
            </w:r>
          </w:p>
        </w:tc>
        <w:tc>
          <w:tcPr>
            <w:tcW w:w="14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Exercise of stock options (24,813 shares)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Issuance of deferred shares (396,530 shares)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repurchased to satisfy tax</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107"/>
        </w:trPr>
        <w:tc>
          <w:tcPr>
            <w:tcW w:w="35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withholding obligations (134,535 shares)</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7,461</w:t>
            </w:r>
          </w:p>
        </w:tc>
        <w:tc>
          <w:tcPr>
            <w:tcW w:w="0" w:type="dxa"/>
            <w:vAlign w:val="bottom"/>
          </w:tcPr>
          <w:p>
            <w:pPr>
              <w:spacing w:after="0"/>
              <w:rPr>
                <w:sz w:val="1"/>
                <w:szCs w:val="1"/>
                <w:color w:val="auto"/>
              </w:rPr>
            </w:pPr>
          </w:p>
        </w:tc>
      </w:tr>
      <w:tr>
        <w:trPr>
          <w:trHeight w:val="200"/>
        </w:trPr>
        <w:tc>
          <w:tcPr>
            <w:tcW w:w="3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June 30, 2017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128,419</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222,974</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(22,539)</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321,809</w:t>
            </w:r>
          </w:p>
        </w:tc>
        <w:tc>
          <w:tcPr>
            <w:tcW w:w="0" w:type="dxa"/>
            <w:vAlign w:val="bottom"/>
          </w:tcPr>
          <w:p>
            <w:pPr>
              <w:spacing w:after="0"/>
              <w:rPr>
                <w:sz w:val="1"/>
                <w:szCs w:val="1"/>
                <w:color w:val="auto"/>
              </w:rPr>
            </w:pPr>
          </w:p>
        </w:tc>
      </w:tr>
      <w:tr>
        <w:trPr>
          <w:trHeight w:val="37"/>
        </w:trPr>
        <w:tc>
          <w:tcPr>
            <w:tcW w:w="35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and include the accounts of Matrix Service Company (“Matrix” or the “Company”) and its subsidiaries, all of which are wholly owned. Intercompany transactions and balances have been eliminated in consolidation.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in the United States, Canada, South Korea, Australia and Colombia. The Company’s reportable segments are Electrical Infrastructure, Oil Gas &amp; Chemical, Storage Solutions and Industrial.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valuation reserves on our accounts receivable and deferred tax assets, and the estimation of loss contingencies, including liabilities associated with litigation and with the self-insured retentions on our insurance programs. Actual results could materially differ from those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Matrix records revenue on fixed-price contracts on a percentage-of-completion basis, primarily based on costs incurred to date compared to the total estimated contract cost. The Company records revenue on reimbursable and time and 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provision is made through a contract write-down for the total loss anticipated. A number of our contracts contain various cost and performance incentives and penalties that impact the earnings we realize from our contracts, and adjustments related to these incentives and penalties are recorded in the period, on a percentage-of-completion basis, when estimable and probable.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Indirect costs, such as salaries and benefits, supplies and tools, equipment costs and insurance costs, are charged to projects based upon direct labor hours and overhead allocation rates per direct labor hour.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Precontract Costs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Precontract costs are costs incurred in anticipation of obtaining a contract that will result in no future benefit unless the contract is obtained. The Company generally expenses precontract costs to cost of revenue as incurred, but, in certain cases their recognition may be deferred if specific criteria are met. We had no deferred precontract costs at June 30, 2017 or 2016.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Orders and Claims Recognition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 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126" w:lineRule="exact"/>
        <w:rPr>
          <w:sz w:val="20"/>
          <w:szCs w:val="20"/>
          <w:color w:val="auto"/>
        </w:rPr>
      </w:pPr>
    </w:p>
    <w:p>
      <w:pPr>
        <w:ind w:left="640" w:hanging="321"/>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legal basis for the claim;</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costs were caused by circumstances that were unforeseen by the Company and are not the result of deficiencies in our performance;</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are identifiable or determinable and are reasonable in view of the work performed;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evidence supporting the claim is objective and verifiable.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all of these requirements are met, revenue from a claim is recorded only to the extent that we have incurred costs relating to the claim. Unapproved change orders and claims are more fully discussed in Note 7—Contingencies.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includes as cash equivalents all investments with original maturities of three months or less which are readily convertible into cash. The Company had approximately $0.3 million of restricted cash related to a customer deposit at June 30, 2017 and 2016. We have cash on deposit at June 30, 2017 with banks in the United States, Canada, South Korea, Australia and Colombia in excess of Federal Deposit Insurance Corporation ("FDIC"), Canada Deposit Insurance Corporation ("CDIC"), Korea Deposit Insurance Corporation ("KDIC"), Financial Claims Scheme ("FCS") and </w:t>
      </w:r>
      <w:r>
        <w:rPr>
          <w:rFonts w:ascii="Times New Roman" w:cs="Times New Roman" w:eastAsia="Times New Roman" w:hAnsi="Times New Roman"/>
          <w:sz w:val="18"/>
          <w:szCs w:val="18"/>
          <w:i w:val="1"/>
          <w:iCs w:val="1"/>
          <w:color w:val="auto"/>
        </w:rPr>
        <w:t>Fondo de Garantias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Instituciones Financieras </w:t>
      </w:r>
      <w:r>
        <w:rPr>
          <w:rFonts w:ascii="Times New Roman" w:cs="Times New Roman" w:eastAsia="Times New Roman" w:hAnsi="Times New Roman"/>
          <w:sz w:val="18"/>
          <w:szCs w:val="18"/>
          <w:color w:val="auto"/>
        </w:rPr>
        <w:t>protection limits, respectively. The United States Dollar equivalent of Canadian, South Korean, Australian and Colombian deposits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totaled $7.7 million as of June 30, 2017.</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are carried on a gross basis, less the allowance for uncollectible accounts. The Company’s customers consist primarily of major integrated oil companies, steel companies, independent refiners and marketers, power companies, petrochemical companies, pipeline companies, mining companies, contractors and engineering firms. The Company is exposed to the risk of individual customer defaults or depressed cycles in our customers’ industries. To mitigate this risk many of our contracts require payment as projects progress or advance payment in some circumstances. In addition, in most cases the Company can place liens against the property, plant or equipment constructed or terminate the contract if a material contract default occurs. Management estimates the allowance for uncollectible accounts based on existing economic conditions, the financial condition of its customers and the amount and age of past due accounts. Accounts are written off against the allowance for uncollectible accounts only after all collection attempts have been exhausted.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retentions collectible beyond one year are included in Other Assets in the Consolidated Balance Sheets. Accounts payable retentions are generally settled within one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33"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costs are expensed as incurred.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consist primarily of steel plate and pipe and aluminum coil and extrusions. Cost is determined primarily using the average cost method and inventories are stated at the lower of cost or net realizable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depreciable assets. Depreciable lives are as follows: buildings —40 years, construction equipment—3 to 15 years, transportation equipment—3 to 5 years, and office equipment and software—3 to 10 years. Leasehold improvements are amortized over the shorter of the useful life of the asset or the lease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our annual test during the fourth quarter of each fiscal year and in any other period in which indicators of impairment warrant additional tests.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utilizes a discounted cash flow analysis, referred to as an income approach, to determine the estimated fair value of our reporting units. Significant judgments and assumptions including the discount rate, anticipated revenue growth rate, gross margins, operating expenses, working capital needs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 We also consider the combined carrying values of our reporting units to our market capitalization.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33"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that have finite useful lives are amortized by the straight-line method over their useful lives ranging from 1 year to 15 years. A finite intangible asset is considered impaired when its carrying amount is not recoverable and exceeds the asset's fair value. The carrying amount is deemed unrecoverable if it is greater than the sum of undiscounted cash flows expected to result from use and eventual disposition of the asset. An impairment loss is equal to the excess of the carrying amount over the fair value of the asset. If quoted market prices are not available, the fair values of the intangible assets are based on present values of expected future cash flows or royalties avoided using discount rates commensurate with the risks involved.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options and nonvested deferred share awards under its long-term incentive compensation plans. The fair value of these awards is calculated at grant date. The fair value of time-based, nonvested deferred shares is the value of the Company’s common stock at the grant date. The fair value of market-based nonvested deferred shares is based on several factors, including the probability that the market condition specified in the grant will be achieved. The fair value of stock options is determined based on the Black-Scholes option pricing model. For all stock-based awards, expense is recognized over the requisite service period with forfeitures recorded as they occur.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currencies of the Company’s operations in Canada, South Korea, Australia and Colombia are the Canadian Dollar, South Korean Won, U.S. Dollar and Colombian Peso, respectively. For subsidiaries with operations using a foreign functional currency, assets and liabilities are translated at the year end exchange rates and the income statement accounts are translated at average exchange rates throughout the year. Translation gains and losses are reported in Accumulated Other Comprehensive Income (Loss) in the Consolidated Statements of Changes in Stockholders’ Equity and in Other Comprehensive Income (Loss) in the Consolidated Statements of Comprehensive Income. Transaction gains and losses are reported as a component of Other income (expense) in the Consolidated Statements of Income.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33"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2014-09, Revenue from Contracts with Customers (Topic 606)</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 Early adoption is permitted on a limited basis.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currently evaluating the impact of adopting the ASU on the Company's financial position, results of operations, cash flows and related disclosures. Adoption of this ASU is expected to affect the manner in which the Company determines the unit of account for its projects (i.e., performance obligations). Under existing guidance, the Company may have multiple performance obligations for large, complex projects. Upon adoption, the Company expects that similar projects may have fewer performance obligations, possibly just one in some cases, which will result in a more constant recognition of revenue and profit over the term of the project. The Company will adopt this standard on July 1, 2018 using the modified retrospective method of application, which may result in a cumulative effect adjustment to retained earnings as of the date of adoption.</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completed its review of the new revenue standard and is currently developing a plan to review its contracts in order to confirm its understanding of how the new standard will impact its revenue recognition policy, disclosures, processes and internal controls. At this time, we cannot reliably estimate the amount of any potential retrospective adjustment.</w:t>
      </w:r>
    </w:p>
    <w:p>
      <w:pPr>
        <w:spacing w:after="0" w:line="120"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2014-15, Presentation of Financial Statements—Going Concern (Subtopic 205-40): Disclosure of Uncertainties about an Entity’s Ability to Continue as a Going Concern</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ASU was adopted during the Company's first fiscal quarter ending September 30, 2016. In connection with the adoption of the ASU, the Company now performs an assessment of its ability to continue as a going concern on a quarterly basis. Disclosure regarding the status of the Company's ability to continue as a going concern is required when there are conditions or events that raise substantial doubt about its ability to continue as a going concern within one year after the date that the financial statements are issued.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2015-16, Business Combinations (Topic 805): Simplifying the Accounting for Measurement-Period Adjustments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We adopted this standard on July 1, 2016 with no material impact to the Company's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333"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2016-02, Leases (Topic 842)</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ASU is effective for fiscal years beginning after December 15, 2018, including interim periods within those fiscal years. Early adoption is permitted, but we do not plan to do so at this time.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evaluating the ASU's expected impact on our financial statements. See Note 8 - Operating Leases for more information about the timing and amount of future operating lease payments, which we believe is indicative of the materiality of adoption of the ASU to our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2016-09, Stock Compensation (Topic 718): Improvements to Employee Share-Based Payment Accounting</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2016, the FASB issued ASU 2016-09, which simplified several aspects of accounting for stock-based compensation transactions, including the accounting for income taxes and forfeitures and statutory tax withholding requirements. The Company adopted the ASU during its first fiscal quarter ending September 30, 2016. The following is a description of the key provisions of the ASU and their impacts to the Company's financial statements: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Accounting for Income Taxes</w:t>
      </w:r>
      <w:r>
        <w:rPr>
          <w:rFonts w:ascii="Times New Roman" w:cs="Times New Roman" w:eastAsia="Times New Roman" w:hAnsi="Times New Roman"/>
          <w:sz w:val="18"/>
          <w:szCs w:val="18"/>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Previously, the Company recognized any excess tax benefits in additional paid-in capital ("APIC") in the balance sheet and any tax deficiencies were recognized as a reduction of APIC to the extent the Company has accumulated excess tax benefits. Any tax deficiencies in excess of accumulated excess tax benefits in APIC were recognized in the provision for income taxes. The amendments also require the Company to only present excess tax benefits and tax deficiencies in the operating section of its statements of cash flows as a component of deferred tax activity. Previously, the Company was required to present such items in both the financing section and operating section of its statements of cash flows. Amendments related to the recognition of excess tax benefits and tax deficiencies in income are required to be applied prospectively, and amendments related to the cash flow statement presentation of excess tax benefits and tax deficiencies may be applied either retrospectively or prospectively.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applied the amendments requiring the recognition of excess tax benefits and tax deficiencies in income prospectively. As a result, the Company recognized $0.5 million of excess tax benefits in its provision for income taxes during the year ended June 30, 2017, which increased basic and diluted earnings per share by $0.02. Under the prior accounting standard, the Company would have recognized the excess tax benefits in equity as APIC. The amendments relating to the presentation of excess tax benefits and tax deficiencies in the statement of cash flows were applied retrospectively. The effect of the retrospective adjustment was to eliminate the presentation of an operating cash outflow and a financing cash inflow for excess tax benefits on exercised stock options and vesting of deferred shares. These eliminations decreased net cash provided by operating activities by $3.3 million and decreased net cash used by financing activities by $3.3 million for the year ended June 30, 2016, and decreased net cash provided by operating activities by $1.8 million and increased cash provided by financing activities by $1.8 million for the year ended June 30, 2015. Net cash flows did not change in either year as a result of the retrospective adjustment.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Accounting for Forfeitures</w:t>
      </w:r>
      <w:r>
        <w:rPr>
          <w:rFonts w:ascii="Times New Roman" w:cs="Times New Roman" w:eastAsia="Times New Roman" w:hAnsi="Times New Roman"/>
          <w:sz w:val="18"/>
          <w:szCs w:val="18"/>
          <w:color w:val="auto"/>
        </w:rPr>
        <w:t>: The amendments in this ASU allow the Company to elect, as a company-wide accounting policy, either to continue to estimate the amount of forfeitures to exclude from compensation expense or to exclude forfeitures from compensation expense as they occur. Upon the adoption of the ASU during the first quarter of fiscal 2017, the Company elected to account for forfeitures as they occur. The Company is required to apply these amendments on a modified retrospective basis with a cumulative adjustment to retained earnings as of the beginning of the fiscal year. The Company recorded a modified retrospective adjustment to reduce the June 30, 2016 retained earnings balance and increase the APIC balance by $0.1 million each.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333"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Statutory Tax Withholding Requirements</w:t>
      </w:r>
      <w:r>
        <w:rPr>
          <w:rFonts w:ascii="Times New Roman" w:cs="Times New Roman" w:eastAsia="Times New Roman" w:hAnsi="Times New Roman"/>
          <w:sz w:val="18"/>
          <w:szCs w:val="18"/>
          <w:color w:val="auto"/>
        </w:rPr>
        <w:t>: Under the prior accounting standard, an entire award must be classified as a liability if the fair value of the shares withheld exceeds the Company's minimum statutory withholding obligation. Under the ASU, the Company is allowed to withhold shares with a fair value up to the amount of tax owed using the maximum statutory tax rate in the employee's applicable jurisdictions. The Company is allowed to determine one maximum rate for all employees in each jurisdiction, rather than a rate for each employee in the jurisdiction. Also, the ASU requires that cash outflows to reacquire shares withheld for taxes to be classified in the financing section of the statement of cash flows.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the ASU during the first quarter of fiscal 2017. Since the Company did not have any awards classified as liabilities due to statutory tax withholding requirements as of June 30, 2017, and since the Company already presented its cash outflows for reacquiring shares withheld for taxes as a financing activity in its statements of cash flows, these amendments did not have any impact on its financial statements upon adoption. The Company does not expect changes to employee withholdings for stock compensation to have a material impact to the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2016-13, Financial Instruments - Credit Losses (Topic 326): Measurement of Credit Losses on Financial Instruments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2017-04, Intangibles - Goodwill and Other (Topic 350): Simplifying the Test for Goodwill Impairment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26, 2017, the FASB issued ASU 2017-04, which simplifies the goodwill impairment test by eliminating step two from the procedure. Previously, goodwill was tested for impairment by performing a two-step test. The first step involves determining the fair value of a reporting unit and comparing it to the carrying amount of the reporting unit's net assets. If the fair value of the reporting unit is less than its carrying amount, then the goodwill assigned to that reporting unit is determined to be impaired and step two must then be completed to measure the amount of the impairment. Step two involved measuring the reporting unit's assets and liabilities at fair value following a process similar to determining the fair value of assets acquired and liabilities assumed in a business combination. The net fair value of the assets acquired and liabilities assumed was then compared to the fair value of the reporting unit in order to compute the implied goodwill for the reporting unit. The difference between the carrying amount of the reporting unit's goodwill and the amount of the implied goodwill computed was the amount of the goodwill impairment to be recognized. Under ASU 2017-04, instead of performing step two of the test, the Company will recognize an impairment charge to the extent a reporting unit's fair value is less than the carrying amount of its net assets, as indicated by step one of the test.</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standard must be applied prospectively and must be adopted in fiscal years beginning after December 15, 2019. Early adoption is permitted and the Company adopted the ASU during its fourth fiscal quarter of 2017. The Company performed its annual goodwill impairment test on May 31, 2017 in accordance with the adopted ASU.</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333"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2017-09, Compensation-Stock Compensation (Topic 718): Scope of Modification Accounting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ASU 2017-09 is effective for interim and annual reporting periods beginning after December 15, 2017. Early adoption is permitted and prospective application is required. Management does not expect the adoption of ASU 2017-09 to have a material impact on the Company’s financial position, results of operations or cash flows.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Houston Interests, LLC</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12, 2016, the Company completed the acquisition of Houston Interests, LLC ("Houston Interests"), a premier global solutions company that provides consulting, engineering, design, construction services and systems integration. Houston Interests brings expertise to the Company in natural gas processing; sulfur recovery, processing and handling; liquid terminals, silos and other bulk storage; process plant design; power generation environmental controls and material handling; industrial power distribution; electrical, instrumentation and controls; marine structures; material handling systems and terminals for cement, sulfur, fertilizer, coal and grain; and process heaters. The business has been included in our Matrix PDM Engineering, Inc. subsidiary, and its operating results have been included in the Oil Gas &amp; Chemical and Industrial segments.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purchased all of the equity interests of Houston Interests for $42.5 million, net of working capital adjustments and cash acquired. The consideration paid as of June 30, 2017 is as follows (in thousands):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equity interest</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46,000</w:t>
            </w:r>
          </w:p>
        </w:tc>
      </w:tr>
      <w:tr>
        <w:trPr>
          <w:trHeight w:val="24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working capital</w:t>
            </w:r>
          </w:p>
        </w:tc>
        <w:tc>
          <w:tcPr>
            <w:tcW w:w="7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5,150</w:t>
            </w:r>
          </w:p>
        </w:tc>
      </w:tr>
      <w:tr>
        <w:trPr>
          <w:trHeight w:val="27"/>
        </w:trPr>
        <w:tc>
          <w:tcPr>
            <w:tcW w:w="9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7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37"/>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consideration paid</w:t>
            </w:r>
          </w:p>
        </w:tc>
        <w:tc>
          <w:tcPr>
            <w:tcW w:w="7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40,819</w:t>
            </w:r>
          </w:p>
        </w:tc>
      </w:tr>
      <w:tr>
        <w:trPr>
          <w:trHeight w:val="27"/>
        </w:trPr>
        <w:tc>
          <w:tcPr>
            <w:tcW w:w="9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working capital adjustment</w:t>
            </w:r>
          </w:p>
        </w:tc>
        <w:tc>
          <w:tcPr>
            <w:tcW w:w="7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w:t>
            </w:r>
          </w:p>
        </w:tc>
      </w:tr>
      <w:tr>
        <w:trPr>
          <w:trHeight w:val="257"/>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purchase price</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42,506</w:t>
            </w:r>
          </w:p>
        </w:tc>
      </w:tr>
      <w:tr>
        <w:trPr>
          <w:trHeight w:val="20"/>
        </w:trPr>
        <w:tc>
          <w:tcPr>
            <w:tcW w:w="9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funded the equity interest portion of the consideration paid from borrowings under the Company's senior secured revolving credit facility (See Note 5). The purchase of working capital was paid with cash on hand. The net purchase price was allocated to the major categories of assets and liabilities based on their estimated fair value at the acquisition 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333"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preliminary net purchase price allocation (in thousands):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10,331</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21,804</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35,146</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10,220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68,112</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11,648</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2,475</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52,837</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cash acquired</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10,331</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purchase price</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42,506</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goodwill recognized from the acquisition is primarily attributable to the technical expertise of the acquired workforce and the complementary nature of Houston Interests' operations, which the Company believes will enable the combined entity to expand its service offerings and enter new markets. All of the goodwill recognized is deductible for income tax purposes. The fair value of the net assets acquired is preliminary pending the final valuation of those assets. As a result, goodwill is also preliminary since it has been recorded as the excess of the purchase price over the estimated fair value of the net assets acquired.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agreed to pay the previous owners up to $2.6 million for any unused portion of acquired warranty obligations outstanding as of June 30, 2017. This agreement was settled for $1.7 million, which was paid in July 2017. This settlement was reflected as a decrease to the acquired current liabilities and an increase to the net purchase price.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$0.6 million of expenses related to closing the acquisition during the year ended June 30, 2017, which were included within selling, general and administrative expenses in the consolidated statements of income. During the year ended June 30, 2017, the acquired business contributed revenues of $33.4 million and operating income of $1.3 million.</w:t>
      </w:r>
    </w:p>
    <w:p>
      <w:pPr>
        <w:spacing w:after="0" w:line="1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unaudited financial information in the table below summarizes the combined results of operations of Matrix Service Company and Houston Interests for the years ended June 30, 2017 and 2016, on a pro forma basis, as though the companies had been combined as of July 1, 2015. The pro forma financial information presented in the table below is for informational purposes only and is not indicative of the results of operations that would have been achieved if the acquisition had taken place at July 1, 2015 nor should it be taken as indicative of future consolidated results of operations.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50"/>
        </w:trPr>
        <w:tc>
          <w:tcPr>
            <w:tcW w:w="47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2"/>
        </w:trPr>
        <w:tc>
          <w:tcPr>
            <w:tcW w:w="47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40" w:type="dxa"/>
            <w:vAlign w:val="bottom"/>
            <w:gridSpan w:val="3"/>
          </w:tcPr>
          <w:p>
            <w:pPr>
              <w:jc w:val="right"/>
              <w:ind w:right="414"/>
              <w:spacing w:after="0"/>
              <w:rPr>
                <w:sz w:val="20"/>
                <w:szCs w:val="20"/>
                <w:color w:val="auto"/>
              </w:rPr>
            </w:pPr>
            <w:r>
              <w:rPr>
                <w:rFonts w:ascii="Times New Roman" w:cs="Times New Roman" w:eastAsia="Times New Roman" w:hAnsi="Times New Roman"/>
                <w:sz w:val="18"/>
                <w:szCs w:val="18"/>
                <w:color w:val="auto"/>
              </w:rPr>
              <w:t>(In thousands, except per share data)</w:t>
            </w:r>
          </w:p>
        </w:tc>
      </w:tr>
      <w:tr>
        <w:trPr>
          <w:trHeight w:val="27"/>
        </w:trPr>
        <w:tc>
          <w:tcPr>
            <w:tcW w:w="47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1,233,372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1,427,313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Matrix Service Company</w:t>
            </w:r>
          </w:p>
        </w:tc>
        <w:tc>
          <w:tcPr>
            <w:tcW w:w="3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32,352</w:t>
            </w:r>
          </w:p>
        </w:tc>
      </w:tr>
      <w:tr>
        <w:trPr>
          <w:trHeight w:val="27"/>
        </w:trPr>
        <w:tc>
          <w:tcPr>
            <w:tcW w:w="47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w:t>
            </w:r>
          </w:p>
        </w:tc>
      </w:tr>
      <w:tr>
        <w:trPr>
          <w:trHeight w:val="702"/>
        </w:trPr>
        <w:tc>
          <w:tcPr>
            <w:tcW w:w="4700" w:type="dxa"/>
            <w:vAlign w:val="bottom"/>
          </w:tcPr>
          <w:p>
            <w:pPr>
              <w:spacing w:after="0"/>
              <w:rPr>
                <w:sz w:val="24"/>
                <w:szCs w:val="24"/>
                <w:color w:val="auto"/>
              </w:rPr>
            </w:pPr>
          </w:p>
        </w:tc>
        <w:tc>
          <w:tcPr>
            <w:tcW w:w="308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financial information presented in the table above includes the following adjustments to the combined entities' historical financial statements:</w:t>
      </w:r>
    </w:p>
    <w:p>
      <w:pPr>
        <w:spacing w:after="0" w:line="171" w:lineRule="exact"/>
        <w:rPr>
          <w:sz w:val="20"/>
          <w:szCs w:val="20"/>
          <w:color w:val="auto"/>
        </w:rPr>
      </w:pPr>
    </w:p>
    <w:p>
      <w:pPr>
        <w:jc w:val="both"/>
        <w:ind w:left="6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entities recorded approximately $3.3 million of acquisition and integration expenses during the year ended June 30, 2017, which were transferred in the pro forma earnings to the year ended June 30, 2016 in order to report them as if they were incurred on July 1, 2015. Pro forma earnings were adjusted to include integration expenses that would have been recognized had the acquisition occurred on July 1, 2015 of $0.8 million and $0.9 million during the years ended June 30, 2017 and 2016, respectively.</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for the combined entities was increased by $0.7 million for the year ended June 30, 2017 and by $1.4 million during the year ended June 30, 2016. The increase was attributable to the assumption that the Company's borrowings of $46.0 million used to fund a portion of the acquisition had been outstanding as of July 1, 2015. This increase was partially offset by the assumption that Houston Interests' former debt was extinguished as of July 1, 2015.</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intangible asset amortization expense for the combined entities was reduced by $1.4 million during the year ended June 30, 2017 and was increased by $1.8 million during the year ended June 30, 2016. These adjustments are primarily due to the recognition of amortizable intangible assets as part of the acquisition and the effect of fair value adjustments to acquired property, plant and equipment.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earnings were adjusted to include additional income tax expense of $2.0 million and $2.2 million during the years ended June 30, 2017 and 2016, respectively. Houston Interests was previously an exempt entity and income taxes were not assessed in its historical financial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Baillie Tank Equipment, Ltd.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2016, the Company completed the acquisition of all outstanding stock of Baillie Tank Equipment, Ltd. (“BTE”), an internationally-based company with nearly 20 years of experience in the design and manufacture of products for use on aboveground storage tanks. Founded in 1998, BTE is a provider of tank products including geodesic domes, aluminum internal floating roofs, floating suction and skimmer systems, roof drain systems, and seals. BTE is headquartered in Sydney, Australia with a manufacturing facility in Seoul, South Korea. The Company acquired BTE to expand its service offerings of certain technical solutions for aboveground storage tanks. The business is now known as Matrix Applied Technologies, and its operating results are included in the Storage Solutions segment.</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purchased BTE with cash on-hand for a net purchase price of $13.0 million. The Company paid $15.4 million when including the subsequent repayment of long-term debt acquired and the settlement of certain other liabilities acquired, and excluding the cash acquired and certain amounts owed to the former owners for working capital adjustments. The net purchase price was allocated to the major categories of assets and liabilities based on their estimated fair value at the acquisition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final purchase price allocation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6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5,574</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5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5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acquired</w:t>
            </w:r>
          </w:p>
        </w:tc>
        <w:tc>
          <w:tcPr>
            <w:tcW w:w="54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17,904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5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5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5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5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5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13,641</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cash acquired</w:t>
            </w:r>
          </w:p>
        </w:tc>
        <w:tc>
          <w:tcPr>
            <w:tcW w:w="5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purchase price</w:t>
            </w:r>
          </w:p>
        </w:tc>
        <w:tc>
          <w:tcPr>
            <w:tcW w:w="6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13,049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jc w:val="right"/>
              <w:ind w:right="3470"/>
              <w:spacing w:after="0"/>
              <w:rPr>
                <w:sz w:val="20"/>
                <w:szCs w:val="20"/>
                <w:color w:val="auto"/>
              </w:rPr>
            </w:pPr>
            <w:r>
              <w:rPr>
                <w:rFonts w:ascii="Times New Roman" w:cs="Times New Roman" w:eastAsia="Times New Roman" w:hAnsi="Times New Roman"/>
                <w:sz w:val="18"/>
                <w:szCs w:val="18"/>
                <w:color w:val="auto"/>
              </w:rPr>
              <w:t>64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recognized from the acquisition is attributable to the synergies of combining our operations and the technical expertise of the acquired workforce. None of the goodwill recognized is deductible for income tax purposes.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$1.2 million of expenses related to the acquisition for the year ended June 30, 2016, which are included within selling, general and administrative expenses in the consolidated statements of income. The acquired business contributed revenues of $7.8 million and operating income of $0.5 million during the year ended June 30, 2017, and contributed revenues of $5.4 million and operating income of $0.3 million for the period from February 1, 2016 to June 30, 2016.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HDB Ltd. Limited Partnership</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22, 2014, the Company purchased substantially all of the assets of HDB Ltd. Limited Partnership ("HDB"). HDB, headquartered in Bakersfield, California provides construction, fabrication and turnaround services to energy companies throughout California's central valley. The acquisition advanced a strategic goal of the Company to expand into the upstream energy market. The acquisition purchase price was $5.6 million and was funded with cash on hand. Commencing on August 22, 2014, HDB's operating results are included in the Oil Gas &amp; Chemical Segment.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was allocated to the major categories of assets and liabilities based on their estimated fair value at the acquisition date. The following table summarizes the purchase price allocation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w:t>
            </w:r>
          </w:p>
        </w:tc>
      </w:tr>
      <w:tr>
        <w:trPr>
          <w:trHeight w:val="27"/>
        </w:trPr>
        <w:tc>
          <w:tcPr>
            <w:tcW w:w="9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deductible goodwill</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9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acquired</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6,611</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1,060</w:t>
            </w:r>
          </w:p>
        </w:tc>
      </w:tr>
      <w:tr>
        <w:trPr>
          <w:trHeight w:val="27"/>
        </w:trPr>
        <w:tc>
          <w:tcPr>
            <w:tcW w:w="9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5,551</w:t>
            </w:r>
          </w:p>
        </w:tc>
      </w:tr>
      <w:tr>
        <w:trPr>
          <w:trHeight w:val="20"/>
        </w:trPr>
        <w:tc>
          <w:tcPr>
            <w:tcW w:w="9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recorded goodwill from the HDB acquisition is tax deductible. The operating data related to this acquisition was not material.</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3—Uncompleted Contracts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on uncompleted contracts is reported as a current liability. Gross and net amounts on uncompleted contracts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3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estimated earnings recognized on uncompleted contracts</w:t>
            </w:r>
          </w:p>
        </w:tc>
        <w:tc>
          <w:tcPr>
            <w:tcW w:w="2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1,919,054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1,875,014</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on uncompleted contracts</w:t>
            </w:r>
          </w:p>
        </w:tc>
        <w:tc>
          <w:tcPr>
            <w:tcW w:w="2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1,903,001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1,829,340</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16,053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45,674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Shown on balance sheet as:</w:t>
            </w:r>
          </w:p>
        </w:tc>
        <w:tc>
          <w:tcPr>
            <w:tcW w:w="2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91,180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104,001</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75,127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58,327</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16,053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45,674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Progress billings in accounts receivable at June 30, 2017 and June 30, 2016 included retentions to be collected within one year of $54.3 million and $29.7 million, respectively. Contract retentions collectible beyond one year are included in other assets in the condensed consolidated balance sheet and totaled $1.9 million at June 30, 2017 and $0.3 million at June 30, 2016. Accounts payable included retentions of $12.6 million at June 30, 2017 and $14.9 million at June 30, 2016. Accounts payable retentions are generally expected to be settled within one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results were negatively impacted by an increased cost estimate related to a large project in the Electrical Infrastructure segment, which resulted in a decrease in gross profit. The change in cost estimate resulted from a deterioration in the financial forecast of the project during the third fiscal quarter and was caused by various factors that have delayed schedule progress and reduced productivity. In July 2017, the Company reached a settlement agreement with the customer, which resolved open claims and modified the terms enabling the Company to recover all costs and overhead to perform the remainder of the work. In addition, the execution strategy was revised and a significant portion of future work will no longer be performed by the Company. The magnitude of the scope reduction is based on the Company’s best estimate at this time but may change as the detailed execution plan continues to develop.</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June 30, 2015 our results of operations were materially impacted by charges resulting from a change in estimate related to an acquired EPC joint venture project in the Electrical Infrastructure segment. The charges resulted in a reduction to operating income of $53.4 million and an after-tax reduction of $18.3 million to net income attributable to Matrix Service Company for fiscal year 2015. The Company recorded additional charges on this project during the year ended June 30, 2016. The fiscal 2016 project charges are attributable to higher than expected project closeout costs. The Company reached substantial completion on the project in the fourth quarter of fiscal 2015.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4—Goodwill and 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4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4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at June 30,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43,243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69,837</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related adjustments</w:t>
            </w:r>
          </w:p>
        </w:tc>
        <w:tc>
          <w:tcPr>
            <w:tcW w:w="2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HDB (Note 2)</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70"/>
        </w:trPr>
        <w:tc>
          <w:tcPr>
            <w:tcW w:w="390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Translation adjustment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44"/>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at June 30, 2015</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71,518</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BTE (Note 2)</w:t>
            </w:r>
          </w:p>
        </w:tc>
        <w:tc>
          <w:tcPr>
            <w:tcW w:w="2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Translation adjustment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balance at June 30, 2016</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42,170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14,008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16,681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5,434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78,293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Houston Interests (Note 2)</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35,146</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related adjustments</w:t>
            </w:r>
          </w:p>
        </w:tc>
        <w:tc>
          <w:tcPr>
            <w:tcW w:w="2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Translation adjustment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balance at June 30, 2017</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42,152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33,604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20,981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113,501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40" w:hanging="316"/>
        <w:spacing w:after="0" w:line="282"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-233680</wp:posOffset>
            </wp:positionV>
            <wp:extent cx="797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333"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performed our annual goodwill impairment test as of May 31, 2017, which resulted in no impairment. However, the aggregate difference between the fair values of our reporting units and their carrying amounts has decreased significantly since last year as a result of current market conditions. The fair value of one reporting unit (carrying value of goodwill of $8.0 million) only exceeded its carrying amount by 9%. The valuation model for this reporting unit incorporates the award of a significant project prior to the end of the second fiscal quarter, with project work to commence shortly thereafter. Management has concluded this award is probable of occurring. If the project is ultimately not awarded to us, the Company currently expects this would represent a triggering event requiring an interim evaluation of goodwill with respect to this reporting unit, which could result in a material impairment. In addition, for our other reporting units, if the market view of revenue opportunities or gross margin changes, the Company may need to perform an interim analysis, which could result in the recognition of a material impairment to goodwill. The Company will continue to monitor the operating results of its reporting units each period and perform additional tests as needed.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carrying value of other intangible assets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June 30, 2017</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6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9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based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 to 15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38,207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24,664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4 to 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 to 3</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26,296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5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June 30, 2016</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6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9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based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1.5 to 15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18,524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4 to 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3 to 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20,999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required to perform an interim goodwill analysis, and such analysis indicates impairment, the Company would need to perform an impairment analysis of relevant customer relationships and other intangible assets. With respect to the reporting unit referenced above, customer relationships with a net book value of $7.2 million as of June 30, 2017 could potentially be impaired if the reporting unit is concluded to be impaired. We will continue to monitor all intangible assets for indications of impairment and perform tests as necessary.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the gross carrying amount of other intangible assets at June 30, 2017 compared to June 30, 2016 is primarily due to the December 12, 2016 acquisition of Houston Interests (See Note 2). The specifically identifiable intangible assets recognized in the Houston Interests acquisition consist of:</w:t>
      </w:r>
    </w:p>
    <w:p>
      <w:pPr>
        <w:spacing w:after="0" w:line="10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customer-based intangibles with a fair value of $10.0 million and useful life of between 1 and 9 years;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name with a fair value of $0.2 million and useful life of 1 year.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333"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totaled $4.9 million, $3.6 million, and $5.0 million in fiscal 2017, 2016, and 2015, respectively. The Company recognized $1.6 million of amortization expense during the year ended June 30, 2017 for intangible assets recorded as part of the Houston Interests acquisition. We estimate that future amortization of other intangible assets will be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year ending:</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4,742</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2019</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3,501</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2020</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3,491</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2021</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3,472</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2022</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2,618</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8,472</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26,296</w:t>
            </w: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 which replaced the Third Amended and Restated Credit Agreement dated as of November 7, 2011, as previously amended (the "Prior Credit Agreement").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a five-year senior secured revolving credit facility of $300.0 million that expires February 8, 2022, which replaces the $250.0 million senior secured revolving credit facility under the Prior Credit Agreement. The new credit facility may be used for working capital, acquisitions, capital expenditures, issuances of letters of credit and other lawful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the following covenants and borrowing limitations:</w:t>
      </w:r>
    </w:p>
    <w:p>
      <w:pPr>
        <w:spacing w:after="0" w:line="171" w:lineRule="exact"/>
        <w:rPr>
          <w:sz w:val="20"/>
          <w:szCs w:val="20"/>
          <w:color w:val="auto"/>
        </w:rPr>
      </w:pPr>
    </w:p>
    <w:p>
      <w:pPr>
        <w:ind w:left="640" w:hanging="32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determined as of the end of each fiscal quarter, may not exceed 3.00 to 1.00.</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Coverage Ratio, determined as of the end of each fiscal quarter, greater than or equal to 1.25 to 1.00.</w:t>
      </w:r>
    </w:p>
    <w:p>
      <w:pPr>
        <w:spacing w:after="0" w:line="171" w:lineRule="exact"/>
        <w:rPr>
          <w:rFonts w:ascii="Times New Roman" w:cs="Times New Roman" w:eastAsia="Times New Roman" w:hAnsi="Times New Roman"/>
          <w:sz w:val="18"/>
          <w:szCs w:val="18"/>
          <w:color w:val="auto"/>
        </w:rPr>
      </w:pPr>
    </w:p>
    <w:p>
      <w:pPr>
        <w:ind w:left="640" w:right="520" w:hanging="321"/>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new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or the Adjusted LIBO Rate, in the case of revolving loans denominated in U.S.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Prime Rate or the CDOR rate, in the case of revolving loans denominated in Canadian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 Rate, in the case of revolving loans denominated in Pounds Sterling or Australian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EURIBO Rate, in the case of revolving loans denominated in Euros,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unused credit facility fee is between 0.25% and 0.45% based on the Leverage Ratio.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333"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senior revolving credit facility approximates its fair value at each balance sheet date.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includes a Leverage Ratio covenant, which provides that Consolidated Funded Indebtedness, as of the end of any fiscal quarter, may not exceed 3.0 times Consolidated EBITDA, as defined in the Credit Agreement, over the previous four quarters. For the four quarters ended June 30, 2017, Consolidated EBITDA was $43.6 million. Consolidated Funded Indebtedness, as defined in the Credit Agreement, at June 30, 2017 was $52.5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under the senior revolving credit facility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12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7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21"/>
                <w:szCs w:val="21"/>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revolving credit facility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Capacity constraint due to the Leverage Ratio</w:t>
            </w:r>
          </w:p>
        </w:tc>
        <w:tc>
          <w:tcPr>
            <w:tcW w:w="36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169,092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20,138</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Capacity under the senior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130,908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179,862</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Letters of credit issued</w:t>
            </w:r>
          </w:p>
        </w:tc>
        <w:tc>
          <w:tcPr>
            <w:tcW w:w="36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20,755</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44,682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Availability under the senior revolving credit facility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78,401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159,107</w:t>
            </w: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borrowings at June 30, 2017 under our Credit Agreement were primarily used to fund the acquisition of Houston Interests (See Note 2) and working capital needs in our Canadian business due to the timing of collections and disbursements on the previously announced Electrical Infrastructure project.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all other affirmative, negative, and financial covenants under the Credit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31, 2017, the Company entered in to an amendment to its Credit Agreement, which provided the following:</w:t>
      </w:r>
    </w:p>
    <w:p>
      <w:pPr>
        <w:spacing w:after="0" w:line="225" w:lineRule="exact"/>
        <w:rPr>
          <w:sz w:val="20"/>
          <w:szCs w:val="20"/>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permitted Leverage Ratio was temporarily increased to 4.00 to 1.00 for the quarters ending September 30, 2017, and December 31, 2017. The maximum Leverage Ratio will revert back to 3.00 to 1.00 beginning with the quarter ending March 31, 2018.</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 Coverage Ratio will not be tested for the quarters ending September 30, 2017 and December 31, 2017, but will be in effect and tested quarterly thereafter beginning with the quarter ending March 31, 2018.</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minimum Consolidated EBITDA covenant was added solely for the four-quarter period ending December 31, 2017. For this period, the Company is required to achieve Consolidated EBITDA of $15.0 million.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Payments covenant was amended to restrict cash dividends and share repurchases during the period beginning August 31, 2017 and ending December 31, 2017 to an aggregate basket of $5.0 million. In addition, during such period, both cash dividends and share repurchases are prohibited unless the pro forma Leverage Ratio is less than or equal to 2.50 to 1.00. Thereafter, the restriction reverts back to limiting cash dividends to 50% of net income for each fiscal year, and limiting share repurchases to $30.0 million per calendar year.</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increased pricing tier was added for the "Covenant Relief Period" beginning on August 31, 2017 and ending on the date we deliver our financial statements and compliance certificate for the fiscal quarter ending December 31, 2017. If our Leverage Ratio as of any quarterly calculation date during the Covenant Relief Period exceeds 3.00 to 1.00: (1) the Applicable Margin on ABR loans will be 1.875%; (2) the Applicable Margin for Adjusted LIBO, EURIBO and CDOR will be 2.875%; (3) the Applicable Margin for Canadian Prime Rate loans will be 3.375%; and (4) the unused credit facility fee will be 0.50%.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333" w:right="2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sources of pretax income (loss)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19,763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5,667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12,193</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8,192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fiscal 2017, 2016 and 2015, domestic pretax income included a gain of $0.3 million and losses of $3.3 million and $19.1 million, respectively, related to our acquired EPC joint venture project. The Company consolidates the acquired EPC joint venture project and reports a noncontrolling interest. Accordingly, the Company's pretax income includes the noncontrolling interest holder's share of the acquired EPC project loss for which the Company does not receive a tax benefit.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 expense (benefit) are as follows:</w:t>
      </w:r>
    </w:p>
    <w:p>
      <w:pPr>
        <w:spacing w:after="0" w:line="39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24765</wp:posOffset>
            </wp:positionV>
            <wp:extent cx="3173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10,932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10,090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difference between the expected income tax provision applying the domestic federal statutory tax rate and the reported income tax provision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provision for Federal income taxes at the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2,868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1,023</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Deemed foreign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Charges without tax benefit</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1,478</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64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Excess tax benefits on stock-based compensation</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IRC S199 deduction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tax credits</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and other 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tax differential</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6,669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 to tax accounts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10,090</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540" w:hanging="316"/>
        <w:spacing w:after="0" w:line="261" w:lineRule="auto"/>
        <w:tabs>
          <w:tab w:leader="none" w:pos="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represents the amount recognized for excess tax benefits upon the vesting or exercise of nonvested deferred share awards and stock options, respectively, for which the Company expects to receive an income tax deduction. Upon the adoption of ASU 2016-09, excess tax benefits and tax deficiencies are recognized as part of the provision for income taxes. See Note 1 - Summary of Significant Accounting Policies, Recently Issued Accounting Standards, ASU 2016-09, for more information about the new 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-327025</wp:posOffset>
            </wp:positionV>
            <wp:extent cx="797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333" w:right="2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100" w:type="dxa"/>
            <w:vAlign w:val="bottom"/>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7880" w:type="dxa"/>
            <w:vAlign w:val="bottom"/>
          </w:tcPr>
          <w:p>
            <w:pPr>
              <w:spacing w:after="0"/>
              <w:rPr>
                <w:sz w:val="16"/>
                <w:szCs w:val="16"/>
                <w:color w:val="auto"/>
              </w:rPr>
            </w:pPr>
          </w:p>
        </w:tc>
        <w:tc>
          <w:tcPr>
            <w:tcW w:w="110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Warranty reserve</w:t>
            </w:r>
          </w:p>
        </w:tc>
        <w:tc>
          <w:tcPr>
            <w:tcW w:w="1100" w:type="dxa"/>
            <w:vAlign w:val="bottom"/>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Bad debt reserve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Paid-time-off accrual</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Insurance reserve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Legal reserve</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operating loss benefit and credit carryforwards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8,207</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compensation and pension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compensation expense on nonvested deferred shares</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losses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21,478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20,634</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11,446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11,504</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over book amortization</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 future liability</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insurance</w:t>
            </w:r>
          </w:p>
        </w:tc>
        <w:tc>
          <w:tcPr>
            <w:tcW w:w="11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Receivable holdbacks and other</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6"/>
              </w:rPr>
              <w:t>18,221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20,113</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asset</w:t>
            </w:r>
          </w:p>
        </w:tc>
        <w:tc>
          <w:tcPr>
            <w:tcW w:w="1100" w:type="dxa"/>
            <w:vAlign w:val="bottom"/>
            <w:tcBorders>
              <w:bottom w:val="single" w:sz="8" w:color="CCEEFF"/>
            </w:tcBorders>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As reported in the consolidated balance sheets: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880" w:type="dxa"/>
            <w:vAlign w:val="bottom"/>
          </w:tcPr>
          <w:p>
            <w:pPr>
              <w:spacing w:after="0"/>
              <w:rPr>
                <w:sz w:val="24"/>
                <w:szCs w:val="24"/>
                <w:color w:val="auto"/>
              </w:rPr>
            </w:pPr>
          </w:p>
        </w:tc>
        <w:tc>
          <w:tcPr>
            <w:tcW w:w="1100" w:type="dxa"/>
            <w:vAlign w:val="bottom"/>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7880" w:type="dxa"/>
            <w:vAlign w:val="bottom"/>
          </w:tcPr>
          <w:p>
            <w:pPr>
              <w:spacing w:after="0"/>
              <w:rPr>
                <w:sz w:val="16"/>
                <w:szCs w:val="16"/>
                <w:color w:val="auto"/>
              </w:rPr>
            </w:pPr>
          </w:p>
        </w:tc>
        <w:tc>
          <w:tcPr>
            <w:tcW w:w="110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asset</w:t>
            </w:r>
          </w:p>
        </w:tc>
        <w:tc>
          <w:tcPr>
            <w:tcW w:w="1100" w:type="dxa"/>
            <w:vAlign w:val="bottom"/>
            <w:tcBorders>
              <w:bottom w:val="single" w:sz="8" w:color="CCEEFF"/>
            </w:tcBorders>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state net operating loss carryforwards, state tax credit carryforwards, federal foreign tax credit carryforwards, foreign net operating loss carryforwards and foreign tax credit carryforwards. The valuation allowance at June 30, 2017 and June 30, 2016 reduces the recognized tax benefit of these carryforwards to an amount that is more likely than not to be realized. These carryforwards will generally expire as shown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Tax Credit Carryforwards</w:t>
            </w:r>
          </w:p>
        </w:tc>
        <w:tc>
          <w:tcPr>
            <w:tcW w:w="48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Expiration Period</w:t>
            </w: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 (in thousands)</w:t>
            </w: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 credits</w:t>
            </w:r>
          </w:p>
        </w:tc>
        <w:tc>
          <w:tcPr>
            <w:tcW w:w="4800" w:type="dxa"/>
            <w:vAlign w:val="bottom"/>
            <w:tcBorders>
              <w:bottom w:val="single" w:sz="8" w:color="CCEEFF"/>
            </w:tcBorders>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June 2017 to June 2032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foreign tax credits</w:t>
            </w:r>
          </w:p>
        </w:tc>
        <w:tc>
          <w:tcPr>
            <w:tcW w:w="48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June 2018 to June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2,348</w:t>
            </w:r>
          </w:p>
        </w:tc>
      </w:tr>
      <w:tr>
        <w:trPr>
          <w:trHeight w:val="27"/>
        </w:trPr>
        <w:tc>
          <w:tcPr>
            <w:tcW w:w="3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credits</w:t>
            </w:r>
          </w:p>
        </w:tc>
        <w:tc>
          <w:tcPr>
            <w:tcW w:w="4800" w:type="dxa"/>
            <w:vAlign w:val="bottom"/>
            <w:tcBorders>
              <w:bottom w:val="single" w:sz="8" w:color="CCEEFF"/>
            </w:tcBorders>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June 2034 to June 2036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612</w:t>
            </w:r>
          </w:p>
        </w:tc>
      </w:tr>
      <w:tr>
        <w:trPr>
          <w:trHeight w:val="675"/>
        </w:trPr>
        <w:tc>
          <w:tcPr>
            <w:tcW w:w="3780" w:type="dxa"/>
            <w:vAlign w:val="bottom"/>
          </w:tcPr>
          <w:p>
            <w:pPr>
              <w:spacing w:after="0"/>
              <w:rPr>
                <w:sz w:val="24"/>
                <w:szCs w:val="24"/>
                <w:color w:val="auto"/>
              </w:rPr>
            </w:pPr>
          </w:p>
        </w:tc>
        <w:tc>
          <w:tcPr>
            <w:tcW w:w="48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72</w:t>
            </w: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Loss Carryforwards</w:t>
            </w:r>
          </w:p>
        </w:tc>
        <w:tc>
          <w:tcPr>
            <w:tcW w:w="52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Expiration Period</w:t>
            </w: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 (in thousands)</w:t>
            </w:r>
          </w:p>
        </w:tc>
      </w:tr>
      <w:tr>
        <w:trPr>
          <w:trHeight w:val="249"/>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5240" w:type="dxa"/>
            <w:vAlign w:val="bottom"/>
            <w:tcBorders>
              <w:bottom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June 2022 to June 2037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19,015</w:t>
            </w: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net operating losses</w:t>
            </w:r>
          </w:p>
        </w:tc>
        <w:tc>
          <w:tcPr>
            <w:tcW w:w="52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December 2028; June 2031 to June 2036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15,454</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it is the practice and intention of the Company to reinvest the earnings of its foreign subsidiaries in its foreign operations. Such amounts become subject to United States taxation upon the remittance of dividends and under certain other circumstances. As of June 30, 2017, unremitted earnings of foreign subsidiaries, which have been or are intended to be permanently invested, are approximately $1.0 million. We anticipate that any deferred tax liability related to the investment in these foreign subsidiaries could be offset by foreign tax credits.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tax returns in multiple domestic and foreign taxing jurisdictions. With a few exceptions, the Company is no longer subject to examination by taxing authorities through fiscal 2012. At June 30, 2017, the Company updated its evaluation of its open tax years in all known jurisdictions. Based on this evaluation, the Company did not identify any material uncertain tax positions. We have recorded a $0.6 million liability as of June 30, 2017 for unrecognized tax positions and the payment of related interest and penalties. We treat the related interest and penalties as income tax expense. Due to the uncertainties related to these tax matters, we are unable to make a reasonably reliable estimate as to when cash settlement with a taxing authority will occur.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Reserves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Unapproved Change Orders and Claims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2017 and June 30, 2016, costs and estimated earnings in excess of billings on uncompleted contracts included revenues for unapproved change orders and claims of $11.0 million and $10.3 million, respectively. Generally, collection of amounts related to unapproved change orders and claims is expected within twelve months. However, customers may not pay these amounts until final resolution of related claims, and accordingly, collection of these amounts may extend beyond one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333"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8—Operating 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the lessee under operating leases covering real estate and office equipment under non-cancelable operating lease agreements that expire at various times. Future minimum lease payments under non-cancelable operating leases that were in effect at June 30, 2017 total $36.0 million and are payable as follows: fiscal 2018—$7.5 million; fiscal 2019—$6.3 million; fiscal 2020—$5.0 million; fiscal 2021—$4.4 million; fiscal 2022—$2.6 million and thereafter—$10.1 million. Operating lease expense was $7.9 million, $6.6 million and $6.7 million for the twelve months ended June 30, 2017, June 30, 2016 and June 30, 2015,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9—Stockholders’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5.0 million shares of preferred stock authorized, none of which was issued or outstanding at June 30, 2017 or June 30, 2016.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12, 2016, the Board of Directors approved a new stock buyback program (the "December 2016 Program"), which replaced the previous program that had been in place since November 2014. Under the December 2016 Program, the Company may repurchase common stock of the Company in any calendar year commencing with calendar year 2016 and continuing through calendar year 2018, up to a maximum of $25.0 million per calendar year.</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repurchase its stock from time to time in the open market at prevailing market prices or in privately negotiated transactions, except during the period from August 31, 2017 until December 31, 2017, when share repurchases, along with cash dividend payments, are restricted to an aggregate basket of $5.0 million under our Credit Agreement. In addition, during this time share repurchases may only be made if the pro forma Leverage Ratio is less than or equal to 2.50 to 1.00 (see Item 8. Financial Statements and Supplementary Data, Note 5 - Debt for information about the amended Credit Agreement subsequent event). The December 2016 Program will continue through December 31, 2018 unless and until it is modified or revoked by the Board of Directors. No shares have been repurchased under the December 2016 Program as of June 30, 2017.</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stock buyback program, the Company may withhold shares of common stock to satisfy the tax withholding obligations upon vesting of an employee’s deferred shares. Matrix withheld 134,535 and 205,504 shares of common stock during fiscal 2017 and 2016, respectively, to satisfy these obligations. These shares were returned to the Company’s pool of treasury shares. The Company has 1,287,655 treasury shares as of June 30, 2017 and intends to utilize these treasury shares in connection with equity awards under the Company’s stock incentive plans and for sales to the Employee Stock Purchase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stock-based compensation expense for the years ended June 30, 2017, June 30, 2016, and June 30, 2015 was $7.5 million, $6.3 million and $6.3 million, respectively. Measured but unrecognized stock-based compensation expense at June 30, 2017 was $11.9 million, all of which related to nonvested deferred shares which are expected to be recognized as expense over a weighted average period of 1.8 years. The recognized tax benefit related to the stock-based compensation expense for the years ended June 30, 2017, June 30, 2016 and June 30, 2015 totaled $0.5 million, $3.2 million and $2.5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Information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2016, the Company's stockholders approved the Matrix Service Company 2016 Stock and Incentive Compensation Plan (the "2016 Plan"), which provides stock-based and cash-based incentives for officers, directors and other key employees. Stock options, restricted stock, restricted stock units, stock appreciation rights, performance shares and cash-based awards can be issued under this plan. Upon approval of the 2016 Plan, the 2012 Stock and Incentive Compensation Plan ("2012 Plan") was frozen with the exception of normal vesting and other activity associated with awards previously granted under the 2012 Plan. However, shares awarded under the 2012 Plan that are subsequently forfeited or net settled for tax withholding purposes are returned to the treasury share pool and become available for grant under the 2016 Plan. The 2012 Plan was preceded by the 2004 Stock Incentive Plan ("2004 Plan"), which was frozen upon approval of the 2012 Plan with the exception of normal vesting, forfeiture and other activity associated with awards previously granted under the 2004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333"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totaling 1,800,000 shares have been authorized under the 2016 Plan. At June 30, 2017 there were 1,716,934 shares available for grant under the 2016 Plan.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are granted at the market value of the Company’s common stock on the grant date and expire after 10 years. The Company’s policy is to issue shares upon the exercise of stock options from its treasury shares, if available. The Company did not award any new stock options in fiscal years 2017, 2016, or 2015.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and related information for the year ended June 30, 2017 is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6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00" w:type="dxa"/>
            <w:vAlign w:val="bottom"/>
          </w:tcPr>
          <w:p>
            <w:pPr>
              <w:spacing w:after="0"/>
              <w:rPr>
                <w:sz w:val="17"/>
                <w:szCs w:val="17"/>
                <w:color w:val="auto"/>
              </w:rPr>
            </w:pPr>
          </w:p>
        </w:tc>
        <w:tc>
          <w:tcPr>
            <w:tcW w:w="140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18"/>
                <w:szCs w:val="18"/>
                <w:color w:val="auto"/>
              </w:rPr>
            </w:pPr>
          </w:p>
        </w:tc>
        <w:tc>
          <w:tcPr>
            <w:tcW w:w="16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00" w:type="dxa"/>
            <w:vAlign w:val="bottom"/>
          </w:tcPr>
          <w:p>
            <w:pPr>
              <w:spacing w:after="0"/>
              <w:rPr>
                <w:sz w:val="18"/>
                <w:szCs w:val="18"/>
                <w:color w:val="auto"/>
              </w:rPr>
            </w:pPr>
          </w:p>
        </w:tc>
        <w:tc>
          <w:tcPr>
            <w:tcW w:w="140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2016</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122,063</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Canceled</w:t>
            </w:r>
          </w:p>
        </w:tc>
        <w:tc>
          <w:tcPr>
            <w:tcW w:w="16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2017</w:t>
            </w:r>
          </w:p>
        </w:tc>
        <w:tc>
          <w:tcPr>
            <w:tcW w:w="160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97,250</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P5Y3M</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Vested at June 30, 2017</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P5Y3M</w:t>
            </w: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16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97,250</w:t>
            </w:r>
          </w:p>
        </w:tc>
        <w:tc>
          <w:tcPr>
            <w:tcW w:w="120" w:type="dxa"/>
            <w:vAlign w:val="bottom"/>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vMerge w:val="continue"/>
          </w:tcPr>
          <w:p>
            <w:pPr>
              <w:spacing w:after="0"/>
              <w:rPr>
                <w:sz w:val="22"/>
                <w:szCs w:val="22"/>
                <w:color w:val="auto"/>
              </w:rPr>
            </w:pPr>
          </w:p>
        </w:tc>
        <w:tc>
          <w:tcPr>
            <w:tcW w:w="130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Exercisable at June 30, 2017</w:t>
            </w:r>
          </w:p>
        </w:tc>
        <w:tc>
          <w:tcPr>
            <w:tcW w:w="160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97,250</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8"/>
              </w:rPr>
              <w:t>P5Y3M</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stock options exercised during fiscal 2017, 2016, and 2015 was $0.3 million, $0.7 million and $0.7 million,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Deferred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issued nonvested deferred shares under the following types of arrangements:</w:t>
      </w:r>
    </w:p>
    <w:p>
      <w:pPr>
        <w:spacing w:after="0" w:line="171" w:lineRule="exact"/>
        <w:rPr>
          <w:sz w:val="20"/>
          <w:szCs w:val="20"/>
          <w:color w:val="auto"/>
        </w:rPr>
      </w:pPr>
    </w:p>
    <w:p>
      <w:pPr>
        <w:jc w:val="both"/>
        <w:ind w:left="640" w:right="380" w:hanging="321"/>
        <w:spacing w:after="0" w:line="266"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awards—Employee awards generally vest in four equal annual installments beginning one year after the grant date. Director awards prior to 2016 cliff vest on the earlier of three years or upon retirement from the Board. Director awards beginning in 2016 vest one year after the grant date.</w:t>
      </w:r>
    </w:p>
    <w:p>
      <w:pPr>
        <w:spacing w:after="0" w:line="122" w:lineRule="exact"/>
        <w:rPr>
          <w:rFonts w:ascii="Times New Roman" w:cs="Times New Roman" w:eastAsia="Times New Roman" w:hAnsi="Times New Roman"/>
          <w:sz w:val="18"/>
          <w:szCs w:val="18"/>
          <w:color w:val="auto"/>
        </w:rPr>
      </w:pPr>
    </w:p>
    <w:p>
      <w:pPr>
        <w:ind w:left="640" w:right="40" w:hanging="321"/>
        <w:spacing w:after="0" w:line="255"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awards—These awards are in the form of performance units which vest 3 years after the grant date only if the Company’s common stock achieves certain levels of total shareholder return when compared to the total shareholder return of a peer group of companies as selected by the Compensation Committee of the Board of Directors. The payout can range from zero to 200% of the original award depending on the Company's relative total shareholder return during the performance period. These awards are settled in stock. As of June 30, 2017, there are approximately 127,000, and 183,000 performance units that are scheduled to vest in fiscal 2019, and fiscal 2020, respectively. There were approximately 80,000 performance units that were scheduled to vest in fiscal 2018, but total shareholder return during the performance period did not meet the threshold performance and the performance units were forfeited.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awards vest upon the death or disability of the participant or upon a change of control of the Company.</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grant date fair value of the time-based awards is determined by the market value of the Company's common stock on the grant date. The grant date fair value of the market-based awards is calculated using a Monte Carlo model. For the fiscal 2017 grant, the model estimated the fair value of the award based on approximately 100,000 simulations of the future prices of the Company's common stock compared to the future prices of the common stock of its peer companies based on historical volatilities. The model also took into account the expected dividends of the peer companies over the performance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333"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deferred share activity for the twelve months ended June 30, 2017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r>
      <w:tr>
        <w:trPr>
          <w:trHeight w:val="212"/>
        </w:trPr>
        <w:tc>
          <w:tcPr>
            <w:tcW w:w="7220" w:type="dxa"/>
            <w:vAlign w:val="bottom"/>
          </w:tcPr>
          <w:p>
            <w:pPr>
              <w:spacing w:after="0"/>
              <w:rPr>
                <w:sz w:val="18"/>
                <w:szCs w:val="18"/>
                <w:color w:val="auto"/>
              </w:rPr>
            </w:pPr>
          </w:p>
        </w:tc>
        <w:tc>
          <w:tcPr>
            <w:tcW w:w="126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Date Fair Value per Share</w:t>
            </w:r>
          </w:p>
        </w:tc>
      </w:tr>
      <w:tr>
        <w:trPr>
          <w:trHeight w:val="33"/>
        </w:trPr>
        <w:tc>
          <w:tcPr>
            <w:tcW w:w="7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shares at June 30, 2016</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791,995</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21.45</w:t>
            </w:r>
          </w:p>
        </w:tc>
      </w:tr>
      <w:tr>
        <w:trPr>
          <w:trHeight w:val="243"/>
        </w:trPr>
        <w:tc>
          <w:tcPr>
            <w:tcW w:w="8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granted</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516,969</w:t>
            </w:r>
          </w:p>
        </w:tc>
        <w:tc>
          <w:tcPr>
            <w:tcW w:w="86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r>
      <w:tr>
        <w:trPr>
          <w:trHeight w:val="27"/>
        </w:trPr>
        <w:tc>
          <w:tcPr>
            <w:tcW w:w="7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 shares earned in excess of target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88,523</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w:t>
            </w:r>
          </w:p>
        </w:tc>
      </w:tr>
      <w:tr>
        <w:trPr>
          <w:trHeight w:val="243"/>
        </w:trPr>
        <w:tc>
          <w:tcPr>
            <w:tcW w:w="8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vested and released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(396,530)</w:t>
            </w:r>
          </w:p>
        </w:tc>
        <w:tc>
          <w:tcPr>
            <w:tcW w:w="86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r>
      <w:tr>
        <w:trPr>
          <w:trHeight w:val="27"/>
        </w:trPr>
        <w:tc>
          <w:tcPr>
            <w:tcW w:w="7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canceled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19.70</w:t>
            </w:r>
          </w:p>
        </w:tc>
      </w:tr>
      <w:tr>
        <w:trPr>
          <w:trHeight w:val="257"/>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shares at June 30, 2017</w:t>
            </w:r>
          </w:p>
        </w:tc>
        <w:tc>
          <w:tcPr>
            <w:tcW w:w="1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995,353</w:t>
            </w:r>
          </w:p>
        </w:tc>
        <w:tc>
          <w:tcPr>
            <w:tcW w:w="86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21.65</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370,490 and 242,649 deferred shares granted in fiscal 2016 and 2015 with average grant date fair values of $20.77 and $29.31, respectively. There were 396,530, 631,443 and 326,763 deferred shares that vested and were released in fiscal 2017, 2016 and 2015 with weighted average fair values of $18.24, $22.34 and $23.93 per share,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11—Earnings per Common Share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of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4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2"/>
                <w:szCs w:val="12"/>
                <w:color w:val="auto"/>
              </w:rPr>
            </w:pPr>
          </w:p>
        </w:tc>
        <w:tc>
          <w:tcPr>
            <w:tcW w:w="1220" w:type="dxa"/>
            <w:vAlign w:val="bottom"/>
          </w:tcPr>
          <w:p>
            <w:pPr>
              <w:jc w:val="right"/>
              <w:ind w:right="47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60" w:type="dxa"/>
            <w:vAlign w:val="bottom"/>
            <w:gridSpan w:val="6"/>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Matrix Service Company</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28,863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17,157</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26,603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Diluted EPS:</w:t>
            </w:r>
          </w:p>
        </w:tc>
        <w:tc>
          <w:tcPr>
            <w:tcW w:w="1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26,597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26,603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stock options</w:t>
            </w: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nonvested deferred shares</w:t>
            </w: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26,533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27,100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27,177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securities are considered antidilutive and have been excluded from the calculation of diluted earnings (loss)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580" w:type="dxa"/>
            <w:vAlign w:val="bottom"/>
            <w:tcBorders>
              <w:bottom w:val="single" w:sz="8" w:color="auto"/>
            </w:tcBorders>
          </w:tcPr>
          <w:p>
            <w:pPr>
              <w:spacing w:after="0"/>
              <w:rPr>
                <w:sz w:val="16"/>
                <w:szCs w:val="16"/>
                <w:color w:val="auto"/>
              </w:rPr>
            </w:pPr>
          </w:p>
        </w:tc>
      </w:tr>
      <w:tr>
        <w:trPr>
          <w:trHeight w:val="149"/>
        </w:trPr>
        <w:tc>
          <w:tcPr>
            <w:tcW w:w="6620" w:type="dxa"/>
            <w:vAlign w:val="bottom"/>
          </w:tcPr>
          <w:p>
            <w:pPr>
              <w:spacing w:after="0"/>
              <w:rPr>
                <w:sz w:val="12"/>
                <w:szCs w:val="12"/>
                <w:color w:val="auto"/>
              </w:rPr>
            </w:pPr>
          </w:p>
        </w:tc>
        <w:tc>
          <w:tcPr>
            <w:tcW w:w="10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tcPr>
          <w:p>
            <w:pPr>
              <w:jc w:val="right"/>
              <w:ind w:right="47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5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66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Borders>
              <w:top w:val="single" w:sz="8" w:color="auto"/>
            </w:tcBorders>
          </w:tcPr>
          <w:p>
            <w:pPr>
              <w:spacing w:after="0"/>
              <w:rPr>
                <w:sz w:val="21"/>
                <w:szCs w:val="21"/>
                <w:color w:val="auto"/>
              </w:rPr>
            </w:pPr>
          </w:p>
        </w:tc>
      </w:tr>
      <w:tr>
        <w:trPr>
          <w:trHeight w:val="255"/>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Nonvested deferred shares</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1"/>
                <w:szCs w:val="21"/>
                <w:color w:val="auto"/>
              </w:rPr>
            </w:pPr>
          </w:p>
        </w:tc>
        <w:tc>
          <w:tcPr>
            <w:tcW w:w="14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66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12—Employee Benefit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defined contribution savings plans for all eligible employees meeting length of service requirements. Under the primary plan, participants may contribute an amount up to 25% of pretax annual compensation subject to certain limitations. The Company matches 100% of the first 3% of employee contributions and 50% of the next 2% of employee contributions. The Company matching contributions vest immediately.</w:t>
      </w:r>
    </w:p>
    <w:p>
      <w:pPr>
        <w:spacing w:after="0" w:line="122" w:lineRule="exact"/>
        <w:rPr>
          <w:sz w:val="20"/>
          <w:szCs w:val="20"/>
          <w:color w:val="auto"/>
        </w:rPr>
      </w:pPr>
    </w:p>
    <w:p>
      <w:pPr>
        <w:ind w:right="380"/>
        <w:spacing w:after="0" w:line="438" w:lineRule="auto"/>
        <w:rPr>
          <w:sz w:val="20"/>
          <w:szCs w:val="20"/>
          <w:color w:val="auto"/>
        </w:rPr>
      </w:pPr>
      <w:r>
        <w:rPr>
          <w:rFonts w:ascii="Times New Roman" w:cs="Times New Roman" w:eastAsia="Times New Roman" w:hAnsi="Times New Roman"/>
          <w:sz w:val="18"/>
          <w:szCs w:val="18"/>
          <w:color w:val="auto"/>
        </w:rPr>
        <w:t xml:space="preserve">The Company’s matching contributions were $5.5 million, $5.0 million, and $4.9 million for the years ended June 30, 2017, 2016 and 2015, respectively. </w:t>
      </w:r>
      <w:r>
        <w:rPr>
          <w:rFonts w:ascii="Times New Roman" w:cs="Times New Roman" w:eastAsia="Times New Roman" w:hAnsi="Times New Roman"/>
          <w:sz w:val="18"/>
          <w:szCs w:val="18"/>
          <w:i w:val="1"/>
          <w:iCs w:val="1"/>
          <w:color w:val="auto"/>
        </w:rPr>
        <w:t>Multiemployer Pension Plans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contributes to various union sponsored multiemployer benefit plans in the U.S. and Canada. Benefits under these plans are generally based on compensation levels and years of service.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Company, the financial risks of participating in multiemployer plans are different from single-employer plans in the following respects:</w:t>
      </w:r>
    </w:p>
    <w:p>
      <w:pPr>
        <w:spacing w:after="0" w:line="171" w:lineRule="exact"/>
        <w:rPr>
          <w:sz w:val="20"/>
          <w:szCs w:val="20"/>
          <w:color w:val="auto"/>
        </w:rPr>
      </w:pPr>
    </w:p>
    <w:p>
      <w:pPr>
        <w:ind w:left="640" w:hanging="321"/>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71" w:lineRule="exact"/>
        <w:rPr>
          <w:rFonts w:ascii="Times New Roman" w:cs="Times New Roman" w:eastAsia="Times New Roman" w:hAnsi="Times New Roman"/>
          <w:sz w:val="18"/>
          <w:szCs w:val="18"/>
          <w:color w:val="auto"/>
        </w:rPr>
      </w:pPr>
    </w:p>
    <w:p>
      <w:pPr>
        <w:ind w:left="640" w:right="300" w:hanging="321"/>
        <w:spacing w:after="0" w:line="282"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discontinues contributions to a plan, the unfunded obligations of the plan may be borne by the remaining participating employers.</w:t>
      </w:r>
    </w:p>
    <w:p>
      <w:pPr>
        <w:spacing w:after="0" w:line="107" w:lineRule="exact"/>
        <w:rPr>
          <w:rFonts w:ascii="Times New Roman" w:cs="Times New Roman" w:eastAsia="Times New Roman" w:hAnsi="Times New Roman"/>
          <w:sz w:val="18"/>
          <w:szCs w:val="18"/>
          <w:color w:val="auto"/>
        </w:rPr>
      </w:pPr>
    </w:p>
    <w:p>
      <w:pPr>
        <w:ind w:left="640" w:right="60" w:hanging="321"/>
        <w:spacing w:after="0" w:line="282"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chooses to stop participating in a plan, a withdrawal liability may be created based on the unfunded vested benefits for all employees in the plan.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participation in significant plans for the fiscal year ended June 30, 2017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333"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FIP/RP</w:t>
            </w:r>
          </w:p>
        </w:tc>
        <w:tc>
          <w:tcPr>
            <w:tcW w:w="180" w:type="dxa"/>
            <w:vAlign w:val="bottom"/>
          </w:tcPr>
          <w:p>
            <w:pPr>
              <w:spacing w:after="0"/>
              <w:rPr>
                <w:sz w:val="13"/>
                <w:szCs w:val="13"/>
                <w:color w:val="auto"/>
              </w:rPr>
            </w:pPr>
          </w:p>
        </w:tc>
        <w:tc>
          <w:tcPr>
            <w:tcW w:w="2400" w:type="dxa"/>
            <w:vAlign w:val="bottom"/>
            <w:gridSpan w:val="7"/>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Company Contributions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Protection Act</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Zone Status</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Status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Collective-</w:t>
            </w:r>
          </w:p>
        </w:tc>
        <w:tc>
          <w:tcPr>
            <w:tcW w:w="0" w:type="dxa"/>
            <w:vAlign w:val="bottom"/>
          </w:tcPr>
          <w:p>
            <w:pPr>
              <w:spacing w:after="0"/>
              <w:rPr>
                <w:sz w:val="1"/>
                <w:szCs w:val="1"/>
                <w:color w:val="auto"/>
              </w:rPr>
            </w:pPr>
          </w:p>
        </w:tc>
      </w:tr>
      <w:tr>
        <w:trPr>
          <w:trHeight w:val="52"/>
        </w:trPr>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EIN/Pension</w:t>
            </w:r>
          </w:p>
        </w:tc>
        <w:tc>
          <w:tcPr>
            <w:tcW w:w="1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3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Pending or</w:t>
            </w: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Surcharge</w:t>
            </w:r>
          </w:p>
        </w:tc>
        <w:tc>
          <w:tcPr>
            <w:tcW w:w="11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77"/>
        </w:trPr>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380" w:type="dxa"/>
            <w:vAlign w:val="bottom"/>
            <w:gridSpan w:val="2"/>
            <w:vMerge w:val="continue"/>
          </w:tcPr>
          <w:p>
            <w:pPr>
              <w:spacing w:after="0"/>
              <w:rPr>
                <w:sz w:val="6"/>
                <w:szCs w:val="6"/>
                <w:color w:val="auto"/>
              </w:rPr>
            </w:pPr>
          </w:p>
        </w:tc>
        <w:tc>
          <w:tcPr>
            <w:tcW w:w="11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6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740" w:type="dxa"/>
            <w:vAlign w:val="bottom"/>
            <w:gridSpan w:val="2"/>
            <w:vMerge w:val="continue"/>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1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250"/>
        </w:trPr>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Boilermaker-Blacksmith</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48-6168020/001</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3"/>
                <w:szCs w:val="13"/>
                <w:color w:val="auto"/>
                <w:w w:val="97"/>
              </w:rPr>
              <w:t>Described below</w:t>
            </w:r>
          </w:p>
        </w:tc>
        <w:tc>
          <w:tcPr>
            <w:tcW w:w="66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3"/>
                <w:szCs w:val="13"/>
                <w:color w:val="auto"/>
                <w:w w:val="98"/>
              </w:rPr>
              <w:t>Described</w:t>
            </w:r>
          </w:p>
        </w:tc>
        <w:tc>
          <w:tcPr>
            <w:tcW w:w="12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Described below (2)</w:t>
            </w:r>
          </w:p>
        </w:tc>
        <w:tc>
          <w:tcPr>
            <w:tcW w:w="18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7,098</w:t>
            </w:r>
          </w:p>
        </w:tc>
        <w:tc>
          <w:tcPr>
            <w:tcW w:w="2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7,658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8,330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5"/>
              </w:rPr>
              <w:t>Described below</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Described below (1)</w:t>
            </w:r>
          </w:p>
        </w:tc>
        <w:tc>
          <w:tcPr>
            <w:tcW w:w="0" w:type="dxa"/>
            <w:vAlign w:val="bottom"/>
          </w:tcPr>
          <w:p>
            <w:pPr>
              <w:spacing w:after="0"/>
              <w:rPr>
                <w:sz w:val="1"/>
                <w:szCs w:val="1"/>
                <w:color w:val="auto"/>
              </w:rPr>
            </w:pPr>
          </w:p>
        </w:tc>
      </w:tr>
      <w:tr>
        <w:trPr>
          <w:trHeight w:val="97"/>
        </w:trPr>
        <w:tc>
          <w:tcPr>
            <w:tcW w:w="17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National Pension Trust</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center"/>
              <w:ind w:right="95"/>
              <w:spacing w:after="0"/>
              <w:rPr>
                <w:sz w:val="20"/>
                <w:szCs w:val="20"/>
                <w:color w:val="auto"/>
              </w:rPr>
            </w:pPr>
            <w:r>
              <w:rPr>
                <w:rFonts w:ascii="Times New Roman" w:cs="Times New Roman" w:eastAsia="Times New Roman" w:hAnsi="Times New Roman"/>
                <w:sz w:val="13"/>
                <w:szCs w:val="13"/>
                <w:color w:val="auto"/>
                <w:w w:val="92"/>
              </w:rPr>
              <w:t>(2)</w:t>
            </w:r>
          </w:p>
        </w:tc>
        <w:tc>
          <w:tcPr>
            <w:tcW w:w="660" w:type="dxa"/>
            <w:vAlign w:val="bottom"/>
            <w:vMerge w:val="restart"/>
            <w:shd w:val="clear" w:color="auto" w:fill="CCEEFF"/>
          </w:tcPr>
          <w:p>
            <w:pPr>
              <w:jc w:val="center"/>
              <w:ind w:right="76"/>
              <w:spacing w:after="0"/>
              <w:rPr>
                <w:sz w:val="20"/>
                <w:szCs w:val="20"/>
                <w:color w:val="auto"/>
              </w:rPr>
            </w:pPr>
            <w:r>
              <w:rPr>
                <w:rFonts w:ascii="Times New Roman" w:cs="Times New Roman" w:eastAsia="Times New Roman" w:hAnsi="Times New Roman"/>
                <w:sz w:val="13"/>
                <w:szCs w:val="13"/>
                <w:color w:val="auto"/>
                <w:w w:val="95"/>
              </w:rPr>
              <w:t>below (2)</w:t>
            </w: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140" w:type="dxa"/>
            <w:vAlign w:val="bottom"/>
            <w:gridSpan w:val="2"/>
            <w:vMerge w:val="restart"/>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w w:val="98"/>
              </w:rPr>
              <w:t>Joint Pension Fund Local</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22-6031199/001</w:t>
            </w:r>
          </w:p>
        </w:tc>
        <w:tc>
          <w:tcPr>
            <w:tcW w:w="120" w:type="dxa"/>
            <w:vAlign w:val="bottom"/>
          </w:tcPr>
          <w:p>
            <w:pPr>
              <w:spacing w:after="0"/>
              <w:rPr>
                <w:sz w:val="12"/>
                <w:szCs w:val="12"/>
                <w:color w:val="auto"/>
              </w:rPr>
            </w:pPr>
          </w:p>
        </w:tc>
        <w:tc>
          <w:tcPr>
            <w:tcW w:w="1180" w:type="dxa"/>
            <w:vAlign w:val="bottom"/>
          </w:tcPr>
          <w:p>
            <w:pPr>
              <w:jc w:val="center"/>
              <w:ind w:right="95"/>
              <w:spacing w:after="0" w:line="144" w:lineRule="exact"/>
              <w:rPr>
                <w:sz w:val="20"/>
                <w:szCs w:val="20"/>
                <w:color w:val="auto"/>
              </w:rPr>
            </w:pPr>
            <w:r>
              <w:rPr>
                <w:rFonts w:ascii="Times New Roman" w:cs="Times New Roman" w:eastAsia="Times New Roman" w:hAnsi="Times New Roman"/>
                <w:sz w:val="13"/>
                <w:szCs w:val="13"/>
                <w:color w:val="auto"/>
                <w:w w:val="97"/>
              </w:rPr>
              <w:t>Described below</w:t>
            </w:r>
          </w:p>
        </w:tc>
        <w:tc>
          <w:tcPr>
            <w:tcW w:w="660" w:type="dxa"/>
            <w:vAlign w:val="bottom"/>
          </w:tcPr>
          <w:p>
            <w:pPr>
              <w:jc w:val="center"/>
              <w:ind w:right="76"/>
              <w:spacing w:after="0" w:line="144" w:lineRule="exact"/>
              <w:rPr>
                <w:sz w:val="20"/>
                <w:szCs w:val="20"/>
                <w:color w:val="auto"/>
              </w:rPr>
            </w:pPr>
            <w:r>
              <w:rPr>
                <w:rFonts w:ascii="Times New Roman" w:cs="Times New Roman" w:eastAsia="Times New Roman" w:hAnsi="Times New Roman"/>
                <w:sz w:val="13"/>
                <w:szCs w:val="13"/>
                <w:color w:val="auto"/>
                <w:w w:val="98"/>
              </w:rPr>
              <w:t>Described</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6"/>
              </w:rPr>
              <w:t>Described below (2)</w:t>
            </w:r>
          </w:p>
        </w:tc>
        <w:tc>
          <w:tcPr>
            <w:tcW w:w="18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2,709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2,635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3,026</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w w:val="95"/>
              </w:rPr>
              <w:t>Described below</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5/31/2021</w:t>
            </w:r>
          </w:p>
        </w:tc>
        <w:tc>
          <w:tcPr>
            <w:tcW w:w="0" w:type="dxa"/>
            <w:vAlign w:val="bottom"/>
          </w:tcPr>
          <w:p>
            <w:pPr>
              <w:spacing w:after="0"/>
              <w:rPr>
                <w:sz w:val="1"/>
                <w:szCs w:val="1"/>
                <w:color w:val="auto"/>
              </w:rPr>
            </w:pPr>
          </w:p>
        </w:tc>
      </w:tr>
      <w:tr>
        <w:trPr>
          <w:trHeight w:val="97"/>
        </w:trPr>
        <w:tc>
          <w:tcPr>
            <w:tcW w:w="1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color w:val="auto"/>
                <w:w w:val="95"/>
              </w:rPr>
              <w:t>Union 164 IBEW</w:t>
            </w:r>
          </w:p>
        </w:tc>
        <w:tc>
          <w:tcPr>
            <w:tcW w:w="1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center"/>
              <w:ind w:right="95"/>
              <w:spacing w:after="0"/>
              <w:rPr>
                <w:sz w:val="20"/>
                <w:szCs w:val="20"/>
                <w:color w:val="auto"/>
              </w:rPr>
            </w:pPr>
            <w:r>
              <w:rPr>
                <w:rFonts w:ascii="Times New Roman" w:cs="Times New Roman" w:eastAsia="Times New Roman" w:hAnsi="Times New Roman"/>
                <w:sz w:val="13"/>
                <w:szCs w:val="13"/>
                <w:color w:val="auto"/>
                <w:w w:val="92"/>
              </w:rPr>
              <w:t>(2)</w:t>
            </w:r>
          </w:p>
        </w:tc>
        <w:tc>
          <w:tcPr>
            <w:tcW w:w="66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color w:val="auto"/>
                <w:w w:val="95"/>
              </w:rPr>
              <w:t>below (2)</w:t>
            </w:r>
          </w:p>
        </w:tc>
        <w:tc>
          <w:tcPr>
            <w:tcW w:w="1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14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7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Joint Pension Fund of Local</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22-1615726/001</w:t>
            </w:r>
          </w:p>
        </w:tc>
        <w:tc>
          <w:tcPr>
            <w:tcW w:w="1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center"/>
              <w:ind w:right="95"/>
              <w:spacing w:after="0"/>
              <w:rPr>
                <w:sz w:val="20"/>
                <w:szCs w:val="20"/>
                <w:color w:val="auto"/>
              </w:rPr>
            </w:pPr>
            <w:r>
              <w:rPr>
                <w:rFonts w:ascii="Times New Roman" w:cs="Times New Roman" w:eastAsia="Times New Roman" w:hAnsi="Times New Roman"/>
                <w:sz w:val="13"/>
                <w:szCs w:val="13"/>
                <w:color w:val="auto"/>
                <w:w w:val="94"/>
              </w:rPr>
              <w:t>Green</w:t>
            </w:r>
          </w:p>
        </w:tc>
        <w:tc>
          <w:tcPr>
            <w:tcW w:w="660" w:type="dxa"/>
            <w:vAlign w:val="bottom"/>
            <w:vMerge w:val="restart"/>
            <w:shd w:val="clear" w:color="auto" w:fill="CCEEFF"/>
          </w:tcPr>
          <w:p>
            <w:pPr>
              <w:jc w:val="center"/>
              <w:ind w:right="7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2,392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3,063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2,395</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5/31/2019</w:t>
            </w:r>
          </w:p>
        </w:tc>
        <w:tc>
          <w:tcPr>
            <w:tcW w:w="0" w:type="dxa"/>
            <w:vAlign w:val="bottom"/>
          </w:tcPr>
          <w:p>
            <w:pPr>
              <w:spacing w:after="0"/>
              <w:rPr>
                <w:sz w:val="1"/>
                <w:szCs w:val="1"/>
                <w:color w:val="auto"/>
              </w:rPr>
            </w:pPr>
          </w:p>
        </w:tc>
      </w:tr>
      <w:tr>
        <w:trPr>
          <w:trHeight w:val="97"/>
        </w:trPr>
        <w:tc>
          <w:tcPr>
            <w:tcW w:w="17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Union No 102</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IBEW Local 456 Pension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22-6238995/001</w:t>
            </w:r>
          </w:p>
        </w:tc>
        <w:tc>
          <w:tcPr>
            <w:tcW w:w="120" w:type="dxa"/>
            <w:vAlign w:val="bottom"/>
          </w:tcPr>
          <w:p>
            <w:pPr>
              <w:spacing w:after="0"/>
              <w:rPr>
                <w:sz w:val="18"/>
                <w:szCs w:val="18"/>
                <w:color w:val="auto"/>
              </w:rPr>
            </w:pPr>
          </w:p>
        </w:tc>
        <w:tc>
          <w:tcPr>
            <w:tcW w:w="11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auto"/>
                <w:w w:val="94"/>
              </w:rPr>
              <w:t>Green</w:t>
            </w:r>
          </w:p>
        </w:tc>
        <w:tc>
          <w:tcPr>
            <w:tcW w:w="66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2,777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788</w:t>
            </w: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12/3/2017</w:t>
            </w:r>
          </w:p>
        </w:tc>
        <w:tc>
          <w:tcPr>
            <w:tcW w:w="0" w:type="dxa"/>
            <w:vAlign w:val="bottom"/>
          </w:tcPr>
          <w:p>
            <w:pPr>
              <w:spacing w:after="0"/>
              <w:rPr>
                <w:sz w:val="1"/>
                <w:szCs w:val="1"/>
                <w:color w:val="auto"/>
              </w:rPr>
            </w:pPr>
          </w:p>
        </w:tc>
      </w:tr>
      <w:tr>
        <w:trPr>
          <w:trHeight w:val="57"/>
        </w:trPr>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w w:val="97"/>
              </w:rPr>
              <w:t>Local 351 IBEW Pension</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22-3417366/001</w:t>
            </w:r>
          </w:p>
        </w:tc>
        <w:tc>
          <w:tcPr>
            <w:tcW w:w="1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center"/>
              <w:ind w:right="95"/>
              <w:spacing w:after="0"/>
              <w:rPr>
                <w:sz w:val="20"/>
                <w:szCs w:val="20"/>
                <w:color w:val="auto"/>
              </w:rPr>
            </w:pPr>
            <w:r>
              <w:rPr>
                <w:rFonts w:ascii="Times New Roman" w:cs="Times New Roman" w:eastAsia="Times New Roman" w:hAnsi="Times New Roman"/>
                <w:sz w:val="13"/>
                <w:szCs w:val="13"/>
                <w:color w:val="auto"/>
                <w:w w:val="94"/>
              </w:rPr>
              <w:t>Green</w:t>
            </w:r>
          </w:p>
        </w:tc>
        <w:tc>
          <w:tcPr>
            <w:tcW w:w="660" w:type="dxa"/>
            <w:vAlign w:val="bottom"/>
            <w:vMerge w:val="restart"/>
            <w:shd w:val="clear" w:color="auto" w:fill="CCEEFF"/>
          </w:tcPr>
          <w:p>
            <w:pPr>
              <w:jc w:val="center"/>
              <w:ind w:right="7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2,796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5,018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2,608</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9/30/2017</w:t>
            </w:r>
          </w:p>
        </w:tc>
        <w:tc>
          <w:tcPr>
            <w:tcW w:w="0" w:type="dxa"/>
            <w:vAlign w:val="bottom"/>
          </w:tcPr>
          <w:p>
            <w:pPr>
              <w:spacing w:after="0"/>
              <w:rPr>
                <w:sz w:val="1"/>
                <w:szCs w:val="1"/>
                <w:color w:val="auto"/>
              </w:rPr>
            </w:pPr>
          </w:p>
        </w:tc>
      </w:tr>
      <w:tr>
        <w:trPr>
          <w:trHeight w:val="97"/>
        </w:trPr>
        <w:tc>
          <w:tcPr>
            <w:tcW w:w="174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Plan</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w w:val="96"/>
              </w:rPr>
              <w:t>Steamfitters Local Union No</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23-2004424/001</w:t>
            </w:r>
          </w:p>
        </w:tc>
        <w:tc>
          <w:tcPr>
            <w:tcW w:w="12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Times New Roman" w:cs="Times New Roman" w:eastAsia="Times New Roman" w:hAnsi="Times New Roman"/>
                <w:sz w:val="13"/>
                <w:szCs w:val="13"/>
                <w:color w:val="auto"/>
                <w:w w:val="95"/>
              </w:rPr>
              <w:t>Red</w:t>
            </w:r>
          </w:p>
        </w:tc>
        <w:tc>
          <w:tcPr>
            <w:tcW w:w="66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color w:val="auto"/>
                <w:w w:val="95"/>
              </w:rPr>
              <w:t>Red</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2,234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1,265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937</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8"/>
              </w:rPr>
              <w:t>Yes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4/30/2020</w:t>
            </w:r>
          </w:p>
        </w:tc>
        <w:tc>
          <w:tcPr>
            <w:tcW w:w="0" w:type="dxa"/>
            <w:vAlign w:val="bottom"/>
          </w:tcPr>
          <w:p>
            <w:pPr>
              <w:spacing w:after="0"/>
              <w:rPr>
                <w:sz w:val="1"/>
                <w:szCs w:val="1"/>
                <w:color w:val="auto"/>
              </w:rPr>
            </w:pPr>
          </w:p>
        </w:tc>
      </w:tr>
      <w:tr>
        <w:trPr>
          <w:trHeight w:val="97"/>
        </w:trPr>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5"/>
              </w:rPr>
              <w:t>420 Pension Plan</w:t>
            </w:r>
          </w:p>
        </w:tc>
        <w:tc>
          <w:tcPr>
            <w:tcW w:w="1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7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IBEW Local Union 98</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23-1990722/001</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3"/>
                <w:szCs w:val="13"/>
                <w:color w:val="auto"/>
                <w:w w:val="97"/>
              </w:rPr>
              <w:t>Described below</w:t>
            </w:r>
          </w:p>
        </w:tc>
        <w:tc>
          <w:tcPr>
            <w:tcW w:w="66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3"/>
                <w:szCs w:val="13"/>
                <w:color w:val="auto"/>
                <w:w w:val="98"/>
              </w:rPr>
              <w:t>Described</w:t>
            </w:r>
          </w:p>
        </w:tc>
        <w:tc>
          <w:tcPr>
            <w:tcW w:w="1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Described below (2)</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1,519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1,653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2,768</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5"/>
              </w:rPr>
              <w:t>Described below</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4/28/2018</w:t>
            </w:r>
          </w:p>
        </w:tc>
        <w:tc>
          <w:tcPr>
            <w:tcW w:w="0" w:type="dxa"/>
            <w:vAlign w:val="bottom"/>
          </w:tcPr>
          <w:p>
            <w:pPr>
              <w:spacing w:after="0"/>
              <w:rPr>
                <w:sz w:val="1"/>
                <w:szCs w:val="1"/>
                <w:color w:val="auto"/>
              </w:rPr>
            </w:pPr>
          </w:p>
        </w:tc>
      </w:tr>
      <w:tr>
        <w:trPr>
          <w:trHeight w:val="97"/>
        </w:trPr>
        <w:tc>
          <w:tcPr>
            <w:tcW w:w="17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Pension Plan</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center"/>
              <w:ind w:right="95"/>
              <w:spacing w:after="0"/>
              <w:rPr>
                <w:sz w:val="20"/>
                <w:szCs w:val="20"/>
                <w:color w:val="auto"/>
              </w:rPr>
            </w:pPr>
            <w:r>
              <w:rPr>
                <w:rFonts w:ascii="Times New Roman" w:cs="Times New Roman" w:eastAsia="Times New Roman" w:hAnsi="Times New Roman"/>
                <w:sz w:val="13"/>
                <w:szCs w:val="13"/>
                <w:color w:val="auto"/>
                <w:w w:val="92"/>
              </w:rPr>
              <w:t>(2)</w:t>
            </w:r>
          </w:p>
        </w:tc>
        <w:tc>
          <w:tcPr>
            <w:tcW w:w="660" w:type="dxa"/>
            <w:vAlign w:val="bottom"/>
            <w:vMerge w:val="restart"/>
            <w:shd w:val="clear" w:color="auto" w:fill="CCEEFF"/>
          </w:tcPr>
          <w:p>
            <w:pPr>
              <w:jc w:val="center"/>
              <w:ind w:right="76"/>
              <w:spacing w:after="0"/>
              <w:rPr>
                <w:sz w:val="20"/>
                <w:szCs w:val="20"/>
                <w:color w:val="auto"/>
              </w:rPr>
            </w:pPr>
            <w:r>
              <w:rPr>
                <w:rFonts w:ascii="Times New Roman" w:cs="Times New Roman" w:eastAsia="Times New Roman" w:hAnsi="Times New Roman"/>
                <w:sz w:val="13"/>
                <w:szCs w:val="13"/>
                <w:color w:val="auto"/>
                <w:w w:val="95"/>
              </w:rPr>
              <w:t>below (2)</w:t>
            </w: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140" w:type="dxa"/>
            <w:vAlign w:val="bottom"/>
            <w:gridSpan w:val="2"/>
            <w:vMerge w:val="restart"/>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w w:val="97"/>
              </w:rPr>
              <w:t>Indiana Laborers Pension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35-6027150/001</w:t>
            </w:r>
          </w:p>
        </w:tc>
        <w:tc>
          <w:tcPr>
            <w:tcW w:w="120" w:type="dxa"/>
            <w:vAlign w:val="bottom"/>
          </w:tcPr>
          <w:p>
            <w:pPr>
              <w:spacing w:after="0"/>
              <w:rPr>
                <w:sz w:val="12"/>
                <w:szCs w:val="12"/>
                <w:color w:val="auto"/>
              </w:rPr>
            </w:pPr>
          </w:p>
        </w:tc>
        <w:tc>
          <w:tcPr>
            <w:tcW w:w="1180" w:type="dxa"/>
            <w:vAlign w:val="bottom"/>
          </w:tcPr>
          <w:p>
            <w:pPr>
              <w:jc w:val="center"/>
              <w:ind w:right="95"/>
              <w:spacing w:after="0" w:line="144" w:lineRule="exact"/>
              <w:rPr>
                <w:sz w:val="20"/>
                <w:szCs w:val="20"/>
                <w:color w:val="auto"/>
              </w:rPr>
            </w:pPr>
            <w:r>
              <w:rPr>
                <w:rFonts w:ascii="Times New Roman" w:cs="Times New Roman" w:eastAsia="Times New Roman" w:hAnsi="Times New Roman"/>
                <w:sz w:val="13"/>
                <w:szCs w:val="13"/>
                <w:color w:val="auto"/>
                <w:w w:val="97"/>
              </w:rPr>
              <w:t>Described below</w:t>
            </w:r>
          </w:p>
        </w:tc>
        <w:tc>
          <w:tcPr>
            <w:tcW w:w="660" w:type="dxa"/>
            <w:vAlign w:val="bottom"/>
          </w:tcPr>
          <w:p>
            <w:pPr>
              <w:jc w:val="center"/>
              <w:ind w:right="76"/>
              <w:spacing w:after="0" w:line="144" w:lineRule="exact"/>
              <w:rPr>
                <w:sz w:val="20"/>
                <w:szCs w:val="20"/>
                <w:color w:val="auto"/>
              </w:rPr>
            </w:pPr>
            <w:r>
              <w:rPr>
                <w:rFonts w:ascii="Times New Roman" w:cs="Times New Roman" w:eastAsia="Times New Roman" w:hAnsi="Times New Roman"/>
                <w:sz w:val="13"/>
                <w:szCs w:val="13"/>
                <w:color w:val="auto"/>
                <w:w w:val="98"/>
              </w:rPr>
              <w:t>Described</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6"/>
              </w:rPr>
              <w:t>Described below (2)</w:t>
            </w:r>
          </w:p>
        </w:tc>
        <w:tc>
          <w:tcPr>
            <w:tcW w:w="18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2,458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2,320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2,519</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w w:val="95"/>
              </w:rPr>
              <w:t>Described below</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5/31/2018</w:t>
            </w:r>
          </w:p>
        </w:tc>
        <w:tc>
          <w:tcPr>
            <w:tcW w:w="0" w:type="dxa"/>
            <w:vAlign w:val="bottom"/>
          </w:tcPr>
          <w:p>
            <w:pPr>
              <w:spacing w:after="0"/>
              <w:rPr>
                <w:sz w:val="1"/>
                <w:szCs w:val="1"/>
                <w:color w:val="auto"/>
              </w:rPr>
            </w:pPr>
          </w:p>
        </w:tc>
      </w:tr>
      <w:tr>
        <w:trPr>
          <w:trHeight w:val="97"/>
        </w:trPr>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7"/>
              </w:rPr>
              <w:t>Fund</w:t>
            </w:r>
          </w:p>
        </w:tc>
        <w:tc>
          <w:tcPr>
            <w:tcW w:w="1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center"/>
              <w:ind w:right="95"/>
              <w:spacing w:after="0"/>
              <w:rPr>
                <w:sz w:val="20"/>
                <w:szCs w:val="20"/>
                <w:color w:val="auto"/>
              </w:rPr>
            </w:pPr>
            <w:r>
              <w:rPr>
                <w:rFonts w:ascii="Times New Roman" w:cs="Times New Roman" w:eastAsia="Times New Roman" w:hAnsi="Times New Roman"/>
                <w:sz w:val="13"/>
                <w:szCs w:val="13"/>
                <w:color w:val="auto"/>
                <w:w w:val="92"/>
              </w:rPr>
              <w:t>(2)</w:t>
            </w:r>
          </w:p>
        </w:tc>
        <w:tc>
          <w:tcPr>
            <w:tcW w:w="66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color w:val="auto"/>
                <w:w w:val="95"/>
              </w:rPr>
              <w:t>below (2)</w:t>
            </w:r>
          </w:p>
        </w:tc>
        <w:tc>
          <w:tcPr>
            <w:tcW w:w="1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14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7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Iron Workers Mid-America</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36-6488227/001</w:t>
            </w:r>
          </w:p>
        </w:tc>
        <w:tc>
          <w:tcPr>
            <w:tcW w:w="1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center"/>
              <w:ind w:right="95"/>
              <w:spacing w:after="0"/>
              <w:rPr>
                <w:sz w:val="20"/>
                <w:szCs w:val="20"/>
                <w:color w:val="auto"/>
              </w:rPr>
            </w:pPr>
            <w:r>
              <w:rPr>
                <w:rFonts w:ascii="Times New Roman" w:cs="Times New Roman" w:eastAsia="Times New Roman" w:hAnsi="Times New Roman"/>
                <w:sz w:val="13"/>
                <w:szCs w:val="13"/>
                <w:color w:val="auto"/>
                <w:w w:val="94"/>
              </w:rPr>
              <w:t>Green</w:t>
            </w:r>
          </w:p>
        </w:tc>
        <w:tc>
          <w:tcPr>
            <w:tcW w:w="660" w:type="dxa"/>
            <w:vAlign w:val="bottom"/>
            <w:vMerge w:val="restart"/>
            <w:shd w:val="clear" w:color="auto" w:fill="CCEEFF"/>
          </w:tcPr>
          <w:p>
            <w:pPr>
              <w:jc w:val="center"/>
              <w:ind w:right="7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1,785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2,248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2,605</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5/31/2019</w:t>
            </w:r>
          </w:p>
        </w:tc>
        <w:tc>
          <w:tcPr>
            <w:tcW w:w="0" w:type="dxa"/>
            <w:vAlign w:val="bottom"/>
          </w:tcPr>
          <w:p>
            <w:pPr>
              <w:spacing w:after="0"/>
              <w:rPr>
                <w:sz w:val="1"/>
                <w:szCs w:val="1"/>
                <w:color w:val="auto"/>
              </w:rPr>
            </w:pPr>
          </w:p>
        </w:tc>
      </w:tr>
      <w:tr>
        <w:trPr>
          <w:trHeight w:val="97"/>
        </w:trPr>
        <w:tc>
          <w:tcPr>
            <w:tcW w:w="17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Pension Plan</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w w:val="96"/>
              </w:rPr>
              <w:t>Plumbers &amp; Pipefitters Local</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51-6015925/001</w:t>
            </w:r>
          </w:p>
        </w:tc>
        <w:tc>
          <w:tcPr>
            <w:tcW w:w="12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Times New Roman" w:cs="Times New Roman" w:eastAsia="Times New Roman" w:hAnsi="Times New Roman"/>
                <w:sz w:val="13"/>
                <w:szCs w:val="13"/>
                <w:color w:val="auto"/>
                <w:w w:val="93"/>
              </w:rPr>
              <w:t>Yellow</w:t>
            </w:r>
          </w:p>
        </w:tc>
        <w:tc>
          <w:tcPr>
            <w:tcW w:w="66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color w:val="auto"/>
                <w:w w:val="93"/>
              </w:rPr>
              <w:t>Yellow</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4,473</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6/15/2018</w:t>
            </w:r>
          </w:p>
        </w:tc>
        <w:tc>
          <w:tcPr>
            <w:tcW w:w="0" w:type="dxa"/>
            <w:vAlign w:val="bottom"/>
          </w:tcPr>
          <w:p>
            <w:pPr>
              <w:spacing w:after="0"/>
              <w:rPr>
                <w:sz w:val="1"/>
                <w:szCs w:val="1"/>
                <w:color w:val="auto"/>
              </w:rPr>
            </w:pPr>
          </w:p>
        </w:tc>
      </w:tr>
      <w:tr>
        <w:trPr>
          <w:trHeight w:val="97"/>
        </w:trPr>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5"/>
              </w:rPr>
              <w:t>Union 74 Pension Fund</w:t>
            </w:r>
          </w:p>
        </w:tc>
        <w:tc>
          <w:tcPr>
            <w:tcW w:w="1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7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Pipe Fitters Retirement Fund,</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62-6105084/001</w:t>
            </w:r>
          </w:p>
        </w:tc>
        <w:tc>
          <w:tcPr>
            <w:tcW w:w="1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center"/>
              <w:ind w:right="95"/>
              <w:spacing w:after="0"/>
              <w:rPr>
                <w:sz w:val="20"/>
                <w:szCs w:val="20"/>
                <w:color w:val="auto"/>
              </w:rPr>
            </w:pPr>
            <w:r>
              <w:rPr>
                <w:rFonts w:ascii="Times New Roman" w:cs="Times New Roman" w:eastAsia="Times New Roman" w:hAnsi="Times New Roman"/>
                <w:sz w:val="13"/>
                <w:szCs w:val="13"/>
                <w:color w:val="auto"/>
                <w:w w:val="94"/>
              </w:rPr>
              <w:t>Green</w:t>
            </w:r>
          </w:p>
        </w:tc>
        <w:tc>
          <w:tcPr>
            <w:tcW w:w="660" w:type="dxa"/>
            <w:vAlign w:val="bottom"/>
            <w:vMerge w:val="restart"/>
            <w:shd w:val="clear" w:color="auto" w:fill="CCEEFF"/>
          </w:tcPr>
          <w:p>
            <w:pPr>
              <w:jc w:val="center"/>
              <w:ind w:right="7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2,563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2,377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2,259</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5/31/2018</w:t>
            </w:r>
          </w:p>
        </w:tc>
        <w:tc>
          <w:tcPr>
            <w:tcW w:w="0" w:type="dxa"/>
            <w:vAlign w:val="bottom"/>
          </w:tcPr>
          <w:p>
            <w:pPr>
              <w:spacing w:after="0"/>
              <w:rPr>
                <w:sz w:val="1"/>
                <w:szCs w:val="1"/>
                <w:color w:val="auto"/>
              </w:rPr>
            </w:pPr>
          </w:p>
        </w:tc>
      </w:tr>
      <w:tr>
        <w:trPr>
          <w:trHeight w:val="97"/>
        </w:trPr>
        <w:tc>
          <w:tcPr>
            <w:tcW w:w="17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5"/>
              </w:rPr>
              <w:t>Local 597</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3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3"/>
                <w:szCs w:val="13"/>
                <w:color w:val="auto"/>
              </w:rPr>
              <w:t>Contributions to other multiemployer plans</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20,374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16,054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22,282</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contributions made</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48,709</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46,011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54,990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60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76" w:lineRule="exact"/>
        <w:rPr>
          <w:sz w:val="20"/>
          <w:szCs w:val="20"/>
          <w:color w:val="auto"/>
        </w:rPr>
      </w:pPr>
    </w:p>
    <w:p>
      <w:pPr>
        <w:ind w:left="460" w:right="280" w:hanging="330"/>
        <w:spacing w:after="0" w:line="253" w:lineRule="auto"/>
        <w:tabs>
          <w:tab w:leader="none" w:pos="4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employees are members of several Boilermaker unions that participate in the Boilermaker-Blacksmith National Pension Trust. The most significant of these unions are Boilermakers Local 374 and Boilermakers Local 128, which have collective bargaining agreements that expire on December 31, 2019 and December 31, 2020, respectively.</w:t>
      </w:r>
    </w:p>
    <w:p>
      <w:pPr>
        <w:ind w:left="460" w:right="20" w:hanging="330"/>
        <w:spacing w:after="0" w:line="245" w:lineRule="auto"/>
        <w:tabs>
          <w:tab w:leader="none" w:pos="4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Boilermaker-Blacksmith National Pension Trust, Local 164 IBEW Pension Plan, Local 98 IBEW Pension Plan and the Indiana Laborers Pension Fund, the Company has not received a funding notification that covers the Company's fiscal years 2017 or 2016 during the preparation of this Form 10-K.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also observed that these plans have not submitted any Critical or Endangered Status Notices to the Department of Labor for either calendar years 2017 or 2016 (which can be accessed at http://www.dol.gov/ebsa/criticalstatusnotices.html).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at market value with no discount to the participant. Contributions 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The Company has made 1,000,000 shares available under the ESPP. The ESPP can be terminated at the discretion of the Board of Directors or on January 2, 2021. Shares are issued from Treasury Stock under the ESPP. There were 16,609 shares issued in fiscal 2017, 17,304 shares in fiscal 2016, and 13,243 shares in fiscal 2015.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333" w:right="2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natural gas fired power stations, and renewable energy installations.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 Gas &amp; Chemical segment includes turnaround activities, plant maintenance, engineering and construction in the downstream and midstream petroleum industries. Our customers in these industries are engaged in refining crude oil and processing, fractionating, and marketing of natural gas and natural gas liquids. Another key offering is industrial cleaning services, which include hydroblasting, hydroexcavating, chemical cleaning and vacuum services. We also perform work in the petrochemical, upstream petroleum, and sulfur extraction, recovery and processing markets.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Industrial segment primarily includes construction and maintenance work in the iron and steel, mining and minerals, and agricultural industries.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is recognized.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assets consist primarily of accounts receivable, costs and estimated earnings in excess of billings on uncompleted contracts, property, plant and equipment and goodwill.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333" w:right="2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1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60" w:type="dxa"/>
            <w:vAlign w:val="bottom"/>
          </w:tcPr>
          <w:p>
            <w:pPr>
              <w:spacing w:after="0"/>
              <w:rPr>
                <w:sz w:val="13"/>
                <w:szCs w:val="13"/>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June 30, 2017</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373,384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247,423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483,254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103,449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1,207,510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10,001</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373,384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240,523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481,696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101,906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1,197,509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81,003</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166,742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586,030</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11,908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21,602</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June 30, 2016</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564,738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1,316,466</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563,512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149,599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1,311,917</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125,991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40,882</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201,875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68,875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564,967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13,939</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21,441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June 30, 2015</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257,930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310,826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504,155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281,319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1,354,230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11,095</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257,930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305,360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503,123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276,722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1,343,135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87,370</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8,802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172,857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561,689</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15,773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23,480</w:t>
            </w:r>
          </w:p>
        </w:tc>
        <w:tc>
          <w:tcPr>
            <w:tcW w:w="0" w:type="dxa"/>
            <w:vAlign w:val="bottom"/>
          </w:tcPr>
          <w:p>
            <w:pPr>
              <w:spacing w:after="0"/>
              <w:rPr>
                <w:sz w:val="1"/>
                <w:szCs w:val="1"/>
                <w:color w:val="auto"/>
              </w:rPr>
            </w:pPr>
          </w:p>
        </w:tc>
      </w:tr>
      <w:tr>
        <w:trPr>
          <w:trHeight w:val="675"/>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520" w:top="333" w:right="51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Geographical information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center"/>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961,049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1,127,893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1,205,713</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228,625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178,603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137,422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international</w:t>
            </w:r>
          </w:p>
        </w:tc>
        <w:tc>
          <w:tcPr>
            <w:tcW w:w="28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7,835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1,197,509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1,311,917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1,343,135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center"/>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193,164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158,970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166,132</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21,419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19,915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22,086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international</w:t>
            </w:r>
          </w:p>
        </w:tc>
        <w:tc>
          <w:tcPr>
            <w:tcW w:w="28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12,817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227,400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189,521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188,218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8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8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82" w:name="page83"/>
    <w:bookmarkEnd w:id="8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Significant Customers</w:t>
      </w:r>
    </w:p>
    <w:p>
      <w:pPr>
        <w:spacing w:after="0" w:line="234"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Significant Customers as a Percentage of Segment Revenues</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Electrical</w:t>
            </w:r>
          </w:p>
        </w:tc>
        <w:tc>
          <w:tcPr>
            <w:tcW w:w="13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Oil Gas &amp;</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Storage</w:t>
            </w:r>
          </w:p>
        </w:tc>
        <w:tc>
          <w:tcPr>
            <w:tcW w:w="10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June 30, 2017</w:t>
            </w: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one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two</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three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four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five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six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seven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June 30, 2016</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one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two</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three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four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five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six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seven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eight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nine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ten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eleven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June 30, 2015</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one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two</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three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four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five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six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seven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eight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nine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ten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eleven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240" w:top="333" w:right="51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Ended June 30, 2017 and June 30, 2016</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80" w:type="dxa"/>
            <w:vAlign w:val="bottom"/>
          </w:tcPr>
          <w:p>
            <w:pPr>
              <w:spacing w:after="0"/>
              <w:rPr>
                <w:sz w:val="13"/>
                <w:szCs w:val="13"/>
                <w:color w:val="auto"/>
              </w:rPr>
            </w:pP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80" w:type="dxa"/>
            <w:vAlign w:val="bottom"/>
          </w:tcPr>
          <w:p>
            <w:pPr>
              <w:spacing w:after="0"/>
              <w:rPr>
                <w:sz w:val="13"/>
                <w:szCs w:val="13"/>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60" w:type="dxa"/>
            <w:vAlign w:val="bottom"/>
          </w:tcPr>
          <w:p>
            <w:pPr>
              <w:spacing w:after="0"/>
              <w:rPr>
                <w:sz w:val="13"/>
                <w:szCs w:val="13"/>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50"/>
        </w:trPr>
        <w:tc>
          <w:tcPr>
            <w:tcW w:w="5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2017</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341,781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312,655</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251,237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291,836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(loss)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32,278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28,212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23,127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14,301</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8,237</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3,531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Matrix Service Company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9,342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5,250</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0.20</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0.20</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2016</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319,331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323,529</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309,422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359,635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34,584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30,005</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27,303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34,099</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15,101</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4,935</w:t>
            </w:r>
          </w:p>
        </w:tc>
        <w:tc>
          <w:tcPr>
            <w:tcW w:w="3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6,347</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14,499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Matrix Service Company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9,941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5,431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4,357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9,134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0.20</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0.35</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0.20</w:t>
            </w:r>
          </w:p>
        </w:tc>
        <w:tc>
          <w:tcPr>
            <w:tcW w:w="3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0.34</w:t>
            </w:r>
          </w:p>
        </w:tc>
      </w:tr>
    </w:tbl>
    <w:p>
      <w:pPr>
        <w:spacing w:after="0" w:line="3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The sum of earnings per share for the four quarters may not equal the total earnings per share for the year due to changes in the average number of common shares outstanding and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660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June 30, 2017, June 30, 2016, and June 30, 2015</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COL. C</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ind w:left="1820"/>
              <w:spacing w:after="0"/>
              <w:rPr>
                <w:sz w:val="20"/>
                <w:szCs w:val="20"/>
                <w:color w:val="auto"/>
              </w:rPr>
            </w:pPr>
            <w:r>
              <w:rPr>
                <w:rFonts w:ascii="Times New Roman" w:cs="Times New Roman" w:eastAsia="Times New Roman" w:hAnsi="Times New Roman"/>
                <w:sz w:val="16"/>
                <w:szCs w:val="16"/>
                <w:b w:val="1"/>
                <w:bCs w:val="1"/>
                <w:color w:val="auto"/>
              </w:rPr>
              <w:t>COL. A</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COL. B</w:t>
            </w:r>
          </w:p>
        </w:tc>
        <w:tc>
          <w:tcPr>
            <w:tcW w:w="160" w:type="dxa"/>
            <w:vAlign w:val="bottom"/>
          </w:tcPr>
          <w:p>
            <w:pPr>
              <w:spacing w:after="0"/>
              <w:rPr>
                <w:sz w:val="18"/>
                <w:szCs w:val="18"/>
                <w:color w:val="auto"/>
              </w:rPr>
            </w:pPr>
          </w:p>
        </w:tc>
        <w:tc>
          <w:tcPr>
            <w:tcW w:w="2580" w:type="dxa"/>
            <w:vAlign w:val="bottom"/>
            <w:gridSpan w:val="5"/>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20" w:type="dxa"/>
            <w:vAlign w:val="bottom"/>
          </w:tcPr>
          <w:p>
            <w:pPr>
              <w:spacing w:after="0"/>
              <w:rPr>
                <w:sz w:val="18"/>
                <w:szCs w:val="18"/>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COL. 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COL. E</w:t>
            </w:r>
          </w:p>
        </w:tc>
        <w:tc>
          <w:tcPr>
            <w:tcW w:w="0" w:type="dxa"/>
            <w:vAlign w:val="bottom"/>
          </w:tcPr>
          <w:p>
            <w:pPr>
              <w:spacing w:after="0"/>
              <w:rPr>
                <w:sz w:val="1"/>
                <w:szCs w:val="1"/>
                <w:color w:val="auto"/>
              </w:rPr>
            </w:pPr>
          </w:p>
        </w:tc>
      </w:tr>
      <w:tr>
        <w:trPr>
          <w:trHeight w:val="33"/>
        </w:trPr>
        <w:tc>
          <w:tcPr>
            <w:tcW w:w="4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60" w:type="dxa"/>
            <w:vAlign w:val="bottom"/>
          </w:tcPr>
          <w:p>
            <w:pPr>
              <w:spacing w:after="0"/>
              <w:rPr>
                <w:sz w:val="12"/>
                <w:szCs w:val="12"/>
                <w:color w:val="auto"/>
              </w:rPr>
            </w:pPr>
          </w:p>
        </w:tc>
        <w:tc>
          <w:tcPr>
            <w:tcW w:w="13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20" w:type="dxa"/>
            <w:vAlign w:val="bottom"/>
          </w:tcPr>
          <w:p>
            <w:pPr>
              <w:spacing w:after="0"/>
              <w:rPr>
                <w:sz w:val="12"/>
                <w:szCs w:val="12"/>
                <w:color w:val="auto"/>
              </w:rPr>
            </w:pPr>
          </w:p>
        </w:tc>
        <w:tc>
          <w:tcPr>
            <w:tcW w:w="96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5"/>
              <w:spacing w:after="0" w:line="14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5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 Accounts</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6"/>
                <w:szCs w:val="16"/>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—Describe</w:t>
            </w:r>
          </w:p>
        </w:tc>
        <w:tc>
          <w:tcPr>
            <w:tcW w:w="120" w:type="dxa"/>
            <w:vAlign w:val="bottom"/>
          </w:tcPr>
          <w:p>
            <w:pPr>
              <w:spacing w:after="0"/>
              <w:rPr>
                <w:sz w:val="16"/>
                <w:szCs w:val="16"/>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Describe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43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2017</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9,887</w:t>
            </w:r>
          </w:p>
        </w:tc>
        <w:tc>
          <w:tcPr>
            <w:tcW w:w="0" w:type="dxa"/>
            <w:vAlign w:val="bottom"/>
          </w:tcPr>
          <w:p>
            <w:pPr>
              <w:spacing w:after="0"/>
              <w:rPr>
                <w:sz w:val="1"/>
                <w:szCs w:val="1"/>
                <w:color w:val="auto"/>
              </w:rPr>
            </w:pPr>
          </w:p>
        </w:tc>
      </w:tr>
      <w:tr>
        <w:trPr>
          <w:trHeight w:val="243"/>
        </w:trPr>
        <w:tc>
          <w:tcPr>
            <w:tcW w:w="4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11,606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1,808  (B)</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8,403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7"/>
        </w:trPr>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1,808</w:t>
            </w:r>
          </w:p>
        </w:tc>
        <w:tc>
          <w:tcPr>
            <w:tcW w:w="4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8,827</w:t>
            </w:r>
          </w:p>
        </w:tc>
        <w:tc>
          <w:tcPr>
            <w:tcW w:w="0" w:type="dxa"/>
            <w:vAlign w:val="bottom"/>
          </w:tcPr>
          <w:p>
            <w:pPr>
              <w:spacing w:after="0"/>
              <w:rPr>
                <w:sz w:val="1"/>
                <w:szCs w:val="1"/>
                <w:color w:val="auto"/>
              </w:rPr>
            </w:pPr>
          </w:p>
        </w:tc>
      </w:tr>
      <w:tr>
        <w:trPr>
          <w:trHeight w:val="67"/>
        </w:trPr>
        <w:tc>
          <w:tcPr>
            <w:tcW w:w="4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3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2015</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43"/>
        </w:trPr>
        <w:tc>
          <w:tcPr>
            <w:tcW w:w="4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40" w:hanging="316"/>
        <w:spacing w:after="0" w:line="253"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 $180 receivable written off against allowance for doubtful accounts, a $60 reclassification of reserves to billings on uncompleted contracts in excess of costs and estimated earnings and a $24 currency translation adjustment.</w:t>
      </w:r>
    </w:p>
    <w:p>
      <w:pPr>
        <w:ind w:left="540" w:hanging="316"/>
        <w:spacing w:after="0"/>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 reclassification of reserves that were initially recorded in billings on uncompleted contracts in excess of costs and estimated earnings.</w:t>
      </w:r>
    </w:p>
    <w:p>
      <w:pPr>
        <w:spacing w:after="0" w:line="1" w:lineRule="exact"/>
        <w:rPr>
          <w:rFonts w:ascii="Times New Roman" w:cs="Times New Roman" w:eastAsia="Times New Roman" w:hAnsi="Times New Roman"/>
          <w:sz w:val="14"/>
          <w:szCs w:val="14"/>
          <w:color w:val="auto"/>
        </w:rPr>
      </w:pPr>
    </w:p>
    <w:p>
      <w:pPr>
        <w:ind w:left="540" w:hanging="316"/>
        <w:spacing w:after="0"/>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Receivables written off against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660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240" w:top="121" w:right="55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98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2017. Based on the foregoing, our Chief Executive Officer and Chief Financial Officer concluded that our disclosure controls and procedures were effective at the reasonable assurance level at June 30, 2017.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See “Management’s Report on Internal Control over Financial Reporting” set forth in Item 8, Financial Statements and Supplementary Data of this Annual Report on Form 10-K. During fiscal year 2017, the Company completed the acquisition of Houston Interests, LLC ("Houston Interests"). Refer to Item 8. Financial Statements and Supplementary Data, Note 2 - Acquisitions, for additional information regarding this event. Management has excluded this business from its evaluation of the effectiveness of the Company's internal control over financial reporting as of June 30, 2017. The revenues attributable to this business represented approximately 3 percent of the Company's consolidated revenues for the year ended June 30, 2017 and its aggregate total assets represented approximately 13 percent of the Company's consolidated total assets as of June 30, 2017.</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below, there have been no changes during the fourth fiscal quarter that materially affected, or are reasonably likely to materially affect, our internal control over financial reporting. We have completed the acquisition of Houston Interests effective December 12, 2016. We are in the process of assessing and, to the extent necessary, making changes to the internal control over financial reporting of Houston Interests to conform such internal control to that used in our other operations. However, we are not yet required to evaluate, and have not yet fully evaluated, changes in Houston Interests'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June 30, 2017.</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with respect to the Company’s directors and corporate governance is incorporated herein by reference to the sections entitled “Proposal Number 1: Election of Directors” and “Corporate Governance and Board Matters” in the Company’s definitive Proxy Statement for the 2017 Annual Meeting of Stockholders (“Proxy Statement”). The information required by this item with respect to the Company’s executive officers is incorporated herein by reference to the section entitled “Executive Officer Information” in the Proxy Statement. The information required by this item with respect to the Section 16 ownership reports is incorporated herein by reference to the section entitled “Section 16(a) Beneficial Ownership Reporting Compliance” in the Proxy Statement.</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applicable to all directors, officers and employees, including the principal executive officer, principal financial officer and principal accounting officer of the Company.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the Company’s website at </w:t>
      </w:r>
      <w:r>
        <w:rPr>
          <w:rFonts w:ascii="Times New Roman" w:cs="Times New Roman" w:eastAsia="Times New Roman" w:hAnsi="Times New Roman"/>
          <w:sz w:val="18"/>
          <w:szCs w:val="18"/>
          <w:u w:val="single" w:color="auto"/>
          <w:color w:val="auto"/>
        </w:rPr>
        <w:t>matrixservicecompany.com</w:t>
      </w:r>
      <w:r>
        <w:rPr>
          <w:rFonts w:ascii="Times New Roman" w:cs="Times New Roman" w:eastAsia="Times New Roman" w:hAnsi="Times New Roman"/>
          <w:sz w:val="18"/>
          <w:szCs w:val="18"/>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“Director Compensation” and “Executive Officer Compensation”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"Corporate Governance and Board Matters" and “Certain Relationships and Related Transactions”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 of the Company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supplementary data are filed as a part of this report under “Item 8—Financial Statements and Supplementary Data” in this Annual Report on Form 10-K:</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Financial Statements of the Company</w:t>
            </w:r>
          </w:p>
        </w:tc>
        <w:tc>
          <w:tcPr>
            <w:tcW w:w="18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49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Management’s Report on Internal Control Over Financial Reporting</w:t>
              </w:r>
            </w:hyperlink>
          </w:p>
        </w:tc>
        <w:tc>
          <w:tcPr>
            <w:tcW w:w="592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45</w:t>
              </w:r>
            </w:hyperlink>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Reports of Independent Registered Public Accounting Firm (Deloitte &amp; Touche LLP)</w:t>
            </w:r>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7">
              <w:r>
                <w:rPr>
                  <w:rFonts w:ascii="Times New Roman" w:cs="Times New Roman" w:eastAsia="Times New Roman" w:hAnsi="Times New Roman"/>
                  <w:sz w:val="18"/>
                  <w:szCs w:val="18"/>
                  <w:color w:val="0000EE"/>
                  <w:w w:val="88"/>
                </w:rPr>
                <w:t>46</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Consolidated Statements of Income for the Years Ended June 30, 2017, June 30, 2016 and June 30, 2015</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87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Consolidated Statements of Comprehensive Income for the Years Ended June 30, 2017, June 30, 2016 and June 30, 2015</w:t>
              </w:r>
            </w:hyperlink>
          </w:p>
        </w:tc>
        <w:tc>
          <w:tcPr>
            <w:tcW w:w="212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49</w:t>
              </w:r>
            </w:hyperlink>
          </w:p>
        </w:tc>
      </w:tr>
      <w:tr>
        <w:trPr>
          <w:trHeight w:val="372"/>
        </w:trPr>
        <w:tc>
          <w:tcPr>
            <w:tcW w:w="340" w:type="dxa"/>
            <w:vAlign w:val="bottom"/>
          </w:tcPr>
          <w:p>
            <w:pPr>
              <w:spacing w:after="0"/>
              <w:rPr>
                <w:sz w:val="24"/>
                <w:szCs w:val="24"/>
                <w:color w:val="auto"/>
              </w:rPr>
            </w:pPr>
          </w:p>
        </w:tc>
        <w:tc>
          <w:tcPr>
            <w:tcW w:w="4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Consolidated Balance Sheets as of June 30, 2017 and June 30, 2016</w:t>
              </w:r>
            </w:hyperlink>
          </w:p>
        </w:tc>
        <w:tc>
          <w:tcPr>
            <w:tcW w:w="5940" w:type="dxa"/>
            <w:vAlign w:val="bottom"/>
            <w:gridSpan w:val="7"/>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Consolidated Statements of Cash Flows for the Years Ended June 30, 2017, June 30, 2016 and June 30, 2015</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53">
              <w:r>
                <w:rPr>
                  <w:rFonts w:ascii="Times New Roman" w:cs="Times New Roman" w:eastAsia="Times New Roman" w:hAnsi="Times New Roman"/>
                  <w:sz w:val="18"/>
                  <w:szCs w:val="18"/>
                  <w:color w:val="0000EE"/>
                  <w:w w:val="88"/>
                </w:rPr>
                <w:t>52</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640" w:type="dxa"/>
            <w:vAlign w:val="bottom"/>
            <w:gridSpan w:val="5"/>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89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Consolidated Statements of Changes in Stockholders’ Equity for the Years Ended June 30, 2017, June 30, 2016 and June 30,</w:t>
              </w:r>
            </w:hyperlink>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55">
              <w:r>
                <w:rPr>
                  <w:rFonts w:ascii="Times New Roman" w:cs="Times New Roman" w:eastAsia="Times New Roman" w:hAnsi="Times New Roman"/>
                  <w:sz w:val="18"/>
                  <w:szCs w:val="18"/>
                  <w:color w:val="0000EE"/>
                  <w:w w:val="94"/>
                </w:rPr>
                <w:t>2015</w:t>
              </w:r>
            </w:hyperlink>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5">
              <w:r>
                <w:rPr>
                  <w:rFonts w:ascii="Times New Roman" w:cs="Times New Roman" w:eastAsia="Times New Roman" w:hAnsi="Times New Roman"/>
                  <w:sz w:val="18"/>
                  <w:szCs w:val="18"/>
                  <w:color w:val="0000EE"/>
                  <w:w w:val="88"/>
                </w:rPr>
                <w:t>54</w:t>
              </w:r>
            </w:hyperlink>
          </w:p>
        </w:tc>
      </w:tr>
      <w:tr>
        <w:trPr>
          <w:trHeight w:val="372"/>
        </w:trPr>
        <w:tc>
          <w:tcPr>
            <w:tcW w:w="340" w:type="dxa"/>
            <w:vAlign w:val="bottom"/>
          </w:tcPr>
          <w:p>
            <w:pPr>
              <w:spacing w:after="0"/>
              <w:rPr>
                <w:sz w:val="24"/>
                <w:szCs w:val="24"/>
                <w:color w:val="auto"/>
              </w:rPr>
            </w:pPr>
          </w:p>
        </w:tc>
        <w:tc>
          <w:tcPr>
            <w:tcW w:w="32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Notes to Consolidated Financial Statements</w:t>
              </w:r>
            </w:hyperlink>
          </w:p>
        </w:tc>
        <w:tc>
          <w:tcPr>
            <w:tcW w:w="764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6">
              <w:r>
                <w:rPr>
                  <w:rFonts w:ascii="Times New Roman" w:cs="Times New Roman" w:eastAsia="Times New Roman" w:hAnsi="Times New Roman"/>
                  <w:sz w:val="18"/>
                  <w:szCs w:val="18"/>
                  <w:color w:val="0000EE"/>
                  <w:w w:val="88"/>
                </w:rPr>
                <w:t>55</w:t>
              </w:r>
            </w:hyperlink>
          </w:p>
        </w:tc>
      </w:tr>
      <w:tr>
        <w:trPr>
          <w:trHeight w:val="372"/>
        </w:trPr>
        <w:tc>
          <w:tcPr>
            <w:tcW w:w="27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Quarterly Financial Data (Unaudited)</w:t>
              </w:r>
            </w:hyperlink>
          </w:p>
        </w:tc>
        <w:tc>
          <w:tcPr>
            <w:tcW w:w="8480" w:type="dxa"/>
            <w:vAlign w:val="bottom"/>
            <w:gridSpan w:val="9"/>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4">
              <w:r>
                <w:rPr>
                  <w:rFonts w:ascii="Times New Roman" w:cs="Times New Roman" w:eastAsia="Times New Roman" w:hAnsi="Times New Roman"/>
                  <w:sz w:val="18"/>
                  <w:szCs w:val="18"/>
                  <w:color w:val="0000EE"/>
                  <w:w w:val="88"/>
                </w:rPr>
                <w:t>83</w:t>
              </w:r>
            </w:hyperlink>
          </w:p>
        </w:tc>
      </w:tr>
      <w:tr>
        <w:trPr>
          <w:trHeight w:val="372"/>
        </w:trPr>
        <w:tc>
          <w:tcPr>
            <w:tcW w:w="11180" w:type="dxa"/>
            <w:vAlign w:val="bottom"/>
            <w:gridSpan w:val="12"/>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Schedule II—Valuation and Qualifying Accounts</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85">
              <w:r>
                <w:rPr>
                  <w:rFonts w:ascii="Times New Roman" w:cs="Times New Roman" w:eastAsia="Times New Roman" w:hAnsi="Times New Roman"/>
                  <w:sz w:val="18"/>
                  <w:szCs w:val="18"/>
                  <w:color w:val="0000EE"/>
                  <w:w w:val="88"/>
                </w:rPr>
                <w:t>84</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is filed as a part of this report under Schedule II—Valuation and Qualifying Accounts June 30, 2017, June 30, 2016 and June 30, 2015,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60" w:right="20" w:firstLine="164"/>
        <w:spacing w:after="0" w:line="286" w:lineRule="auto"/>
        <w:tabs>
          <w:tab w:leader="none" w:pos="47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following documents are included as exhibits to this Annual Report on Form 10-K. These exhibits below incorporated by reference herein are indicated as such by the information supplied in the parenthetical hereafter.</w:t>
      </w:r>
    </w:p>
    <w:p>
      <w:pPr>
        <w:spacing w:after="0" w:line="105" w:lineRule="exact"/>
        <w:rPr>
          <w:sz w:val="20"/>
          <w:szCs w:val="20"/>
          <w:color w:val="auto"/>
        </w:rPr>
      </w:pPr>
    </w:p>
    <w:p>
      <w:pPr>
        <w:ind w:left="1340" w:right="100" w:hanging="341"/>
        <w:spacing w:after="0" w:line="266" w:lineRule="auto"/>
        <w:tabs>
          <w:tab w:leader="none" w:pos="1340" w:val="left"/>
        </w:tabs>
        <w:numPr>
          <w:ilvl w:val="0"/>
          <w:numId w:val="44"/>
        </w:numPr>
        <w:rPr>
          <w:rFonts w:ascii="Times New Roman" w:cs="Times New Roman" w:eastAsia="Times New Roman" w:hAnsi="Times New Roman"/>
          <w:sz w:val="18"/>
          <w:szCs w:val="18"/>
          <w:u w:val="single" w:color="auto"/>
          <w:color w:val="0000FF"/>
        </w:rPr>
      </w:pPr>
      <w:hyperlink r:id="rId26">
        <w:r>
          <w:rPr>
            <w:rFonts w:ascii="Times New Roman" w:cs="Times New Roman" w:eastAsia="Times New Roman" w:hAnsi="Times New Roman"/>
            <w:sz w:val="18"/>
            <w:szCs w:val="18"/>
            <w:u w:val="single" w:color="auto"/>
            <w:color w:val="0000FF"/>
          </w:rPr>
          <w:t>Membership Interest Purchase Agreement dated as of December 12, 2016 among Matrix PDM Engineering, Inc., as purchaser, the C.</w:t>
        </w:r>
      </w:hyperlink>
      <w:r>
        <w:rPr>
          <w:rFonts w:ascii="Times New Roman" w:cs="Times New Roman" w:eastAsia="Times New Roman" w:hAnsi="Times New Roman"/>
          <w:sz w:val="18"/>
          <w:szCs w:val="18"/>
          <w:u w:val="single" w:color="auto"/>
          <w:color w:val="0000FF"/>
        </w:rPr>
        <w:t xml:space="preserve"> </w:t>
      </w:r>
      <w:hyperlink r:id="rId26">
        <w:r>
          <w:rPr>
            <w:rFonts w:ascii="Times New Roman" w:cs="Times New Roman" w:eastAsia="Times New Roman" w:hAnsi="Times New Roman"/>
            <w:sz w:val="18"/>
            <w:szCs w:val="18"/>
            <w:u w:val="single" w:color="auto"/>
            <w:color w:val="0000FF"/>
          </w:rPr>
          <w:t>Douglas Houston Revocable Trust U/T/A dated November 21, 2016, as seller, and C. Douglas Houston, as seller representative (Exhibit 2</w:t>
        </w:r>
      </w:hyperlink>
      <w:r>
        <w:rPr>
          <w:rFonts w:ascii="Times New Roman" w:cs="Times New Roman" w:eastAsia="Times New Roman" w:hAnsi="Times New Roman"/>
          <w:sz w:val="18"/>
          <w:szCs w:val="18"/>
          <w:u w:val="single" w:color="auto"/>
          <w:color w:val="0000FF"/>
        </w:rPr>
        <w:t xml:space="preserve"> </w:t>
      </w:r>
      <w:hyperlink r:id="rId26">
        <w:r>
          <w:rPr>
            <w:rFonts w:ascii="Times New Roman" w:cs="Times New Roman" w:eastAsia="Times New Roman" w:hAnsi="Times New Roman"/>
            <w:sz w:val="18"/>
            <w:szCs w:val="18"/>
            <w:u w:val="single" w:color="auto"/>
            <w:color w:val="0000FF"/>
          </w:rPr>
          <w:t>to the Company's Current Report on Form 8-K filed December 16, 2016 (File No. 1-15461).</w:t>
        </w:r>
      </w:hyperlink>
    </w:p>
    <w:p>
      <w:pPr>
        <w:spacing w:after="0" w:line="136" w:lineRule="exact"/>
        <w:rPr>
          <w:rFonts w:ascii="Times New Roman" w:cs="Times New Roman" w:eastAsia="Times New Roman" w:hAnsi="Times New Roman"/>
          <w:sz w:val="18"/>
          <w:szCs w:val="18"/>
          <w:u w:val="single" w:color="auto"/>
          <w:color w:val="0000FF"/>
        </w:rPr>
      </w:pPr>
    </w:p>
    <w:p>
      <w:pPr>
        <w:ind w:left="1340" w:right="380" w:hanging="480"/>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3.1</w:t>
      </w:r>
      <w:r>
        <w:rPr>
          <w:sz w:val="20"/>
          <w:szCs w:val="20"/>
          <w:color w:val="auto"/>
        </w:rPr>
        <w:tab/>
      </w:r>
      <w:hyperlink r:id="rId27">
        <w:r>
          <w:rPr>
            <w:rFonts w:ascii="Times New Roman" w:cs="Times New Roman" w:eastAsia="Times New Roman" w:hAnsi="Times New Roman"/>
            <w:sz w:val="18"/>
            <w:szCs w:val="18"/>
            <w:u w:val="single" w:color="auto"/>
            <w:color w:val="0000FF"/>
          </w:rPr>
          <w:t>Amended and Restated Certificate of Incorporation of Matrix Service Company (Appendix A to the Company's Proxy Statement filed</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October 7, 2016 (File No. 1-15461)</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40" w:right="420" w:hanging="480"/>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3.2</w:t>
      </w:r>
      <w:r>
        <w:rPr>
          <w:sz w:val="20"/>
          <w:szCs w:val="20"/>
          <w:color w:val="auto"/>
        </w:rPr>
        <w:tab/>
      </w:r>
      <w:hyperlink r:id="rId28">
        <w:r>
          <w:rPr>
            <w:rFonts w:ascii="Times New Roman" w:cs="Times New Roman" w:eastAsia="Times New Roman" w:hAnsi="Times New Roman"/>
            <w:sz w:val="18"/>
            <w:szCs w:val="18"/>
            <w:u w:val="single" w:color="auto"/>
            <w:color w:val="0000FF"/>
          </w:rPr>
          <w:t>Certification of Designations, Preferences and Rights of Series B Junior Preferred Stock dated November 12, 1999 (Exhibit 3.2 to the</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Company’s Registration Statement on Form S-3 (File No. 333-117077) filed July 1, 2004</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40" w:right="160" w:hanging="480"/>
        <w:spacing w:after="0" w:line="266"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3.3</w:t>
      </w:r>
      <w:r>
        <w:rPr>
          <w:sz w:val="20"/>
          <w:szCs w:val="20"/>
          <w:color w:val="auto"/>
        </w:rPr>
        <w:tab/>
      </w:r>
      <w:hyperlink r:id="rId29">
        <w:r>
          <w:rPr>
            <w:rFonts w:ascii="Times New Roman" w:cs="Times New Roman" w:eastAsia="Times New Roman" w:hAnsi="Times New Roman"/>
            <w:sz w:val="18"/>
            <w:szCs w:val="18"/>
            <w:u w:val="single" w:color="auto"/>
            <w:color w:val="0000FF"/>
          </w:rPr>
          <w:t>Certificate of Increase of Authorized Number of Shares of Series B Junior Participating Preferred Stock pursuant to Section 151 of the</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General Corporation Law of the State of Delaware dated July 11, 2005 (Exhibit 3.5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No. 1-15461) filed August 17, 2005)</w:t>
        </w:r>
        <w:r>
          <w:rPr>
            <w:rFonts w:ascii="Times New Roman" w:cs="Times New Roman" w:eastAsia="Times New Roman" w:hAnsi="Times New Roman"/>
            <w:sz w:val="18"/>
            <w:szCs w:val="18"/>
            <w:color w:val="000000"/>
          </w:rPr>
          <w:t>.</w:t>
        </w:r>
      </w:hyperlink>
    </w:p>
    <w:p>
      <w:pPr>
        <w:spacing w:after="0" w:line="136" w:lineRule="exact"/>
        <w:rPr>
          <w:rFonts w:ascii="Times New Roman" w:cs="Times New Roman" w:eastAsia="Times New Roman" w:hAnsi="Times New Roman"/>
          <w:sz w:val="18"/>
          <w:szCs w:val="18"/>
          <w:u w:val="single" w:color="auto"/>
          <w:color w:val="0000FF"/>
        </w:rPr>
      </w:pPr>
    </w:p>
    <w:p>
      <w:pPr>
        <w:ind w:left="1340" w:right="260" w:hanging="480"/>
        <w:spacing w:after="0" w:line="266"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3.4</w:t>
      </w:r>
      <w:r>
        <w:rPr>
          <w:sz w:val="20"/>
          <w:szCs w:val="20"/>
          <w:color w:val="auto"/>
        </w:rPr>
        <w:tab/>
      </w:r>
      <w:hyperlink r:id="rId30">
        <w:r>
          <w:rPr>
            <w:rFonts w:ascii="Times New Roman" w:cs="Times New Roman" w:eastAsia="Times New Roman" w:hAnsi="Times New Roman"/>
            <w:sz w:val="18"/>
            <w:szCs w:val="18"/>
            <w:u w:val="single" w:color="auto"/>
            <w:color w:val="0000FF"/>
          </w:rPr>
          <w:t>Certificate of Increase of Authorized Number of Shares of Series B Junior Participating Preferred Stock pursuant to Section 151 of the</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General Corporation Law of the State of Delaware dated October 23, 2006 (Exhibit 3.7 to the Company’s Annual Report on Form 10-K</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(File No. 1-15461) filed August 14, 2007)</w:t>
        </w:r>
        <w:r>
          <w:rPr>
            <w:rFonts w:ascii="Times New Roman" w:cs="Times New Roman" w:eastAsia="Times New Roman" w:hAnsi="Times New Roman"/>
            <w:sz w:val="18"/>
            <w:szCs w:val="18"/>
            <w:color w:val="000000"/>
          </w:rPr>
          <w:t>.</w:t>
        </w:r>
      </w:hyperlink>
    </w:p>
    <w:p>
      <w:pPr>
        <w:spacing w:after="0" w:line="136" w:lineRule="exact"/>
        <w:rPr>
          <w:rFonts w:ascii="Times New Roman" w:cs="Times New Roman" w:eastAsia="Times New Roman" w:hAnsi="Times New Roman"/>
          <w:sz w:val="18"/>
          <w:szCs w:val="18"/>
          <w:u w:val="single" w:color="auto"/>
          <w:color w:val="0000FF"/>
        </w:rPr>
      </w:pPr>
    </w:p>
    <w:p>
      <w:pPr>
        <w:ind w:left="1340" w:right="200" w:hanging="480"/>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3.5</w:t>
      </w:r>
      <w:r>
        <w:rPr>
          <w:sz w:val="20"/>
          <w:szCs w:val="20"/>
          <w:color w:val="auto"/>
        </w:rPr>
        <w:tab/>
      </w:r>
      <w:hyperlink r:id="rId31">
        <w:r>
          <w:rPr>
            <w:rFonts w:ascii="Times New Roman" w:cs="Times New Roman" w:eastAsia="Times New Roman" w:hAnsi="Times New Roman"/>
            <w:sz w:val="18"/>
            <w:szCs w:val="18"/>
            <w:u w:val="single" w:color="auto"/>
            <w:color w:val="0000FF"/>
          </w:rPr>
          <w:t>Second Amended and Restated Bylaws, effective as of May 4, 2017 (Exhibit 3.1 to the Company’s Quarterly Report on Form 10-Q (File</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No. 1-15461) filed May 10, 2017)</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900"/>
        <w:spacing w:after="0"/>
        <w:tabs>
          <w:tab w:leader="none" w:pos="1320" w:val="left"/>
        </w:tabs>
        <w:rPr>
          <w:sz w:val="20"/>
          <w:szCs w:val="20"/>
          <w:color w:val="auto"/>
        </w:rPr>
      </w:pPr>
      <w:r>
        <w:rPr>
          <w:rFonts w:ascii="Times New Roman" w:cs="Times New Roman" w:eastAsia="Times New Roman" w:hAnsi="Times New Roman"/>
          <w:sz w:val="17"/>
          <w:szCs w:val="17"/>
          <w:color w:val="auto"/>
        </w:rPr>
        <w:t>P4</w:t>
        <w:tab/>
        <w:t>Specimen Common Stock Certificate (Exhibit 4.1 to the Company’s Registration Statement on Form S-1 (File No. 33-36081) filed July 26,</w:t>
      </w:r>
    </w:p>
    <w:p>
      <w:pPr>
        <w:spacing w:after="0" w:line="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1990, P).</w:t>
      </w:r>
    </w:p>
    <w:p>
      <w:pPr>
        <w:spacing w:after="0" w:line="166" w:lineRule="exact"/>
        <w:rPr>
          <w:sz w:val="20"/>
          <w:szCs w:val="20"/>
          <w:color w:val="auto"/>
        </w:rPr>
      </w:pPr>
    </w:p>
    <w:p>
      <w:pPr>
        <w:ind w:left="680"/>
        <w:spacing w:after="0"/>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2">
        <w:r>
          <w:rPr>
            <w:rFonts w:ascii="Times New Roman" w:cs="Times New Roman" w:eastAsia="Times New Roman" w:hAnsi="Times New Roman"/>
            <w:sz w:val="17"/>
            <w:szCs w:val="17"/>
            <w:u w:val="single" w:color="auto"/>
            <w:color w:val="0000FF"/>
          </w:rPr>
          <w:t>Matrix Service Company 2004 Stock Incentive Plan (Appendix B to the Company’s Proxy Statement filed September 15, 2006 (File No.</w:t>
        </w:r>
      </w:hyperlink>
    </w:p>
    <w:p>
      <w:pPr>
        <w:spacing w:after="0" w:line="27" w:lineRule="exact"/>
        <w:rPr>
          <w:sz w:val="20"/>
          <w:szCs w:val="20"/>
          <w:color w:val="auto"/>
        </w:rPr>
      </w:pPr>
    </w:p>
    <w:p>
      <w:pPr>
        <w:ind w:left="1340"/>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u w:val="single" w:color="auto"/>
            <w:color w:val="0000FF"/>
          </w:rPr>
          <w:t>1-15461))</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40" w:right="200" w:hanging="672"/>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w:t>
      </w:r>
      <w:r>
        <w:rPr>
          <w:sz w:val="20"/>
          <w:szCs w:val="20"/>
          <w:color w:val="auto"/>
        </w:rPr>
        <w:tab/>
      </w:r>
      <w:hyperlink r:id="rId33">
        <w:r>
          <w:rPr>
            <w:rFonts w:ascii="Times New Roman" w:cs="Times New Roman" w:eastAsia="Times New Roman" w:hAnsi="Times New Roman"/>
            <w:sz w:val="18"/>
            <w:szCs w:val="18"/>
            <w:u w:val="single" w:color="auto"/>
            <w:color w:val="0000FF"/>
          </w:rPr>
          <w:t>Amendment 1 to Matrix Service Company 2004 Stock Incentive Plan (Exhibit 10 to Amended Schedule 14A filed October 4, 2006 (File</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No. 1-15461))</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40" w:right="140" w:hanging="672"/>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+10.3</w:t>
      </w:r>
      <w:r>
        <w:rPr>
          <w:sz w:val="20"/>
          <w:szCs w:val="20"/>
          <w:color w:val="auto"/>
        </w:rPr>
        <w:tab/>
      </w:r>
      <w:hyperlink r:id="rId34">
        <w:r>
          <w:rPr>
            <w:rFonts w:ascii="Times New Roman" w:cs="Times New Roman" w:eastAsia="Times New Roman" w:hAnsi="Times New Roman"/>
            <w:sz w:val="18"/>
            <w:szCs w:val="18"/>
            <w:u w:val="single" w:color="auto"/>
            <w:color w:val="0000FF"/>
          </w:rPr>
          <w:t>Amendment 2 to Matrix Service Company 2004 Stock Incentive Plan (Exhibit 10.6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No. 1-15461) filed August 5, 2008)</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680"/>
        <w:spacing w:after="0"/>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35">
        <w:r>
          <w:rPr>
            <w:rFonts w:ascii="Times New Roman" w:cs="Times New Roman" w:eastAsia="Times New Roman" w:hAnsi="Times New Roman"/>
            <w:sz w:val="17"/>
            <w:szCs w:val="17"/>
            <w:u w:val="single" w:color="auto"/>
            <w:color w:val="0000FF"/>
          </w:rPr>
          <w:t>Amendment 3 to Matrix Service Company 2004 Stock Incentive Plan (Exhibit A to the Company’s Proxy Statement filed September 11,</w:t>
        </w:r>
      </w:hyperlink>
    </w:p>
    <w:p>
      <w:pPr>
        <w:spacing w:after="0" w:line="27" w:lineRule="exact"/>
        <w:rPr>
          <w:sz w:val="20"/>
          <w:szCs w:val="20"/>
          <w:color w:val="auto"/>
        </w:rPr>
      </w:pPr>
    </w:p>
    <w:p>
      <w:pPr>
        <w:ind w:left="1340"/>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u w:val="single" w:color="auto"/>
            <w:color w:val="0000FF"/>
          </w:rPr>
          <w:t>2009 (File No. 1-15461))</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40" w:right="120" w:hanging="672"/>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+10.5</w:t>
      </w:r>
      <w:r>
        <w:rPr>
          <w:sz w:val="20"/>
          <w:szCs w:val="20"/>
          <w:color w:val="auto"/>
        </w:rPr>
        <w:tab/>
      </w:r>
      <w:hyperlink r:id="rId36">
        <w:r>
          <w:rPr>
            <w:rFonts w:ascii="Times New Roman" w:cs="Times New Roman" w:eastAsia="Times New Roman" w:hAnsi="Times New Roman"/>
            <w:sz w:val="18"/>
            <w:szCs w:val="18"/>
            <w:u w:val="single" w:color="auto"/>
            <w:color w:val="0000FF"/>
          </w:rPr>
          <w:t>Form of Restricted Stock Unit Award Agreement for non-employee directors (2004 Stock Incentive Plan) (Exhibit 10.8 to the Company’s</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Annual Report on Form 10-K (File No. 1-15461) filed September 28, 2010 (the “2010 10-K”))</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40" w:right="40" w:hanging="672"/>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+10.6</w:t>
      </w:r>
      <w:r>
        <w:rPr>
          <w:sz w:val="20"/>
          <w:szCs w:val="20"/>
          <w:color w:val="auto"/>
        </w:rPr>
        <w:tab/>
      </w:r>
      <w:hyperlink r:id="rId37">
        <w:r>
          <w:rPr>
            <w:rFonts w:ascii="Times New Roman" w:cs="Times New Roman" w:eastAsia="Times New Roman" w:hAnsi="Times New Roman"/>
            <w:sz w:val="18"/>
            <w:szCs w:val="18"/>
            <w:u w:val="single" w:color="auto"/>
            <w:color w:val="0000FF"/>
          </w:rPr>
          <w:t>Form of Restricted Stock Unit Award Agreement for employees (2004 Stock Incentive Plan - time-based) (Exhibit 10.11 to the Company's</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Annual Report on Form 10-K (File No. 1-15461) filed September 6, 2012 (the "2012 10-K"))</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680"/>
        <w:spacing w:after="0"/>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38">
        <w:r>
          <w:rPr>
            <w:rFonts w:ascii="Times New Roman" w:cs="Times New Roman" w:eastAsia="Times New Roman" w:hAnsi="Times New Roman"/>
            <w:sz w:val="17"/>
            <w:szCs w:val="17"/>
            <w:u w:val="single" w:color="auto"/>
            <w:color w:val="0000FF"/>
          </w:rPr>
          <w:t>Form of Restricted Stock Unit Award Agreement for executive management (2004 Stock Incentive Plan – performance based) (Exhibit</w:t>
        </w:r>
      </w:hyperlink>
    </w:p>
    <w:p>
      <w:pPr>
        <w:spacing w:after="0" w:line="27" w:lineRule="exact"/>
        <w:rPr>
          <w:sz w:val="20"/>
          <w:szCs w:val="20"/>
          <w:color w:val="auto"/>
        </w:rPr>
      </w:pPr>
    </w:p>
    <w:p>
      <w:pPr>
        <w:ind w:left="1340"/>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u w:val="single" w:color="auto"/>
            <w:color w:val="0000FF"/>
          </w:rPr>
          <w:t>10.10 to the 2010 10-K))</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680"/>
        <w:spacing w:after="0"/>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39">
        <w:r>
          <w:rPr>
            <w:rFonts w:ascii="Times New Roman" w:cs="Times New Roman" w:eastAsia="Times New Roman" w:hAnsi="Times New Roman"/>
            <w:sz w:val="18"/>
            <w:szCs w:val="18"/>
            <w:u w:val="single" w:color="auto"/>
            <w:color w:val="0000FF"/>
          </w:rPr>
          <w:t>Matrix Service Company 2012 Stock and Incentive Compensation Plan (Attachment A to the Company's Proxy Statement (File No. 1-</w:t>
        </w:r>
      </w:hyperlink>
    </w:p>
    <w:p>
      <w:pPr>
        <w:spacing w:after="0" w:line="27" w:lineRule="exact"/>
        <w:rPr>
          <w:sz w:val="20"/>
          <w:szCs w:val="20"/>
          <w:color w:val="auto"/>
        </w:rPr>
      </w:pPr>
    </w:p>
    <w:p>
      <w:pPr>
        <w:ind w:left="1340"/>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u w:val="single" w:color="auto"/>
            <w:color w:val="0000FF"/>
          </w:rPr>
          <w:t>15461) filed October 10, 2012)</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40" w:right="140" w:hanging="713"/>
        <w:spacing w:after="0" w:line="282" w:lineRule="auto"/>
        <w:tabs>
          <w:tab w:leader="none" w:pos="768" w:val="left"/>
        </w:tabs>
        <w:numPr>
          <w:ilvl w:val="0"/>
          <w:numId w:val="45"/>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10.9 </w:t>
      </w:r>
      <w:hyperlink r:id="rId40">
        <w:r>
          <w:rPr>
            <w:rFonts w:ascii="Times New Roman" w:cs="Times New Roman" w:eastAsia="Times New Roman" w:hAnsi="Times New Roman"/>
            <w:sz w:val="18"/>
            <w:szCs w:val="18"/>
            <w:u w:val="single" w:color="auto"/>
            <w:color w:val="0000FF"/>
          </w:rPr>
          <w:t>Amendment Number 1 to the Matrix Service Company 2012 Stock and Incentive Compensation Plan (Exhibit A to the Company's Proxy</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FF"/>
          </w:rPr>
          <w:t>Statement (File No. 1-15461) filed October 10, 2014)</w:t>
        </w:r>
        <w:r>
          <w:rPr>
            <w:rFonts w:ascii="Times New Roman" w:cs="Times New Roman" w:eastAsia="Times New Roman" w:hAnsi="Times New Roman"/>
            <w:sz w:val="18"/>
            <w:szCs w:val="18"/>
            <w:color w:val="000000"/>
          </w:rPr>
          <w:t>.</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80"/>
          </w:cols>
          <w:pgMar w:left="240" w:top="121" w:right="27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00" w:right="4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+10.10</w:t>
      </w:r>
      <w:r>
        <w:rPr>
          <w:sz w:val="20"/>
          <w:szCs w:val="20"/>
          <w:color w:val="auto"/>
        </w:rPr>
        <w:tab/>
      </w:r>
      <w:hyperlink r:id="rId41">
        <w:r>
          <w:rPr>
            <w:rFonts w:ascii="Times New Roman" w:cs="Times New Roman" w:eastAsia="Times New Roman" w:hAnsi="Times New Roman"/>
            <w:sz w:val="18"/>
            <w:szCs w:val="18"/>
            <w:u w:val="single" w:color="auto"/>
            <w:color w:val="0000FF"/>
          </w:rPr>
          <w:t>Form of Long-Term Incentive Award Agreement (2012 Stock and Incentive Compensation Plan) (Exhibit 10.1 to the Company's Quarterly</w:t>
        </w:r>
      </w:hyperlink>
      <w:r>
        <w:rPr>
          <w:rFonts w:ascii="Times New Roman" w:cs="Times New Roman" w:eastAsia="Times New Roman" w:hAnsi="Times New Roman"/>
          <w:sz w:val="18"/>
          <w:szCs w:val="18"/>
          <w:u w:val="single" w:color="auto"/>
          <w:color w:val="0000FF"/>
        </w:rPr>
        <w:t xml:space="preserve"> </w:t>
      </w:r>
      <w:hyperlink r:id="rId41">
        <w:r>
          <w:rPr>
            <w:rFonts w:ascii="Times New Roman" w:cs="Times New Roman" w:eastAsia="Times New Roman" w:hAnsi="Times New Roman"/>
            <w:sz w:val="18"/>
            <w:szCs w:val="18"/>
            <w:u w:val="single" w:color="auto"/>
            <w:color w:val="0000FF"/>
          </w:rPr>
          <w:t>Report on Form 10-Q (File No. 1-15461) filed November 7, 2016)</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540" w:hanging="661"/>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+10.11</w:t>
      </w:r>
      <w:r>
        <w:rPr>
          <w:sz w:val="20"/>
          <w:szCs w:val="20"/>
          <w:color w:val="auto"/>
        </w:rPr>
        <w:tab/>
      </w:r>
      <w:hyperlink r:id="rId42">
        <w:r>
          <w:rPr>
            <w:rFonts w:ascii="Times New Roman" w:cs="Times New Roman" w:eastAsia="Times New Roman" w:hAnsi="Times New Roman"/>
            <w:sz w:val="18"/>
            <w:szCs w:val="18"/>
            <w:u w:val="single" w:color="auto"/>
            <w:color w:val="0000FF"/>
          </w:rPr>
          <w:t>Form of Restricted Stock Unit Award Agreement for employees (2012 Stock and Incentive Compensation Plan) (Exhibit 10.2 to the</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Company's Quarterly Report on Form 10-Q (File No. 1-15461) filed November 7, 2016)</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6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27">
        <w:r>
          <w:rPr>
            <w:rFonts w:ascii="Times New Roman" w:cs="Times New Roman" w:eastAsia="Times New Roman" w:hAnsi="Times New Roman"/>
            <w:sz w:val="17"/>
            <w:szCs w:val="17"/>
            <w:u w:val="single" w:color="auto"/>
            <w:color w:val="0000FF"/>
          </w:rPr>
          <w:t>Matrix Service Company 2016 Stock and Incentive Compensation Plan (Appendix B to the Company's Proxy Statement (File No. 1-</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u w:val="single" w:color="auto"/>
            <w:color w:val="0000FF"/>
          </w:rPr>
          <w:t>15461), filed October 7, 2016)</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00" w:right="64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+10.13</w:t>
      </w:r>
      <w:r>
        <w:rPr>
          <w:sz w:val="20"/>
          <w:szCs w:val="20"/>
          <w:color w:val="auto"/>
        </w:rPr>
        <w:tab/>
      </w:r>
      <w:hyperlink r:id="rId43">
        <w:r>
          <w:rPr>
            <w:rFonts w:ascii="Times New Roman" w:cs="Times New Roman" w:eastAsia="Times New Roman" w:hAnsi="Times New Roman"/>
            <w:sz w:val="18"/>
            <w:szCs w:val="18"/>
            <w:u w:val="single" w:color="auto"/>
            <w:color w:val="0000FF"/>
          </w:rPr>
          <w:t>Form of Restricted Stock Unit Award Agreement for Directors (2016 Stock and Incentive Compensation Plan) (Exhibit 10.2 to the</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Company's Quarterly Report on Form 10-Q (File No. 1-15461), filed February 9, 2017)</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+10.14</w:t>
      </w:r>
      <w:r>
        <w:rPr>
          <w:sz w:val="20"/>
          <w:szCs w:val="20"/>
          <w:color w:val="auto"/>
        </w:rPr>
        <w:tab/>
      </w:r>
      <w:hyperlink r:id="rId44">
        <w:r>
          <w:rPr>
            <w:rFonts w:ascii="Times New Roman" w:cs="Times New Roman" w:eastAsia="Times New Roman" w:hAnsi="Times New Roman"/>
            <w:sz w:val="18"/>
            <w:szCs w:val="18"/>
            <w:u w:val="single" w:color="auto"/>
            <w:color w:val="0000FF"/>
          </w:rPr>
          <w:t>Form of Amended and Restated Severance Agreement (Exhibit 10 to the Company's Current Report on Form 8-K filed November 15, 2016</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(File No. 1-15461))</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36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+10.15</w:t>
      </w:r>
      <w:r>
        <w:rPr>
          <w:sz w:val="20"/>
          <w:szCs w:val="20"/>
          <w:color w:val="auto"/>
        </w:rPr>
        <w:tab/>
      </w:r>
      <w:hyperlink r:id="rId45">
        <w:r>
          <w:rPr>
            <w:rFonts w:ascii="Times New Roman" w:cs="Times New Roman" w:eastAsia="Times New Roman" w:hAnsi="Times New Roman"/>
            <w:sz w:val="18"/>
            <w:szCs w:val="18"/>
            <w:u w:val="single" w:color="auto"/>
            <w:color w:val="0000FF"/>
          </w:rPr>
          <w:t>Amended and Restated Deferred Compensation Plan for Members of the Board of Directors (Exhibit 10.1 to the Company’s Quarterly</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Report on Form 10-Q (File No. 1-15461) filed January 8, 2009)</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+10.16</w:t>
      </w:r>
      <w:r>
        <w:rPr>
          <w:sz w:val="20"/>
          <w:szCs w:val="20"/>
          <w:color w:val="auto"/>
        </w:rPr>
        <w:tab/>
      </w:r>
      <w:hyperlink r:id="rId46">
        <w:r>
          <w:rPr>
            <w:rFonts w:ascii="Times New Roman" w:cs="Times New Roman" w:eastAsia="Times New Roman" w:hAnsi="Times New Roman"/>
            <w:sz w:val="18"/>
            <w:szCs w:val="18"/>
            <w:u w:val="single" w:color="auto"/>
            <w:color w:val="0000FF"/>
          </w:rPr>
          <w:t>Amendment 1 to Amended and Restated Deferred Compensation Plan for Members of the Board of Directors (Exhibit 10 to the Company's</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Quarterly Report on Form 10-Q (File No. 1-15461) filed November 9, 2012)</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20" w:hanging="566"/>
        <w:spacing w:after="0" w:line="261"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10.17</w:t>
      </w:r>
      <w:r>
        <w:rPr>
          <w:sz w:val="20"/>
          <w:szCs w:val="20"/>
          <w:color w:val="auto"/>
        </w:rPr>
        <w:tab/>
      </w:r>
      <w:hyperlink r:id="rId47">
        <w:r>
          <w:rPr>
            <w:rFonts w:ascii="Times New Roman" w:cs="Times New Roman" w:eastAsia="Times New Roman" w:hAnsi="Times New Roman"/>
            <w:sz w:val="18"/>
            <w:szCs w:val="18"/>
            <w:u w:val="single" w:color="auto"/>
            <w:color w:val="0000FF"/>
          </w:rPr>
          <w:t>Fourth Amended and Restated Credit Agreement dated as of February 8, 2017 among the Company and certain foreign subsidiaries, as</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Borrowers, various subsidiaries of the Company, as Guarantors, JPMorgan Chase Bank, N.A., as Administrative Agent, Lead Arranger and</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Sole Bookrunner, and the other lenders party thereto (Exhibit 10.1 to the Company's Quarterly Report on Form 10-Q (File No. 1-15461)</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filed May 10, 2017)</w:t>
        </w:r>
        <w:r>
          <w:rPr>
            <w:rFonts w:ascii="Times New Roman" w:cs="Times New Roman" w:eastAsia="Times New Roman" w:hAnsi="Times New Roman"/>
            <w:sz w:val="18"/>
            <w:szCs w:val="18"/>
            <w:color w:val="000000"/>
          </w:rPr>
          <w:t>.</w:t>
        </w:r>
      </w:hyperlink>
    </w:p>
    <w:p>
      <w:pPr>
        <w:spacing w:after="0" w:line="140" w:lineRule="exact"/>
        <w:rPr>
          <w:rFonts w:ascii="Times New Roman" w:cs="Times New Roman" w:eastAsia="Times New Roman" w:hAnsi="Times New Roman"/>
          <w:sz w:val="18"/>
          <w:szCs w:val="18"/>
          <w:u w:val="single" w:color="auto"/>
          <w:color w:val="0000FF"/>
        </w:rPr>
      </w:pPr>
    </w:p>
    <w:p>
      <w:pPr>
        <w:ind w:left="6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48">
        <w:r>
          <w:rPr>
            <w:rFonts w:ascii="Times New Roman" w:cs="Times New Roman" w:eastAsia="Times New Roman" w:hAnsi="Times New Roman"/>
            <w:sz w:val="17"/>
            <w:szCs w:val="17"/>
            <w:u w:val="single" w:color="auto"/>
            <w:color w:val="0000FF"/>
          </w:rPr>
          <w:t>Form of Indemnification Agreement (Exhibit 10.1 to the Company's Current Report on Form 8-K (File No. 1-15461) filed June 9, 2015)</w:t>
        </w:r>
      </w:hyperlink>
      <w:r>
        <w:rPr>
          <w:rFonts w:ascii="Times New Roman" w:cs="Times New Roman" w:eastAsia="Times New Roman" w:hAnsi="Times New Roman"/>
          <w:sz w:val="17"/>
          <w:szCs w:val="17"/>
          <w:color w:val="000000"/>
        </w:rPr>
        <w:t>.</w:t>
      </w:r>
    </w:p>
    <w:p>
      <w:pPr>
        <w:spacing w:after="0" w:line="63" w:lineRule="exact"/>
        <w:rPr>
          <w:rFonts w:ascii="Times New Roman" w:cs="Times New Roman" w:eastAsia="Times New Roman" w:hAnsi="Times New Roman"/>
          <w:sz w:val="18"/>
          <w:szCs w:val="18"/>
          <w:u w:val="single" w:color="auto"/>
          <w:color w:val="0000FF"/>
        </w:rPr>
      </w:pPr>
    </w:p>
    <w:p>
      <w:pPr>
        <w:ind w:left="86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w:anchor="page94">
        <w:r>
          <w:rPr>
            <w:rFonts w:ascii="Times New Roman" w:cs="Times New Roman" w:eastAsia="Times New Roman" w:hAnsi="Times New Roman"/>
            <w:sz w:val="17"/>
            <w:szCs w:val="17"/>
            <w:u w:val="single" w:color="auto"/>
            <w:color w:val="0000FF"/>
          </w:rPr>
          <w:t>Subsidiaries</w:t>
        </w:r>
      </w:hyperlink>
      <w:r>
        <w:rPr>
          <w:rFonts w:ascii="Times New Roman" w:cs="Times New Roman" w:eastAsia="Times New Roman" w:hAnsi="Times New Roman"/>
          <w:sz w:val="17"/>
          <w:szCs w:val="17"/>
          <w:color w:val="000000"/>
        </w:rPr>
        <w:t>.</w:t>
      </w:r>
    </w:p>
    <w:p>
      <w:pPr>
        <w:spacing w:after="0" w:line="185" w:lineRule="exact"/>
        <w:rPr>
          <w:rFonts w:ascii="Times New Roman" w:cs="Times New Roman" w:eastAsia="Times New Roman" w:hAnsi="Times New Roman"/>
          <w:sz w:val="18"/>
          <w:szCs w:val="18"/>
          <w:u w:val="single" w:color="auto"/>
          <w:color w:val="0000FF"/>
        </w:rPr>
      </w:pPr>
    </w:p>
    <w:p>
      <w:pPr>
        <w:ind w:left="86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w:anchor="page95">
        <w:r>
          <w:rPr>
            <w:rFonts w:ascii="Times New Roman" w:cs="Times New Roman" w:eastAsia="Times New Roman" w:hAnsi="Times New Roman"/>
            <w:sz w:val="17"/>
            <w:szCs w:val="17"/>
            <w:u w:val="single" w:color="auto"/>
            <w:color w:val="0000FF"/>
          </w:rPr>
          <w:t>Consent of Independent Registered Public Accounting Firm—Deloitte &amp; Touche LLP</w:t>
        </w:r>
      </w:hyperlink>
      <w:r>
        <w:rPr>
          <w:rFonts w:ascii="Times New Roman" w:cs="Times New Roman" w:eastAsia="Times New Roman" w:hAnsi="Times New Roman"/>
          <w:sz w:val="17"/>
          <w:szCs w:val="17"/>
          <w:color w:val="000000"/>
        </w:rPr>
        <w:t>.</w:t>
      </w:r>
    </w:p>
    <w:p>
      <w:pPr>
        <w:spacing w:after="0" w:line="185" w:lineRule="exact"/>
        <w:rPr>
          <w:rFonts w:ascii="Times New Roman" w:cs="Times New Roman" w:eastAsia="Times New Roman" w:hAnsi="Times New Roman"/>
          <w:sz w:val="18"/>
          <w:szCs w:val="18"/>
          <w:u w:val="single" w:color="auto"/>
          <w:color w:val="0000FF"/>
        </w:rPr>
      </w:pPr>
    </w:p>
    <w:p>
      <w:pPr>
        <w:ind w:left="7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96">
        <w:r>
          <w:rPr>
            <w:rFonts w:ascii="Times New Roman" w:cs="Times New Roman" w:eastAsia="Times New Roman" w:hAnsi="Times New Roman"/>
            <w:sz w:val="17"/>
            <w:szCs w:val="17"/>
            <w:u w:val="single" w:color="auto"/>
            <w:color w:val="0000FF"/>
          </w:rPr>
          <w:t>Certification Pursuant to Section 302 of Sarbanes-Oxley Act of 2002—CEO</w:t>
        </w:r>
      </w:hyperlink>
      <w:r>
        <w:rPr>
          <w:rFonts w:ascii="Times New Roman" w:cs="Times New Roman" w:eastAsia="Times New Roman" w:hAnsi="Times New Roman"/>
          <w:sz w:val="17"/>
          <w:szCs w:val="17"/>
          <w:color w:val="000000"/>
        </w:rPr>
        <w:t>.</w:t>
      </w:r>
    </w:p>
    <w:p>
      <w:pPr>
        <w:spacing w:after="0" w:line="185" w:lineRule="exact"/>
        <w:rPr>
          <w:rFonts w:ascii="Times New Roman" w:cs="Times New Roman" w:eastAsia="Times New Roman" w:hAnsi="Times New Roman"/>
          <w:sz w:val="18"/>
          <w:szCs w:val="18"/>
          <w:u w:val="single" w:color="auto"/>
          <w:color w:val="0000FF"/>
        </w:rPr>
      </w:pPr>
    </w:p>
    <w:p>
      <w:pPr>
        <w:ind w:left="7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97">
        <w:r>
          <w:rPr>
            <w:rFonts w:ascii="Times New Roman" w:cs="Times New Roman" w:eastAsia="Times New Roman" w:hAnsi="Times New Roman"/>
            <w:sz w:val="17"/>
            <w:szCs w:val="17"/>
            <w:u w:val="single" w:color="auto"/>
            <w:color w:val="0000FF"/>
          </w:rPr>
          <w:t>Certification Pursuant to Section 302 of Sarbanes-Oxley Act of 2002—CFO</w:t>
        </w:r>
      </w:hyperlink>
      <w:r>
        <w:rPr>
          <w:rFonts w:ascii="Times New Roman" w:cs="Times New Roman" w:eastAsia="Times New Roman" w:hAnsi="Times New Roman"/>
          <w:sz w:val="17"/>
          <w:szCs w:val="17"/>
          <w:color w:val="000000"/>
        </w:rPr>
        <w:t>.</w:t>
      </w:r>
    </w:p>
    <w:p>
      <w:pPr>
        <w:spacing w:after="0" w:line="172" w:lineRule="exact"/>
        <w:rPr>
          <w:rFonts w:ascii="Times New Roman" w:cs="Times New Roman" w:eastAsia="Times New Roman" w:hAnsi="Times New Roman"/>
          <w:sz w:val="18"/>
          <w:szCs w:val="18"/>
          <w:u w:val="single" w:color="auto"/>
          <w:color w:val="0000FF"/>
        </w:rPr>
      </w:pPr>
    </w:p>
    <w:tbl>
      <w:tblPr>
        <w:tblLayout w:type="fixed"/>
        <w:tblInd w:w="360" w:type="dxa"/>
        <w:tblCellMar>
          <w:top w:w="0" w:type="dxa"/>
          <w:left w:w="0" w:type="dxa"/>
          <w:bottom w:w="0" w:type="dxa"/>
          <w:right w:w="0" w:type="dxa"/>
        </w:tblCellMar>
      </w:tblPr>
      <w:tr>
        <w:trPr>
          <w:trHeight w:val="207"/>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2000" w:type="dxa"/>
            <w:vAlign w:val="bottom"/>
            <w:gridSpan w:val="2"/>
          </w:tcPr>
          <w:p>
            <w:pPr>
              <w:spacing w:after="0"/>
              <w:rPr>
                <w:rFonts w:ascii="Times New Roman" w:cs="Times New Roman" w:eastAsia="Times New Roman" w:hAnsi="Times New Roman"/>
                <w:sz w:val="18"/>
                <w:szCs w:val="18"/>
                <w:color w:val="0000FF"/>
                <w:w w:val="99"/>
              </w:rPr>
            </w:pPr>
            <w:hyperlink w:anchor="page98">
              <w:r>
                <w:rPr>
                  <w:rFonts w:ascii="Times New Roman" w:cs="Times New Roman" w:eastAsia="Times New Roman" w:hAnsi="Times New Roman"/>
                  <w:sz w:val="18"/>
                  <w:szCs w:val="18"/>
                  <w:color w:val="0000FF"/>
                  <w:w w:val="99"/>
                </w:rPr>
                <w:t>Certification Pursuant to 18</w:t>
              </w:r>
            </w:hyperlink>
          </w:p>
        </w:tc>
        <w:tc>
          <w:tcPr>
            <w:tcW w:w="940" w:type="dxa"/>
            <w:vAlign w:val="bottom"/>
          </w:tcPr>
          <w:p>
            <w:pPr>
              <w:ind w:left="40"/>
              <w:spacing w:after="0"/>
              <w:rPr>
                <w:rFonts w:ascii="Times New Roman" w:cs="Times New Roman" w:eastAsia="Times New Roman" w:hAnsi="Times New Roman"/>
                <w:sz w:val="18"/>
                <w:szCs w:val="18"/>
                <w:color w:val="0000FF"/>
                <w:w w:val="98"/>
              </w:rPr>
            </w:pPr>
            <w:hyperlink w:anchor="page98">
              <w:r>
                <w:rPr>
                  <w:rFonts w:ascii="Times New Roman" w:cs="Times New Roman" w:eastAsia="Times New Roman" w:hAnsi="Times New Roman"/>
                  <w:sz w:val="18"/>
                  <w:szCs w:val="18"/>
                  <w:color w:val="0000FF"/>
                  <w:w w:val="98"/>
                </w:rPr>
                <w:t>U.S.C. 1350</w:t>
              </w:r>
            </w:hyperlink>
          </w:p>
        </w:tc>
        <w:tc>
          <w:tcPr>
            <w:tcW w:w="3860" w:type="dxa"/>
            <w:vAlign w:val="bottom"/>
            <w:gridSpan w:val="2"/>
          </w:tcPr>
          <w:p>
            <w:pPr>
              <w:ind w:left="20"/>
              <w:spacing w:after="0"/>
              <w:rPr>
                <w:rFonts w:ascii="Times New Roman" w:cs="Times New Roman" w:eastAsia="Times New Roman" w:hAnsi="Times New Roman"/>
                <w:sz w:val="18"/>
                <w:szCs w:val="18"/>
                <w:color w:val="0000FF"/>
                <w:w w:val="99"/>
              </w:rPr>
            </w:pPr>
            <w:hyperlink w:anchor="page98">
              <w:r>
                <w:rPr>
                  <w:rFonts w:ascii="Times New Roman" w:cs="Times New Roman" w:eastAsia="Times New Roman" w:hAnsi="Times New Roman"/>
                  <w:sz w:val="18"/>
                  <w:szCs w:val="18"/>
                  <w:color w:val="0000FF"/>
                  <w:w w:val="99"/>
                </w:rPr>
                <w:t>(section 906 of Sarbanes-Oxley Act of 2002)—CEO</w:t>
              </w:r>
            </w:hyperlink>
            <w:r>
              <w:rPr>
                <w:rFonts w:ascii="Times New Roman" w:cs="Times New Roman" w:eastAsia="Times New Roman" w:hAnsi="Times New Roman"/>
                <w:sz w:val="18"/>
                <w:szCs w:val="18"/>
                <w:color w:val="000000"/>
                <w:w w:val="99"/>
              </w:rPr>
              <w:t>.</w:t>
            </w:r>
          </w:p>
        </w:tc>
      </w:tr>
      <w:tr>
        <w:trPr>
          <w:trHeight w:val="20"/>
        </w:trPr>
        <w:tc>
          <w:tcPr>
            <w:tcW w:w="9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*32.2</w:t>
            </w:r>
          </w:p>
        </w:tc>
        <w:tc>
          <w:tcPr>
            <w:tcW w:w="2000" w:type="dxa"/>
            <w:vAlign w:val="bottom"/>
            <w:gridSpan w:val="2"/>
          </w:tcPr>
          <w:p>
            <w:pPr>
              <w:spacing w:after="0"/>
              <w:rPr>
                <w:rFonts w:ascii="Times New Roman" w:cs="Times New Roman" w:eastAsia="Times New Roman" w:hAnsi="Times New Roman"/>
                <w:sz w:val="18"/>
                <w:szCs w:val="18"/>
                <w:color w:val="0000FF"/>
                <w:w w:val="99"/>
              </w:rPr>
            </w:pPr>
            <w:hyperlink w:anchor="page99">
              <w:r>
                <w:rPr>
                  <w:rFonts w:ascii="Times New Roman" w:cs="Times New Roman" w:eastAsia="Times New Roman" w:hAnsi="Times New Roman"/>
                  <w:sz w:val="18"/>
                  <w:szCs w:val="18"/>
                  <w:color w:val="0000FF"/>
                  <w:w w:val="99"/>
                </w:rPr>
                <w:t>Certification Pursuant to 18</w:t>
              </w:r>
            </w:hyperlink>
          </w:p>
        </w:tc>
        <w:tc>
          <w:tcPr>
            <w:tcW w:w="940" w:type="dxa"/>
            <w:vAlign w:val="bottom"/>
          </w:tcPr>
          <w:p>
            <w:pPr>
              <w:ind w:left="40"/>
              <w:spacing w:after="0"/>
              <w:rPr>
                <w:rFonts w:ascii="Times New Roman" w:cs="Times New Roman" w:eastAsia="Times New Roman" w:hAnsi="Times New Roman"/>
                <w:sz w:val="18"/>
                <w:szCs w:val="18"/>
                <w:color w:val="0000FF"/>
                <w:w w:val="98"/>
              </w:rPr>
            </w:pPr>
            <w:hyperlink w:anchor="page99">
              <w:r>
                <w:rPr>
                  <w:rFonts w:ascii="Times New Roman" w:cs="Times New Roman" w:eastAsia="Times New Roman" w:hAnsi="Times New Roman"/>
                  <w:sz w:val="18"/>
                  <w:szCs w:val="18"/>
                  <w:color w:val="0000FF"/>
                  <w:w w:val="98"/>
                </w:rPr>
                <w:t>U.S.C. 1350</w:t>
              </w:r>
            </w:hyperlink>
          </w:p>
        </w:tc>
        <w:tc>
          <w:tcPr>
            <w:tcW w:w="3860" w:type="dxa"/>
            <w:vAlign w:val="bottom"/>
            <w:gridSpan w:val="2"/>
          </w:tcPr>
          <w:p>
            <w:pPr>
              <w:ind w:left="20"/>
              <w:spacing w:after="0"/>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(section 906 of Sarbanes-Oxley Act of 2002)—CFO</w:t>
              </w:r>
            </w:hyperlink>
            <w:r>
              <w:rPr>
                <w:rFonts w:ascii="Times New Roman" w:cs="Times New Roman" w:eastAsia="Times New Roman" w:hAnsi="Times New Roman"/>
                <w:sz w:val="18"/>
                <w:szCs w:val="18"/>
                <w:color w:val="000000"/>
              </w:rPr>
              <w:t>.</w:t>
            </w:r>
          </w:p>
        </w:tc>
      </w:tr>
      <w:tr>
        <w:trPr>
          <w:trHeight w:val="37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2000" w:type="dxa"/>
            <w:vAlign w:val="bottom"/>
            <w:tcBorders>
              <w:top w:val="single" w:sz="8" w:color="0000FF"/>
            </w:tcBorders>
            <w:gridSpan w:val="2"/>
          </w:tcPr>
          <w:p>
            <w:pPr>
              <w:spacing w:after="0"/>
              <w:rPr>
                <w:rFonts w:ascii="Times New Roman" w:cs="Times New Roman" w:eastAsia="Times New Roman" w:hAnsi="Times New Roman"/>
                <w:sz w:val="18"/>
                <w:szCs w:val="18"/>
                <w:color w:val="0000FF"/>
              </w:rPr>
            </w:pPr>
            <w:hyperlink w:anchor="page100">
              <w:r>
                <w:rPr>
                  <w:rFonts w:ascii="Times New Roman" w:cs="Times New Roman" w:eastAsia="Times New Roman" w:hAnsi="Times New Roman"/>
                  <w:sz w:val="18"/>
                  <w:szCs w:val="18"/>
                  <w:color w:val="0000FF"/>
                </w:rPr>
                <w:t>Mine Safety Disclosure</w:t>
              </w:r>
            </w:hyperlink>
            <w:r>
              <w:rPr>
                <w:rFonts w:ascii="Times New Roman" w:cs="Times New Roman" w:eastAsia="Times New Roman" w:hAnsi="Times New Roman"/>
                <w:sz w:val="18"/>
                <w:szCs w:val="18"/>
                <w:color w:val="000000"/>
              </w:rPr>
              <w:t>.</w:t>
            </w:r>
          </w:p>
        </w:tc>
        <w:tc>
          <w:tcPr>
            <w:tcW w:w="940" w:type="dxa"/>
            <w:vAlign w:val="bottom"/>
            <w:tcBorders>
              <w:top w:val="single" w:sz="8" w:color="0000FF"/>
            </w:tcBorders>
          </w:tcPr>
          <w:p>
            <w:pPr>
              <w:spacing w:after="0"/>
              <w:rPr>
                <w:sz w:val="24"/>
                <w:szCs w:val="24"/>
                <w:color w:val="auto"/>
              </w:rPr>
            </w:pPr>
          </w:p>
        </w:tc>
        <w:tc>
          <w:tcPr>
            <w:tcW w:w="38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*101.INS</w:t>
            </w: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*101.SCH</w:t>
            </w: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*101.CAL</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*101.DEF</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*101.LAB</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*101.PRE</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+Management Contract or Compensatory Plan.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 Paper filing.</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240" w:top="121" w:right="31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91" w:lineRule="exact"/>
        <w:rPr>
          <w:sz w:val="20"/>
          <w:szCs w:val="20"/>
          <w:color w:val="auto"/>
        </w:rPr>
      </w:pPr>
    </w:p>
    <w:p>
      <w:pPr>
        <w:ind w:left="1300" w:right="120" w:hanging="342"/>
        <w:spacing w:after="0" w:line="266" w:lineRule="auto"/>
        <w:tabs>
          <w:tab w:leader="none" w:pos="1300" w:val="left"/>
        </w:tabs>
        <w:numPr>
          <w:ilvl w:val="0"/>
          <w:numId w:val="46"/>
        </w:numPr>
        <w:rPr>
          <w:rFonts w:ascii="Times New Roman" w:cs="Times New Roman" w:eastAsia="Times New Roman" w:hAnsi="Times New Roman"/>
          <w:sz w:val="18"/>
          <w:szCs w:val="18"/>
          <w:u w:val="single" w:color="auto"/>
          <w:color w:val="0000FF"/>
        </w:rPr>
      </w:pPr>
      <w:hyperlink r:id="rId26">
        <w:r>
          <w:rPr>
            <w:rFonts w:ascii="Times New Roman" w:cs="Times New Roman" w:eastAsia="Times New Roman" w:hAnsi="Times New Roman"/>
            <w:sz w:val="18"/>
            <w:szCs w:val="18"/>
            <w:u w:val="single" w:color="auto"/>
            <w:color w:val="0000FF"/>
          </w:rPr>
          <w:t>Membership Interest Purchase Agreement dated as of December 12, 2016 among Matrix PDM Engineering, Inc., as purchaser, the C.</w:t>
        </w:r>
      </w:hyperlink>
      <w:r>
        <w:rPr>
          <w:rFonts w:ascii="Times New Roman" w:cs="Times New Roman" w:eastAsia="Times New Roman" w:hAnsi="Times New Roman"/>
          <w:sz w:val="18"/>
          <w:szCs w:val="18"/>
          <w:u w:val="single" w:color="auto"/>
          <w:color w:val="0000FF"/>
        </w:rPr>
        <w:t xml:space="preserve"> </w:t>
      </w:r>
      <w:hyperlink r:id="rId26">
        <w:r>
          <w:rPr>
            <w:rFonts w:ascii="Times New Roman" w:cs="Times New Roman" w:eastAsia="Times New Roman" w:hAnsi="Times New Roman"/>
            <w:sz w:val="18"/>
            <w:szCs w:val="18"/>
            <w:u w:val="single" w:color="auto"/>
            <w:color w:val="0000FF"/>
          </w:rPr>
          <w:t>Douglas Houston Revocable Trust U/T/A dated November 21, 2016, as seller, and C. Douglas Houston, as seller representative (Exhibit 2</w:t>
        </w:r>
      </w:hyperlink>
      <w:r>
        <w:rPr>
          <w:rFonts w:ascii="Times New Roman" w:cs="Times New Roman" w:eastAsia="Times New Roman" w:hAnsi="Times New Roman"/>
          <w:sz w:val="18"/>
          <w:szCs w:val="18"/>
          <w:u w:val="single" w:color="auto"/>
          <w:color w:val="0000FF"/>
        </w:rPr>
        <w:t xml:space="preserve"> </w:t>
      </w:r>
      <w:hyperlink r:id="rId26">
        <w:r>
          <w:rPr>
            <w:rFonts w:ascii="Times New Roman" w:cs="Times New Roman" w:eastAsia="Times New Roman" w:hAnsi="Times New Roman"/>
            <w:sz w:val="18"/>
            <w:szCs w:val="18"/>
            <w:u w:val="single" w:color="auto"/>
            <w:color w:val="0000FF"/>
          </w:rPr>
          <w:t>to the Company's Current Report on Form 8-K filed December 16, 2016 (File No. 1-15461).</w:t>
        </w:r>
      </w:hyperlink>
    </w:p>
    <w:p>
      <w:pPr>
        <w:spacing w:after="0" w:line="136" w:lineRule="exact"/>
        <w:rPr>
          <w:rFonts w:ascii="Times New Roman" w:cs="Times New Roman" w:eastAsia="Times New Roman" w:hAnsi="Times New Roman"/>
          <w:sz w:val="18"/>
          <w:szCs w:val="18"/>
          <w:u w:val="single" w:color="auto"/>
          <w:color w:val="0000FF"/>
        </w:rPr>
      </w:pPr>
    </w:p>
    <w:p>
      <w:pPr>
        <w:ind w:left="1300" w:right="400" w:hanging="4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3.1</w:t>
      </w:r>
      <w:r>
        <w:rPr>
          <w:sz w:val="20"/>
          <w:szCs w:val="20"/>
          <w:color w:val="auto"/>
        </w:rPr>
        <w:tab/>
      </w:r>
      <w:hyperlink r:id="rId27">
        <w:r>
          <w:rPr>
            <w:rFonts w:ascii="Times New Roman" w:cs="Times New Roman" w:eastAsia="Times New Roman" w:hAnsi="Times New Roman"/>
            <w:sz w:val="18"/>
            <w:szCs w:val="18"/>
            <w:u w:val="single" w:color="auto"/>
            <w:color w:val="0000FF"/>
          </w:rPr>
          <w:t>Amended and Restated Certificate of Incorporation of Matrix Service Company (Appendix A to the Company's Proxy Statement filed</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October 7, 2016 (File No. 1-15461)</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440" w:hanging="4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3.2</w:t>
      </w:r>
      <w:r>
        <w:rPr>
          <w:sz w:val="20"/>
          <w:szCs w:val="20"/>
          <w:color w:val="auto"/>
        </w:rPr>
        <w:tab/>
      </w:r>
      <w:hyperlink r:id="rId28">
        <w:r>
          <w:rPr>
            <w:rFonts w:ascii="Times New Roman" w:cs="Times New Roman" w:eastAsia="Times New Roman" w:hAnsi="Times New Roman"/>
            <w:sz w:val="18"/>
            <w:szCs w:val="18"/>
            <w:u w:val="single" w:color="auto"/>
            <w:color w:val="0000FF"/>
          </w:rPr>
          <w:t>Certification of Designations, Preferences and Rights of Series B Junior Preferred Stock dated November 12, 1999 (Exhibit 3.2 to the</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Company’s Registration Statement on Form S-3 (File No. 333-117077) filed July 1, 2004</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160" w:hanging="467"/>
        <w:spacing w:after="0" w:line="266"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3.3</w:t>
      </w:r>
      <w:r>
        <w:rPr>
          <w:sz w:val="20"/>
          <w:szCs w:val="20"/>
          <w:color w:val="auto"/>
        </w:rPr>
        <w:tab/>
      </w:r>
      <w:hyperlink r:id="rId29">
        <w:r>
          <w:rPr>
            <w:rFonts w:ascii="Times New Roman" w:cs="Times New Roman" w:eastAsia="Times New Roman" w:hAnsi="Times New Roman"/>
            <w:sz w:val="18"/>
            <w:szCs w:val="18"/>
            <w:u w:val="single" w:color="auto"/>
            <w:color w:val="0000FF"/>
          </w:rPr>
          <w:t>Certificate of Increase of Authorized Number of Shares of Series B Junior Participating Preferred Stock pursuant to Section 151 of the</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General Corporation Law of the State of Delaware dated July 11, 2005 (Exhibit 3.5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No. 1-15461) filed August 17, 2005)</w:t>
        </w:r>
        <w:r>
          <w:rPr>
            <w:rFonts w:ascii="Times New Roman" w:cs="Times New Roman" w:eastAsia="Times New Roman" w:hAnsi="Times New Roman"/>
            <w:sz w:val="18"/>
            <w:szCs w:val="18"/>
            <w:color w:val="000000"/>
          </w:rPr>
          <w:t>.</w:t>
        </w:r>
      </w:hyperlink>
    </w:p>
    <w:p>
      <w:pPr>
        <w:spacing w:after="0" w:line="136" w:lineRule="exact"/>
        <w:rPr>
          <w:rFonts w:ascii="Times New Roman" w:cs="Times New Roman" w:eastAsia="Times New Roman" w:hAnsi="Times New Roman"/>
          <w:sz w:val="18"/>
          <w:szCs w:val="18"/>
          <w:u w:val="single" w:color="auto"/>
          <w:color w:val="0000FF"/>
        </w:rPr>
      </w:pPr>
    </w:p>
    <w:p>
      <w:pPr>
        <w:ind w:left="1300" w:right="260" w:hanging="467"/>
        <w:spacing w:after="0" w:line="266"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3.4</w:t>
      </w:r>
      <w:r>
        <w:rPr>
          <w:sz w:val="20"/>
          <w:szCs w:val="20"/>
          <w:color w:val="auto"/>
        </w:rPr>
        <w:tab/>
      </w:r>
      <w:hyperlink r:id="rId30">
        <w:r>
          <w:rPr>
            <w:rFonts w:ascii="Times New Roman" w:cs="Times New Roman" w:eastAsia="Times New Roman" w:hAnsi="Times New Roman"/>
            <w:sz w:val="18"/>
            <w:szCs w:val="18"/>
            <w:u w:val="single" w:color="auto"/>
            <w:color w:val="0000FF"/>
          </w:rPr>
          <w:t>Certificate of Increase of Authorized Number of Shares of Series B Junior Participating Preferred Stock pursuant to Section 151 of the</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General Corporation Law of the State of Delaware dated October 23, 2006 (Exhibit 3.7 to the Company’s Annual Report on Form 10-K</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(File No. 1-15461) filed August 14, 2007)</w:t>
        </w:r>
        <w:r>
          <w:rPr>
            <w:rFonts w:ascii="Times New Roman" w:cs="Times New Roman" w:eastAsia="Times New Roman" w:hAnsi="Times New Roman"/>
            <w:sz w:val="18"/>
            <w:szCs w:val="18"/>
            <w:color w:val="000000"/>
          </w:rPr>
          <w:t>.</w:t>
        </w:r>
      </w:hyperlink>
    </w:p>
    <w:p>
      <w:pPr>
        <w:spacing w:after="0" w:line="136" w:lineRule="exact"/>
        <w:rPr>
          <w:rFonts w:ascii="Times New Roman" w:cs="Times New Roman" w:eastAsia="Times New Roman" w:hAnsi="Times New Roman"/>
          <w:sz w:val="18"/>
          <w:szCs w:val="18"/>
          <w:u w:val="single" w:color="auto"/>
          <w:color w:val="0000FF"/>
        </w:rPr>
      </w:pPr>
    </w:p>
    <w:p>
      <w:pPr>
        <w:ind w:left="1300" w:right="200" w:hanging="4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3.5</w:t>
      </w:r>
      <w:r>
        <w:rPr>
          <w:sz w:val="20"/>
          <w:szCs w:val="20"/>
          <w:color w:val="auto"/>
        </w:rPr>
        <w:tab/>
      </w:r>
      <w:hyperlink r:id="rId31">
        <w:r>
          <w:rPr>
            <w:rFonts w:ascii="Times New Roman" w:cs="Times New Roman" w:eastAsia="Times New Roman" w:hAnsi="Times New Roman"/>
            <w:sz w:val="18"/>
            <w:szCs w:val="18"/>
            <w:u w:val="single" w:color="auto"/>
            <w:color w:val="0000FF"/>
          </w:rPr>
          <w:t>Second Amended and Restated Bylaws, effective as of May 4, 2017 (Exhibit 3.1 to the Company’s Quarterly Report on Form 10-Q (File</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No. 1-15461) filed May 10, 2017)</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860"/>
        <w:spacing w:after="0"/>
        <w:tabs>
          <w:tab w:leader="none" w:pos="1280" w:val="left"/>
        </w:tabs>
        <w:rPr>
          <w:sz w:val="20"/>
          <w:szCs w:val="20"/>
          <w:color w:val="auto"/>
        </w:rPr>
      </w:pPr>
      <w:r>
        <w:rPr>
          <w:rFonts w:ascii="Times New Roman" w:cs="Times New Roman" w:eastAsia="Times New Roman" w:hAnsi="Times New Roman"/>
          <w:sz w:val="17"/>
          <w:szCs w:val="17"/>
          <w:color w:val="auto"/>
        </w:rPr>
        <w:t>P4</w:t>
        <w:tab/>
        <w:t>Specimen Common Stock Certificate (Exhibit 4.1 to the Company’s Registration Statement on Form S-1 (File No. 33-36081) filed July 26,</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1990, P).</w:t>
      </w:r>
    </w:p>
    <w:p>
      <w:pPr>
        <w:spacing w:after="0" w:line="166" w:lineRule="exact"/>
        <w:rPr>
          <w:sz w:val="20"/>
          <w:szCs w:val="20"/>
          <w:color w:val="auto"/>
        </w:rPr>
      </w:pPr>
    </w:p>
    <w:p>
      <w:pPr>
        <w:ind w:left="64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2">
        <w:r>
          <w:rPr>
            <w:rFonts w:ascii="Times New Roman" w:cs="Times New Roman" w:eastAsia="Times New Roman" w:hAnsi="Times New Roman"/>
            <w:sz w:val="17"/>
            <w:szCs w:val="17"/>
            <w:u w:val="single" w:color="auto"/>
            <w:color w:val="0000FF"/>
          </w:rPr>
          <w:t>Matrix Service Company 2004 Stock Incentive Plan (Appendix B to the Company’s Proxy Statement filed September 15, 2006 (File No. 1-</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u w:val="single" w:color="auto"/>
            <w:color w:val="0000FF"/>
          </w:rPr>
          <w:t>15461))</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00" w:right="220" w:hanging="658"/>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w:t>
      </w:r>
      <w:r>
        <w:rPr>
          <w:sz w:val="20"/>
          <w:szCs w:val="20"/>
          <w:color w:val="auto"/>
        </w:rPr>
        <w:tab/>
      </w:r>
      <w:hyperlink r:id="rId33">
        <w:r>
          <w:rPr>
            <w:rFonts w:ascii="Times New Roman" w:cs="Times New Roman" w:eastAsia="Times New Roman" w:hAnsi="Times New Roman"/>
            <w:sz w:val="18"/>
            <w:szCs w:val="18"/>
            <w:u w:val="single" w:color="auto"/>
            <w:color w:val="0000FF"/>
          </w:rPr>
          <w:t>Amendment 1 to Matrix Service Company 2004 Stock Incentive Plan (Exhibit 10 to Amended Schedule 14A filed October 4, 2006 (File</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No. 1-15461))</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160" w:hanging="658"/>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+10.3</w:t>
      </w:r>
      <w:r>
        <w:rPr>
          <w:sz w:val="20"/>
          <w:szCs w:val="20"/>
          <w:color w:val="auto"/>
        </w:rPr>
        <w:tab/>
      </w:r>
      <w:hyperlink r:id="rId34">
        <w:r>
          <w:rPr>
            <w:rFonts w:ascii="Times New Roman" w:cs="Times New Roman" w:eastAsia="Times New Roman" w:hAnsi="Times New Roman"/>
            <w:sz w:val="18"/>
            <w:szCs w:val="18"/>
            <w:u w:val="single" w:color="auto"/>
            <w:color w:val="0000FF"/>
          </w:rPr>
          <w:t>Amendment 2 to Matrix Service Company 2004 Stock Incentive Plan (Exhibit 10.6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No. 1-15461) filed August 5, 2008)</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64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35">
        <w:r>
          <w:rPr>
            <w:rFonts w:ascii="Times New Roman" w:cs="Times New Roman" w:eastAsia="Times New Roman" w:hAnsi="Times New Roman"/>
            <w:sz w:val="17"/>
            <w:szCs w:val="17"/>
            <w:u w:val="single" w:color="auto"/>
            <w:color w:val="0000FF"/>
          </w:rPr>
          <w:t>Amendment 3 to Matrix Service Company 2004 Stock Incentive Plan (Exhibit A to the Company’s Proxy Statement filed September 11,</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u w:val="single" w:color="auto"/>
            <w:color w:val="0000FF"/>
          </w:rPr>
          <w:t>2009 (File No. 1-15461))</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00" w:right="140" w:hanging="658"/>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+10.5</w:t>
      </w:r>
      <w:r>
        <w:rPr>
          <w:sz w:val="20"/>
          <w:szCs w:val="20"/>
          <w:color w:val="auto"/>
        </w:rPr>
        <w:tab/>
      </w:r>
      <w:hyperlink r:id="rId36">
        <w:r>
          <w:rPr>
            <w:rFonts w:ascii="Times New Roman" w:cs="Times New Roman" w:eastAsia="Times New Roman" w:hAnsi="Times New Roman"/>
            <w:sz w:val="18"/>
            <w:szCs w:val="18"/>
            <w:u w:val="single" w:color="auto"/>
            <w:color w:val="0000FF"/>
          </w:rPr>
          <w:t>Form of Restricted Stock Unit Award Agreement for non-employee directors (2004 Stock Incentive Plan) (Exhibit 10.8 to the Company’s</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Annual Report on Form 10-K (File No. 1-15461) filed September 28, 2010 (the “2010 10-K”))</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60" w:hanging="658"/>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+10.6</w:t>
      </w:r>
      <w:r>
        <w:rPr>
          <w:sz w:val="20"/>
          <w:szCs w:val="20"/>
          <w:color w:val="auto"/>
        </w:rPr>
        <w:tab/>
      </w:r>
      <w:hyperlink r:id="rId37">
        <w:r>
          <w:rPr>
            <w:rFonts w:ascii="Times New Roman" w:cs="Times New Roman" w:eastAsia="Times New Roman" w:hAnsi="Times New Roman"/>
            <w:sz w:val="18"/>
            <w:szCs w:val="18"/>
            <w:u w:val="single" w:color="auto"/>
            <w:color w:val="0000FF"/>
          </w:rPr>
          <w:t>Form of Restricted Stock Unit Award Agreement for employees (2004 Stock Incentive Plan - time-based) (Exhibit 10.11 to the Company's</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Annual Report on Form 10-K (File No. 1-15461) filed September 6, 2012 (the "2012 10-K"))</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64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38">
        <w:r>
          <w:rPr>
            <w:rFonts w:ascii="Times New Roman" w:cs="Times New Roman" w:eastAsia="Times New Roman" w:hAnsi="Times New Roman"/>
            <w:sz w:val="17"/>
            <w:szCs w:val="17"/>
            <w:u w:val="single" w:color="auto"/>
            <w:color w:val="0000FF"/>
          </w:rPr>
          <w:t>Form of Restricted Stock Unit Award Agreement for executive management (2004 Stock Incentive Plan – performance based)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u w:val="single" w:color="auto"/>
            <w:color w:val="0000FF"/>
          </w:rPr>
          <w:t>10.10 to the 2010 10-K))</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64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39">
        <w:r>
          <w:rPr>
            <w:rFonts w:ascii="Times New Roman" w:cs="Times New Roman" w:eastAsia="Times New Roman" w:hAnsi="Times New Roman"/>
            <w:sz w:val="17"/>
            <w:szCs w:val="17"/>
            <w:u w:val="single" w:color="auto"/>
            <w:color w:val="0000FF"/>
          </w:rPr>
          <w:t>Matrix Service Company 2012 Stock and Incentive Compensation Plan (Attachment A to the Company's Proxy Statement (File No. 1-</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u w:val="single" w:color="auto"/>
            <w:color w:val="0000FF"/>
          </w:rPr>
          <w:t>15461) filed October 10, 2012)</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00" w:right="160" w:hanging="714"/>
        <w:spacing w:after="0" w:line="282" w:lineRule="auto"/>
        <w:tabs>
          <w:tab w:leader="none" w:pos="742" w:val="left"/>
        </w:tabs>
        <w:numPr>
          <w:ilvl w:val="0"/>
          <w:numId w:val="4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10.9 </w:t>
      </w:r>
      <w:hyperlink r:id="rId40">
        <w:r>
          <w:rPr>
            <w:rFonts w:ascii="Times New Roman" w:cs="Times New Roman" w:eastAsia="Times New Roman" w:hAnsi="Times New Roman"/>
            <w:sz w:val="18"/>
            <w:szCs w:val="18"/>
            <w:u w:val="single" w:color="auto"/>
            <w:color w:val="0000FF"/>
          </w:rPr>
          <w:t>Amendment Number 1 to the Matrix Service Company 2012 Stock and Incentive Compensation Plan (Exhibit A to the Company's Proxy</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FF"/>
          </w:rPr>
          <w:t>Statement (File No. 1-15461) filed October 10, 2014)</w:t>
        </w:r>
        <w:r>
          <w:rPr>
            <w:rFonts w:ascii="Times New Roman" w:cs="Times New Roman" w:eastAsia="Times New Roman" w:hAnsi="Times New Roman"/>
            <w:sz w:val="18"/>
            <w:szCs w:val="18"/>
            <w:color w:val="000000"/>
          </w:rPr>
          <w:t>.</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240" w:top="121" w:right="31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00" w:right="4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+10.10</w:t>
      </w:r>
      <w:r>
        <w:rPr>
          <w:sz w:val="20"/>
          <w:szCs w:val="20"/>
          <w:color w:val="auto"/>
        </w:rPr>
        <w:tab/>
      </w:r>
      <w:hyperlink r:id="rId41">
        <w:r>
          <w:rPr>
            <w:rFonts w:ascii="Times New Roman" w:cs="Times New Roman" w:eastAsia="Times New Roman" w:hAnsi="Times New Roman"/>
            <w:sz w:val="18"/>
            <w:szCs w:val="18"/>
            <w:u w:val="single" w:color="auto"/>
            <w:color w:val="0000FF"/>
          </w:rPr>
          <w:t>Form of Long-Term Incentive Award Agreement (2012 Stock and Incentive Compensation Plan) (Exhibit 10.1 to the Company's Quarterly</w:t>
        </w:r>
      </w:hyperlink>
      <w:r>
        <w:rPr>
          <w:rFonts w:ascii="Times New Roman" w:cs="Times New Roman" w:eastAsia="Times New Roman" w:hAnsi="Times New Roman"/>
          <w:sz w:val="18"/>
          <w:szCs w:val="18"/>
          <w:u w:val="single" w:color="auto"/>
          <w:color w:val="0000FF"/>
        </w:rPr>
        <w:t xml:space="preserve"> </w:t>
      </w:r>
      <w:hyperlink r:id="rId41">
        <w:r>
          <w:rPr>
            <w:rFonts w:ascii="Times New Roman" w:cs="Times New Roman" w:eastAsia="Times New Roman" w:hAnsi="Times New Roman"/>
            <w:sz w:val="18"/>
            <w:szCs w:val="18"/>
            <w:u w:val="single" w:color="auto"/>
            <w:color w:val="0000FF"/>
          </w:rPr>
          <w:t>Report on Form 10-Q (File No. 1-15461) filed November 7, 2016)</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540" w:hanging="661"/>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+10.11</w:t>
      </w:r>
      <w:r>
        <w:rPr>
          <w:sz w:val="20"/>
          <w:szCs w:val="20"/>
          <w:color w:val="auto"/>
        </w:rPr>
        <w:tab/>
      </w:r>
      <w:hyperlink r:id="rId42">
        <w:r>
          <w:rPr>
            <w:rFonts w:ascii="Times New Roman" w:cs="Times New Roman" w:eastAsia="Times New Roman" w:hAnsi="Times New Roman"/>
            <w:sz w:val="18"/>
            <w:szCs w:val="18"/>
            <w:u w:val="single" w:color="auto"/>
            <w:color w:val="0000FF"/>
          </w:rPr>
          <w:t>Form of Restricted Stock Unit Award Agreement for employees (2012 Stock and Incentive Compensation Plan) (Exhibit 10.2 to the</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Company's Quarterly Report on Form 10-Q (File No. 1-15461) filed November 7, 2016)</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6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27">
        <w:r>
          <w:rPr>
            <w:rFonts w:ascii="Times New Roman" w:cs="Times New Roman" w:eastAsia="Times New Roman" w:hAnsi="Times New Roman"/>
            <w:sz w:val="17"/>
            <w:szCs w:val="17"/>
            <w:u w:val="single" w:color="auto"/>
            <w:color w:val="0000FF"/>
          </w:rPr>
          <w:t>Matrix Service Company 2016 Stock and Incentive Compensation Plan (Appendix B to the Company's Proxy Statement (File No. 1-</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u w:val="single" w:color="auto"/>
            <w:color w:val="0000FF"/>
          </w:rPr>
          <w:t>15461), filed October 7, 2016)</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00" w:right="64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+10.13</w:t>
      </w:r>
      <w:r>
        <w:rPr>
          <w:sz w:val="20"/>
          <w:szCs w:val="20"/>
          <w:color w:val="auto"/>
        </w:rPr>
        <w:tab/>
      </w:r>
      <w:hyperlink r:id="rId43">
        <w:r>
          <w:rPr>
            <w:rFonts w:ascii="Times New Roman" w:cs="Times New Roman" w:eastAsia="Times New Roman" w:hAnsi="Times New Roman"/>
            <w:sz w:val="18"/>
            <w:szCs w:val="18"/>
            <w:u w:val="single" w:color="auto"/>
            <w:color w:val="0000FF"/>
          </w:rPr>
          <w:t>Form of Restricted Stock Unit Award Agreement for Directors (2016 Stock and Incentive Compensation Plan) (Exhibit 10.2 to the</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Company's Quarterly Report on Form 10-Q (File No. 1-15461), filed February 9, 2017)</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+10.14</w:t>
      </w:r>
      <w:r>
        <w:rPr>
          <w:sz w:val="20"/>
          <w:szCs w:val="20"/>
          <w:color w:val="auto"/>
        </w:rPr>
        <w:tab/>
      </w:r>
      <w:hyperlink r:id="rId44">
        <w:r>
          <w:rPr>
            <w:rFonts w:ascii="Times New Roman" w:cs="Times New Roman" w:eastAsia="Times New Roman" w:hAnsi="Times New Roman"/>
            <w:sz w:val="18"/>
            <w:szCs w:val="18"/>
            <w:u w:val="single" w:color="auto"/>
            <w:color w:val="0000FF"/>
          </w:rPr>
          <w:t>Form of Amended and Restated Severance Agreement (Exhibit 10 to the Company's Current Report on Form 8-K filed November 15, 2016</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(File No. 1-15461))</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36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+10.15</w:t>
      </w:r>
      <w:r>
        <w:rPr>
          <w:sz w:val="20"/>
          <w:szCs w:val="20"/>
          <w:color w:val="auto"/>
        </w:rPr>
        <w:tab/>
      </w:r>
      <w:hyperlink r:id="rId45">
        <w:r>
          <w:rPr>
            <w:rFonts w:ascii="Times New Roman" w:cs="Times New Roman" w:eastAsia="Times New Roman" w:hAnsi="Times New Roman"/>
            <w:sz w:val="18"/>
            <w:szCs w:val="18"/>
            <w:u w:val="single" w:color="auto"/>
            <w:color w:val="0000FF"/>
          </w:rPr>
          <w:t>Amended and Restated Deferred Compensation Plan for Members of the Board of Directors (Exhibit 10.1 to the Company’s Quarterly</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Report on Form 10-Q (File No. 1-15461) filed January 8, 2009)</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+10.16</w:t>
      </w:r>
      <w:r>
        <w:rPr>
          <w:sz w:val="20"/>
          <w:szCs w:val="20"/>
          <w:color w:val="auto"/>
        </w:rPr>
        <w:tab/>
      </w:r>
      <w:hyperlink r:id="rId46">
        <w:r>
          <w:rPr>
            <w:rFonts w:ascii="Times New Roman" w:cs="Times New Roman" w:eastAsia="Times New Roman" w:hAnsi="Times New Roman"/>
            <w:sz w:val="18"/>
            <w:szCs w:val="18"/>
            <w:u w:val="single" w:color="auto"/>
            <w:color w:val="0000FF"/>
          </w:rPr>
          <w:t>Amendment 1 to Amended and Restated Deferred Compensation Plan for Members of the Board of Directors (Exhibit 10 to the Company's</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Quarterly Report on Form 10-Q (File No. 1-15461) filed November 9, 2012)</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20" w:hanging="566"/>
        <w:spacing w:after="0" w:line="261"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10.17</w:t>
      </w:r>
      <w:r>
        <w:rPr>
          <w:sz w:val="20"/>
          <w:szCs w:val="20"/>
          <w:color w:val="auto"/>
        </w:rPr>
        <w:tab/>
      </w:r>
      <w:hyperlink r:id="rId47">
        <w:r>
          <w:rPr>
            <w:rFonts w:ascii="Times New Roman" w:cs="Times New Roman" w:eastAsia="Times New Roman" w:hAnsi="Times New Roman"/>
            <w:sz w:val="18"/>
            <w:szCs w:val="18"/>
            <w:u w:val="single" w:color="auto"/>
            <w:color w:val="0000FF"/>
          </w:rPr>
          <w:t>Fourth Amended and Restated Credit Agreement dated as of February 8, 2017 among the Company and certain foreign subsidiaries, as</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Borrowers, various subsidiaries of the Company, as Guarantors, JPMorgan Chase Bank, N.A., as Administrative Agent, Lead Arranger and</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Sole Bookrunner, and the other lenders party thereto (Exhibit 10.1 to the Company's Quarterly Report on Form 10-Q (File No. 1-15461)</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filed May 10, 2017)</w:t>
        </w:r>
        <w:r>
          <w:rPr>
            <w:rFonts w:ascii="Times New Roman" w:cs="Times New Roman" w:eastAsia="Times New Roman" w:hAnsi="Times New Roman"/>
            <w:sz w:val="18"/>
            <w:szCs w:val="18"/>
            <w:color w:val="000000"/>
          </w:rPr>
          <w:t>.</w:t>
        </w:r>
      </w:hyperlink>
    </w:p>
    <w:p>
      <w:pPr>
        <w:spacing w:after="0" w:line="140" w:lineRule="exact"/>
        <w:rPr>
          <w:rFonts w:ascii="Times New Roman" w:cs="Times New Roman" w:eastAsia="Times New Roman" w:hAnsi="Times New Roman"/>
          <w:sz w:val="18"/>
          <w:szCs w:val="18"/>
          <w:u w:val="single" w:color="auto"/>
          <w:color w:val="0000FF"/>
        </w:rPr>
      </w:pPr>
    </w:p>
    <w:p>
      <w:pPr>
        <w:ind w:left="6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48">
        <w:r>
          <w:rPr>
            <w:rFonts w:ascii="Times New Roman" w:cs="Times New Roman" w:eastAsia="Times New Roman" w:hAnsi="Times New Roman"/>
            <w:sz w:val="17"/>
            <w:szCs w:val="17"/>
            <w:u w:val="single" w:color="auto"/>
            <w:color w:val="0000FF"/>
          </w:rPr>
          <w:t>Form of Indemnification Agreement (Exhibit 10.1 to the Company's Current Report on Form 8-K (File No. 1-15461) filed June 9, 2015)</w:t>
        </w:r>
      </w:hyperlink>
      <w:r>
        <w:rPr>
          <w:rFonts w:ascii="Times New Roman" w:cs="Times New Roman" w:eastAsia="Times New Roman" w:hAnsi="Times New Roman"/>
          <w:sz w:val="17"/>
          <w:szCs w:val="17"/>
          <w:color w:val="000000"/>
        </w:rPr>
        <w:t>.</w:t>
      </w:r>
    </w:p>
    <w:p>
      <w:pPr>
        <w:spacing w:after="0" w:line="63" w:lineRule="exact"/>
        <w:rPr>
          <w:rFonts w:ascii="Times New Roman" w:cs="Times New Roman" w:eastAsia="Times New Roman" w:hAnsi="Times New Roman"/>
          <w:sz w:val="18"/>
          <w:szCs w:val="18"/>
          <w:u w:val="single" w:color="auto"/>
          <w:color w:val="0000FF"/>
        </w:rPr>
      </w:pPr>
    </w:p>
    <w:p>
      <w:pPr>
        <w:ind w:left="86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w:anchor="page94">
        <w:r>
          <w:rPr>
            <w:rFonts w:ascii="Times New Roman" w:cs="Times New Roman" w:eastAsia="Times New Roman" w:hAnsi="Times New Roman"/>
            <w:sz w:val="17"/>
            <w:szCs w:val="17"/>
            <w:u w:val="single" w:color="auto"/>
            <w:color w:val="0000FF"/>
          </w:rPr>
          <w:t>Subsidiaries</w:t>
        </w:r>
      </w:hyperlink>
      <w:r>
        <w:rPr>
          <w:rFonts w:ascii="Times New Roman" w:cs="Times New Roman" w:eastAsia="Times New Roman" w:hAnsi="Times New Roman"/>
          <w:sz w:val="17"/>
          <w:szCs w:val="17"/>
          <w:color w:val="000000"/>
        </w:rPr>
        <w:t>.</w:t>
      </w:r>
    </w:p>
    <w:p>
      <w:pPr>
        <w:spacing w:after="0" w:line="185" w:lineRule="exact"/>
        <w:rPr>
          <w:rFonts w:ascii="Times New Roman" w:cs="Times New Roman" w:eastAsia="Times New Roman" w:hAnsi="Times New Roman"/>
          <w:sz w:val="18"/>
          <w:szCs w:val="18"/>
          <w:u w:val="single" w:color="auto"/>
          <w:color w:val="0000FF"/>
        </w:rPr>
      </w:pPr>
    </w:p>
    <w:p>
      <w:pPr>
        <w:ind w:left="86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w:anchor="page95">
        <w:r>
          <w:rPr>
            <w:rFonts w:ascii="Times New Roman" w:cs="Times New Roman" w:eastAsia="Times New Roman" w:hAnsi="Times New Roman"/>
            <w:sz w:val="17"/>
            <w:szCs w:val="17"/>
            <w:u w:val="single" w:color="auto"/>
            <w:color w:val="0000FF"/>
          </w:rPr>
          <w:t>Consent of Independent Registered Public Accounting Firm—Deloitte &amp; Touche LLP</w:t>
        </w:r>
      </w:hyperlink>
      <w:r>
        <w:rPr>
          <w:rFonts w:ascii="Times New Roman" w:cs="Times New Roman" w:eastAsia="Times New Roman" w:hAnsi="Times New Roman"/>
          <w:sz w:val="17"/>
          <w:szCs w:val="17"/>
          <w:color w:val="000000"/>
        </w:rPr>
        <w:t>.</w:t>
      </w:r>
    </w:p>
    <w:p>
      <w:pPr>
        <w:spacing w:after="0" w:line="185" w:lineRule="exact"/>
        <w:rPr>
          <w:rFonts w:ascii="Times New Roman" w:cs="Times New Roman" w:eastAsia="Times New Roman" w:hAnsi="Times New Roman"/>
          <w:sz w:val="18"/>
          <w:szCs w:val="18"/>
          <w:u w:val="single" w:color="auto"/>
          <w:color w:val="0000FF"/>
        </w:rPr>
      </w:pPr>
    </w:p>
    <w:p>
      <w:pPr>
        <w:ind w:left="7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96">
        <w:r>
          <w:rPr>
            <w:rFonts w:ascii="Times New Roman" w:cs="Times New Roman" w:eastAsia="Times New Roman" w:hAnsi="Times New Roman"/>
            <w:sz w:val="17"/>
            <w:szCs w:val="17"/>
            <w:u w:val="single" w:color="auto"/>
            <w:color w:val="0000FF"/>
          </w:rPr>
          <w:t>Certification Pursuant to Section 302 of Sarbanes-Oxley Act of 2002—CEO</w:t>
        </w:r>
      </w:hyperlink>
      <w:r>
        <w:rPr>
          <w:rFonts w:ascii="Times New Roman" w:cs="Times New Roman" w:eastAsia="Times New Roman" w:hAnsi="Times New Roman"/>
          <w:sz w:val="17"/>
          <w:szCs w:val="17"/>
          <w:color w:val="000000"/>
        </w:rPr>
        <w:t>.</w:t>
      </w:r>
    </w:p>
    <w:p>
      <w:pPr>
        <w:spacing w:after="0" w:line="185" w:lineRule="exact"/>
        <w:rPr>
          <w:rFonts w:ascii="Times New Roman" w:cs="Times New Roman" w:eastAsia="Times New Roman" w:hAnsi="Times New Roman"/>
          <w:sz w:val="18"/>
          <w:szCs w:val="18"/>
          <w:u w:val="single" w:color="auto"/>
          <w:color w:val="0000FF"/>
        </w:rPr>
      </w:pPr>
    </w:p>
    <w:p>
      <w:pPr>
        <w:ind w:left="7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97">
        <w:r>
          <w:rPr>
            <w:rFonts w:ascii="Times New Roman" w:cs="Times New Roman" w:eastAsia="Times New Roman" w:hAnsi="Times New Roman"/>
            <w:sz w:val="17"/>
            <w:szCs w:val="17"/>
            <w:u w:val="single" w:color="auto"/>
            <w:color w:val="0000FF"/>
          </w:rPr>
          <w:t>Certification Pursuant to Section 302 of Sarbanes-Oxley Act of 2002—CFO</w:t>
        </w:r>
      </w:hyperlink>
      <w:r>
        <w:rPr>
          <w:rFonts w:ascii="Times New Roman" w:cs="Times New Roman" w:eastAsia="Times New Roman" w:hAnsi="Times New Roman"/>
          <w:sz w:val="17"/>
          <w:szCs w:val="17"/>
          <w:color w:val="000000"/>
        </w:rPr>
        <w:t>.</w:t>
      </w:r>
    </w:p>
    <w:p>
      <w:pPr>
        <w:spacing w:after="0" w:line="172" w:lineRule="exact"/>
        <w:rPr>
          <w:rFonts w:ascii="Times New Roman" w:cs="Times New Roman" w:eastAsia="Times New Roman" w:hAnsi="Times New Roman"/>
          <w:sz w:val="18"/>
          <w:szCs w:val="18"/>
          <w:u w:val="single" w:color="auto"/>
          <w:color w:val="0000FF"/>
        </w:rPr>
      </w:pPr>
    </w:p>
    <w:tbl>
      <w:tblPr>
        <w:tblLayout w:type="fixed"/>
        <w:tblInd w:w="360" w:type="dxa"/>
        <w:tblCellMar>
          <w:top w:w="0" w:type="dxa"/>
          <w:left w:w="0" w:type="dxa"/>
          <w:bottom w:w="0" w:type="dxa"/>
          <w:right w:w="0" w:type="dxa"/>
        </w:tblCellMar>
      </w:tblPr>
      <w:tr>
        <w:trPr>
          <w:trHeight w:val="207"/>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2000" w:type="dxa"/>
            <w:vAlign w:val="bottom"/>
            <w:gridSpan w:val="2"/>
          </w:tcPr>
          <w:p>
            <w:pPr>
              <w:spacing w:after="0"/>
              <w:rPr>
                <w:rFonts w:ascii="Times New Roman" w:cs="Times New Roman" w:eastAsia="Times New Roman" w:hAnsi="Times New Roman"/>
                <w:sz w:val="18"/>
                <w:szCs w:val="18"/>
                <w:color w:val="0000FF"/>
                <w:w w:val="99"/>
              </w:rPr>
            </w:pPr>
            <w:hyperlink w:anchor="page98">
              <w:r>
                <w:rPr>
                  <w:rFonts w:ascii="Times New Roman" w:cs="Times New Roman" w:eastAsia="Times New Roman" w:hAnsi="Times New Roman"/>
                  <w:sz w:val="18"/>
                  <w:szCs w:val="18"/>
                  <w:color w:val="0000FF"/>
                  <w:w w:val="99"/>
                </w:rPr>
                <w:t>Certification Pursuant to 18</w:t>
              </w:r>
            </w:hyperlink>
          </w:p>
        </w:tc>
        <w:tc>
          <w:tcPr>
            <w:tcW w:w="940" w:type="dxa"/>
            <w:vAlign w:val="bottom"/>
          </w:tcPr>
          <w:p>
            <w:pPr>
              <w:ind w:left="40"/>
              <w:spacing w:after="0"/>
              <w:rPr>
                <w:rFonts w:ascii="Times New Roman" w:cs="Times New Roman" w:eastAsia="Times New Roman" w:hAnsi="Times New Roman"/>
                <w:sz w:val="18"/>
                <w:szCs w:val="18"/>
                <w:color w:val="0000FF"/>
                <w:w w:val="98"/>
              </w:rPr>
            </w:pPr>
            <w:hyperlink w:anchor="page98">
              <w:r>
                <w:rPr>
                  <w:rFonts w:ascii="Times New Roman" w:cs="Times New Roman" w:eastAsia="Times New Roman" w:hAnsi="Times New Roman"/>
                  <w:sz w:val="18"/>
                  <w:szCs w:val="18"/>
                  <w:color w:val="0000FF"/>
                  <w:w w:val="98"/>
                </w:rPr>
                <w:t>U.S.C. 1350</w:t>
              </w:r>
            </w:hyperlink>
          </w:p>
        </w:tc>
        <w:tc>
          <w:tcPr>
            <w:tcW w:w="3860" w:type="dxa"/>
            <w:vAlign w:val="bottom"/>
            <w:gridSpan w:val="2"/>
          </w:tcPr>
          <w:p>
            <w:pPr>
              <w:ind w:left="20"/>
              <w:spacing w:after="0"/>
              <w:rPr>
                <w:rFonts w:ascii="Times New Roman" w:cs="Times New Roman" w:eastAsia="Times New Roman" w:hAnsi="Times New Roman"/>
                <w:sz w:val="18"/>
                <w:szCs w:val="18"/>
                <w:color w:val="0000FF"/>
                <w:w w:val="99"/>
              </w:rPr>
            </w:pPr>
            <w:hyperlink w:anchor="page98">
              <w:r>
                <w:rPr>
                  <w:rFonts w:ascii="Times New Roman" w:cs="Times New Roman" w:eastAsia="Times New Roman" w:hAnsi="Times New Roman"/>
                  <w:sz w:val="18"/>
                  <w:szCs w:val="18"/>
                  <w:color w:val="0000FF"/>
                  <w:w w:val="99"/>
                </w:rPr>
                <w:t>(section 906 of Sarbanes-Oxley Act of 2002)—CEO</w:t>
              </w:r>
            </w:hyperlink>
            <w:r>
              <w:rPr>
                <w:rFonts w:ascii="Times New Roman" w:cs="Times New Roman" w:eastAsia="Times New Roman" w:hAnsi="Times New Roman"/>
                <w:sz w:val="18"/>
                <w:szCs w:val="18"/>
                <w:color w:val="000000"/>
                <w:w w:val="99"/>
              </w:rPr>
              <w:t>.</w:t>
            </w:r>
          </w:p>
        </w:tc>
      </w:tr>
      <w:tr>
        <w:trPr>
          <w:trHeight w:val="20"/>
        </w:trPr>
        <w:tc>
          <w:tcPr>
            <w:tcW w:w="9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*32.2</w:t>
            </w:r>
          </w:p>
        </w:tc>
        <w:tc>
          <w:tcPr>
            <w:tcW w:w="2000" w:type="dxa"/>
            <w:vAlign w:val="bottom"/>
            <w:gridSpan w:val="2"/>
          </w:tcPr>
          <w:p>
            <w:pPr>
              <w:spacing w:after="0"/>
              <w:rPr>
                <w:rFonts w:ascii="Times New Roman" w:cs="Times New Roman" w:eastAsia="Times New Roman" w:hAnsi="Times New Roman"/>
                <w:sz w:val="18"/>
                <w:szCs w:val="18"/>
                <w:color w:val="0000FF"/>
                <w:w w:val="99"/>
              </w:rPr>
            </w:pPr>
            <w:hyperlink w:anchor="page99">
              <w:r>
                <w:rPr>
                  <w:rFonts w:ascii="Times New Roman" w:cs="Times New Roman" w:eastAsia="Times New Roman" w:hAnsi="Times New Roman"/>
                  <w:sz w:val="18"/>
                  <w:szCs w:val="18"/>
                  <w:color w:val="0000FF"/>
                  <w:w w:val="99"/>
                </w:rPr>
                <w:t>Certification Pursuant to 18</w:t>
              </w:r>
            </w:hyperlink>
          </w:p>
        </w:tc>
        <w:tc>
          <w:tcPr>
            <w:tcW w:w="940" w:type="dxa"/>
            <w:vAlign w:val="bottom"/>
          </w:tcPr>
          <w:p>
            <w:pPr>
              <w:ind w:left="40"/>
              <w:spacing w:after="0"/>
              <w:rPr>
                <w:rFonts w:ascii="Times New Roman" w:cs="Times New Roman" w:eastAsia="Times New Roman" w:hAnsi="Times New Roman"/>
                <w:sz w:val="18"/>
                <w:szCs w:val="18"/>
                <w:color w:val="0000FF"/>
                <w:w w:val="98"/>
              </w:rPr>
            </w:pPr>
            <w:hyperlink w:anchor="page99">
              <w:r>
                <w:rPr>
                  <w:rFonts w:ascii="Times New Roman" w:cs="Times New Roman" w:eastAsia="Times New Roman" w:hAnsi="Times New Roman"/>
                  <w:sz w:val="18"/>
                  <w:szCs w:val="18"/>
                  <w:color w:val="0000FF"/>
                  <w:w w:val="98"/>
                </w:rPr>
                <w:t>U.S.C. 1350</w:t>
              </w:r>
            </w:hyperlink>
          </w:p>
        </w:tc>
        <w:tc>
          <w:tcPr>
            <w:tcW w:w="3860" w:type="dxa"/>
            <w:vAlign w:val="bottom"/>
            <w:gridSpan w:val="2"/>
          </w:tcPr>
          <w:p>
            <w:pPr>
              <w:ind w:left="20"/>
              <w:spacing w:after="0"/>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(section 906 of Sarbanes-Oxley Act of 2002)—CFO</w:t>
              </w:r>
            </w:hyperlink>
            <w:r>
              <w:rPr>
                <w:rFonts w:ascii="Times New Roman" w:cs="Times New Roman" w:eastAsia="Times New Roman" w:hAnsi="Times New Roman"/>
                <w:sz w:val="18"/>
                <w:szCs w:val="18"/>
                <w:color w:val="000000"/>
              </w:rPr>
              <w:t>.</w:t>
            </w:r>
          </w:p>
        </w:tc>
      </w:tr>
      <w:tr>
        <w:trPr>
          <w:trHeight w:val="37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2000" w:type="dxa"/>
            <w:vAlign w:val="bottom"/>
            <w:tcBorders>
              <w:top w:val="single" w:sz="8" w:color="0000FF"/>
            </w:tcBorders>
            <w:gridSpan w:val="2"/>
          </w:tcPr>
          <w:p>
            <w:pPr>
              <w:spacing w:after="0"/>
              <w:rPr>
                <w:rFonts w:ascii="Times New Roman" w:cs="Times New Roman" w:eastAsia="Times New Roman" w:hAnsi="Times New Roman"/>
                <w:sz w:val="18"/>
                <w:szCs w:val="18"/>
                <w:color w:val="0000FF"/>
              </w:rPr>
            </w:pPr>
            <w:hyperlink w:anchor="page100">
              <w:r>
                <w:rPr>
                  <w:rFonts w:ascii="Times New Roman" w:cs="Times New Roman" w:eastAsia="Times New Roman" w:hAnsi="Times New Roman"/>
                  <w:sz w:val="18"/>
                  <w:szCs w:val="18"/>
                  <w:color w:val="0000FF"/>
                </w:rPr>
                <w:t>Mine Safety Disclosure</w:t>
              </w:r>
            </w:hyperlink>
            <w:r>
              <w:rPr>
                <w:rFonts w:ascii="Times New Roman" w:cs="Times New Roman" w:eastAsia="Times New Roman" w:hAnsi="Times New Roman"/>
                <w:sz w:val="18"/>
                <w:szCs w:val="18"/>
                <w:color w:val="000000"/>
              </w:rPr>
              <w:t>.</w:t>
            </w:r>
          </w:p>
        </w:tc>
        <w:tc>
          <w:tcPr>
            <w:tcW w:w="940" w:type="dxa"/>
            <w:vAlign w:val="bottom"/>
            <w:tcBorders>
              <w:top w:val="single" w:sz="8" w:color="0000FF"/>
            </w:tcBorders>
          </w:tcPr>
          <w:p>
            <w:pPr>
              <w:spacing w:after="0"/>
              <w:rPr>
                <w:sz w:val="24"/>
                <w:szCs w:val="24"/>
                <w:color w:val="auto"/>
              </w:rPr>
            </w:pPr>
          </w:p>
        </w:tc>
        <w:tc>
          <w:tcPr>
            <w:tcW w:w="38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*101.INS</w:t>
            </w: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*101.SCH</w:t>
            </w: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*101.CAL</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*101.DEF</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*101.LAB</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*101.PRE</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+Management Contract or Compensatory Plan.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 Paper filing.</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240" w:top="121" w:right="31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Matrix Service Company has duly caused this report to be signed on its behalf by the undersigned, thereunto duly authorized.</w:t>
      </w:r>
    </w:p>
    <w:p>
      <w:pPr>
        <w:spacing w:after="0" w:line="26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87" w:lineRule="exact"/>
        <w:rPr>
          <w:sz w:val="20"/>
          <w:szCs w:val="20"/>
          <w:color w:val="auto"/>
        </w:rPr>
      </w:pPr>
    </w:p>
    <w:p>
      <w:pPr>
        <w:ind w:left="40"/>
        <w:spacing w:after="0"/>
        <w:tabs>
          <w:tab w:leader="none" w:pos="7200" w:val="left"/>
          <w:tab w:leader="none" w:pos="8880" w:val="left"/>
        </w:tabs>
        <w:rPr>
          <w:sz w:val="20"/>
          <w:szCs w:val="20"/>
          <w:color w:val="auto"/>
        </w:rPr>
      </w:pPr>
      <w:r>
        <w:rPr>
          <w:rFonts w:ascii="Times New Roman" w:cs="Times New Roman" w:eastAsia="Times New Roman" w:hAnsi="Times New Roman"/>
          <w:sz w:val="18"/>
          <w:szCs w:val="18"/>
          <w:color w:val="auto"/>
        </w:rPr>
        <w:t>Date : September 11,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36830</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4"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John R. Hewitt, President and</w:t>
      </w:r>
    </w:p>
    <w:p>
      <w:pPr>
        <w:spacing w:after="0" w:line="6"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6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560" w:type="dxa"/>
            <w:vAlign w:val="bottom"/>
          </w:tcPr>
          <w:p>
            <w:pPr>
              <w:spacing w:after="0"/>
              <w:rPr>
                <w:sz w:val="13"/>
                <w:szCs w:val="13"/>
                <w:color w:val="auto"/>
              </w:rPr>
            </w:pP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Michael J. Hall</w:t>
            </w: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11, 2017</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Michael J. Hall</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John R. Hewitt</w:t>
            </w: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11, 2017</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0" w:type="dxa"/>
            <w:vAlign w:val="bottom"/>
            <w:gridSpan w:val="3"/>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John R. Hewitt</w:t>
            </w:r>
          </w:p>
        </w:tc>
        <w:tc>
          <w:tcPr>
            <w:tcW w:w="5000" w:type="dxa"/>
            <w:vAlign w:val="bottom"/>
            <w:gridSpan w:val="3"/>
            <w:vMerge w:val="continue"/>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132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Kevin S. Cavanah</w:t>
            </w: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8"/>
              </w:rPr>
              <w:t>Vice President</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11, 2017</w:t>
            </w:r>
          </w:p>
        </w:tc>
        <w:tc>
          <w:tcPr>
            <w:tcW w:w="0" w:type="dxa"/>
            <w:vAlign w:val="bottom"/>
          </w:tcPr>
          <w:p>
            <w:pPr>
              <w:spacing w:after="0"/>
              <w:rPr>
                <w:sz w:val="1"/>
                <w:szCs w:val="1"/>
                <w:color w:val="auto"/>
              </w:rPr>
            </w:pPr>
          </w:p>
        </w:tc>
      </w:tr>
      <w:tr>
        <w:trPr>
          <w:trHeight w:val="234"/>
        </w:trPr>
        <w:tc>
          <w:tcPr>
            <w:tcW w:w="1320" w:type="dxa"/>
            <w:vAlign w:val="bottom"/>
            <w:vMerge w:val="continue"/>
          </w:tcPr>
          <w:p>
            <w:pPr>
              <w:spacing w:after="0"/>
              <w:rPr>
                <w:sz w:val="20"/>
                <w:szCs w:val="20"/>
                <w:color w:val="auto"/>
              </w:rPr>
            </w:pPr>
          </w:p>
        </w:tc>
        <w:tc>
          <w:tcPr>
            <w:tcW w:w="2460" w:type="dxa"/>
            <w:vAlign w:val="bottom"/>
            <w:gridSpan w:val="3"/>
            <w:vMerge w:val="continue"/>
          </w:tcPr>
          <w:p>
            <w:pPr>
              <w:spacing w:after="0"/>
              <w:rPr>
                <w:sz w:val="20"/>
                <w:szCs w:val="20"/>
                <w:color w:val="auto"/>
              </w:rPr>
            </w:pPr>
          </w:p>
        </w:tc>
        <w:tc>
          <w:tcPr>
            <w:tcW w:w="500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0" w:type="dxa"/>
            <w:vAlign w:val="bottom"/>
            <w:gridSpan w:val="3"/>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w w:val="99"/>
              </w:rPr>
              <w:t>(Principal Accounting and</w:t>
            </w: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Kevin S. Cavanah</w:t>
            </w:r>
          </w:p>
        </w:tc>
        <w:tc>
          <w:tcPr>
            <w:tcW w:w="5000" w:type="dxa"/>
            <w:vAlign w:val="bottom"/>
            <w:gridSpan w:val="3"/>
            <w:vMerge w:val="continue"/>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Martha Z. Carnes</w:t>
            </w: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11, 2017</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Martha Z. Carnes</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John D. Chandler</w:t>
            </w: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11, 2017</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John D. Chandler</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John W. Gibson</w:t>
            </w: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11, 2017</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John W. Gibson</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 Edgar Hendrix</w:t>
            </w: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11, 2017</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I. Edgar Hendrix</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Tom E. Maxwell</w:t>
            </w: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11, 2017</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Tom E. Maxwell</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James H. Miller</w:t>
            </w: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11, 2017</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James H. Miller</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Jim W. Mogg</w:t>
            </w:r>
          </w:p>
        </w:tc>
        <w:tc>
          <w:tcPr>
            <w:tcW w:w="500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11, 2017</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Jim W. Mogg</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Inc., an Oklahoma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Canada ULC, an Alberta, Canada unlimited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Construction, Inc., an Oklahoma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Construction, Ltd., a Canadian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SME Canada,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SME Canada ULC, a Nova Scotia, Canada unlimited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PDM Engineering,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PDM, LLC, an Oklahoma 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Specialized Transport, Inc., a Pennsylvania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International Holding Company, Ltd., a British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Ltd., a South Korean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Pty. Ltd., an Australian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Interests, LLC, an Oklahoma 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Devco USA, LLC, an Oklahoma 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 Consulting, LLC, a Louisiana 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 Food Services, LLC, a Maryland 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S&amp;R Technical Services, Inc., an Oklahoma corporation</w:t>
      </w:r>
    </w:p>
    <w:p>
      <w:pPr>
        <w:sectPr>
          <w:pgSz w:w="11900" w:h="16838" w:orient="portrait"/>
          <w:cols w:equalWidth="0" w:num="1">
            <w:col w:w="11420"/>
          </w:cols>
          <w:pgMar w:left="240" w:top="576"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on Forms S-8 of our reports dated September 11, 2017, relating to the consolidated financial statements and financial statement schedule of Matrix Service Company and subsidiaries, and the effectiveness of Matrix Service Company and subsidiaries' internal control over financial reporting, appearing in the Annual Report on Form 10-K of Matrix Service Company for the year ended June 30, 2017:</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Registration Statement on Form S-8 (File No. 333-214590) related to the Matrix Service Company 2016 Stock and Incentive Compensation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Registration Statement on Form S-8 (File No. 333-203207) related to the Matrix Service Company 2012 Stock and Incentive Compensation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Registration Statement on Form S-8 (File No. 333-184982) related to the Matrix Service Company 2012 Stock and Incentive Compensation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Registration Statement on Form S-8 (File No. 333-171247) related to the Matrix Service Company 2011 Employee Stock Purchase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Registration Statement on Form S-8 (File No. 333-171245) related to the Matrix Service Company 2004 Stock Incentive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Registration Statement on Form S-8 (File No. 333-119840) related to the Matrix Service Company 2004 Stock Option Plan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2017</w:t>
      </w:r>
    </w:p>
    <w:p>
      <w:pPr>
        <w:sectPr>
          <w:pgSz w:w="11900" w:h="16838" w:orient="portrait"/>
          <w:cols w:equalWidth="0" w:num="1">
            <w:col w:w="11420"/>
          </w:cols>
          <w:pgMar w:left="240" w:top="657"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Matrix Service Company;</w:t>
      </w:r>
    </w:p>
    <w:p>
      <w:pPr>
        <w:spacing w:after="0" w:line="1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60" w:hanging="324"/>
        <w:spacing w:after="0" w:line="276" w:lineRule="auto"/>
        <w:tabs>
          <w:tab w:leader="none" w:pos="9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52" w:lineRule="exact"/>
        <w:rPr>
          <w:rFonts w:ascii="Times New Roman" w:cs="Times New Roman" w:eastAsia="Times New Roman" w:hAnsi="Times New Roman"/>
          <w:sz w:val="17"/>
          <w:szCs w:val="17"/>
          <w:color w:val="auto"/>
        </w:rPr>
      </w:pPr>
    </w:p>
    <w:p>
      <w:pPr>
        <w:ind w:left="1620" w:right="200" w:hanging="640"/>
        <w:spacing w:after="0" w:line="266"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September 11, 2017</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18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Matrix Service Company;</w:t>
      </w:r>
    </w:p>
    <w:p>
      <w:pPr>
        <w:spacing w:after="0" w:line="1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60" w:hanging="324"/>
        <w:spacing w:after="0" w:line="276" w:lineRule="auto"/>
        <w:tabs>
          <w:tab w:leader="none" w:pos="9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52" w:lineRule="exact"/>
        <w:rPr>
          <w:rFonts w:ascii="Times New Roman" w:cs="Times New Roman" w:eastAsia="Times New Roman" w:hAnsi="Times New Roman"/>
          <w:sz w:val="17"/>
          <w:szCs w:val="17"/>
          <w:color w:val="auto"/>
        </w:rPr>
      </w:pPr>
    </w:p>
    <w:p>
      <w:pPr>
        <w:ind w:left="1620" w:right="200" w:hanging="640"/>
        <w:spacing w:after="0" w:line="266"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September 11, 2017</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420"/>
          </w:cols>
          <w:pgMar w:left="240" w:top="576"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June 30, 2017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September 11, 2017</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529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June 30, 2017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September 11, 2017</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87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420"/>
          </w:cols>
          <w:pgMar w:left="240" w:top="576" w:right="239" w:bottom="1440" w:gutter="0" w:footer="0" w:header="0"/>
        </w:sectPr>
      </w:pPr>
    </w:p>
    <w:bookmarkStart w:id="99" w:name="page100"/>
    <w:bookmarkEnd w:id="99"/>
    <w:p>
      <w:pPr>
        <w:ind w:left="10620"/>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00" w:lineRule="exact"/>
        <w:rPr>
          <w:sz w:val="20"/>
          <w:szCs w:val="20"/>
          <w:color w:val="auto"/>
        </w:rPr>
      </w:pPr>
    </w:p>
    <w:p>
      <w:pPr>
        <w:spacing w:after="0" w:line="232"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the twelve months ended June 30, 2017:</w:t>
      </w:r>
    </w:p>
    <w:p>
      <w:pPr>
        <w:spacing w:after="0" w:line="156" w:lineRule="exact"/>
        <w:rPr>
          <w:sz w:val="20"/>
          <w:szCs w:val="20"/>
          <w:color w:val="auto"/>
        </w:rPr>
      </w:pPr>
    </w:p>
    <w:tbl>
      <w:tblPr>
        <w:tblLayout w:type="fixed"/>
        <w:tblInd w:w="30" w:type="dxa"/>
        <w:tblCellMar>
          <w:top w:w="0" w:type="dxa"/>
          <w:left w:w="0" w:type="dxa"/>
          <w:bottom w:w="0" w:type="dxa"/>
          <w:right w:w="0" w:type="dxa"/>
        </w:tblCellMar>
      </w:tblPr>
      <w:tr>
        <w:trPr>
          <w:trHeight w:val="162"/>
        </w:trPr>
        <w:tc>
          <w:tcPr>
            <w:tcW w:w="94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9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Mine or</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Received Notice</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of Potential to</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Total Number of</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Operating</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Total Number</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Have Pattern of</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Total Number of</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Name/MSHA</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Section 104(d)</w:t>
            </w:r>
          </w:p>
        </w:tc>
        <w:tc>
          <w:tcPr>
            <w:tcW w:w="8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Section 110(b)</w:t>
            </w:r>
          </w:p>
        </w:tc>
        <w:tc>
          <w:tcPr>
            <w:tcW w:w="6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of Mining</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Violations Under</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Legal Actions</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Identification</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Section 104 S&amp;S</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Citations and</w:t>
            </w:r>
          </w:p>
        </w:tc>
        <w:tc>
          <w:tcPr>
            <w:tcW w:w="8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3"/>
              </w:rPr>
              <w:t>(2)</w:t>
            </w:r>
          </w:p>
        </w:tc>
        <w:tc>
          <w:tcPr>
            <w:tcW w:w="6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107(a)</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Related</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Section 104(e)</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Section 104(e)</w:t>
            </w:r>
            <w:r>
              <w:rPr>
                <w:rFonts w:ascii="Times New Roman" w:cs="Times New Roman" w:eastAsia="Times New Roman" w:hAnsi="Times New Roman"/>
                <w:sz w:val="8"/>
                <w:szCs w:val="8"/>
                <w:color w:val="auto"/>
                <w:w w:val="97"/>
              </w:rPr>
              <w:t>(7)</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Resolved During</w:t>
            </w:r>
          </w:p>
        </w:tc>
        <w:tc>
          <w:tcPr>
            <w:tcW w:w="0" w:type="dxa"/>
            <w:vAlign w:val="bottom"/>
          </w:tcPr>
          <w:p>
            <w:pPr>
              <w:spacing w:after="0"/>
              <w:rPr>
                <w:sz w:val="1"/>
                <w:szCs w:val="1"/>
                <w:color w:val="auto"/>
              </w:rPr>
            </w:pPr>
          </w:p>
        </w:tc>
      </w:tr>
      <w:tr>
        <w:trPr>
          <w:trHeight w:val="140"/>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Number</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Citations</w:t>
            </w:r>
            <w:r>
              <w:rPr>
                <w:rFonts w:ascii="Times New Roman" w:cs="Times New Roman" w:eastAsia="Times New Roman" w:hAnsi="Times New Roman"/>
                <w:sz w:val="8"/>
                <w:szCs w:val="8"/>
                <w:color w:val="auto"/>
              </w:rPr>
              <w:t>(1)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r>
              <w:rPr>
                <w:rFonts w:ascii="Times New Roman" w:cs="Times New Roman" w:eastAsia="Times New Roman" w:hAnsi="Times New Roman"/>
                <w:sz w:val="8"/>
                <w:szCs w:val="8"/>
                <w:color w:val="auto"/>
              </w:rPr>
              <w:t>(2)</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r>
              <w:rPr>
                <w:rFonts w:ascii="Times New Roman" w:cs="Times New Roman" w:eastAsia="Times New Roman" w:hAnsi="Times New Roman"/>
                <w:sz w:val="8"/>
                <w:szCs w:val="8"/>
                <w:color w:val="auto"/>
              </w:rPr>
              <w:t>(3)</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Violations</w:t>
            </w:r>
            <w:r>
              <w:rPr>
                <w:rFonts w:ascii="Times New Roman" w:cs="Times New Roman" w:eastAsia="Times New Roman" w:hAnsi="Times New Roman"/>
                <w:sz w:val="8"/>
                <w:szCs w:val="8"/>
                <w:color w:val="auto"/>
              </w:rPr>
              <w:t>(4)</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r>
              <w:rPr>
                <w:rFonts w:ascii="Times New Roman" w:cs="Times New Roman" w:eastAsia="Times New Roman" w:hAnsi="Times New Roman"/>
                <w:sz w:val="8"/>
                <w:szCs w:val="8"/>
                <w:color w:val="auto"/>
              </w:rPr>
              <w:t>(5)</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Proposed ($)</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Fatalities</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0"/>
                <w:szCs w:val="10"/>
                <w:color w:val="auto"/>
              </w:rPr>
              <w:t>(yes/no)</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Period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Freeport</w:t>
            </w:r>
          </w:p>
        </w:tc>
        <w:tc>
          <w:tcPr>
            <w:tcW w:w="9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McMoran</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86"/>
        </w:trPr>
        <w:tc>
          <w:tcPr>
            <w:tcW w:w="940" w:type="dxa"/>
            <w:vAlign w:val="bottom"/>
            <w:tcBorders>
              <w:left w:val="single" w:sz="8" w:color="auto"/>
              <w:right w:val="single" w:sz="8" w:color="auto"/>
            </w:tcBorders>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Morenci Inc. 02-</w:t>
            </w: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94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00024</w:t>
            </w: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Freeport</w:t>
            </w:r>
          </w:p>
        </w:tc>
        <w:tc>
          <w:tcPr>
            <w:tcW w:w="9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McMoran Safford</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$126</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140"/>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Inc. 02-03131</w:t>
            </w: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Big Island Mine</w:t>
            </w:r>
          </w:p>
        </w:tc>
        <w:tc>
          <w:tcPr>
            <w:tcW w:w="9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&amp; Refinery 48-</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140"/>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00154</w:t>
            </w: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Solvay Chemicals</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7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Inc. 48-01295</w:t>
            </w:r>
          </w:p>
        </w:tc>
        <w:tc>
          <w:tcPr>
            <w:tcW w:w="92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60" w:right="360" w:hanging="252"/>
        <w:spacing w:after="0" w:line="322" w:lineRule="auto"/>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 which represents a failure to abate a citation under section 104(a) within the period of time prescribed by MSHA.</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issued by MSHA under section 104(d) of the Mine Act for unwarrantable failure to comply with mandatory health or safety standards.</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identified under section 110(b)(2) of the Mine Act.</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107(a) of the Mine Act for situations in which MSHA determined an imminent danger existed.</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pattern of violations under section 104(e) of the Mine Act.</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64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upperLetter"/>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lvl w:ilvl="1">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lowerRoman"/>
      <w:start w:val="3"/>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upperLetter"/>
      <w:start w:val="1"/>
    </w:lvl>
  </w:abstractNum>
  <w:abstractNum w:abstractNumId="42">
    <w:nsid w:val="38437FDB"/>
    <w:multiLevelType w:val="hybridMultilevel"/>
    <w:lvl w:ilvl="0">
      <w:lvlJc w:val="left"/>
      <w:lvlText w:val="(%1)"/>
      <w:numFmt w:val="decimal"/>
      <w:start w:val="3"/>
    </w:lvl>
  </w:abstractNum>
  <w:abstractNum w:abstractNumId="43">
    <w:nsid w:val="7644A45C"/>
    <w:multiLevelType w:val="hybridMultilevel"/>
    <w:lvl w:ilvl="0">
      <w:lvlJc w:val="left"/>
      <w:lvlText w:val="2"/>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2"/>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1"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26" Type="http://schemas.openxmlformats.org/officeDocument/2006/relationships/hyperlink" Target="http://www.sec.gov/Archives/edgar/data/866273/000086627316000284/exhibit2.htm" TargetMode="External"/><Relationship Id="rId27" Type="http://schemas.openxmlformats.org/officeDocument/2006/relationships/hyperlink" Target="http://www.sec.gov/Archives/edgar/data/866273/000086627316000233/proxystatementfiscal2016de.htm" TargetMode="External"/><Relationship Id="rId28" Type="http://schemas.openxmlformats.org/officeDocument/2006/relationships/hyperlink" Target="http://www.sec.gov/Archives/edgar/data/866273/000119312504113071/dex32.htm" TargetMode="External"/><Relationship Id="rId29" Type="http://schemas.openxmlformats.org/officeDocument/2006/relationships/hyperlink" Target="http://www.sec.gov/Archives/edgar/data/866273/000119312505169705/dex35.htm" TargetMode="External"/><Relationship Id="rId30" Type="http://schemas.openxmlformats.org/officeDocument/2006/relationships/hyperlink" Target="http://www.sec.gov/Archives/edgar/data/866273/000119312507182493/dex37.htm" TargetMode="External"/><Relationship Id="rId31" Type="http://schemas.openxmlformats.org/officeDocument/2006/relationships/hyperlink" Target="http://www.sec.gov/Archives/edgar/data/866273/000086627317000018/exhibit31secondamendedandr.htm" TargetMode="External"/><Relationship Id="rId32" Type="http://schemas.openxmlformats.org/officeDocument/2006/relationships/hyperlink" Target="http://www.sec.gov/Archives/edgar/data/866273/000119312506191449/ddef14a.htm" TargetMode="External"/><Relationship Id="rId33" Type="http://schemas.openxmlformats.org/officeDocument/2006/relationships/hyperlink" Target="http://www.sec.gov/Archives/edgar/data/866273/000119312506202415/dex10.htm" TargetMode="External"/><Relationship Id="rId34" Type="http://schemas.openxmlformats.org/officeDocument/2006/relationships/hyperlink" Target="http://www.sec.gov/Archives/edgar/data/866273/000119312508166640/dex106.htm" TargetMode="External"/><Relationship Id="rId35" Type="http://schemas.openxmlformats.org/officeDocument/2006/relationships/hyperlink" Target="http://www.sec.gov/Archives/edgar/data/866273/000119312509190436/ddef14a.htm" TargetMode="External"/><Relationship Id="rId36" Type="http://schemas.openxmlformats.org/officeDocument/2006/relationships/hyperlink" Target="http://www.sec.gov/Archives/edgar/data/866273/000119312510218700/dex108.htm" TargetMode="External"/><Relationship Id="rId37" Type="http://schemas.openxmlformats.org/officeDocument/2006/relationships/hyperlink" Target="http://www.sec.gov/Archives/edgar/data/866273/000119312512382978/d360030dex1011.htm" TargetMode="External"/><Relationship Id="rId38" Type="http://schemas.openxmlformats.org/officeDocument/2006/relationships/hyperlink" Target="http://www.sec.gov/Archives/edgar/data/866273/000119312510218700/dex1010.htm" TargetMode="External"/><Relationship Id="rId39" Type="http://schemas.openxmlformats.org/officeDocument/2006/relationships/hyperlink" Target="http://www.sec.gov/Archives/edgar/data/866273/000119312512419606/d410615ddef14a.htm" TargetMode="External"/><Relationship Id="rId40" Type="http://schemas.openxmlformats.org/officeDocument/2006/relationships/hyperlink" Target="http://www.sec.gov/Archives/edgar/data/866273/000086627314000094/proxystatementfiscal2014.htm" TargetMode="External"/><Relationship Id="rId41" Type="http://schemas.openxmlformats.org/officeDocument/2006/relationships/hyperlink" Target="http://www.sec.gov/Archives/edgar/data/866273/000086627316000241/exhibit101-mtrxx2016x9x30x.htm" TargetMode="External"/><Relationship Id="rId42" Type="http://schemas.openxmlformats.org/officeDocument/2006/relationships/hyperlink" Target="http://www.sec.gov/Archives/edgar/data/866273/000086627316000241/exhibit102-mtrxx2016x9x30x.htm" TargetMode="External"/><Relationship Id="rId43" Type="http://schemas.openxmlformats.org/officeDocument/2006/relationships/hyperlink" Target="http://www.sec.gov/Archives/edgar/data/866273/000086627317000006/exhibit102-mtrxx2016x12x31.htm" TargetMode="External"/><Relationship Id="rId44" Type="http://schemas.openxmlformats.org/officeDocument/2006/relationships/hyperlink" Target="http://www.sec.gov/Archives/edgar/data/866273/000086627316000248/exhibit10-formofamendedand.htm" TargetMode="External"/><Relationship Id="rId45" Type="http://schemas.openxmlformats.org/officeDocument/2006/relationships/hyperlink" Target="http://www.sec.gov/Archives/edgar/data/866273/000119312509003061/dex101.htm" TargetMode="External"/><Relationship Id="rId46" Type="http://schemas.openxmlformats.org/officeDocument/2006/relationships/hyperlink" Target="http://www.sec.gov/Archives/edgar/data/866273/000119312512462895/d411459dex10.htm" TargetMode="External"/><Relationship Id="rId47" Type="http://schemas.openxmlformats.org/officeDocument/2006/relationships/hyperlink" Target="http://www.sec.gov/Archives/edgar/data/866273/000086627317000018/exhibit101fourthamendedand.htm" TargetMode="External"/><Relationship Id="rId48" Type="http://schemas.openxmlformats.org/officeDocument/2006/relationships/hyperlink" Target="http://www.sec.gov/Archives/edgar/data/866273/000086627315000036/exhibit101-mtrxx2015x06x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2019-12-29T04:21:02Z</dcterms:created>
  <dcterms:modified xsi:type="dcterms:W3CDTF">2019-12-29T04:21:02Z</dcterms:modified>
</cp:coreProperties>
</file>