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5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5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4057015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7" w:lineRule="exact"/>
        <w:rPr>
          <w:sz w:val="24"/>
          <w:szCs w:val="24"/>
          <w:color w:val="auto"/>
        </w:rPr>
      </w:pPr>
    </w:p>
    <w:p>
      <w:pPr>
        <w:spacing w:after="0" w:line="207" w:lineRule="exact"/>
        <w:tabs>
          <w:tab w:leader="none" w:pos="20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357" w:lineRule="exact"/>
        <w:rPr>
          <w:sz w:val="24"/>
          <w:szCs w:val="24"/>
          <w:color w:val="auto"/>
        </w:rPr>
      </w:pPr>
    </w:p>
    <w:p>
      <w:pPr>
        <w:ind w:left="4540"/>
        <w:spacing w:after="0"/>
        <w:rPr>
          <w:sz w:val="20"/>
          <w:szCs w:val="20"/>
          <w:color w:val="auto"/>
        </w:rPr>
      </w:pPr>
      <w:r>
        <w:rPr>
          <w:rFonts w:ascii="Arial" w:cs="Arial" w:eastAsia="Arial" w:hAnsi="Arial"/>
          <w:sz w:val="22"/>
          <w:szCs w:val="22"/>
          <w:b w:val="1"/>
          <w:bCs w:val="1"/>
          <w:color w:val="auto"/>
        </w:rPr>
        <w:t>Matrix Service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340" w:lineRule="exact"/>
        <w:rPr>
          <w:sz w:val="24"/>
          <w:szCs w:val="24"/>
          <w:color w:val="auto"/>
        </w:rPr>
      </w:pPr>
    </w:p>
    <w:p>
      <w:pPr>
        <w:ind w:left="5520"/>
        <w:spacing w:after="0"/>
        <w:rPr>
          <w:sz w:val="20"/>
          <w:szCs w:val="20"/>
          <w:color w:val="auto"/>
        </w:rPr>
      </w:pPr>
      <w:r>
        <w:rPr>
          <w:rFonts w:ascii="Arial" w:cs="Arial" w:eastAsia="Arial" w:hAnsi="Arial"/>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00" w:hanging="433"/>
        <w:spacing w:after="0" w:line="268" w:lineRule="auto"/>
        <w:tabs>
          <w:tab w:leader="none" w:pos="848"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1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-3058160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-2775585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-2355215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-2072005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-1789430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-708660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-425450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139700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0840"/>
          </w:cols>
          <w:pgMar w:left="240" w:top="230" w:right="8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Tulsa, Oklahoma 74116</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2007 ANNUAL MEETING OF STOCKHOLDERS</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Notice is hereby given that the Annual Meeting of the Stockholders of Matrix Service Company (the “Company” or “Matrix Service”), a Delaware corporation,</w:t>
      </w:r>
    </w:p>
    <w:p>
      <w:pPr>
        <w:spacing w:after="0" w:line="46" w:lineRule="exact"/>
        <w:rPr>
          <w:sz w:val="20"/>
          <w:szCs w:val="20"/>
          <w:color w:val="auto"/>
        </w:rPr>
      </w:pPr>
    </w:p>
    <w:p>
      <w:pPr>
        <w:ind w:right="340"/>
        <w:spacing w:after="0" w:line="221" w:lineRule="auto"/>
        <w:rPr>
          <w:sz w:val="20"/>
          <w:szCs w:val="20"/>
          <w:color w:val="auto"/>
        </w:rPr>
      </w:pPr>
      <w:r>
        <w:rPr>
          <w:rFonts w:ascii="Arial" w:cs="Arial" w:eastAsia="Arial" w:hAnsi="Arial"/>
          <w:sz w:val="18"/>
          <w:szCs w:val="18"/>
          <w:color w:val="auto"/>
        </w:rPr>
        <w:t>will be held at Matrix’s Regional Office, 1105 West Main Parkway, Catoosa, Oklahoma, on the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day of October 2007, at 10:30 a.m., Central time, for the following purposes:</w:t>
      </w:r>
    </w:p>
    <w:p>
      <w:pPr>
        <w:spacing w:after="0" w:line="103" w:lineRule="exact"/>
        <w:rPr>
          <w:sz w:val="20"/>
          <w:szCs w:val="20"/>
          <w:color w:val="auto"/>
        </w:rPr>
      </w:pPr>
    </w:p>
    <w:p>
      <w:pPr>
        <w:ind w:left="1480" w:right="18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persons to serve as members of the Board of Directors of the Company until the annual stockholders’ meeting in 2008 or until their successors have been elected and qualified;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engagement of Deloitte &amp; Touche LLP as the Company’s independent registered public accounting firm for fiscal 2008; and</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act upon such other business as may properly come before the meeting or any adjournments thereof.</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Board of Directors has fixed the close of business on September 7, 2007 as the record date for the meeting (the “Record Date”), and only holders of record of the Company’s common stock at such time are entitled to notice of and to vote at the meeting and any adjournment thereof.</w:t>
      </w:r>
    </w:p>
    <w:p>
      <w:pPr>
        <w:spacing w:after="0" w:line="20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George L.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George L. Austin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433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33070"/>
                    </a:xfrm>
                    <a:prstGeom prst="rect">
                      <a:avLst/>
                    </a:prstGeom>
                    <a:noFill/>
                  </pic:spPr>
                </pic:pic>
              </a:graphicData>
            </a:graphic>
          </wp:anchor>
        </w:drawing>
      </w:r>
    </w:p>
    <w:p>
      <w:pPr>
        <w:spacing w:after="0" w:line="193" w:lineRule="exact"/>
        <w:rPr>
          <w:sz w:val="20"/>
          <w:szCs w:val="20"/>
          <w:color w:val="auto"/>
        </w:rPr>
      </w:pPr>
    </w:p>
    <w:p>
      <w:pPr>
        <w:ind w:left="120" w:right="160"/>
        <w:spacing w:after="0" w:line="262"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THEREFORE PLEASE MARK, SIGN, DATE AND RETURN THE ENCLOSED PROXY PROMPTLY. IF YOU ARE PRESENT AT THE MEETING AND WISH TO DO SO, YOU MAY REVOKE THE PROXY AND VOTE IN PERSON.</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6"/>
          </w:tcPr>
          <w:p>
            <w:pPr>
              <w:jc w:val="center"/>
              <w:ind w:right="4140"/>
              <w:spacing w:after="0"/>
              <w:rPr>
                <w:sz w:val="20"/>
                <w:szCs w:val="20"/>
                <w:color w:val="auto"/>
              </w:rPr>
            </w:pPr>
            <w:r>
              <w:rPr>
                <w:rFonts w:ascii="Arial" w:cs="Arial" w:eastAsia="Arial" w:hAnsi="Arial"/>
                <w:sz w:val="18"/>
                <w:szCs w:val="18"/>
                <w:b w:val="1"/>
                <w:bCs w:val="1"/>
                <w:color w:val="auto"/>
                <w:w w:val="99"/>
              </w:rPr>
              <w:t>MATRIX SERVICE COMPANY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40" w:type="dxa"/>
            <w:vAlign w:val="bottom"/>
            <w:gridSpan w:val="4"/>
          </w:tcPr>
          <w:p>
            <w:pPr>
              <w:jc w:val="center"/>
              <w:ind w:right="4520"/>
              <w:spacing w:after="0"/>
              <w:rPr>
                <w:sz w:val="20"/>
                <w:szCs w:val="20"/>
                <w:color w:val="auto"/>
              </w:rPr>
            </w:pPr>
            <w:r>
              <w:rPr>
                <w:rFonts w:ascii="Arial" w:cs="Arial" w:eastAsia="Arial" w:hAnsi="Arial"/>
                <w:sz w:val="18"/>
                <w:szCs w:val="18"/>
                <w:b w:val="1"/>
                <w:bCs w:val="1"/>
                <w:color w:val="auto"/>
                <w:w w:val="94"/>
              </w:rPr>
              <w:t>10701 E. UTE STREET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80" w:type="dxa"/>
            <w:vAlign w:val="bottom"/>
            <w:gridSpan w:val="5"/>
          </w:tcPr>
          <w:p>
            <w:pPr>
              <w:jc w:val="center"/>
              <w:ind w:right="4320"/>
              <w:spacing w:after="0"/>
              <w:rPr>
                <w:sz w:val="20"/>
                <w:szCs w:val="20"/>
                <w:color w:val="auto"/>
              </w:rPr>
            </w:pPr>
            <w:r>
              <w:rPr>
                <w:rFonts w:ascii="Arial" w:cs="Arial" w:eastAsia="Arial" w:hAnsi="Arial"/>
                <w:sz w:val="18"/>
                <w:szCs w:val="18"/>
                <w:b w:val="1"/>
                <w:bCs w:val="1"/>
                <w:color w:val="auto"/>
                <w:w w:val="93"/>
              </w:rPr>
              <w:t>TULSA, OKLAHOMA 74116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4"/>
          </w:tcPr>
          <w:p>
            <w:pPr>
              <w:jc w:val="center"/>
              <w:ind w:right="452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4"/>
          </w:tcPr>
          <w:p>
            <w:pPr>
              <w:jc w:val="center"/>
              <w:ind w:right="4480"/>
              <w:spacing w:after="0"/>
              <w:rPr>
                <w:sz w:val="20"/>
                <w:szCs w:val="20"/>
                <w:color w:val="auto"/>
              </w:rPr>
            </w:pPr>
            <w:r>
              <w:rPr>
                <w:rFonts w:ascii="Arial" w:cs="Arial" w:eastAsia="Arial" w:hAnsi="Arial"/>
                <w:sz w:val="18"/>
                <w:szCs w:val="18"/>
                <w:b w:val="1"/>
                <w:bCs w:val="1"/>
                <w:color w:val="auto"/>
                <w:w w:val="95"/>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720" w:type="dxa"/>
            <w:vAlign w:val="bottom"/>
            <w:gridSpan w:val="13"/>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Solicitation and Revocation of Proxies</w:t>
              </w:r>
            </w:hyperlink>
          </w:p>
        </w:tc>
        <w:tc>
          <w:tcPr>
            <w:tcW w:w="8420" w:type="dxa"/>
            <w:vAlign w:val="bottom"/>
            <w:gridSpan w:val="22"/>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0000EE"/>
            </w:tcBorders>
            <w:gridSpan w:val="13"/>
            <w:vMerge w:val="continue"/>
          </w:tcPr>
          <w:p>
            <w:pPr>
              <w:spacing w:after="0"/>
              <w:rPr>
                <w:sz w:val="14"/>
                <w:szCs w:val="14"/>
                <w:color w:val="auto"/>
              </w:rPr>
            </w:pPr>
          </w:p>
        </w:tc>
        <w:tc>
          <w:tcPr>
            <w:tcW w:w="8420" w:type="dxa"/>
            <w:vAlign w:val="bottom"/>
            <w:gridSpan w:val="2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140" w:type="dxa"/>
            <w:vAlign w:val="bottom"/>
            <w:gridSpan w:val="3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Stockholders Entitled to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Proposal Number 1: Election of Directors</w:t>
              </w:r>
            </w:hyperlink>
          </w:p>
        </w:tc>
        <w:tc>
          <w:tcPr>
            <w:tcW w:w="820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Nominated Director Biographies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Corporate Governance and Board Matters</w:t>
              </w:r>
            </w:hyperlink>
          </w:p>
        </w:tc>
        <w:tc>
          <w:tcPr>
            <w:tcW w:w="818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Director Independence Standards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Meetings and Committees of the Board of Directors</w:t>
              </w:r>
            </w:hyperlink>
          </w:p>
        </w:tc>
        <w:tc>
          <w:tcPr>
            <w:tcW w:w="704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Director Nomination Process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1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Communications with the Board of Directors</w:t>
              </w:r>
            </w:hyperlink>
          </w:p>
        </w:tc>
        <w:tc>
          <w:tcPr>
            <w:tcW w:w="75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Equity Ownership Guidelines for Directors</w:t>
              </w:r>
            </w:hyperlink>
          </w:p>
        </w:tc>
        <w:tc>
          <w:tcPr>
            <w:tcW w:w="766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6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Director Compensation</w:t>
              </w:r>
            </w:hyperlink>
          </w:p>
        </w:tc>
        <w:tc>
          <w:tcPr>
            <w:tcW w:w="9480" w:type="dxa"/>
            <w:vAlign w:val="bottom"/>
            <w:gridSpan w:val="3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Fiscal 2007 Director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Fiscal 2007 Grants of Plan-Based Awards to Directors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Audit Committee Matters</w:t>
              </w:r>
            </w:hyperlink>
          </w:p>
        </w:tc>
        <w:tc>
          <w:tcPr>
            <w:tcW w:w="932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Report of the Audit Committee of the Board of Directors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Replacement of Former Independent Auditors</w:t>
              </w:r>
            </w:hyperlink>
          </w:p>
        </w:tc>
        <w:tc>
          <w:tcPr>
            <w:tcW w:w="760" w:type="dxa"/>
            <w:vAlign w:val="bottom"/>
            <w:tcBorders>
              <w:top w:val="single" w:sz="8" w:color="0000EE"/>
            </w:tcBorders>
            <w:gridSpan w:val="5"/>
          </w:tcPr>
          <w:p>
            <w:pPr>
              <w:spacing w:after="0"/>
              <w:rPr>
                <w:sz w:val="17"/>
                <w:szCs w:val="17"/>
                <w:color w:val="auto"/>
              </w:rPr>
            </w:pPr>
          </w:p>
        </w:tc>
        <w:tc>
          <w:tcPr>
            <w:tcW w:w="67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40" w:type="dxa"/>
            <w:vAlign w:val="bottom"/>
            <w:tcBorders>
              <w:bottom w:val="single" w:sz="8" w:color="0000EE"/>
            </w:tcBorders>
            <w:gridSpan w:val="27"/>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Fees of Independent Registered Public Accounting Firm</w:t>
              </w:r>
            </w:hyperlink>
          </w:p>
        </w:tc>
        <w:tc>
          <w:tcPr>
            <w:tcW w:w="6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Audit Committee Pre-Approval Policy</w:t>
              </w:r>
            </w:hyperlink>
          </w:p>
        </w:tc>
        <w:tc>
          <w:tcPr>
            <w:tcW w:w="798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1140" w:type="dxa"/>
            <w:vAlign w:val="bottom"/>
            <w:gridSpan w:val="3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Proposal Number 2: Ratification of Selection of Independent Registered Public Accounting Firm</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68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Executive Officer Information</w:t>
              </w:r>
            </w:hyperlink>
          </w:p>
        </w:tc>
        <w:tc>
          <w:tcPr>
            <w:tcW w:w="43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Executive Officer Biographies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Compensation Discussion and Analysis</w:t>
              </w:r>
            </w:hyperlink>
          </w:p>
        </w:tc>
        <w:tc>
          <w:tcPr>
            <w:tcW w:w="834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Philosophy and Objectives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Key Elements of Executive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Equity Ownership Guidelines for Executive Officers</w:t>
              </w:r>
            </w:hyperlink>
          </w:p>
        </w:tc>
        <w:tc>
          <w:tcPr>
            <w:tcW w:w="70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Report of the Compensation Committee of the Board of Directors</w:t>
              </w:r>
            </w:hyperlink>
          </w:p>
        </w:tc>
        <w:tc>
          <w:tcPr>
            <w:tcW w:w="6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Executive Officer Compensation</w:t>
              </w:r>
            </w:hyperlink>
          </w:p>
        </w:tc>
        <w:tc>
          <w:tcPr>
            <w:tcW w:w="882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Summary Compensation Table</w:t>
              </w:r>
            </w:hyperlink>
          </w:p>
        </w:tc>
        <w:tc>
          <w:tcPr>
            <w:tcW w:w="852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Grants of Plan-Based Awards</w:t>
              </w:r>
            </w:hyperlink>
          </w:p>
        </w:tc>
        <w:tc>
          <w:tcPr>
            <w:tcW w:w="856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Option Exercises and Stock Vested</w:t>
              </w:r>
            </w:hyperlink>
          </w:p>
        </w:tc>
        <w:tc>
          <w:tcPr>
            <w:tcW w:w="820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Outstanding Equity Awards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760" w:type="dxa"/>
            <w:vAlign w:val="bottom"/>
            <w:gridSpan w:val="17"/>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Potential Payments Upon Termination or Change of Control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300" w:type="dxa"/>
            <w:vAlign w:val="bottom"/>
            <w:gridSpan w:val="21"/>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Security Ownership of Certain Beneficial Owners and Management</w:t>
              </w:r>
            </w:hyperlink>
          </w:p>
        </w:tc>
        <w:tc>
          <w:tcPr>
            <w:tcW w:w="63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Section 16(a) Beneficial Ownership Reporting Compliance</w:t>
              </w:r>
            </w:hyperlink>
          </w:p>
        </w:tc>
        <w:tc>
          <w:tcPr>
            <w:tcW w:w="648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Securities Authorized for Issuance Under Equity Compensation Plans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300" w:type="dxa"/>
            <w:vAlign w:val="bottom"/>
            <w:gridSpan w:val="21"/>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3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Proposals of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Other Matters</w:t>
              </w:r>
            </w:hyperlink>
          </w:p>
        </w:tc>
        <w:tc>
          <w:tcPr>
            <w:tcW w:w="930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60" w:type="dxa"/>
            <w:vAlign w:val="bottom"/>
            <w:gridSpan w:val="2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Matters That May Come Before the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680" w:type="dxa"/>
            <w:vAlign w:val="bottom"/>
            <w:gridSpan w:val="25"/>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Availability of Form 10-K and Annual Report to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74116</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October 22, 2007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accompanying proxy is solicited by the Board of Directors of Matrix Service Company (“Matrix Service”, the “Company”, “we”, “our” or “us”) for use at the Annual Meeting of Stockholders to be held on October 22, 2007, and at any adjournments thereof for the purposes set forth in the accompanying Notice of 2007 Annual Meeting of Stockholders. The Annual Meeting will be held at 10:30 a.m., Central time, at the Company’s Regional Office, 1105 West Main Parkway, Catoosa, Oklahoma. This proxy statement and accompanying proxy were first sent on or about September 14, 2007 to stockholders of record on September 7, 2007.</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approximate date on which this Proxy Statement and the accompanying proxy will first be sent to stockholders is September 14, 2007. The annual report of the Company on Form 10-K for the fiscal year ended May 31, 2007 accompanies this Proxy Statement.</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the accompanying proxy is properly executed and returned, the shares it represents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has the power to revoke it at any time before it is voted by giving written notice to, or by executing a subsequent proxy and sending it to George L. Austin, Secretary, Matrix Service Company, 10701 East Ute Street, Tulsa, Oklahoma, 74116. The proxy also may be revoked if the stockholder is present at the meeting and elects to vote in person.</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therefore, but may be reimbursed for their out-of-pocket expenses in connection therewith.</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ENTITLED TO VOTE</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the close of business on the Record Date there were 26,600,751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 With regard to the election of directors, votes may be cast in favor of or withheld from each nominee; votes that are withheld will have no effect on the vote. Abstentions, which may be specified on all proposals, except the election of directors, will have the effect of a negative vote. A broker non-vote will have no effect on the outcome of the election of directors or the ratification of the engagement of the independent registered public accounting firm.</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you hold your shares in “street name” through a broker or nominee, your broker or nominee may not be permitted to exercise voting discretion with respect to some of the matters to be voted upon. If you hold your shares in street name and do not give your broker or nominee specific instructions, your shares may not be voted on those matters and will not be counted in determining the number of shares necessary for approval. Shares represented by such “broker non-votes” will, however, be counted in determining whether there is a quorum.</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recommendations from the Nominating and Corporate Governance Committee and a majority vote by the remaining directors.</w:t>
      </w:r>
    </w:p>
    <w:p>
      <w:pPr>
        <w:spacing w:after="0" w:line="11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urges you to vote “For” the election of the six nominees identified below who have been nominated to serve as directors until the next Annual Meeting of Stockholders or until their successors are duly elected and qualified. Proxies solicited hereby will be voted “For” all six nominees unless stockholders specify otherwise in their proxies. The six nominees who receive the highest number of affirmative votes of the shares voting shall be elected as directors.</w:t>
      </w:r>
    </w:p>
    <w:p>
      <w:pPr>
        <w:spacing w:after="0" w:line="11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If, at the time of the 2007 Annual Meeting of Stockholders, any of the nominees should be unable or decline to serve, the discretionary authority provided in the proxy may be used to vote for a substitute or substitutes who may be recommended by the Nominating and Corporate Governance Committee and designated by the Board of Directors. The Board of Directors has no reason to believe that any substitute nominee or nominees will be required.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Michael J. Bradley</w:t>
      </w:r>
      <w:r>
        <w:rPr>
          <w:rFonts w:ascii="Arial" w:cs="Arial" w:eastAsia="Arial" w:hAnsi="Arial"/>
          <w:sz w:val="16"/>
          <w:szCs w:val="16"/>
          <w:color w:val="auto"/>
        </w:rPr>
        <w:t>, age 52, was appointed as a Director of the Company effective January 2007. Mr. Bradley has served as President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Company since November 2006. Prior to joining Matrix Service Company, Mr. Bradley served as President and CEO of DCP Midstream Partners and was a member of the board. Mr. Bradley was named Group Vice President of Gathering and Processing for Duke Energy Field Services (DEFS) in 2004 and served as Executive Vice President (DEFS) from 2002 to 2004. From 1994 to 2002, he served as Senior Vice President (DEFS) and was responsible for business development and commercial activities. Mr. Bradley graduated from the University of Kansas with a Bachelor of Science degree in Civil Engineering. He also completed the Duke University Executive Management Program. Mr. Bradley is a member of the American Society of Civil Engineers and a former board member of the American Cancer Society. He also serves on the advisory board for the University of Kansas, School of Engineering and on the boards of the Tulsa Area United Way and the Indian Nations Council.</w:t>
      </w:r>
    </w:p>
    <w:p>
      <w:pPr>
        <w:spacing w:after="0" w:line="11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color w:val="auto"/>
        </w:rPr>
        <w:t>Michael J. Hall</w:t>
      </w:r>
      <w:r>
        <w:rPr>
          <w:rFonts w:ascii="Arial" w:cs="Arial" w:eastAsia="Arial" w:hAnsi="Arial"/>
          <w:sz w:val="16"/>
          <w:szCs w:val="16"/>
          <w:color w:val="auto"/>
        </w:rPr>
        <w:t>, age 63, was first elected as a Director of the Company effective October 1998 and was elected Chairman of the Board in November 2006.</w:t>
      </w:r>
      <w:r>
        <w:rPr>
          <w:rFonts w:ascii="Arial" w:cs="Arial" w:eastAsia="Arial" w:hAnsi="Arial"/>
          <w:sz w:val="16"/>
          <w:szCs w:val="16"/>
          <w:b w:val="1"/>
          <w:bCs w:val="1"/>
          <w:color w:val="auto"/>
        </w:rPr>
        <w:t xml:space="preserve"> </w:t>
      </w:r>
      <w:r>
        <w:rPr>
          <w:rFonts w:ascii="Arial" w:cs="Arial" w:eastAsia="Arial" w:hAnsi="Arial"/>
          <w:sz w:val="16"/>
          <w:szCs w:val="16"/>
          <w:color w:val="auto"/>
        </w:rPr>
        <w:t>Mr. Hall previously served as President and Chief Executive Officer of the Company from March 2005 until his retirement in November 2006. Mr. Hall also previously served as Vice President Finance and Chief Financial Officer of the Company from November 1998 until his initial retirement in May 2004. Prior to working for Matrix Service,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w:t>
      </w:r>
    </w:p>
    <w:p>
      <w:pPr>
        <w:spacing w:after="0" w:line="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Mr. Hall graduated Summa Cum Laude from Boston College with a degree in Accounting and earned his MBA with honors from Stanford Graduate School of Business. Mr. Hall is an Independent Trustee and Chairman of the Board of Trustees for American Performance Funds; a Director and Chairman of the Board of Integrated Electrical Services, Inc.; a member of the Board of Directors of Alliance G.P., LLC (the general partner of Alliance Holdings, G.P., L.P.); and a member of the Board of Directors of Alliance Resource Management G.P., LLC (the managing general partner of Alliance Resources Partners, L.P.).</w:t>
      </w:r>
    </w:p>
    <w:p>
      <w:pPr>
        <w:spacing w:after="0" w:line="1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I. Edgar (Ed) Hendrix</w:t>
      </w:r>
      <w:r>
        <w:rPr>
          <w:rFonts w:ascii="Arial" w:cs="Arial" w:eastAsia="Arial" w:hAnsi="Arial"/>
          <w:sz w:val="18"/>
          <w:szCs w:val="18"/>
          <w:color w:val="auto"/>
        </w:rPr>
        <w:t>, age 63, was first elected as a Director of the Company effective October 2000. Mr. Hendrix previously served as Chairman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from March 2005 until November 2006. Mr. Hendrix has served as Chairman of Red River Energy, Inc. since June of 2006 and as President of Patriot Energy Resources, LLC since 2005. Mr. Hendrix served as Executive Vice President and Chief Financial Officer of Loudfire, Inc. from 2002 to 2004. Mr. Hendrix previously served as Executive Vice President and Chief Financial Officer of Spectrum Field Services, Inc., from 2000 to 2002. Prior to 2000, Mr. Hendrix served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from the University of Oklahoma. Mr. Hendrix is a member of the Board of Trustees for American Performance Mutual Funds.</w:t>
      </w:r>
    </w:p>
    <w:p>
      <w:pPr>
        <w:spacing w:after="0" w:line="13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64, was first elected as a Director of the Company effective October 2000. Mr. Lackey is Chairman of the Board of Directors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The NORDAM Group, an aircraft component manufacturing and repair firm.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and, ultimately, President. A graduate of the University of Mississippi with a B.S. in Mathematics, Mr. Lackey earned his Master’s Degree in Business Administration from the University of Texas. He also served in the U.S. Army as an artillery officer. Mr. Lackey is a director of Aaon, Inc., an advisory director of Commerce Bankshares, a director of the Tulsa Chamber of Commerce, a trustee of Tulsa Community College Foundation, and a director of the Community Hospital Authority.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auto"/>
        </w:rPr>
        <w:t>, age 62, was first elected as a Director of the Company effective May 2003. Mr. Maxwell is President and Chief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Flintco Companies, Inc., which is one of the top fifty commercial constructor companies in the United States. He has held this position for 18 years, and prior to his election to President and Chief Executive Officer of Flintco, Mr. Maxwell was the Chief Financial Officer of Flintco for five years. Mr. Maxwell is a certified public accountant (inactive) and began his career with five years at Deloitte and Touche and was the Chief Financial Officer of a public company, Kinark Corporation, for nine years. Mr. Maxwell earned Undergraduate and Master’s Degrees in Accounting at the University of Oklahoma. Mr. Maxwell is a director of Summit Bank and a director of Hillcrest Hospital. In addition, Mr. Maxwell serves as a director for the Tulsa Public Schools Foundation, the Tulsa Chamber of Commerce, Southern Hills Country Club and the Friends of Fairgrounds Foundation.</w:t>
      </w:r>
    </w:p>
    <w:p>
      <w:pPr>
        <w:spacing w:after="0" w:line="11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David J. Tippeconnic</w:t>
      </w:r>
      <w:r>
        <w:rPr>
          <w:rFonts w:ascii="Arial" w:cs="Arial" w:eastAsia="Arial" w:hAnsi="Arial"/>
          <w:sz w:val="16"/>
          <w:szCs w:val="16"/>
          <w:color w:val="auto"/>
        </w:rPr>
        <w:t>, age 67, was elected as a Director of the Company effective October 2005. Mr. Tippeconnic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Arrow-Magnolia International, Inc., a manufacturer of industrial cleaning and maintenance chemicals, since January 2005. Mr. Tippeconnic previously served as Chairman of the Board and acting Chief Executive Officer of Cherokee Nation Enterprises, a hospitality business, from September 2002 to November 2004. Prior to joining Cherokee Nation Enterprises, Mr. Tippeconnic served as President and Chief Executive Officer of CITGO Petroleum Corporation from July 1997 to October 2001. Mr. Tippeconnic has a Bachelor of Science degree in Chemical Engineering from Oklahoma State University and a Masters of Science degree in Chemical Engineering from the University of Arizona and attended the Advanced Management Program at Harvard University.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r>
        <w:rPr>
          <w:rFonts w:ascii="Arial" w:cs="Arial" w:eastAsia="Arial" w:hAnsi="Arial"/>
          <w:sz w:val="18"/>
          <w:szCs w:val="18"/>
          <w:color w:val="auto"/>
        </w:rPr>
        <w: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7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Financial Officer, Controller and any person performing similar functions) and employees. The Corporate Governance Guidelines and Code of Business Conduct and Ethics are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Standards</w:t>
      </w:r>
    </w:p>
    <w:p>
      <w:pPr>
        <w:spacing w:after="0" w:line="9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Pursuant to the listing standards of the Nasdaq Global Market System (“Nasdaq”) and the rules and regulations of the Securities and Exchange Commission (“SEC”), the Board of Directors has adopted a set of director independence guidelines. In accordance with these guidelines, each independent director must be determined to have no material relationship with the Company.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43"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The Board of Directors has affirmatively determined that each of Messrs. Hendrix, Lackey, Maxwell and Tippeconnic are “independent” under the guidelines. Mr. Hall is not considered to be independent because of his prior service as a senior executive officer of the Company and Mr. Bradley is not considered to be independent because of his current employment as President and Chief Executive Officer of the Company.</w:t>
      </w:r>
    </w:p>
    <w:p>
      <w:pPr>
        <w:spacing w:after="0" w:line="10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The full text of the Company’s director independence guidelines is included in the Company’s Corporate Governance Guidelines, which is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Company’s Board of Directors met six times during fiscal year 2007. The Board has three standing committees – Audit Committee, Compensation Committee and Nominating and Corporate Governance Committee. During the 2007 fiscal year, each Director attended a minimum of 75% of the total number of meetings of the Board and of the total number of meetings held by all committees of which he was a member.</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then current members of the Company’s Board of Directors attended the 2006 annual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6160" w:type="dxa"/>
            <w:vAlign w:val="bottom"/>
            <w:gridSpan w:val="4"/>
          </w:tcPr>
          <w:p>
            <w:pPr>
              <w:ind w:left="260"/>
              <w:spacing w:after="0"/>
              <w:rPr>
                <w:sz w:val="20"/>
                <w:szCs w:val="20"/>
                <w:color w:val="auto"/>
              </w:rPr>
            </w:pPr>
            <w:r>
              <w:rPr>
                <w:rFonts w:ascii="Arial" w:cs="Arial" w:eastAsia="Arial" w:hAnsi="Arial"/>
                <w:sz w:val="18"/>
                <w:szCs w:val="18"/>
                <w:b w:val="1"/>
                <w:bCs w:val="1"/>
                <w:color w:val="auto"/>
              </w:rPr>
              <w:t>Audit Committee</w:t>
            </w:r>
          </w:p>
        </w:tc>
      </w:tr>
      <w:tr>
        <w:trPr>
          <w:trHeight w:val="392"/>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2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2007 Committee Service</w:t>
            </w:r>
          </w:p>
        </w:tc>
      </w:tr>
      <w:tr>
        <w:trPr>
          <w:trHeight w:val="195"/>
        </w:trPr>
        <w:tc>
          <w:tcPr>
            <w:tcW w:w="4340" w:type="dxa"/>
            <w:vAlign w:val="bottom"/>
          </w:tcPr>
          <w:p>
            <w:pPr>
              <w:spacing w:after="0" w:line="195" w:lineRule="exact"/>
              <w:rPr>
                <w:sz w:val="20"/>
                <w:szCs w:val="20"/>
                <w:color w:val="auto"/>
              </w:rPr>
            </w:pPr>
            <w:r>
              <w:rPr>
                <w:rFonts w:ascii="Arial" w:cs="Arial" w:eastAsia="Arial" w:hAnsi="Arial"/>
                <w:sz w:val="18"/>
                <w:szCs w:val="18"/>
                <w:color w:val="auto"/>
              </w:rPr>
              <w:t>I. Edgar Hendrix, Chairman</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20" w:type="dxa"/>
            <w:vAlign w:val="bottom"/>
          </w:tcPr>
          <w:p>
            <w:pPr>
              <w:spacing w:after="0" w:line="195" w:lineRule="exact"/>
              <w:rPr>
                <w:sz w:val="20"/>
                <w:szCs w:val="20"/>
                <w:color w:val="auto"/>
              </w:rPr>
            </w:pPr>
            <w:r>
              <w:rPr>
                <w:rFonts w:ascii="Arial" w:cs="Arial" w:eastAsia="Arial" w:hAnsi="Arial"/>
                <w:sz w:val="18"/>
                <w:szCs w:val="18"/>
                <w:color w:val="auto"/>
              </w:rPr>
              <w:t>Served all of Fiscal 2007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Paul K. Lackey, Member</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87"/>
              </w:rPr>
              <w:t>Served since appointment in October 2006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Tom. E. Maxwell, Member</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Served all of Fiscal 2007</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David J. Tippeconnic, Member</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Served all of Fiscal 2007</w:t>
            </w:r>
          </w:p>
        </w:tc>
      </w:tr>
    </w:tbl>
    <w:p>
      <w:pPr>
        <w:spacing w:after="0" w:line="15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of the independent registered public accounting firm and the independence of the independent registered public accounting firm, reviews the results of internal audits, compliance with any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The Company has also made a copy of its Audit Committee Charter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The Audit Committee held four meetings during fiscal 2007.</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Compensation Committee</w:t>
      </w:r>
    </w:p>
    <w:p>
      <w:pPr>
        <w:sectPr>
          <w:pgSz w:w="11900" w:h="16838" w:orient="portrait"/>
          <w:cols w:equalWidth="0" w:num="1">
            <w:col w:w="11340"/>
          </w:cols>
          <w:pgMar w:left="240" w:top="459" w:right="319" w:bottom="1440" w:gutter="0" w:footer="0" w:header="0"/>
        </w:sect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2752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Paul K. Lackey,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David J. Tippeconnic, Member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Hugh E. Bradley, retired Member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2007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912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Served all of Fiscal 2007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Served all of Fiscal 2007</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Served since appointment in October 2006</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Served since appointment in October 2006</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Served until retirement in October 2006</w:t>
      </w:r>
    </w:p>
    <w:p>
      <w:pPr>
        <w:spacing w:after="0" w:line="188" w:lineRule="exact"/>
        <w:rPr>
          <w:sz w:val="20"/>
          <w:szCs w:val="20"/>
          <w:color w:val="auto"/>
        </w:rPr>
      </w:pPr>
    </w:p>
    <w:p>
      <w:pPr>
        <w:sectPr>
          <w:pgSz w:w="11900" w:h="16838" w:orient="portrait"/>
          <w:cols w:equalWidth="0" w:num="2">
            <w:col w:w="7220" w:space="720"/>
            <w:col w:w="3400"/>
          </w:cols>
          <w:pgMar w:left="240" w:top="459" w:right="319" w:bottom="1440" w:gutter="0" w:footer="0" w:header="0"/>
          <w:type w:val="continuous"/>
        </w:sectPr>
      </w:pPr>
    </w:p>
    <w:p>
      <w:pPr>
        <w:spacing w:after="0" w:line="294" w:lineRule="auto"/>
        <w:rPr>
          <w:sz w:val="20"/>
          <w:szCs w:val="20"/>
          <w:color w:val="auto"/>
        </w:rPr>
      </w:pPr>
      <w:r>
        <w:rPr>
          <w:rFonts w:ascii="Arial" w:cs="Arial" w:eastAsia="Arial" w:hAnsi="Arial"/>
          <w:sz w:val="16"/>
          <w:szCs w:val="16"/>
          <w:color w:val="auto"/>
        </w:rPr>
        <w:t>The Compensation Committee’s functions include reviewing executive salary and bonus structure, approving salary and bonus awards and executive perquisites and other benefits. In addition, the Compensation Committee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 The Compensation Committee held five meetings during fiscal 2007. The Compensation Committee has no authority under its charter to delegate some or all of its authority to subcommittees or other persons and it has no current plans to do so.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fiscal 2007, the Compensation Committee was composed of Hugh E. Bradley (former director who served until October 2006), I. Edgar Hendrix, Paul K. Lackey, Tom E. Maxwell and David J. Tippeconnic, all of whom are non-employee directors of the Company. During fiscal 2007,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Nominating and Corporate Governance Committee</w:t>
      </w:r>
    </w:p>
    <w:p>
      <w:pPr>
        <w:sectPr>
          <w:pgSz w:w="11900" w:h="16838" w:orient="portrait"/>
          <w:cols w:equalWidth="0" w:num="1">
            <w:col w:w="11360"/>
          </w:cols>
          <w:pgMar w:left="240" w:top="459" w:right="299" w:bottom="1440" w:gutter="0" w:footer="0" w:header="0"/>
        </w:sectPr>
      </w:pPr>
    </w:p>
    <w:p>
      <w:pPr>
        <w:spacing w:after="0" w:line="23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2769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Tom E. Maxwell,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David J. Tippeconnic, Member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Hugh E. Bradley, retired Member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2007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7837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Served all of Fiscal 2007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Served all of Fiscal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Served all of Fiscal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Served all of Fiscal 2007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Served until retirement in October 2006</w:t>
      </w:r>
    </w:p>
    <w:p>
      <w:pPr>
        <w:spacing w:after="0" w:line="188" w:lineRule="exact"/>
        <w:rPr>
          <w:sz w:val="20"/>
          <w:szCs w:val="20"/>
          <w:color w:val="auto"/>
        </w:rPr>
      </w:pPr>
    </w:p>
    <w:p>
      <w:pPr>
        <w:sectPr>
          <w:pgSz w:w="11900" w:h="16838" w:orient="portrait"/>
          <w:cols w:equalWidth="0" w:num="2">
            <w:col w:w="7440" w:space="720"/>
            <w:col w:w="3200"/>
          </w:cols>
          <w:pgMar w:left="240" w:top="459" w:right="299" w:bottom="1440" w:gutter="0" w:footer="0" w:header="0"/>
          <w:type w:val="continuous"/>
        </w:sectPr>
      </w:pPr>
    </w:p>
    <w:p>
      <w:pPr>
        <w:ind w:right="20"/>
        <w:spacing w:after="0" w:line="290"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four meetings during fiscal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on the Board of Directors and to address the director qualifications discussed below.</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 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the Secretary of the Company at 10701 East Ute Street, Tulsa, Oklahoma 74116. The written notice should give each such nominee’s name, address, appropriate biographical information, a description of all arrangements or understandings between the stockholder and each such nominee and any other person or persons (naming such person or person),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80 days prior to the date of any annual or special meeting; provided, however, that in the event that the date of such annual or special meeting is not publicly announced by the Company more than 90 days prior to the meeting, notice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 xml:space="preserve">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10701 East Ute Street, Tulsa, Oklahoma 74116-1517. Stockholders and other interested parties may also use the Company’s online submission form at the FAQ section of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xml:space="preserve"> to contact the Board or any of the directors. All communications will be compiled by the Company’s Corporate Secretary and submitted to the Board or the individual director on a periodic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Each director is strongly encouraged to have a significant investment in the Company evidenced by the ownership, from time to time, either directly or indirectly, of an approximate value of $100,000 of Matrix Service Company Stock. For purposes of these guidelines, “indirect ownership” includes to the pre-tax “in the money” market value of stock options and phantom stock in the Director’s deferred compensation plan. Directors shall have five years from the date of their initial election to the Board to meet this requirement.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7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3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elements of our non-employee Director compensation consist of cash and equity compensation. Our objective with Director compensation is to position ourselves to attract and retain individuals with relevant business and leadership background and experience by providing a competitive package of cash and equity compensation.</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Total Compensation for the Company’s non-employee Directors is determined in a manner similar to that for executives. The Compensation Committee, working with the Company’s Vice President, Human Resources, engages third party compensation consultants to periodically review Director compensation and make recommendations. The Board’s philosophy is to keep Director compensation simple and straightforward in nature. The Compensation Committee reviews benchmark data from outside consultants and makes recommendations to the Board of Directors for approval.</w:t>
      </w:r>
    </w:p>
    <w:p>
      <w:pPr>
        <w:spacing w:after="0" w:line="1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Director compensation review is conducted on a bi-annual basis. This review was most recently completed in July 2006. Compensation was adjusted in July 2006, as outlined below. Director compensation will be reviewed again in July/August 2008.</w:t>
      </w:r>
    </w:p>
    <w:p>
      <w:pPr>
        <w:spacing w:after="0" w:line="1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April 2006, the Compensation Committee engaged third party compensation consultant, Villareal &amp; Associates, to conduct a market study. Villareal &amp; Associates obtained benchmark data using published compensation surveys and proxy analysis of selected benchmark companies similar in size, location and industry to the Company.</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the consultant’s findings and recommendations, the Compensation committee determined that total compensation for Directors should be approximately $100,000 with 50% in cash and 50% in performance-based equity. The objective is to provide a long-term component to total compensation that aligns the interests of Board members with those of Company stockholders through stock ownership.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the July 2006 Compensation Committee meeting, adjustments were made to the annual retainer, Committee Chair and Chairman fees, bringing cash compensation for each Director to approximately $50,000 (or 50% of total compensation). Cash compensation may be taken in the form of cash payments or may be deferred with interest. The remaining 50% of Director compensation ($50,000 of value) is issued in the form of Restricted Stock, which ties Director’s compensation directly to the Company’s performance. A similar approach to that for executive equity was used except the financial measure for Directors is Net Income, as opposed to Operating Income for executive officers and management. Performance measures are defined as Matrix Service Company Consolidated Net Income for a 3-year period beginning with fiscal 2007. Restrictions will lapse at the end of the three-year period, based on performance and have Threshold, Target and Maximum levels of achievement. In the event performance goals are not achieved, the stock is forfeited.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basis for the October 2007 Restricted Stock awards to non-employee Directors is detailed below:</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equity value of approximately $50,000 (represents 50% of total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number of shares determined by dividing annual value by stock price on grant date.</w:t>
      </w:r>
    </w:p>
    <w:p>
      <w:pPr>
        <w:spacing w:after="0" w:line="9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 of the equity component of Board compensation is performance-based: Performance is defined as Matrix Service Company’s Consolidated Net Income for a 3-year period beginning with fiscal 2007. Actual performance in fiscal 2006 was used as a baseline, and combined with annual expected growth rates.</w:t>
      </w:r>
    </w:p>
    <w:p>
      <w:pPr>
        <w:spacing w:after="0" w:line="59"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grant has Threshold, Target and Maximum levels of achievement. At Threshold, 50% of the award is earned; at Target 75% of the award is earned; and at Maximum 100% of the equity award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for the 3-year period is measured at the end of the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Threshold performance objectives are not met, the shares are forfeited.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Annual compensation for non-employee directors is summarized as follows:</w:t>
            </w:r>
          </w:p>
        </w:tc>
        <w:tc>
          <w:tcPr>
            <w:tcW w:w="1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7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directors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0"/>
              </w:rPr>
              <w:t>47,000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Annual deferred stock grant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Approximate Value of $50,000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Chairman of the Board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0"/>
              </w:rPr>
              <w:t>11,750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Additional retainer for Chairman of the Audit Committee</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672"/>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Chairman of the Compensation Committee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Additional retainer for Chairman of the Nominating and Corporate Governance Committee</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672"/>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Board of Directors also has a Deferred Fee Plan which allows Directors to defer all or a portion of their cash compensation with interest. The effective interest rate is researched and recommended by the Company’s CFO for approval by the Compensation Committee at the regularly-scheduled meeting each October. The interest rate is 8.5% for calendar 2007.</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Prior to 2007, the Board’s Deferred Fee Plan allowed them to defer the cash portion of their compensation with interest or in the form of Phantom Stock. In October 2006, the Plan was amended and the Phantom Stock option was eliminated. Also, prior to October 2006, the Directors were issued annual grants of options for 5,000 shares. The last grant was October 2005. All equity grants, to Company executive officers and Directors, were changed from Stock Options to Restricted Stock in October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Company’s Board of Directors are also eligible to participate in the Company’s medical, dental and vision benefits.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2007 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director in fiscal 2007 is summarized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5"/>
              </w:rPr>
              <w:t>Fees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Earned or</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Paid in</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Stock</w:t>
            </w:r>
          </w:p>
        </w:tc>
        <w:tc>
          <w:tcPr>
            <w:tcW w:w="30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Options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Cash</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r>
      <w:tr>
        <w:trPr>
          <w:trHeight w:val="168"/>
        </w:trPr>
        <w:tc>
          <w:tcPr>
            <w:tcW w:w="20" w:type="dxa"/>
            <w:vAlign w:val="bottom"/>
          </w:tcPr>
          <w:p>
            <w:pPr>
              <w:spacing w:after="0"/>
              <w:rPr>
                <w:sz w:val="14"/>
                <w:szCs w:val="14"/>
                <w:color w:val="auto"/>
              </w:rPr>
            </w:pPr>
          </w:p>
        </w:tc>
        <w:tc>
          <w:tcPr>
            <w:tcW w:w="444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Name (1)</w:t>
            </w:r>
          </w:p>
        </w:tc>
        <w:tc>
          <w:tcPr>
            <w:tcW w:w="300" w:type="dxa"/>
            <w:vAlign w:val="bottom"/>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(2)</w:t>
            </w:r>
          </w:p>
        </w:tc>
        <w:tc>
          <w:tcPr>
            <w:tcW w:w="3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3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(4)</w:t>
            </w:r>
          </w:p>
        </w:tc>
        <w:tc>
          <w:tcPr>
            <w:tcW w:w="5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(5)</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 Edgar Hendrix</w:t>
            </w:r>
          </w:p>
        </w:tc>
        <w:tc>
          <w:tcPr>
            <w:tcW w:w="1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55,937</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10,032</w:t>
            </w:r>
          </w:p>
        </w:tc>
        <w:tc>
          <w:tcPr>
            <w:tcW w:w="1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36,091</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Paul K. Lackey</w:t>
            </w:r>
          </w:p>
        </w:tc>
        <w:tc>
          <w:tcPr>
            <w:tcW w:w="1200" w:type="dxa"/>
            <w:vAlign w:val="bottom"/>
            <w:gridSpan w:val="3"/>
          </w:tcPr>
          <w:p>
            <w:pPr>
              <w:ind w:left="420"/>
              <w:spacing w:after="0"/>
              <w:rPr>
                <w:sz w:val="20"/>
                <w:szCs w:val="20"/>
                <w:color w:val="auto"/>
              </w:rPr>
            </w:pPr>
            <w:r>
              <w:rPr>
                <w:rFonts w:ascii="Arial" w:cs="Arial" w:eastAsia="Arial" w:hAnsi="Arial"/>
                <w:sz w:val="18"/>
                <w:szCs w:val="18"/>
                <w:color w:val="auto"/>
              </w:rPr>
              <w:t>50,000</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10,032</w:t>
            </w:r>
          </w:p>
        </w:tc>
        <w:tc>
          <w:tcPr>
            <w:tcW w:w="1300" w:type="dxa"/>
            <w:vAlign w:val="bottom"/>
            <w:gridSpan w:val="3"/>
          </w:tcPr>
          <w:p>
            <w:pPr>
              <w:ind w:left="300"/>
              <w:spacing w:after="0"/>
              <w:rPr>
                <w:sz w:val="20"/>
                <w:szCs w:val="20"/>
                <w:color w:val="auto"/>
              </w:rPr>
            </w:pPr>
            <w:r>
              <w:rPr>
                <w:rFonts w:ascii="Arial" w:cs="Arial" w:eastAsia="Arial" w:hAnsi="Arial"/>
                <w:sz w:val="18"/>
                <w:szCs w:val="18"/>
                <w:color w:val="auto"/>
              </w:rPr>
              <w:t>16,622</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76,932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Tom E. Maxwell</w:t>
            </w:r>
          </w:p>
        </w:tc>
        <w:tc>
          <w:tcPr>
            <w:tcW w:w="1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50,000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10,032</w:t>
            </w:r>
          </w:p>
        </w:tc>
        <w:tc>
          <w:tcPr>
            <w:tcW w:w="1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16,622</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David J. Tippeconnic</w:t>
            </w:r>
          </w:p>
        </w:tc>
        <w:tc>
          <w:tcPr>
            <w:tcW w:w="1200" w:type="dxa"/>
            <w:vAlign w:val="bottom"/>
            <w:gridSpan w:val="3"/>
          </w:tcPr>
          <w:p>
            <w:pPr>
              <w:ind w:left="420"/>
              <w:spacing w:after="0"/>
              <w:rPr>
                <w:sz w:val="20"/>
                <w:szCs w:val="20"/>
                <w:color w:val="auto"/>
              </w:rPr>
            </w:pPr>
            <w:r>
              <w:rPr>
                <w:rFonts w:ascii="Arial" w:cs="Arial" w:eastAsia="Arial" w:hAnsi="Arial"/>
                <w:sz w:val="18"/>
                <w:szCs w:val="18"/>
                <w:color w:val="auto"/>
              </w:rPr>
              <w:t>47,000</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10,032</w:t>
            </w:r>
          </w:p>
        </w:tc>
        <w:tc>
          <w:tcPr>
            <w:tcW w:w="1300" w:type="dxa"/>
            <w:vAlign w:val="bottom"/>
            <w:gridSpan w:val="3"/>
          </w:tcPr>
          <w:p>
            <w:pPr>
              <w:ind w:left="300"/>
              <w:spacing w:after="0"/>
              <w:rPr>
                <w:sz w:val="20"/>
                <w:szCs w:val="20"/>
                <w:color w:val="auto"/>
              </w:rPr>
            </w:pPr>
            <w:r>
              <w:rPr>
                <w:rFonts w:ascii="Arial" w:cs="Arial" w:eastAsia="Arial" w:hAnsi="Arial"/>
                <w:sz w:val="18"/>
                <w:szCs w:val="18"/>
                <w:color w:val="auto"/>
              </w:rPr>
              <w:t>13,883</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71,933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Hugh E. Bradley (Retired October 2006)</w:t>
            </w:r>
          </w:p>
        </w:tc>
        <w:tc>
          <w:tcPr>
            <w:tcW w:w="1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11,750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39,004(6)</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50,754</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left="900" w:right="40" w:hanging="446"/>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Michael J. Bradley, our CEO, is not included in this table since he is an employee of the Company and thus receives no compensation for his services as a Director. Mr. Bradley’s compensation received as an employee is shown in the Summary Compensation Table for our Named Executive Officers. Mr. Michael J. Hall retired as our CEO on November 6, 2006. Prior to his retirement, Mr. Hall received no compensation for his services as a Director. Mr. Hall’s compensation received as an employee prior to his retirement and his compensation received as a Director subsequent to his retirement as CEO is shown in the Summary Compensation Table for our named executive officers.</w:t>
      </w:r>
    </w:p>
    <w:p>
      <w:pPr>
        <w:spacing w:after="0" w:line="34"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fees earned in fiscal 2007 but paid in fiscal 2008 and fees earned in fiscal 2007 but deferred under the Deferred Fee Plan for Members of the Board of Directors of Matrix Service Company. The following directors deferred fiscal 2007 cash compensation into an interest-bearing account and into phantom shares:</w:t>
      </w:r>
    </w:p>
    <w:p>
      <w:pPr>
        <w:spacing w:after="0" w:line="16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Interest-</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 2007</w:t>
            </w:r>
          </w:p>
        </w:tc>
        <w:tc>
          <w:tcPr>
            <w:tcW w:w="620" w:type="dxa"/>
            <w:vAlign w:val="bottom"/>
          </w:tcPr>
          <w:p>
            <w:pPr>
              <w:spacing w:after="0"/>
              <w:rPr>
                <w:sz w:val="12"/>
                <w:szCs w:val="12"/>
                <w:color w:val="auto"/>
              </w:rPr>
            </w:pPr>
          </w:p>
        </w:tc>
        <w:tc>
          <w:tcPr>
            <w:tcW w:w="11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bearing</w:t>
            </w: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Phantom</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Fees Deferred</w:t>
            </w:r>
          </w:p>
        </w:tc>
        <w:tc>
          <w:tcPr>
            <w:tcW w:w="620" w:type="dxa"/>
            <w:vAlign w:val="bottom"/>
          </w:tcPr>
          <w:p>
            <w:pPr>
              <w:spacing w:after="0"/>
              <w:rPr>
                <w:sz w:val="12"/>
                <w:szCs w:val="12"/>
                <w:color w:val="auto"/>
              </w:rPr>
            </w:pPr>
          </w:p>
        </w:tc>
        <w:tc>
          <w:tcPr>
            <w:tcW w:w="11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Account</w:t>
            </w: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68"/>
        </w:trPr>
        <w:tc>
          <w:tcPr>
            <w:tcW w:w="20" w:type="dxa"/>
            <w:vAlign w:val="bottom"/>
          </w:tcPr>
          <w:p>
            <w:pPr>
              <w:spacing w:after="0"/>
              <w:rPr>
                <w:sz w:val="14"/>
                <w:szCs w:val="14"/>
                <w:color w:val="auto"/>
              </w:rPr>
            </w:pPr>
          </w:p>
        </w:tc>
        <w:tc>
          <w:tcPr>
            <w:tcW w:w="452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4"/>
                <w:szCs w:val="14"/>
                <w:color w:val="auto"/>
              </w:rPr>
            </w:pPr>
          </w:p>
        </w:tc>
        <w:tc>
          <w:tcPr>
            <w:tcW w:w="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 of shares)</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 Edgar Hendrix</w:t>
            </w: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83"/>
              </w:rPr>
              <w:t>36,288</w:t>
            </w:r>
          </w:p>
        </w:tc>
        <w:tc>
          <w:tcPr>
            <w:tcW w:w="1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36,288</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Paul K. Lackey</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w w:val="83"/>
              </w:rPr>
              <w:t>50,000</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7"/>
              </w:rPr>
              <w:t>37,500</w:t>
            </w:r>
          </w:p>
        </w:tc>
        <w:tc>
          <w:tcPr>
            <w:tcW w:w="720" w:type="dxa"/>
            <w:vAlign w:val="bottom"/>
          </w:tcPr>
          <w:p>
            <w:pPr>
              <w:jc w:val="right"/>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Tom E. Maxwell</w:t>
            </w: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83"/>
              </w:rPr>
              <w:t>28,125</w:t>
            </w:r>
          </w:p>
        </w:tc>
        <w:tc>
          <w:tcPr>
            <w:tcW w:w="1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21,875</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671</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David J. Tippeconnic</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w w:val="83"/>
              </w:rPr>
              <w:t>47,000</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7"/>
              </w:rPr>
              <w:t>47,000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left="900" w:right="60" w:hanging="446"/>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amounts shown represent expense recognized in the Consolidated Financial Statements contained in the Company’s Annual Report on Form 10-K for the year ended May 31, 2007 in accordance with Statement of Financial Accounting Standards No. 123(R), Share Based Payment</w:t>
      </w:r>
    </w:p>
    <w:p>
      <w:pPr>
        <w:ind w:left="900" w:right="120"/>
        <w:spacing w:after="0" w:line="292" w:lineRule="auto"/>
        <w:rPr>
          <w:rFonts w:ascii="Arial" w:cs="Arial" w:eastAsia="Arial" w:hAnsi="Arial"/>
          <w:sz w:val="16"/>
          <w:szCs w:val="16"/>
          <w:color w:val="auto"/>
        </w:rPr>
      </w:pPr>
      <w:r>
        <w:rPr>
          <w:rFonts w:ascii="Arial" w:cs="Arial" w:eastAsia="Arial" w:hAnsi="Arial"/>
          <w:sz w:val="16"/>
          <w:szCs w:val="16"/>
          <w:color w:val="auto"/>
        </w:rPr>
        <w:t>(SFAS 123R), for restricted stock awards granted to non-employee directors, excluding any assumptions for future forfeitures. There were no actual forfeitures of stock awards in fiscal 2007. All assumptions utilized to calculate the expense amounts shown above are set forth in Note 11 of the Notes to the Consolidated Financial Statements for the year ended May 31, 2007. For each non-employee director, the grant date fair value of the 3,400 shares of restricted stock granted in fiscal 2007 approximated $50,000. As of May 31, 2007, Mr. Hendrix, Mr. Lackey, Mr. Maxwell, and Mr. Tippeconnic each have 3,400 restricted shares outstanding.</w:t>
      </w:r>
    </w:p>
    <w:p>
      <w:pPr>
        <w:spacing w:after="0" w:line="35" w:lineRule="exact"/>
        <w:rPr>
          <w:rFonts w:ascii="Arial" w:cs="Arial" w:eastAsia="Arial" w:hAnsi="Arial"/>
          <w:sz w:val="16"/>
          <w:szCs w:val="16"/>
          <w:color w:val="auto"/>
        </w:rPr>
      </w:pPr>
    </w:p>
    <w:p>
      <w:pPr>
        <w:ind w:left="900" w:right="60" w:hanging="446"/>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amounts shown represent expense recognized in the Consolidated Financial Statements contained in the Company’s Annual Report on Form 10-K for the year ended May 31, 2007 in accordance with Statement of Financial Accounting Standards No. 123(R), Share Based Payment</w:t>
      </w:r>
    </w:p>
    <w:p>
      <w:pPr>
        <w:ind w:left="900" w:right="180"/>
        <w:spacing w:after="0" w:line="292" w:lineRule="auto"/>
        <w:rPr>
          <w:rFonts w:ascii="Arial" w:cs="Arial" w:eastAsia="Arial" w:hAnsi="Arial"/>
          <w:sz w:val="16"/>
          <w:szCs w:val="16"/>
          <w:color w:val="auto"/>
        </w:rPr>
      </w:pPr>
      <w:r>
        <w:rPr>
          <w:rFonts w:ascii="Arial" w:cs="Arial" w:eastAsia="Arial" w:hAnsi="Arial"/>
          <w:sz w:val="16"/>
          <w:szCs w:val="16"/>
          <w:color w:val="auto"/>
        </w:rPr>
        <w:t>(SFAS 123R), for stock option awards granted to non-employee directors, excluding any assumptions for future forfeitures. There were no actual forfeitures of stock option awards in fiscal 2007. All assumptions utilized to calculate the expense amounts shown above are set forth in Note 11 of the Notes to the Consolidated Financial Statements for the year ended May 31, 2007. There were no stock option awards granted to non-employee directors in fiscal 2007. As of May 31, 2007, Mr. Hendrix has 5,000 stock options outstanding, Mr. Lackey has 15,000 stock options outstanding, Mr. Maxwell has 20,000 stock options outstanding, and Mr. Tippeconnic has 5,000 stock options outstanding.</w:t>
      </w:r>
    </w:p>
    <w:p>
      <w:pPr>
        <w:spacing w:after="0" w:line="35" w:lineRule="exact"/>
        <w:rPr>
          <w:rFonts w:ascii="Arial" w:cs="Arial" w:eastAsia="Arial" w:hAnsi="Arial"/>
          <w:sz w:val="16"/>
          <w:szCs w:val="16"/>
          <w:color w:val="auto"/>
        </w:rPr>
      </w:pPr>
    </w:p>
    <w:p>
      <w:pPr>
        <w:ind w:left="900" w:right="40" w:hanging="446"/>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non-employee director may defer all or part of director fees earned into the Deferred Fee Plan for Members of the Board of Directors of Matrix Service Company (Deferred Fee Plan). Under the Deferred Fee Plan, directors are allowed to defer fees and earn interest. The amounts shown represent interest earned under the plan in excess of a market rate. The market rate for the deferrals was approximately 4.5% based on the Applicable Federal Rates as compared to the actual rates paid in fiscal 2007 of 7.25% and 8.5%. The Company based the payment rate on the Company’s incremental borrowing rate. There were no payments made by the Company in fiscal 2007 relating to these deferred fees.</w:t>
      </w:r>
    </w:p>
    <w:p>
      <w:pPr>
        <w:spacing w:after="0" w:line="34" w:lineRule="exact"/>
        <w:rPr>
          <w:rFonts w:ascii="Arial" w:cs="Arial" w:eastAsia="Arial" w:hAnsi="Arial"/>
          <w:sz w:val="16"/>
          <w:szCs w:val="16"/>
          <w:color w:val="auto"/>
        </w:rPr>
      </w:pPr>
    </w:p>
    <w:p>
      <w:pPr>
        <w:ind w:left="900" w:right="200"/>
        <w:spacing w:after="0" w:line="256" w:lineRule="auto"/>
        <w:rPr>
          <w:rFonts w:ascii="Arial" w:cs="Arial" w:eastAsia="Arial" w:hAnsi="Arial"/>
          <w:sz w:val="16"/>
          <w:szCs w:val="16"/>
          <w:color w:val="auto"/>
        </w:rPr>
      </w:pPr>
      <w:r>
        <w:rPr>
          <w:rFonts w:ascii="Arial" w:cs="Arial" w:eastAsia="Arial" w:hAnsi="Arial"/>
          <w:sz w:val="18"/>
          <w:szCs w:val="18"/>
          <w:color w:val="auto"/>
        </w:rPr>
        <w:t>Previously directors were also allowed to defer fees in the form of Phantom Shares of the Company’s stock. The fees were converted into phantom shares based on the price of the Company’s stock on the deferral election date. Mr. Lackey and Mr. Maxwell earned $272,899 and $96,636, respectively, in fiscal 2007 for appreciation on fees previously deferred in the form of Phantom Shares. There were no payments made by the Company in fiscal 2007 relating to these deferred fees.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Upon Mr. Bradley’s retirement, the Compensation Committee amended his outstanding stock options to accelerate the vesting of all unvested stock options and to extend the option exercise period from 30 days following his retirement date to one year following his retirement or until October 23, 2007. As a result of the amendment, 5,000 stock options were vested and the exercise period was extended on 40,000 stock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2007 Grants of Plan-Based Awards to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fiscal 2007 grants of plan-based awards to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Estimated Future Payouts Under</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88"/>
              </w:rPr>
              <w:t>Equity Incentive Plan Awards (1)</w:t>
            </w:r>
          </w:p>
        </w:tc>
        <w:tc>
          <w:tcPr>
            <w:tcW w:w="420" w:type="dxa"/>
            <w:vAlign w:val="bottom"/>
          </w:tcPr>
          <w:p>
            <w:pPr>
              <w:spacing w:after="0"/>
              <w:rPr>
                <w:sz w:val="15"/>
                <w:szCs w:val="15"/>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90"/>
              </w:rPr>
              <w:t>Grant Date Fair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Threshold</w:t>
            </w:r>
          </w:p>
        </w:tc>
        <w:tc>
          <w:tcPr>
            <w:tcW w:w="400" w:type="dxa"/>
            <w:vAlign w:val="bottom"/>
          </w:tcPr>
          <w:p>
            <w:pPr>
              <w:spacing w:after="0"/>
              <w:rPr>
                <w:sz w:val="11"/>
                <w:szCs w:val="11"/>
                <w:color w:val="auto"/>
              </w:rPr>
            </w:pPr>
          </w:p>
        </w:tc>
        <w:tc>
          <w:tcPr>
            <w:tcW w:w="11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Target</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9"/>
              </w:rPr>
              <w:t>Maximum</w:t>
            </w:r>
          </w:p>
        </w:tc>
        <w:tc>
          <w:tcPr>
            <w:tcW w:w="420" w:type="dxa"/>
            <w:vAlign w:val="bottom"/>
          </w:tcPr>
          <w:p>
            <w:pPr>
              <w:spacing w:after="0"/>
              <w:rPr>
                <w:sz w:val="11"/>
                <w:szCs w:val="11"/>
                <w:color w:val="auto"/>
              </w:rPr>
            </w:pPr>
          </w:p>
        </w:tc>
        <w:tc>
          <w:tcPr>
            <w:tcW w:w="9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4"/>
              </w:rPr>
              <w:t>Value of 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ind w:left="2580"/>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 of shares)</w:t>
            </w:r>
          </w:p>
        </w:tc>
        <w:tc>
          <w:tcPr>
            <w:tcW w:w="4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 of shares)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1"/>
              </w:rPr>
              <w:t>(# of shares)</w:t>
            </w:r>
          </w:p>
        </w:tc>
        <w:tc>
          <w:tcPr>
            <w:tcW w:w="42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Awards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 Edgar Hendrix</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10/23/2006</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Paul K. Lackey</w:t>
            </w: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88"/>
              </w:rPr>
              <w:t>10/23/2006</w:t>
            </w:r>
          </w:p>
        </w:tc>
        <w:tc>
          <w:tcPr>
            <w:tcW w:w="720" w:type="dxa"/>
            <w:vAlign w:val="bottom"/>
          </w:tcPr>
          <w:p>
            <w:pPr>
              <w:jc w:val="right"/>
              <w:spacing w:after="0"/>
              <w:rPr>
                <w:sz w:val="20"/>
                <w:szCs w:val="20"/>
                <w:color w:val="auto"/>
              </w:rPr>
            </w:pPr>
            <w:r>
              <w:rPr>
                <w:rFonts w:ascii="Arial" w:cs="Arial" w:eastAsia="Arial" w:hAnsi="Arial"/>
                <w:sz w:val="18"/>
                <w:szCs w:val="18"/>
                <w:color w:val="auto"/>
              </w:rPr>
              <w:t>1,700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2,550</w:t>
            </w:r>
          </w:p>
        </w:tc>
        <w:tc>
          <w:tcPr>
            <w:tcW w:w="700" w:type="dxa"/>
            <w:vAlign w:val="bottom"/>
          </w:tcPr>
          <w:p>
            <w:pPr>
              <w:jc w:val="right"/>
              <w:spacing w:after="0"/>
              <w:rPr>
                <w:sz w:val="20"/>
                <w:szCs w:val="20"/>
                <w:color w:val="auto"/>
              </w:rPr>
            </w:pPr>
            <w:r>
              <w:rPr>
                <w:rFonts w:ascii="Arial" w:cs="Arial" w:eastAsia="Arial" w:hAnsi="Arial"/>
                <w:sz w:val="18"/>
                <w:szCs w:val="18"/>
                <w:color w:val="auto"/>
              </w:rPr>
              <w:t>3,400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Tom E. Maxwell</w:t>
            </w: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10/23/2006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David J. Tippeconnic</w:t>
            </w: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88"/>
              </w:rPr>
              <w:t>10/23/2006</w:t>
            </w:r>
          </w:p>
        </w:tc>
        <w:tc>
          <w:tcPr>
            <w:tcW w:w="720" w:type="dxa"/>
            <w:vAlign w:val="bottom"/>
          </w:tcPr>
          <w:p>
            <w:pPr>
              <w:jc w:val="right"/>
              <w:spacing w:after="0"/>
              <w:rPr>
                <w:sz w:val="20"/>
                <w:szCs w:val="20"/>
                <w:color w:val="auto"/>
              </w:rPr>
            </w:pPr>
            <w:r>
              <w:rPr>
                <w:rFonts w:ascii="Arial" w:cs="Arial" w:eastAsia="Arial" w:hAnsi="Arial"/>
                <w:sz w:val="18"/>
                <w:szCs w:val="18"/>
                <w:color w:val="auto"/>
              </w:rPr>
              <w:t>1,700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2,550</w:t>
            </w:r>
          </w:p>
        </w:tc>
        <w:tc>
          <w:tcPr>
            <w:tcW w:w="700" w:type="dxa"/>
            <w:vAlign w:val="bottom"/>
          </w:tcPr>
          <w:p>
            <w:pPr>
              <w:jc w:val="right"/>
              <w:spacing w:after="0"/>
              <w:rPr>
                <w:sz w:val="20"/>
                <w:szCs w:val="20"/>
                <w:color w:val="auto"/>
              </w:rPr>
            </w:pPr>
            <w:r>
              <w:rPr>
                <w:rFonts w:ascii="Arial" w:cs="Arial" w:eastAsia="Arial" w:hAnsi="Arial"/>
                <w:sz w:val="18"/>
                <w:szCs w:val="18"/>
                <w:color w:val="auto"/>
              </w:rPr>
              <w:t>3,400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900" w:right="22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shown are the number of shares of performance-based restricted stock granted to the non-employee directors. The directors will receive 50% of the award after three years if the Company’s cumulative three year net income is between $25.8 million and $26.8 million, 75% after three years if the cumulative net income is between $26.8 million and $27.8 million, and 100% after three years if the cumulative net income exceeds $27.8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reports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39" w:lineRule="exact"/>
        <w:rPr>
          <w:sz w:val="20"/>
          <w:szCs w:val="20"/>
          <w:color w:val="auto"/>
        </w:rPr>
      </w:pPr>
    </w:p>
    <w:p>
      <w:pPr>
        <w:ind w:left="440" w:right="260" w:hanging="324"/>
        <w:spacing w:after="0" w:line="33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spacing w:after="0" w:line="4" w:lineRule="exact"/>
        <w:rPr>
          <w:rFonts w:ascii="Arial" w:cs="Arial" w:eastAsia="Arial" w:hAnsi="Arial"/>
          <w:sz w:val="16"/>
          <w:szCs w:val="16"/>
          <w:color w:val="auto"/>
        </w:rPr>
      </w:pPr>
    </w:p>
    <w:p>
      <w:pPr>
        <w:ind w:left="440" w:right="14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May 31, 2007;</w:t>
      </w:r>
    </w:p>
    <w:p>
      <w:pPr>
        <w:spacing w:after="0" w:line="50" w:lineRule="exact"/>
        <w:rPr>
          <w:rFonts w:ascii="Arial" w:cs="Arial" w:eastAsia="Arial" w:hAnsi="Arial"/>
          <w:sz w:val="18"/>
          <w:szCs w:val="18"/>
          <w:color w:val="auto"/>
        </w:rPr>
      </w:pPr>
    </w:p>
    <w:p>
      <w:pPr>
        <w:ind w:left="440" w:right="68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discussed with the independent registered public accounting firm the matters required to be discussed by Statement on Auditing Standards No. 61, </w:t>
      </w:r>
      <w:r>
        <w:rPr>
          <w:rFonts w:ascii="Arial" w:cs="Arial" w:eastAsia="Arial" w:hAnsi="Arial"/>
          <w:sz w:val="18"/>
          <w:szCs w:val="18"/>
          <w:u w:val="single" w:color="auto"/>
          <w:color w:val="auto"/>
        </w:rPr>
        <w:t>Communication with Audit Committees</w:t>
      </w:r>
      <w:r>
        <w:rPr>
          <w:rFonts w:ascii="Arial" w:cs="Arial" w:eastAsia="Arial" w:hAnsi="Arial"/>
          <w:sz w:val="18"/>
          <w:szCs w:val="18"/>
          <w:color w:val="auto"/>
        </w:rPr>
        <w:t>, as amended and supplemented; and</w:t>
      </w:r>
    </w:p>
    <w:p>
      <w:pPr>
        <w:spacing w:after="0" w:line="50" w:lineRule="exact"/>
        <w:rPr>
          <w:rFonts w:ascii="Arial" w:cs="Arial" w:eastAsia="Arial" w:hAnsi="Arial"/>
          <w:sz w:val="18"/>
          <w:szCs w:val="18"/>
          <w:color w:val="auto"/>
        </w:rPr>
      </w:pPr>
    </w:p>
    <w:p>
      <w:pPr>
        <w:ind w:left="440" w:right="260" w:hanging="324"/>
        <w:spacing w:after="0" w:line="25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received and reviewed the written disclosures and the letter from the independent registered public accounting firm required by Independence Standards Board Standard No. 1, </w:t>
      </w:r>
      <w:r>
        <w:rPr>
          <w:rFonts w:ascii="Arial" w:cs="Arial" w:eastAsia="Arial" w:hAnsi="Arial"/>
          <w:sz w:val="18"/>
          <w:szCs w:val="18"/>
          <w:u w:val="single" w:color="auto"/>
          <w:color w:val="auto"/>
        </w:rPr>
        <w:t>Independence Discussions with Audit Committees</w:t>
      </w:r>
      <w:r>
        <w:rPr>
          <w:rFonts w:ascii="Arial" w:cs="Arial" w:eastAsia="Arial" w:hAnsi="Arial"/>
          <w:sz w:val="18"/>
          <w:szCs w:val="18"/>
          <w:color w:val="auto"/>
        </w:rPr>
        <w:t>, as amended and supplemented, and has discussed with the independent registered public accounting firm its independence.</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fiscal year ended May 31, 2007 for filing with the Securities and Exchange Commission. The Audit Committee, subject to ratification by the stockholders, has selected Deloitte &amp; Touche LLP as the Company’s independent registered public accounting firm for the fiscal year ended May 31, 2008.</w:t>
      </w:r>
    </w:p>
    <w:p>
      <w:pPr>
        <w:spacing w:after="0" w:line="14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Audit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Audit Committee Member</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report of the Audit Committee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Former Independent Auditors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a meeting held on January 3, 2006, the Audit Committee of the Board of Directors of the Company, approved the engagement of Deloitte &amp; Touche LLP as its independent registered public accounting firm for the fiscal year ending May 31, 2006 to replace the firm of Ernst &amp; Young LLP, which was dismissed as the independent registered public accounting firm of the Company, each effective January 6, 2006.</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reports of Ernst &amp; Young LLP on the Company’s financial statements for the fiscal years ended May 31, 2004 and May 31, 2005 did not contain an adverse opinion or a disclaimer of opinion and were not qualified or modified as to uncertainty, audit scope or accounting principles.</w:t>
      </w:r>
    </w:p>
    <w:p>
      <w:pPr>
        <w:spacing w:after="0" w:line="8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connection with the audits of the Company’s financial statements for each of the two fiscal years ended May 31, 2005, and in the subsequent interim period preceding their dismissal, there were no disagreements with Ernst &amp; Young LLP on any matters of accounting principles or practices, financial statement disclosure or auditing scope and procedures which, if not resolved to the satisfaction of Ernst &amp; Young LLP would have caused Ernst &amp; Young LLP to make reference to the matter in their report.</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fiscal years ended May 31, 2004 and May 31, 2005, and the subsequent interim period preceding their dismissal, there were no “reportable events” as defined by Item 304(a)(1)(v) of Regulation S-K, except that Ernst &amp; Young LLP noted that Management’s Report on Internal Control Over Financial Reporting included in the Company’s Annual Report on Form 10-K for the fiscal year ended May 31, 2005 identified the following deficiencies which together constituted a material weakness related to revenue recognition at the Company’s Eastern Business Unit:</w:t>
      </w:r>
    </w:p>
    <w:p>
      <w:pPr>
        <w:spacing w:after="0" w:line="32" w:lineRule="exact"/>
        <w:rPr>
          <w:sz w:val="20"/>
          <w:szCs w:val="20"/>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orders were inappropriately or inaccurately included in or, in certain instances, excluded from reports utilized in the Company’s percentage of completion computations.</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Job forecasts were inadequately prepared and supported or inadequately reviewed by appropriate members of project management and financial accounting.</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of invoices for a material contract lacked appropriate reconciliations to information recorded in the Company’s financial accounting system.</w:t>
      </w:r>
    </w:p>
    <w:p>
      <w:pPr>
        <w:spacing w:after="0" w:line="13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material weakness described above affected the Company’s revenue, accounts receivable, cost and estimated earnings in excess of billings on uncompleted contracts and billings on uncompleted contracts in excess of costs and estimated earnings financial statement accounts. As a result, management concluded that the Company’s internal control over financial reporting as of May 31, 2005 was ineffective. Ernst &amp; Young LLP’s opinion indicated that management’s assessment was fairly stated in all material respects and that because of the effect of the material weakness, Matrix Service did not maintain effective internal control over financial reporting as of May 31, 2005. This material weakness was remediated during fiscal 2006.</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Company’s fiscal years ended May 31, 2004 and May 31, 2005, and the subsequent interim period preceding Ernst &amp; Young LLP’s dismissal, the Company did not consult with Deloitte &amp; Touche LLP with respect to the application of accounting principles to a specified transaction, either contemplated or proposed, or the type of audit opinion that might be rendered on the Company’s financial statements, or any other matters or reportable events described in Items 304(a)(2)(i) and (ii) of Regulation S-K.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Fees billed for audit services in fiscal 2007 and 2006 include fees associated with the annual audit, the reviews of our quarterly reports on Form 10-Q, the audit of our assessment of internal controls as required by Section 404 of the Sarbanes-Oxley Act of 2002, and services performed in connection with other filings with the SEC. Fees billed for audit-related services were for assistance with routine SEC correspondence and accounting research tools. Fees billed for tax services were for tax consulting services approved by the Audit Committee.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4"/>
                <w:szCs w:val="14"/>
                <w:b w:val="1"/>
                <w:bCs w:val="1"/>
                <w:color w:val="auto"/>
                <w:w w:val="95"/>
              </w:rPr>
              <w:t>Deloitte &amp; Touche LLP</w:t>
            </w:r>
          </w:p>
        </w:tc>
        <w:tc>
          <w:tcPr>
            <w:tcW w:w="20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Ernst &amp; Young LLP</w:t>
            </w:r>
          </w:p>
        </w:tc>
      </w:tr>
      <w:tr>
        <w:trPr>
          <w:trHeight w:val="142"/>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2006</w:t>
            </w:r>
          </w:p>
        </w:tc>
      </w:tr>
      <w:tr>
        <w:trPr>
          <w:trHeight w:val="142"/>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67"/>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302"/>
              <w:spacing w:after="0"/>
              <w:rPr>
                <w:sz w:val="20"/>
                <w:szCs w:val="20"/>
                <w:color w:val="auto"/>
              </w:rPr>
            </w:pPr>
            <w:r>
              <w:rPr>
                <w:rFonts w:ascii="Arial" w:cs="Arial" w:eastAsia="Arial" w:hAnsi="Arial"/>
                <w:sz w:val="12"/>
                <w:szCs w:val="12"/>
                <w:b w:val="1"/>
                <w:bCs w:val="1"/>
                <w:color w:val="auto"/>
                <w:w w:val="80"/>
              </w:rPr>
              <w:t>thousands)</w:t>
            </w:r>
          </w:p>
        </w:tc>
        <w:tc>
          <w:tcPr>
            <w:tcW w:w="200" w:type="dxa"/>
            <w:vAlign w:val="bottom"/>
          </w:tcPr>
          <w:p>
            <w:pPr>
              <w:spacing w:after="0"/>
              <w:rPr>
                <w:sz w:val="12"/>
                <w:szCs w:val="12"/>
                <w:color w:val="auto"/>
              </w:rPr>
            </w:pPr>
          </w:p>
        </w:tc>
        <w:tc>
          <w:tcPr>
            <w:tcW w:w="15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Audit Services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$ 761,162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$ 726,829</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5"/>
              </w:rPr>
              <w:t>$ 12,544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$ 107,923</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Audit-Related Services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Tax Services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107,654</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$ 871,816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$ 729,829</w:t>
            </w:r>
          </w:p>
        </w:tc>
        <w:tc>
          <w:tcPr>
            <w:tcW w:w="800" w:type="dxa"/>
            <w:vAlign w:val="bottom"/>
            <w:gridSpan w:val="2"/>
          </w:tcPr>
          <w:p>
            <w:pPr>
              <w:jc w:val="center"/>
              <w:ind w:left="112"/>
              <w:spacing w:after="0"/>
              <w:rPr>
                <w:sz w:val="20"/>
                <w:szCs w:val="20"/>
                <w:color w:val="auto"/>
              </w:rPr>
            </w:pPr>
            <w:r>
              <w:rPr>
                <w:rFonts w:ascii="Arial" w:cs="Arial" w:eastAsia="Arial" w:hAnsi="Arial"/>
                <w:sz w:val="18"/>
                <w:szCs w:val="18"/>
                <w:color w:val="auto"/>
                <w:w w:val="85"/>
              </w:rPr>
              <w:t>$ 12,544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$ 110,423</w:t>
            </w:r>
          </w:p>
        </w:tc>
      </w:tr>
      <w:tr>
        <w:trPr>
          <w:trHeight w:val="20"/>
        </w:trPr>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6"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 xml:space="preserve">The Audit Committee’s policy is to pre-approve all audit and permissible non-audit services provided by the independent registered public accounting firm in order to assure that the provision of such services does not impair the auditor’s independence. The Company has also made the Audit Committee’s pre-approval policies, which are included in the Audit Committee Charter, available in the “Investors” section of the Company’s website at </w:t>
      </w:r>
      <w:r>
        <w:rPr>
          <w:rFonts w:ascii="Arial" w:cs="Arial" w:eastAsia="Arial" w:hAnsi="Arial"/>
          <w:sz w:val="15"/>
          <w:szCs w:val="15"/>
          <w:u w:val="single" w:color="auto"/>
          <w:color w:val="auto"/>
        </w:rPr>
        <w:t>http://www.matrixservice.com</w:t>
      </w:r>
      <w:r>
        <w:rPr>
          <w:rFonts w:ascii="Arial" w:cs="Arial" w:eastAsia="Arial" w:hAnsi="Arial"/>
          <w:sz w:val="15"/>
          <w:szCs w:val="15"/>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7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May 31, 2008. Deloitte &amp; Touche LLP has served as independent auditors for the Company since January 2006.</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6"/>
          <w:szCs w:val="16"/>
          <w:b w:val="1"/>
          <w:bCs w:val="1"/>
          <w:i w:val="1"/>
          <w:iCs w:val="1"/>
          <w:color w:val="auto"/>
        </w:rPr>
        <w:t>The Board of Directors recommends that the stockholders vote “For” ratification of Deloitte &amp; Touche LLP’s engagement.</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Representatives of Deloitte &amp; Touche LLP are expected to be present at the Annual Meeting of Stockholders and will have an opportunity to make a statement, if they desire to do so, and to respond to appropriate questions from those attending the meeting.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Mr. Bradley, the Company’s President and Chief Executive Officer who serves on the Board of Directors and whose biographical information is set forth under the caption, “Nominated Director Biographies,” the executive officers of the Company are:</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George L. Austin</w:t>
      </w:r>
      <w:r>
        <w:rPr>
          <w:rFonts w:ascii="Arial" w:cs="Arial" w:eastAsia="Arial" w:hAnsi="Arial"/>
          <w:sz w:val="16"/>
          <w:szCs w:val="16"/>
          <w:color w:val="auto"/>
        </w:rPr>
        <w:t>, age 41, has served as Vice President Finance and Chief Financial Officer since June 2004. Mr. Austin previously served the Company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Accounting &amp; Administration, East Coast from March 2003 to May 2004, Vice President of Financial Reporting &amp; Technology from June 2002 to March 2003 and as Vice President of Financial Planning and Reporting from April 1999 to May 2002. Prior to joining the Company, Mr. Austin served as Vice President of Finance for Flint Energy Construction Company from February 1994 to March 1999 and prior to February 1994, as an Audit Manager with Ernst &amp; Young LLP. Mr. Austin has a Bachelor of Science Degree in Accounting and Information Technology from Oklahoma State University. Mr. Austin is a Certified Public Accountant, a member of the American Institute of Certified Public Accountants and Financial Executives International. In addition, Mr. Austin is a director on the Advisory Board of Oklahoma State University School of Business.</w:t>
      </w:r>
    </w:p>
    <w:p>
      <w:pPr>
        <w:spacing w:after="0" w:line="11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James A. Bogan</w:t>
      </w:r>
      <w:r>
        <w:rPr>
          <w:rFonts w:ascii="Arial" w:cs="Arial" w:eastAsia="Arial" w:hAnsi="Arial"/>
          <w:sz w:val="18"/>
          <w:szCs w:val="18"/>
          <w:color w:val="auto"/>
        </w:rPr>
        <w:t>, age 51, has served as President of Matrix Service Industrial Contractors, Inc. since August 2005. Mr. Bogan served as Vice President of Matrix</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Industrial Contractors, Inc. from April 2003 to August 2005. Prior to the Company’s acquisition of the Hake Group of Companies, Mr. Bogan served as Vice President of Hake from September 1980 until April 2003. Mr. Bogan graduated from West Chester University with a Bachelor of Science Degree in Economics.</w:t>
      </w:r>
    </w:p>
    <w:p>
      <w:pPr>
        <w:spacing w:after="0" w:line="13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Kevin S. Cavanah</w:t>
      </w:r>
      <w:r>
        <w:rPr>
          <w:rFonts w:ascii="Arial" w:cs="Arial" w:eastAsia="Arial" w:hAnsi="Arial"/>
          <w:sz w:val="18"/>
          <w:szCs w:val="18"/>
          <w:color w:val="auto"/>
        </w:rPr>
        <w:t>, age 42, has served as Vice President, Accounting and Financial Reporting for the Company since August 2007 and as Controller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2003. Prior to joining the Company, Mr. Cavanah served as an Accounting Manager for Williams Communications from 2001 to 2003 and as an Accounting Manager for The Williams Companies, Inc from 1998 to 2001. Prior to joining Williams, Mr. Cavanah served as an Audit Manager for Ernst &amp; Young LLP. Mr. Cavanah has a Bachelor of Science in Business Administration Degree in Accounting from the University of Arkansas. He is a Certified Public Accountant and is a member of Financial Executives International.</w:t>
      </w:r>
    </w:p>
    <w:p>
      <w:pPr>
        <w:spacing w:after="0" w:line="13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Philip C. Chappelle</w:t>
      </w:r>
      <w:r>
        <w:rPr>
          <w:rFonts w:ascii="Arial" w:cs="Arial" w:eastAsia="Arial" w:hAnsi="Arial"/>
          <w:sz w:val="16"/>
          <w:szCs w:val="16"/>
          <w:color w:val="auto"/>
        </w:rPr>
        <w:t>, age 48, has served as Vice President, Risk Management for the Company since June 1997. Mr. Chappelle served as Director of Risk</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from 1993 to 1997. From 1990 to 1993, Mr. Chappelle served as Director of Safety and Risk. Prior to joining the Company, Mr. Chappelle was a regional safety manager and field engineer for Enclean, Inc. and a power plant operator for Public Service Co. of Oklahoma. Mr. Chappelle holds a Bachelor of Science Degree in Engineering &amp; Technology from Oklahoma State University and a Masters of Business Administration from the University of Tulsa. Mr. Chappelle is an Associate of Risk Management and a Board Member of the Indian Nations Council, Boy Scouts of America.</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Vance R. Davis</w:t>
      </w:r>
      <w:r>
        <w:rPr>
          <w:rFonts w:ascii="Arial" w:cs="Arial" w:eastAsia="Arial" w:hAnsi="Arial"/>
          <w:sz w:val="18"/>
          <w:szCs w:val="18"/>
          <w:color w:val="auto"/>
        </w:rPr>
        <w:t>, age 47, has served as Vice President of Matrix Service Industrial Contractors, Inc. since May 2005, as President of Eastern Operations from June</w:t>
      </w:r>
      <w:r>
        <w:rPr>
          <w:rFonts w:ascii="Arial" w:cs="Arial" w:eastAsia="Arial" w:hAnsi="Arial"/>
          <w:sz w:val="18"/>
          <w:szCs w:val="18"/>
          <w:b w:val="1"/>
          <w:bCs w:val="1"/>
          <w:color w:val="auto"/>
        </w:rPr>
        <w:t xml:space="preserve"> </w:t>
      </w:r>
      <w:r>
        <w:rPr>
          <w:rFonts w:ascii="Arial" w:cs="Arial" w:eastAsia="Arial" w:hAnsi="Arial"/>
          <w:sz w:val="18"/>
          <w:szCs w:val="18"/>
          <w:color w:val="auto"/>
        </w:rPr>
        <w:t>2004 to May 2005 and as Vice President of Eastern Operations from June 1997 to June 2004. Mr. Davis served as Regional Manager from June 1994 to June 1997. Mr. Davis was a Project Manager and Operations Manager for the Houston Region from April 1988 to June 1994. Prior to joining the Company, Mr. Davis worked in various capacities for Pasadena Erectors, Advance Tank &amp; Construction Company, Kamyr Installations, Graver Tank &amp; Manufacturing and Tank Service,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Nancy E. Downs</w:t>
      </w:r>
      <w:r>
        <w:rPr>
          <w:rFonts w:ascii="Arial" w:cs="Arial" w:eastAsia="Arial" w:hAnsi="Arial"/>
          <w:sz w:val="18"/>
          <w:szCs w:val="18"/>
          <w:color w:val="auto"/>
        </w:rPr>
        <w:t>, age 40, has served as Vice President, Human Resources for the Company since January 2006. Ms. Downs served as Director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from September 2000 to January 2006. Prior to joining the Company, Ms. Downs worked for TV Guide, Samson Resources and Villareal &amp; Associates specializing in human resource management, employee relations, and consulting. Ms. Downs holds a Bachelor of Science Degree in Political Science from Oklahoma State University and is a certified Professional in Human Resources (PHR). She is also a member of the Society for Human Resource Management, World-at-Work and Tulsa Area Human Resources Association.</w:t>
      </w:r>
    </w:p>
    <w:p>
      <w:pPr>
        <w:spacing w:after="0" w:line="13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Albert D. Fosbenner</w:t>
      </w:r>
      <w:r>
        <w:rPr>
          <w:rFonts w:ascii="Arial" w:cs="Arial" w:eastAsia="Arial" w:hAnsi="Arial"/>
          <w:sz w:val="16"/>
          <w:szCs w:val="16"/>
          <w:color w:val="auto"/>
        </w:rPr>
        <w:t>, age 52, has served as Vice President, Matrix Service Industrial Contractors, Inc. since June 2004. Mr. Fosbenner previously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Finance, Treasurer and Acting Chief Financial Officer for Western Integrated Networks LLC from December 2001 through 2003, President and Chief Executive Officer of CCS Fitness, Inc. from January 2000 through December 2001 and Senior Vice President and Treasurer of Frontiervision Partners LLP during 1998 and 1999. Mr. Fosbenner has a Bachelor of Science Degree in Accounting from Philadelphia University. He is a Certified Public Accountant and is a Certified Management Accountant. Mr. Fosbenner is a member of the Financial Executives International and the Association for Corporate Growth.</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John S. Newmeister</w:t>
      </w:r>
      <w:r>
        <w:rPr>
          <w:rFonts w:ascii="Arial" w:cs="Arial" w:eastAsia="Arial" w:hAnsi="Arial"/>
          <w:sz w:val="18"/>
          <w:szCs w:val="18"/>
          <w:color w:val="auto"/>
        </w:rPr>
        <w:t>, age 59, has served as Vice President of Marketing and Business Development for the Company since May 2000 and previously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Tank Construction. Prior to joining the Company in February 1995, Mr. Newmeister worked for Pitt-Des Moines, Inc. for 24 years holding numerous positions, including President of Hydrostorage, Inc. Mr. Newmeister holds a Bachelor of Science Degree in Civil Engineering from the University of Iowa and has attended the Executive Development Program at the University of Iowa.</w:t>
      </w:r>
    </w:p>
    <w:p>
      <w:pPr>
        <w:spacing w:after="0" w:line="13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color w:val="auto"/>
        </w:rPr>
        <w:t>Bradley J. Rinehart</w:t>
      </w:r>
      <w:r>
        <w:rPr>
          <w:rFonts w:ascii="Arial" w:cs="Arial" w:eastAsia="Arial" w:hAnsi="Arial"/>
          <w:sz w:val="18"/>
          <w:szCs w:val="18"/>
          <w:color w:val="auto"/>
        </w:rPr>
        <w:t>, age 43, has served as Vice President of Matrix Service Inc. since May 1997; Regional Manager – Michigan Region from April 1991 to</w:t>
      </w:r>
      <w:r>
        <w:rPr>
          <w:rFonts w:ascii="Arial" w:cs="Arial" w:eastAsia="Arial" w:hAnsi="Arial"/>
          <w:sz w:val="18"/>
          <w:szCs w:val="18"/>
          <w:b w:val="1"/>
          <w:bCs w:val="1"/>
          <w:color w:val="auto"/>
        </w:rPr>
        <w:t xml:space="preserve"> </w:t>
      </w:r>
      <w:r>
        <w:rPr>
          <w:rFonts w:ascii="Arial" w:cs="Arial" w:eastAsia="Arial" w:hAnsi="Arial"/>
          <w:sz w:val="18"/>
          <w:szCs w:val="18"/>
          <w:color w:val="auto"/>
        </w:rPr>
        <w:t>April 1997; Operations Manager – Michigan Region from January 1990 to March 1991; and as a Project Manager – Michigan Region from January 1988 to December 1989. Mr. Rinehart holds a Bachelor of Science Degree in Construction Science from the University of Oklahoma. Mr. Rinehart is a director of the Tulsa Ronald McDonald House.</w:t>
      </w:r>
    </w:p>
    <w:p>
      <w:pPr>
        <w:spacing w:after="0" w:line="13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James P. Ryan</w:t>
      </w:r>
      <w:r>
        <w:rPr>
          <w:rFonts w:ascii="Arial" w:cs="Arial" w:eastAsia="Arial" w:hAnsi="Arial"/>
          <w:sz w:val="16"/>
          <w:szCs w:val="16"/>
          <w:color w:val="auto"/>
        </w:rPr>
        <w:t>, age 52, has served as President of Matrix Service Inc. since August 2005. Mr. Ryan previously served the Company as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from October 2004 to August 2005. Prior to this, Mr. Ryan served as Vice President of Matrix Service Inc. since October 1999. Prior to joining Matrix Service, Mr. Ryan worked for Gibraltar Construction Company from January 1993 to September 1999 providing construction management services. Previous employers include MW Kellogg, Kiewit Industrial Co. and Hoffman Construction Company. Mr. Ryan also previously provided independent consulting services to the power industry. Mr. Ryan graduated from Purdue University with a degree in Civil Engineering in 1979.</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Philosophy and Objectives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Matrix Service Company is focused on building and maintaining a sustainable business model that consistently delivers superior returns to our stockholders. To be successful, we must attract, retain and motivate key talent to provide the needed leadership capabilities to execute our business strategy. Our compensation philosophy and approach is designed to support these overarching objectives.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executive compensation program is administered by the Compensation Committee of the Board of Directors. The role of the Committee is to provide oversight and direction to ensure the establishment of executive compensation programs that are competitive in nature, enable us to attract top talent, and align the interests of our executive officers with that of our stockholders.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basic compensation philosophy of the Company and Compensation Committee is to provide the opportunity for outstanding compensation awards when superior performance is demonstrated. This pay-for-performance philosophy is reflected in each aspect of the compensation package for executive officers and management team members. All components of compensation for executive officers and key management are reviewed periodically to ensure consistency with the company’s compensation philosophy and competitive market practices. The Committee uses the following basic principles in the design and administration of our executive compensation program:</w:t>
      </w:r>
    </w:p>
    <w:p>
      <w:pPr>
        <w:spacing w:after="0" w:line="35" w:lineRule="exact"/>
        <w:rPr>
          <w:sz w:val="20"/>
          <w:szCs w:val="20"/>
          <w:color w:val="auto"/>
        </w:rPr>
      </w:pPr>
    </w:p>
    <w:p>
      <w:pPr>
        <w:jc w:val="both"/>
        <w:ind w:left="900" w:right="320" w:hanging="325"/>
        <w:spacing w:after="0" w:line="323"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Competitiveness – Our compensation programs are designed to ensure the Company can attract, motivate and retain the talent needed to lead and grow the business. Targets for base salary, short-term and long-term compensation are generally based on median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market levels.</w:t>
      </w:r>
    </w:p>
    <w:p>
      <w:pPr>
        <w:spacing w:after="0" w:line="1" w:lineRule="exact"/>
        <w:rPr>
          <w:rFonts w:ascii="Arial" w:cs="Arial" w:eastAsia="Arial" w:hAnsi="Arial"/>
          <w:sz w:val="15"/>
          <w:szCs w:val="15"/>
          <w:color w:val="auto"/>
        </w:rPr>
      </w:pPr>
    </w:p>
    <w:p>
      <w:pPr>
        <w:ind w:left="900" w:right="140" w:hanging="325"/>
        <w:spacing w:after="0" w:line="25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stockholders, and promote and encourage behavior consistent with Company core values and guiding principles.</w:t>
      </w:r>
    </w:p>
    <w:p>
      <w:pPr>
        <w:spacing w:after="0" w:line="65" w:lineRule="exact"/>
        <w:rPr>
          <w:rFonts w:ascii="Arial" w:cs="Arial" w:eastAsia="Arial" w:hAnsi="Arial"/>
          <w:sz w:val="18"/>
          <w:szCs w:val="18"/>
          <w:color w:val="auto"/>
        </w:rPr>
      </w:pPr>
    </w:p>
    <w:p>
      <w:pPr>
        <w:ind w:left="900" w:right="100" w:hanging="325"/>
        <w:spacing w:after="0" w:line="287"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Pay for Performance – While we establish Target levels of performance at median or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market levels, our plans provide the opportunity for significantly greater rewards for outstanding performance. At the same time, performance that does not meet expectations is not rewarded.</w:t>
      </w:r>
    </w:p>
    <w:p>
      <w:pPr>
        <w:spacing w:after="0" w:line="18" w:lineRule="exact"/>
        <w:rPr>
          <w:rFonts w:ascii="Arial" w:cs="Arial" w:eastAsia="Arial" w:hAnsi="Arial"/>
          <w:sz w:val="15"/>
          <w:szCs w:val="15"/>
          <w:color w:val="auto"/>
        </w:rPr>
      </w:pPr>
    </w:p>
    <w:p>
      <w:pPr>
        <w:ind w:left="900" w:right="7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 Business Unit and Operating Unit financial measures, our programs emphasize individual performance and the achievement of personal objectives.</w:t>
      </w:r>
    </w:p>
    <w:p>
      <w:pPr>
        <w:spacing w:after="0" w:line="50"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Compensation Committee is supported by the Company’s Vice President, Human Resources (VPHR), and other executive officers as needed or requested, in the design, review and administration of executive compensation programs. The Compensation Committee engages a third party compensation consulting firm, Villareal &amp; Associates, to evaluate Board and executive officer compensation, benchmark Company practices against other companies, and provide associated recommendations. Senior management also uses Villareal &amp; Associates for other compensation and human resources consulting projects. The CEO incorporates the third party consultant’s findings and provides recommendations to the Compensation Committee regarding executive compensation for review, discussion and approval. Management performance and compensation recommendations are reviewed and approved in Executive Session, without management present. The Compensation Committee establishes CEO compensation. The Compensation Committee reviews performance of the CEO and establishes appropriate compensation in executive session without management present.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Compensation Committee typically reviews base salary for executive officer compensation at its regularly-scheduled July/August meeting. At this meeting, the Compensation Committee also reviews and approves incentive payments for the previous fiscal year and establishes incentive targets for the coming fiscal year, under the short-term incentive plan Long-term incentive awards are approved by the Compensation Committee at a meeting immediately following the annual stockholders meeting each October. The Compensation Committee may also approve base pay, short-term incentive and long-term incentive (equity) grants for executive officers during the year as the result of internal promotions or for new hires.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Elements of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Pay;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Annual/Short-Term Incentive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Incentive Compensation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Perquisites and Other Benefits;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Pay</w:t>
      </w:r>
    </w:p>
    <w:p>
      <w:pPr>
        <w:spacing w:after="0" w:line="9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Base pay is the foundation of our executive compensation package. Base pay is based on the executive officer’s responsibilities, role in the organization, level and type of work experience, and individual job performance. Our practice in establishing executive base pay, and that for other employees and managers, is to</w:t>
      </w:r>
    </w:p>
    <w:p>
      <w:pPr>
        <w:spacing w:after="0" w:line="1" w:lineRule="exact"/>
        <w:rPr>
          <w:sz w:val="20"/>
          <w:szCs w:val="20"/>
          <w:color w:val="auto"/>
        </w:rPr>
      </w:pPr>
    </w:p>
    <w:p>
      <w:pPr>
        <w:ind w:right="480"/>
        <w:spacing w:after="0" w:line="233" w:lineRule="auto"/>
        <w:rPr>
          <w:sz w:val="20"/>
          <w:szCs w:val="20"/>
          <w:color w:val="auto"/>
        </w:rPr>
      </w:pPr>
      <w:r>
        <w:rPr>
          <w:rFonts w:ascii="Arial" w:cs="Arial" w:eastAsia="Arial" w:hAnsi="Arial"/>
          <w:sz w:val="17"/>
          <w:szCs w:val="17"/>
          <w:color w:val="auto"/>
        </w:rPr>
        <w:t>determine the market median or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among comparable companies. This data is obtained through our third party compensation consultant. We engage a compensation consultant to review and benchmark competitive market pay data on no less than a bi-annual basis.</w:t>
      </w:r>
    </w:p>
    <w:p>
      <w:pPr>
        <w:spacing w:after="0" w:line="18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utilizes a market-based job evaluation system to establish and ensure equitable, competitive pay levels throughout the organization. Salary grades and ranges are established by evaluating positions based on the external market data and internal equity. Each executive officer, as well as other managers and administrative employees, is assigned to a salary grade. Broad ranges of salary are associated with each grade. The position within the salary grade/pay range for each executive officer is determined based on their respective level of experience, skill and demonstrated performance.</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Base pay and salary grade also play a role in determining other short- and long-term incentive compensation awards. Short-term incentive awards are reflected as a percentage of base salary and long-term incentives are based on an executive officer’s salary grade.</w:t>
      </w:r>
    </w:p>
    <w:p>
      <w:pPr>
        <w:spacing w:after="0" w:line="13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Mr. Michael J. Bradley became President and Chief Executive Officer of the Company effective November 6, 2006. In connection with his employment, Mr. Bradley received base pay of $277,083 in fiscal 2007, which represented Mr. Bradley’s annual salary of $475,000 prorated from his date of hire on November 6, 2007. The Company also provided Mr. Bradley with a car allowance that was prorated from his date of hire, and which totaled $11,710 in fiscal 2007.</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his base salary, Mr. Bradley received an initial hiring bonus of $150,000 and a grant of restricted stock. In the event Mr. Bradley voluntarily resigns prior to the completion of 12 months of consecutive service, pro-rata repayment of the cash bonus will be required. The restricted stock grant consisted of 40,430 shares for which restrictions lapse on November 6, 2007, and 43,800 shares for which restrictions lapse in equal annual installments over the four subsequent years beginning on November 6, 2008. He also received 44,400 restricted shares for which restrictions lapse if established Operating Income Targets are achieved and 44,400 restricted shares which for which restrictions lapse in equal installments over five years. Regarding the grant tied to three-year Operating Income, Bradley will receive 60% of the award at the end of three years if the Company’s cumulative three year operating income is between $62.1 million and $64.3 million, 80% if the cumulative three year operating income 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between $64.3 million and $66.9 million, and 100% if the cumulative three year operating income exceeds $66.9 million. The grant date fair value of the restricted stock was $2,567,765. The Company also paid certain relocation costs associated with Mr. Bradley’s move to our corporate headquarters in Tulsa, Oklahoma. The relocation expenses paid in fiscal 2007 by the Company for Mr. Bradley’s move are $152,331. The hiring bonus, restricted stock grant and relocation benefit were structured in order to create an executive compensation package that enabled us to successfully hire a high caliber CEO, is competitive in the marketplace, and sufficient to induce Mr. Bradley to accept the position in light of the compensation package provided by his previous employer.</w:t>
      </w:r>
    </w:p>
    <w:p>
      <w:pPr>
        <w:spacing w:after="0" w:line="1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Base pay compensation for Mr. George L. Austin, Mr. James P. Ryan, Mr. John S. Newmeister and Mr. Bradley J. Rinehart is administered in line with our established compensation philosophy discussed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Our annual/short-term incentive compensation plan is designed to offer the opportunity for substantial incentive awards for delivering outstanding performance. Rewards under the Company’s short-term incentive compensation plans are based on overall Company, Business Unit and Operating Unit performance, as compared to pre-established objectives that are tied to enhancement of stockholder value. Our short-term incentive compensation objectives are designed to:</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 and drive performance toward achieving the company’s strategic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Emphasize overall Company, Business Unit, Operating Unit and individual performance in the structuring of reward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in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2007, our annual/short-term incentive targets were established as follows:</w:t>
      </w:r>
    </w:p>
    <w:p>
      <w:pPr>
        <w:spacing w:after="0" w:line="90" w:lineRule="exact"/>
        <w:rPr>
          <w:sz w:val="20"/>
          <w:szCs w:val="20"/>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fiscal 2007, a consolidated annual operating income goal (Target) was recommended by the CEO and approved by the Compensation Committee at the July 2006 meeting.</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purpose of goals and incentive awards, all income measures were defined as Pre-Tax, Pre-Interest, Post-Incentive Income (“Pre-Tax Income”). Income measures for the CEO and CFO are post-incentive for operations and pre-executive incentive compensation (“executive” defined in this sentence as the CEO and CFO).</w:t>
      </w:r>
    </w:p>
    <w:p>
      <w:pPr>
        <w:spacing w:after="0" w:line="59"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Corresponding Targets for Pre-Tax Income were established for each Operating Company, Business Unit and Organizational Unit based on business plans, which were designed to drive growth and/or improved profitability.</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Once all Targets are established for consolidated Company, Business Unit and Operating Unit, Threshold and Maximum levels of performance are defined. Threshold is defined as 80% of Target and Maximum is defined as 120% of Target. No incentives are paid for performance below the Threshold level.</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CEO, CFO and corporate executive management and staff incentives were tied to consolidated Company performance.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Incentives for other executive officers, managers and operating division personnel were tied to both their respective Business/Operating Unit and the consolidated Company.</w:t>
      </w:r>
    </w:p>
    <w:p>
      <w:pPr>
        <w:spacing w:after="0" w:line="5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performance in relation to established measures was presented to the Compensation Committee at the August 2007 meeting and was approved. Incentives for fiscal 2007 performance were paid on August 14, 2007.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Discretionary awards outside of the plan may be recommended by the CEO and approved by the Compensation Committee in the event there are special circumstances or achievements that need to be recognized.</w:t>
      </w:r>
    </w:p>
    <w:p>
      <w:pPr>
        <w:spacing w:after="0" w:line="1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Performance measures established shortly after the beginning of the Fiscal Year do not include the impact of an acquisition, positive or negative, completed within the Fiscal Year. However, it is anticipated that the Compensation Committee will evaluate any acquisitions which may be completed on a case-by-case basis to determine their impact on the plan and adjust performance measures appropriately.</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Year 2007, the incentive compensation payable to Mr. Bradley and Mr. Austin was based solely on attainment of a Pre-Tax Income goal. Pre-Tax Income for fiscal 2007 exceeded the level of $26.4 million established for the maximum performance payout of 100% of base salary to Mr. Bradley and 60% of base salary to Mr. Austin.</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Incentive compensation payable to Mr. Newmeister was also based on the attainment of a consolidated Company Pre-Tax Income goal. As noted above, Pre-Tax Income for fiscal 2007 exceeded the level of $26.4 million established for the maximum performance payout of 52.5% of base salary to Mr. Newmeister.</w:t>
      </w:r>
    </w:p>
    <w:p>
      <w:pPr>
        <w:spacing w:after="0" w:line="85"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Incentive compensation payable to Mr. Ryan and Mr. Rinehart was based on the attainment of Pre-Tax Income goals for their respective business units and the consolidated Company. As noted above, the consolidated Company achieved maximum performance payout. However, the business unit component of Mr. Ryan</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and Mr. Rinehart’s incentive compensation was adversely impacted by the 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Quarter pre-tax charge of $10.9 million for cost overruns on a liquefied natural gas (LNG) construction project in the Gulf Coast region, resulting in no plan calculated incentive payments for the respective business unit performance. The cost overruns on the LNG project were attributable to a difficult post-Katrina labor environment, unforeseen productivity challenges and complexity of design leading to material and equipment cost increases. With the exception of the referenced cost overruns on this project, both Mr. Ryan’s and Mr. Rinehart’s respective business units produced record level earnings in fiscal 2007. Given the exceptional performance in all other aspects of the business, the CEO recommended a discretionary incentive award to Mr. Ryan and Mr. Rinehart in an amount equal to the Target performance level (35% of base salary) for the respective business unit component of the total incentive. The Compensation Committee approved the discretionary awards for Mr. Ryan and Mr. Rinehart as recommended.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While the base calculation of incentives is tied to objective measures of financial performance, the plan calculated incentive awards for Mr. Ryan,</w:t>
      </w:r>
    </w:p>
    <w:p>
      <w:pPr>
        <w:spacing w:after="0" w:line="3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Mr. Newmeister and Mr. Rinehart may be adjusted upward or downward based on individual performance by each executive’s manager. The CEO presents any recommended adjustments to executive officer incentive payments to the Compensation Committee for approval. In addition, the Compensation Committee has the authority to make discretionary awards of up to 25% of salary to the CEO and CFO outside the guidelines of the plan.</w:t>
      </w:r>
    </w:p>
    <w:p>
      <w:pPr>
        <w:spacing w:after="0" w:line="10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its objectives and may be modified, discontinued or replaced based on the changing objectives and requirements of the Company.</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 Fiscal Year 2008, our annual/short-term incentive compensation will be based on safety performance, financial performance, and other performance criteria such as growth strategy execution, operating excellence strategy execution and human resource strategy execution. CEO, CFO and corporate executive management and staff incentives are tied to consolidated Company performance. Incentives for other executive officers, managers and operating division personnel are tied to the performance of both their respective Business/Operating Unit and the consolidated Company. The percentage of each employee’s annual/short-term incentive assigned to each performance element is dependent on the employee’s position and responsibilities. Information on the annual/short-term incentive targets established for each element follows:</w:t>
      </w:r>
    </w:p>
    <w:p>
      <w:pPr>
        <w:spacing w:after="0" w:line="39" w:lineRule="exact"/>
        <w:rPr>
          <w:sz w:val="20"/>
          <w:szCs w:val="20"/>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Performance – Safety performance which is measured by Total Recordable Incident Rate (TRIR). The TRIR incentive targets for fiscal 2008 are 1.25 for Threshold payout, 1.00 for Target payout and 0.75 for maximum payout.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Financial Performance – Financial performance is measured by Pre-Tax, Pre-Interest, Post-Incentive Income (“Pre-Tax Income”). The Consolidated Pre-Tax Income incentive targets for fiscal 2008 are $43.2 million for Threshold payout, $48.6 million for Target payout and $54.0 million for maximum payout. Corresponding Targets for Pre-Tax Income were established for each Operating Company, Business Unit and Organizational Unit based on business plans, which were designed to drive growth and/or improved profitability.</w:t>
      </w:r>
    </w:p>
    <w:p>
      <w:pPr>
        <w:spacing w:after="0" w:line="31" w:lineRule="exact"/>
        <w:rPr>
          <w:rFonts w:ascii="Arial" w:cs="Arial" w:eastAsia="Arial" w:hAnsi="Arial"/>
          <w:sz w:val="16"/>
          <w:szCs w:val="16"/>
          <w:color w:val="auto"/>
        </w:rPr>
      </w:pPr>
    </w:p>
    <w:p>
      <w:pPr>
        <w:ind w:left="900" w:right="7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Performance Criteria – The annual/short-term incentive will also be based on targets to be established in the areas of growth strategy execution, operating excellence strategy execution and human resource strategy execution.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 (Equity)</w:t>
      </w:r>
    </w:p>
    <w:p>
      <w:pPr>
        <w:spacing w:after="0" w:line="90"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The purpose for providing long-term incentive compensation to executive officers is to tie executive rewards directly to the enhancement of long-term stockholder value. Offering the opportunity for executive officers (and other managers) to earn an ownership position in the Company enables us to remain competitive and attract, retain and motivate top executive and management talent. We believe equity ownership helps to create and maintain a long-term perspective among executive officers and provides a direct link to the long-term growth and profitability of the Company.</w:t>
      </w:r>
    </w:p>
    <w:p>
      <w:pPr>
        <w:spacing w:after="0" w:line="11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October 23, 2006, the Company amended and restated its 2004 Stock Incentive Plan to permit the grant of Restricted Stock, Restricted Stock Units, Stock Appreciation Rights, and Performance Shares, in addition to Stock Options which were previously authorized. In October 2006, the Company changed the form of equity grants awarded to executive officers and key management personnel from Stock Options to Restricted Stock.</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Compensation Committee believes that Restricted Stock is the most appropriate form of equity compensation to achieve our stated objectives, as it is a full value award that strongly and directly links management and stockholder interests. As a full value award, Restricted Stock is less dilutive to stockholders, as the Company is able to issue fewer shares in order to attain the desired level of equity compensation to our executive officers and managers. Restricted Stock awards are granted on an annual basis and contain both a performance- and time-based element. Performance-based shares link the equity reward to the Company’s strategic objectives and stockholder value. Time-based shares promote executive officer/management retention. Specific, individual grants vary by level/role in the organization. The amount of each award corresponds to the respective salary grade for each executive officer and manager.</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objective is to provide a long-term component to overall compensation that aligns the interests of executives with those of stockholders through stock ownership. For our long-term incentive compensation plan, the measure we use is Consolidated Operating Income which is designed to promote teamwork and align management toward a common, strategic goal.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basis for the October 2006 Restricted Stock awards to executive officers is detailed below:</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award includes both Performance- and Time-Based Elements</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50% of the total grant is Performance-Based: Performance is defined as Matrix Service Company Consolidated Operating Income for a 3-year period beginning in fiscal 2007. Actual performance in fiscal 2006 was used as baseline, combined with annual expected growth rates.</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Performance-Based Grant has Threshold, Target and Maximum levels of achievement. At Threshold, 60% of the award is earned; at Target 80% of the award is earned; and at Maximum 100% of the equity award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for the 3-year period is measured at the end of the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threshold performance objectives are not met, all of the performance-based restricted shares are forfeited.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 of the total grant is Time-Based: Restrictions lapse at the rate of 20% per year over five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Long-term equity awards are granted on an annual basis each October at the Board meeting immediately following the Company’s annual stockholders meeting.</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Equity compensation is reviewed and evaluated periodically to ensure that it meets its objectives and may be modified, discontinued or replaced based on the changing objectives and requirements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executive officers do not receive a large number of perquisites or supplemental benefits. In general, our executive officers are eligible to participate in the same health and welfare plans as all eligible employees. However, to remain competitive in our benefit offerings, there are a few additional benefits for executive officers which are outlined below:</w:t>
      </w:r>
    </w:p>
    <w:p>
      <w:pPr>
        <w:spacing w:after="0" w:line="59" w:lineRule="exact"/>
        <w:rPr>
          <w:sz w:val="20"/>
          <w:szCs w:val="20"/>
          <w:color w:val="auto"/>
        </w:rPr>
      </w:pPr>
    </w:p>
    <w:p>
      <w:pPr>
        <w:ind w:left="920" w:right="100"/>
        <w:spacing w:after="0" w:line="291" w:lineRule="auto"/>
        <w:rPr>
          <w:sz w:val="20"/>
          <w:szCs w:val="20"/>
          <w:color w:val="auto"/>
        </w:rPr>
      </w:pPr>
      <w:r>
        <w:rPr>
          <w:rFonts w:ascii="Arial" w:cs="Arial" w:eastAsia="Arial" w:hAnsi="Arial"/>
          <w:sz w:val="16"/>
          <w:szCs w:val="16"/>
          <w:u w:val="single" w:color="auto"/>
          <w:color w:val="auto"/>
        </w:rPr>
        <w:t>Retirement Benefits</w:t>
      </w:r>
      <w:r>
        <w:rPr>
          <w:rFonts w:ascii="Arial" w:cs="Arial" w:eastAsia="Arial" w:hAnsi="Arial"/>
          <w:sz w:val="16"/>
          <w:szCs w:val="16"/>
          <w:color w:val="auto"/>
        </w:rPr>
        <w:t xml:space="preserve"> – The Company sponsors a 401(k) Savings Plan which allows executive officers, and other employees, to contribute up to the lesser of 25% of their salary or the annual IRS maximum. Through December 31, 2006, the Company provided a matching contribution of 50% of first 6% of employee contributions. Beginning January 1, 2007, the Company implemented a Safe Harbor Matching contribution, which is 100% of the first 3% and 50% of the next 2% of employee contributions. Executive officers participate and receive benefits under the plan in the same manner as all other eligible participants. The Company does not sponsor or maintain any other pension, deferred compensation plans or other supplemental retirement plans for executive officers.</w:t>
      </w:r>
    </w:p>
    <w:p>
      <w:pPr>
        <w:spacing w:after="0" w:line="120"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xml:space="preserve"> – In addition to the group term life policy offered to all eligible employees, the Company provides additional life insurance to its executive officers, at no cost to the officer.</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i w:val="1"/>
          <w:iCs w:val="1"/>
          <w:u w:val="single" w:color="auto"/>
          <w:color w:val="auto"/>
        </w:rPr>
        <w:t>CEO</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provides a $500,000 term life insurance policy for the CEO.</w:t>
      </w:r>
    </w:p>
    <w:p>
      <w:pPr>
        <w:spacing w:after="0" w:line="171" w:lineRule="exact"/>
        <w:rPr>
          <w:sz w:val="20"/>
          <w:szCs w:val="20"/>
          <w:color w:val="auto"/>
        </w:rPr>
      </w:pPr>
    </w:p>
    <w:p>
      <w:pPr>
        <w:ind w:left="1500"/>
        <w:spacing w:after="0" w:line="254" w:lineRule="auto"/>
        <w:rPr>
          <w:sz w:val="20"/>
          <w:szCs w:val="20"/>
          <w:color w:val="auto"/>
        </w:rPr>
      </w:pPr>
      <w:r>
        <w:rPr>
          <w:rFonts w:ascii="Arial" w:cs="Arial" w:eastAsia="Arial" w:hAnsi="Arial"/>
          <w:sz w:val="18"/>
          <w:szCs w:val="18"/>
          <w:i w:val="1"/>
          <w:iCs w:val="1"/>
          <w:u w:val="single" w:color="auto"/>
          <w:color w:val="auto"/>
        </w:rPr>
        <w:t>Executive Officers and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provides an additional Corporate Term Life Insurance Policy for all executive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select managers at the levels outlined below:</w:t>
      </w:r>
    </w:p>
    <w:p>
      <w:pPr>
        <w:ind w:left="2400"/>
        <w:spacing w:after="0"/>
        <w:rPr>
          <w:sz w:val="20"/>
          <w:szCs w:val="20"/>
          <w:color w:val="auto"/>
        </w:rPr>
      </w:pPr>
      <w:r>
        <w:rPr>
          <w:rFonts w:ascii="Arial" w:cs="Arial" w:eastAsia="Arial" w:hAnsi="Arial"/>
          <w:sz w:val="18"/>
          <w:szCs w:val="18"/>
          <w:color w:val="auto"/>
        </w:rPr>
        <w:t>CEO and CFO – $600,000</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Other Executive Officers – $400,000</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Select Managers – $200,000</w:t>
      </w:r>
    </w:p>
    <w:p>
      <w:pPr>
        <w:spacing w:after="0" w:line="165" w:lineRule="exact"/>
        <w:rPr>
          <w:sz w:val="20"/>
          <w:szCs w:val="20"/>
          <w:color w:val="auto"/>
        </w:rPr>
      </w:pPr>
    </w:p>
    <w:p>
      <w:pPr>
        <w:ind w:left="920" w:right="680"/>
        <w:spacing w:after="0" w:line="332" w:lineRule="auto"/>
        <w:rPr>
          <w:sz w:val="20"/>
          <w:szCs w:val="20"/>
          <w:color w:val="auto"/>
        </w:rPr>
      </w:pPr>
      <w:r>
        <w:rPr>
          <w:rFonts w:ascii="Arial" w:cs="Arial" w:eastAsia="Arial" w:hAnsi="Arial"/>
          <w:sz w:val="16"/>
          <w:szCs w:val="16"/>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85" w:lineRule="exact"/>
        <w:rPr>
          <w:sz w:val="20"/>
          <w:szCs w:val="20"/>
          <w:color w:val="auto"/>
        </w:rPr>
      </w:pPr>
    </w:p>
    <w:p>
      <w:pPr>
        <w:ind w:left="920" w:right="360"/>
        <w:spacing w:after="0" w:line="306" w:lineRule="auto"/>
        <w:rPr>
          <w:sz w:val="20"/>
          <w:szCs w:val="20"/>
          <w:color w:val="auto"/>
        </w:rPr>
      </w:pPr>
      <w:r>
        <w:rPr>
          <w:rFonts w:ascii="Arial" w:cs="Arial" w:eastAsia="Arial" w:hAnsi="Arial"/>
          <w:sz w:val="16"/>
          <w:szCs w:val="16"/>
          <w:u w:val="single" w:color="auto"/>
          <w:color w:val="auto"/>
        </w:rPr>
        <w:t>Country Club Membership</w:t>
      </w:r>
      <w:r>
        <w:rPr>
          <w:rFonts w:ascii="Arial" w:cs="Arial" w:eastAsia="Arial" w:hAnsi="Arial"/>
          <w:sz w:val="16"/>
          <w:szCs w:val="16"/>
          <w:color w:val="auto"/>
        </w:rPr>
        <w:t xml:space="preserve"> – The Company reimburses the CEO and CFO for the initiation fee and monthly dues associated with a country club membership. While the country club may be used for business purposes, the Compensation Committee believes that this benefit is generally considered a perquisite of these positions, and is maintained in order to attract and retain highly qualified executives for these positions.</w:t>
      </w:r>
    </w:p>
    <w:p>
      <w:pPr>
        <w:spacing w:after="0" w:line="107"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u w:val="single" w:color="auto"/>
          <w:color w:val="auto"/>
        </w:rPr>
        <w:t>Auto Allowance</w:t>
      </w:r>
      <w:r>
        <w:rPr>
          <w:rFonts w:ascii="Arial" w:cs="Arial" w:eastAsia="Arial" w:hAnsi="Arial"/>
          <w:sz w:val="16"/>
          <w:szCs w:val="16"/>
          <w:color w:val="auto"/>
        </w:rPr>
        <w:t xml:space="preserve"> – It is the policy of the Company to provide company vehicles or vehicle allowances to corporate officers, management personnel, and to other personnel with a defined business need. The assignment of a company-provided vehicle or vehicle allowance is determined by (1) the level of the position, (2) the nature of the position and (3) business necessity. A vehicle allowance is provided to executive officers as a perquisite. The amount of the vehicle allowance varies by position. The vehicle allowance is paid as part of regular payroll and is taxable income.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 – Four Key Officers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entered into Change of Control/Severance Agreements with four executive officers, including the CEO, CFO and two Operating Company Presidents, Mr. James P. Ryan and Mr. James A. Bogan. These agreements are designed to promote stability, continuity and focus for key members of leadership during periods of uncertainty that may be created by change of control situations. Additionally, the use of such agreements is a competitive practice that enhances the Company’s ability to attract and retain leadership talent.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Under these four agreements, payment of benefits may occur under two circumstances:</w:t>
      </w:r>
    </w:p>
    <w:p>
      <w:pPr>
        <w:spacing w:after="0" w:line="90" w:lineRule="exact"/>
        <w:rPr>
          <w:sz w:val="20"/>
          <w:szCs w:val="20"/>
          <w:color w:val="auto"/>
        </w:rPr>
      </w:pPr>
    </w:p>
    <w:p>
      <w:pPr>
        <w:ind w:left="900" w:right="3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Company experiences a Change of Control and the Executive suffers an Adverse Event or is terminated from the Company without cause, either on the date of the Change of Control or within 24 months following Change of Control date;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“Change of Control” means (i) a “change in ownership” of the Company of greater than fifty percent (50%) of the outstanding voting stock of the Company within a six (6) month period; (ii) a “change in the effective control” of the Company as determined by a change of greater than thirty-five percent (35%) of the outstanding voting stock of the Company by a person or persons acting as a group within a twelve (12) month period; or (iii) a “change in the ownership of a substantial portion of the assets of the Company as these terms are defined under Code § 409A(a)(2)(A)(v) and Treasury Regulations § 1.409A-3(g)(5) or other then existing and applicable Treasury Regulations promulgated under Code § 409A that define the terms “change of control” for deferred compensation arrangements.</w:t>
      </w:r>
    </w:p>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Executive’s theft of Company property, embezzlement or dishonesty that results in harm to the Company; continued gross or willful neglect of his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w:t>
      </w:r>
      <w:r>
        <w:rPr>
          <w:rFonts w:ascii="Arial" w:cs="Arial" w:eastAsia="Arial" w:hAnsi="Arial"/>
          <w:sz w:val="18"/>
          <w:szCs w:val="18"/>
          <w:color w:val="auto"/>
        </w:rPr>
        <w:t xml:space="preserve"> to a felony charged under state or federal law; or willful violation of Company policy. A determination by the Company Board of Directors that an event constituting “Cause” under this Agreement has occurred is binding upon the Company and the Executive.</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payment of benefits is triggered under these agreements, the executive officer will be paid an amount equal to one year’s annual base salary plus the average of annual bonus compensation paid to the executive in the three calendar years prior to the date of the event triggering payment. In addition, all stock options and other forms of equity compensation shall immediately vest and all restrictions on such benefits shall lapse. All benefits paid under these agreements are conditional upon the executive executing a waiver and release of claims and confidentiality agreement in a form satisfactory to the Company. Failure to execute such an agreement shall constitute an absolute forfeiture of the severance benefit. In the event an executive officer is terminated for Cause, no benefits are payable under the agreement.</w:t>
      </w:r>
    </w:p>
    <w:p>
      <w:pPr>
        <w:spacing w:after="0" w:line="14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30 days of the date of the event. In no case shall the payment of the severance benefits be paid later than March 15 following the calendar year in which the event occurred.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 Agreements – Other Executive Officers and Managers</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has also entered into Change of Control Agreements with other executive officers and key members of management. These agreements are designed to promote stability, continuity and focus for key managers during periods of uncertainty that may be created by potential change of control situations. Our goal is to offer some security and protection when asking officers and managers to remain engaged through difficult times. The Change of Control Agreements are provided to the other Company executive officers not named above and select management personnel. In contrast to the Change of Control/Severance Agreements, there is no general severance benefit in these agreements which is payable in the absence of a Change of Control.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Under these agreements, payment of benefits occurs in the event of a Change of Control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the executive officer/manager has suffered an Adverse Event or been terminated from employment for reason other than Cause, either on the date of the Change of Control or within 6 months of the Change of Control date. The terms “Change of Control” and “Cause” are defined in the same manner as described above with respect to Change of Control/Severance Agreements.</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event payment of benefits is triggered under these agreements, the executive officer/manager will be paid an amount equal to one year’s annual compensation, excluding bonuses. In addition, all stock options and other forms of equity benefits shall immediately vest and all restrictions on such benefits shall lapse. All benefits paid under these agreements are conditional upon the executive executing a waiver and release of claims and confidentiality agreement in a form satisfactory to the Company. Failure to execute such an agreement shall constitute an absolute forfeiture of the severance benefit. In the event an executive is terminated for cause, all benefits and payments under the agreement are forfeited.</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30 days of the date of the event. In no case shall the payment of the severance benefits be paid later than March 15 following the calendar year in which the event occurred.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Board of Directors believes that Matrix Service executive officers should demonstrate their commitment to and belief in the Company’s long-term profitability. Accordingly, each officer is expected to maintain a significant investment in the Company through the ownership of Company stock. Direct stock ownership more closely aligns our executive officers’ interests and actions with the interests of the Company’s shareholders.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the August 2, 2007 Board meeting, the following Equity Ownership Guidelines were implemented.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Guidelines: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Participants – All Company Officers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These multiples represent the minimum amount an officer should seek to acquire and maintain.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President/CEO – 2 times base salary</w:t>
      </w:r>
    </w:p>
    <w:p>
      <w:pPr>
        <w:spacing w:after="0" w:line="15"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CFO/Vice Presidents – 1 times base salary</w:t>
      </w:r>
    </w:p>
    <w:p>
      <w:pPr>
        <w:spacing w:after="0" w:line="83"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Officers will have five years from the date these Guidelines were implemented to acquire the ownership levels defined herein. Thereafter, they are expected to retain this level of ownership during their tenure as an officer with the Company.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90" w:lineRule="exact"/>
        <w:rPr>
          <w:sz w:val="20"/>
          <w:szCs w:val="20"/>
          <w:color w:val="auto"/>
        </w:rPr>
      </w:pPr>
    </w:p>
    <w:p>
      <w:pPr>
        <w:ind w:left="920" w:right="60" w:firstLine="1"/>
        <w:spacing w:after="0" w:line="259" w:lineRule="auto"/>
        <w:tabs>
          <w:tab w:leader="none" w:pos="11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ownership of Company stock (shares owned outright, regardless of how acquired – e.g. restrictions lapse on restricted shares, options exercised held, etc.) An officer will be deemed to have satisfied the ownership guideline if the “fair market value” of the stock owned at any point in time equals the multiplier defined above;</w:t>
      </w:r>
    </w:p>
    <w:p>
      <w:pPr>
        <w:spacing w:after="0" w:line="59" w:lineRule="exact"/>
        <w:rPr>
          <w:rFonts w:ascii="Arial" w:cs="Arial" w:eastAsia="Arial" w:hAnsi="Arial"/>
          <w:sz w:val="18"/>
          <w:szCs w:val="18"/>
          <w:color w:val="auto"/>
        </w:rPr>
      </w:pPr>
    </w:p>
    <w:p>
      <w:pPr>
        <w:ind w:left="920" w:right="220" w:firstLine="1"/>
        <w:spacing w:after="0" w:line="259" w:lineRule="auto"/>
        <w:tabs>
          <w:tab w:leader="none" w:pos="11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Vested/exercisable options. An officer will be deemed to have satisfied the ownership guideline if either (1) the aggregate price paid by the officer for shares held equals or exceeds the applicable multiple of base salary or (2) at any time the “fair market value” of the stock owned equals such amount.</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no case will unvested options or restricted shares with remaining restrictions count toward equity ownership.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Compensation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Compensation Committee Member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w:t>
      </w:r>
    </w:p>
    <w:p>
      <w:pPr>
        <w:spacing w:after="0" w:line="17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following tables set forth certain information regarding compensation of the Chief Executive Officer, Michael J. Bradley, who joined the Company on November 6, 2006, the former Chief Executive Officer, Michael J. Hall, who retired as CEO on November 6, 2006, the Chief Financial Officer and each of the Company’s three other most highly compensated executive officers who were serving as executive officers at the end of fiscal 2007 (the “Named Executive Officers”), based on total compensation earned during fiscal 2007, for services in all capacities to the Company and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total compensation in fiscal 2007 for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Nonqualified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020" w:type="dxa"/>
            <w:vAlign w:val="bottom"/>
          </w:tcPr>
          <w:p>
            <w:pPr>
              <w:jc w:val="right"/>
              <w:ind w:right="23"/>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40" w:type="dxa"/>
            <w:vAlign w:val="bottom"/>
          </w:tcPr>
          <w:p>
            <w:pPr>
              <w:ind w:left="740"/>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8"/>
              </w:rPr>
              <w:t xml:space="preserve">Salary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1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66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89"/>
              </w:rPr>
              <w:t>($) (2)</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(3)</w:t>
            </w: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J. Bradley</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5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2007</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277,083</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150,000 (4)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610,125</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475,000</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172,011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1,684,219</w:t>
            </w:r>
          </w:p>
        </w:tc>
        <w:tc>
          <w:tcPr>
            <w:tcW w:w="0" w:type="dxa"/>
            <w:vAlign w:val="bottom"/>
          </w:tcPr>
          <w:p>
            <w:pPr>
              <w:spacing w:after="0"/>
              <w:rPr>
                <w:sz w:val="1"/>
                <w:szCs w:val="1"/>
                <w:color w:val="auto"/>
              </w:rPr>
            </w:pPr>
          </w:p>
        </w:tc>
      </w:tr>
      <w:tr>
        <w:trPr>
          <w:trHeight w:val="316"/>
        </w:trPr>
        <w:tc>
          <w:tcPr>
            <w:tcW w:w="3160" w:type="dxa"/>
            <w:vAlign w:val="bottom"/>
            <w:gridSpan w:val="2"/>
          </w:tcPr>
          <w:p>
            <w:pPr>
              <w:spacing w:after="0"/>
              <w:rPr>
                <w:sz w:val="20"/>
                <w:szCs w:val="20"/>
                <w:color w:val="auto"/>
              </w:rPr>
            </w:pPr>
            <w:r>
              <w:rPr>
                <w:rFonts w:ascii="Arial" w:cs="Arial" w:eastAsia="Arial" w:hAnsi="Arial"/>
                <w:sz w:val="18"/>
                <w:szCs w:val="18"/>
                <w:color w:val="auto"/>
              </w:rPr>
              <w:t>Michael J. Hall (6)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92"/>
              </w:rPr>
              <w:t>Non-Executive Chairman of the Board and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Former Chief Executive Officer</w:t>
            </w:r>
          </w:p>
        </w:tc>
        <w:tc>
          <w:tcPr>
            <w:tcW w:w="54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2007</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w w:val="86"/>
              </w:rPr>
              <w:t>258,166</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125,000 (7)</w:t>
            </w:r>
          </w:p>
        </w:tc>
        <w:tc>
          <w:tcPr>
            <w:tcW w:w="580" w:type="dxa"/>
            <w:vAlign w:val="bottom"/>
          </w:tcPr>
          <w:p>
            <w:pPr>
              <w:jc w:val="right"/>
              <w:spacing w:after="0"/>
              <w:rPr>
                <w:sz w:val="20"/>
                <w:szCs w:val="20"/>
                <w:color w:val="auto"/>
              </w:rPr>
            </w:pPr>
            <w:r>
              <w:rPr>
                <w:rFonts w:ascii="Arial" w:cs="Arial" w:eastAsia="Arial" w:hAnsi="Arial"/>
                <w:sz w:val="18"/>
                <w:szCs w:val="18"/>
                <w:color w:val="auto"/>
              </w:rPr>
              <w:t>9,484</w:t>
            </w:r>
          </w:p>
        </w:tc>
        <w:tc>
          <w:tcPr>
            <w:tcW w:w="18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107,052</w:t>
            </w:r>
          </w:p>
        </w:tc>
        <w:tc>
          <w:tcPr>
            <w:tcW w:w="10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1,846</w:t>
            </w: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501,548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5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2007</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225,000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w:t>
            </w:r>
          </w:p>
        </w:tc>
        <w:tc>
          <w:tcPr>
            <w:tcW w:w="8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75,052</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135,000</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35,213</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485,847</w:t>
            </w:r>
          </w:p>
        </w:tc>
        <w:tc>
          <w:tcPr>
            <w:tcW w:w="0" w:type="dxa"/>
            <w:vAlign w:val="bottom"/>
          </w:tcPr>
          <w:p>
            <w:pPr>
              <w:spacing w:after="0"/>
              <w:rPr>
                <w:sz w:val="1"/>
                <w:szCs w:val="1"/>
                <w:color w:val="auto"/>
              </w:rPr>
            </w:pPr>
          </w:p>
        </w:tc>
      </w:tr>
      <w:tr>
        <w:trPr>
          <w:trHeight w:val="316"/>
        </w:trPr>
        <w:tc>
          <w:tcPr>
            <w:tcW w:w="3160" w:type="dxa"/>
            <w:vAlign w:val="bottom"/>
            <w:gridSpan w:val="2"/>
          </w:tcPr>
          <w:p>
            <w:pPr>
              <w:spacing w:after="0"/>
              <w:rPr>
                <w:sz w:val="20"/>
                <w:szCs w:val="20"/>
                <w:color w:val="auto"/>
              </w:rPr>
            </w:pPr>
            <w:r>
              <w:rPr>
                <w:rFonts w:ascii="Arial" w:cs="Arial" w:eastAsia="Arial" w:hAnsi="Arial"/>
                <w:sz w:val="18"/>
                <w:szCs w:val="18"/>
                <w:color w:val="auto"/>
              </w:rPr>
              <w:t>John S. Newmeister</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94"/>
              </w:rPr>
              <w:t>Vice President of Marketing and Business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Development</w:t>
            </w:r>
          </w:p>
        </w:tc>
        <w:tc>
          <w:tcPr>
            <w:tcW w:w="54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2007</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w w:val="86"/>
              </w:rPr>
              <w:t>184,000</w:t>
            </w:r>
          </w:p>
        </w:tc>
        <w:tc>
          <w:tcPr>
            <w:tcW w:w="180" w:type="dxa"/>
            <w:vAlign w:val="bottom"/>
          </w:tcPr>
          <w:p>
            <w:pPr>
              <w:spacing w:after="0"/>
              <w:rPr>
                <w:sz w:val="20"/>
                <w:szCs w:val="20"/>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5,194</w:t>
            </w:r>
          </w:p>
        </w:tc>
        <w:tc>
          <w:tcPr>
            <w:tcW w:w="8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19,834</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96,600</w:t>
            </w:r>
          </w:p>
        </w:tc>
        <w:tc>
          <w:tcPr>
            <w:tcW w:w="10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19,807</w:t>
            </w:r>
          </w:p>
        </w:tc>
        <w:tc>
          <w:tcPr>
            <w:tcW w:w="400" w:type="dxa"/>
            <w:vAlign w:val="bottom"/>
          </w:tcPr>
          <w:p>
            <w:pPr>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325,435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James P. Ryan</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Matrix Service Inc.</w:t>
            </w:r>
          </w:p>
        </w:tc>
        <w:tc>
          <w:tcPr>
            <w:tcW w:w="5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2007</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260,000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8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46,153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120,575</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461,077</w:t>
            </w:r>
          </w:p>
        </w:tc>
        <w:tc>
          <w:tcPr>
            <w:tcW w:w="0" w:type="dxa"/>
            <w:vAlign w:val="bottom"/>
          </w:tcPr>
          <w:p>
            <w:pPr>
              <w:spacing w:after="0"/>
              <w:rPr>
                <w:sz w:val="1"/>
                <w:szCs w:val="1"/>
                <w:color w:val="auto"/>
              </w:rPr>
            </w:pPr>
          </w:p>
        </w:tc>
      </w:tr>
      <w:tr>
        <w:trPr>
          <w:trHeight w:val="316"/>
        </w:trPr>
        <w:tc>
          <w:tcPr>
            <w:tcW w:w="3160" w:type="dxa"/>
            <w:vAlign w:val="bottom"/>
            <w:gridSpan w:val="2"/>
          </w:tcPr>
          <w:p>
            <w:pPr>
              <w:spacing w:after="0"/>
              <w:rPr>
                <w:sz w:val="20"/>
                <w:szCs w:val="20"/>
                <w:color w:val="auto"/>
              </w:rPr>
            </w:pPr>
            <w:r>
              <w:rPr>
                <w:rFonts w:ascii="Arial" w:cs="Arial" w:eastAsia="Arial" w:hAnsi="Arial"/>
                <w:sz w:val="18"/>
                <w:szCs w:val="18"/>
                <w:color w:val="auto"/>
              </w:rPr>
              <w:t>Bradley J. Rinehart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Matrix Service Inc.</w:t>
            </w:r>
          </w:p>
        </w:tc>
        <w:tc>
          <w:tcPr>
            <w:tcW w:w="54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2007</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w w:val="86"/>
              </w:rPr>
              <w:t>205,000</w:t>
            </w:r>
          </w:p>
        </w:tc>
        <w:tc>
          <w:tcPr>
            <w:tcW w:w="180" w:type="dxa"/>
            <w:vAlign w:val="bottom"/>
          </w:tcPr>
          <w:p>
            <w:pPr>
              <w:spacing w:after="0"/>
              <w:rPr>
                <w:sz w:val="20"/>
                <w:szCs w:val="20"/>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7,791</w:t>
            </w:r>
          </w:p>
        </w:tc>
        <w:tc>
          <w:tcPr>
            <w:tcW w:w="8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24,570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78,925</w:t>
            </w:r>
          </w:p>
        </w:tc>
        <w:tc>
          <w:tcPr>
            <w:tcW w:w="10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22,405</w:t>
            </w:r>
          </w:p>
        </w:tc>
        <w:tc>
          <w:tcPr>
            <w:tcW w:w="400" w:type="dxa"/>
            <w:vAlign w:val="bottom"/>
          </w:tcPr>
          <w:p>
            <w:pPr>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338,691</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00" w:right="60" w:hanging="446"/>
        <w:spacing w:after="0" w:line="294"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shown represent expense recognized in the Consolidated Financial Statements contained in the Company’s Annual Report on Form 10-K for the year ended May 31, 2007 in accordance with Statement of Financial Accounting Standards No. 123(R), Share Based Payment (SFAS123R), for restricted stock awards granted to the Named Executive Officers, excluding any assumptions for future forfeitures. There were no actual forfeitures of stock awards in fiscal 2007. All assumptions utilized to calculate the expense amounts shown above are set forth in Note 11 of the Notes to the Consolidated Financial Statements for the year ended May 31, 2007.</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shown represent expense recognized in the Consolidated Financial Statements contained in the Company’s Annual Report on Form 10-K for the year ended May 31, 2007 in accordance with Statement of Financial Accounting Standards No. 123(R), Share Based Payment</w:t>
      </w:r>
    </w:p>
    <w:p>
      <w:pPr>
        <w:ind w:left="900" w:right="200"/>
        <w:spacing w:after="0" w:line="255" w:lineRule="auto"/>
        <w:rPr>
          <w:rFonts w:ascii="Arial" w:cs="Arial" w:eastAsia="Arial" w:hAnsi="Arial"/>
          <w:sz w:val="16"/>
          <w:szCs w:val="16"/>
          <w:color w:val="auto"/>
        </w:rPr>
      </w:pPr>
      <w:r>
        <w:rPr>
          <w:rFonts w:ascii="Arial" w:cs="Arial" w:eastAsia="Arial" w:hAnsi="Arial"/>
          <w:sz w:val="18"/>
          <w:szCs w:val="18"/>
          <w:color w:val="auto"/>
        </w:rPr>
        <w:t>(SFAS 123R), for stock option awards, excluding any assumptions for future forfeitures. There were no actual forfeitures of stock option awards in fiscal 2007. All assumptions utilized to calculate the expense amounts shown above are set forth in Note 11 of the Notes to the Consolidated Financial Statements for the year ended May 31, 2007.</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payments to Named Executive Officers under the incentive compensation plan for fiscal 2007 performance.</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shown represents a sign-on bonus paid to Mr. Bradley upon his employment with the Company. In the event Mr. Bradley voluntarily resigns prior to the completion of 12 months of consecutive service, pro-rata repayment of the bonus will be required.</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paid by the Company on behalf of Mr. Bradley for auto allowance of $11,710, life insurance and disability premiums, matching contributions to Mr. Bradley’s account in the Company’s qualified 401(k) plan and club dues. In addition, the Company paid $152,331 in moving expenses for Mr. Bradley’s relocation to Tulsa, Oklahoma.</w:t>
      </w:r>
    </w:p>
    <w:p>
      <w:pPr>
        <w:spacing w:after="0" w:line="59"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Michael J. Hall retired as our CEO on November 6, 2006. Prior to his retirement, Mr. Hall received no compensation for his services as a Director. Mr. Hall’s compensation received as an employee prior to his retirement and his compensation received as a Director subsequent to his retirement as CEO are included in this table.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shown was paid to Mr. Hall upon the successful recruitment and hiring of the new President and CEO.</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paid by the Company on behalf of Mr. Austin for auto allowance of $14,450, life insurance and disability premiums, matching contributions to Mr. Austin’s account in the Company’s qualified 401(k) plan of $10,524 and club dues.</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paid by the Company on behalf of Mr. Newmeister for auto allowance of $12,200, life insurance and disability premiums, and matching contributions to Mr. Newmeister’s account in the Company’s qualified 401(k) plan.</w:t>
      </w:r>
    </w:p>
    <w:p>
      <w:pPr>
        <w:spacing w:after="0" w:line="5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paid by the Company on behalf of Mr. Ryan for auto allowance of $14,450, life insurance and disability premiums, and matching contributions to Mr. Ryan’s account in the Company’s qualified 401(k) plan.</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paid by the Company on behalf of Mr. Rinehart for auto allowance of $12,200, life insurance and disability premiums, and matching contributions to Mr. Rinehart’s account in the Company’s qualified 401(k)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2007 to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All Other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5"/>
              </w:rPr>
              <w:t>Estimated Possible Payouts under</w:t>
            </w:r>
          </w:p>
        </w:tc>
        <w:tc>
          <w:tcPr>
            <w:tcW w:w="26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80" w:type="dxa"/>
            <w:vAlign w:val="bottom"/>
            <w:gridSpan w:val="6"/>
            <w:vMerge w:val="continue"/>
          </w:tcPr>
          <w:p>
            <w:pPr>
              <w:spacing w:after="0"/>
              <w:rPr>
                <w:sz w:val="11"/>
                <w:szCs w:val="11"/>
                <w:color w:val="auto"/>
              </w:rPr>
            </w:pPr>
          </w:p>
        </w:tc>
        <w:tc>
          <w:tcPr>
            <w:tcW w:w="262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Awards:</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Non-Equity Incentive Plan Awards</w:t>
            </w:r>
          </w:p>
        </w:tc>
        <w:tc>
          <w:tcPr>
            <w:tcW w:w="26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Equity Incentive Plan Awards</w:t>
            </w: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(1)</w:t>
            </w: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(2)</w:t>
            </w: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0"/>
              </w:rPr>
              <w:t>shares of</w:t>
            </w: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89"/>
              </w:rPr>
              <w:t>Stock or</w:t>
            </w:r>
          </w:p>
        </w:tc>
        <w:tc>
          <w:tcPr>
            <w:tcW w:w="7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Approval</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w:t>
            </w:r>
          </w:p>
        </w:tc>
        <w:tc>
          <w:tcPr>
            <w:tcW w:w="2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Threshold</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Maximum</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Threshold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Target</w:t>
            </w:r>
          </w:p>
        </w:tc>
        <w:tc>
          <w:tcPr>
            <w:tcW w:w="2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Maximum</w:t>
            </w: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 of shares)</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 of shares)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 of shares)</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(3)</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Michael J. Bradley (4)</w:t>
            </w:r>
          </w:p>
        </w:tc>
        <w:tc>
          <w:tcPr>
            <w:tcW w:w="8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1"/>
              </w:rPr>
              <w:t>10/23/06</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11/06/06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285,000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475,000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1"/>
              </w:rPr>
              <w:t>10/23/06</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11/06/06</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128,630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2,567,765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Michael J. Hall (5)</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6/01/06</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6/01/06</w:t>
            </w:r>
          </w:p>
        </w:tc>
        <w:tc>
          <w:tcPr>
            <w:tcW w:w="22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107,052</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10/23/06</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11/06/06</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1,700</w:t>
            </w:r>
          </w:p>
        </w:tc>
        <w:tc>
          <w:tcPr>
            <w:tcW w:w="720" w:type="dxa"/>
            <w:vAlign w:val="bottom"/>
          </w:tcPr>
          <w:p>
            <w:pPr>
              <w:jc w:val="right"/>
              <w:spacing w:after="0"/>
              <w:rPr>
                <w:sz w:val="20"/>
                <w:szCs w:val="20"/>
                <w:color w:val="auto"/>
              </w:rPr>
            </w:pPr>
            <w:r>
              <w:rPr>
                <w:rFonts w:ascii="Arial" w:cs="Arial" w:eastAsia="Arial" w:hAnsi="Arial"/>
                <w:sz w:val="18"/>
                <w:szCs w:val="18"/>
                <w:color w:val="auto"/>
              </w:rPr>
              <w:t>2,550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200" w:type="dxa"/>
            <w:vAlign w:val="bottom"/>
          </w:tcPr>
          <w:p>
            <w:pPr>
              <w:spacing w:after="0"/>
              <w:rPr>
                <w:sz w:val="20"/>
                <w:szCs w:val="20"/>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8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6/01/06</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6/01/06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135,000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1"/>
              </w:rPr>
              <w:t>10/23/06</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10/23/06</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John S. Newmeister</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6/01/06</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6/01/06</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32,200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64,400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96,600</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10/23/06</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10/23/06</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720" w:type="dxa"/>
            <w:vAlign w:val="bottom"/>
          </w:tcPr>
          <w:p>
            <w:pPr>
              <w:jc w:val="right"/>
              <w:spacing w:after="0"/>
              <w:rPr>
                <w:sz w:val="20"/>
                <w:szCs w:val="20"/>
                <w:color w:val="auto"/>
              </w:rPr>
            </w:pPr>
            <w:r>
              <w:rPr>
                <w:rFonts w:ascii="Arial" w:cs="Arial" w:eastAsia="Arial" w:hAnsi="Arial"/>
                <w:sz w:val="18"/>
                <w:szCs w:val="18"/>
                <w:color w:val="auto"/>
              </w:rPr>
              <w:t>880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1,100</w:t>
            </w:r>
          </w:p>
        </w:tc>
        <w:tc>
          <w:tcPr>
            <w:tcW w:w="720" w:type="dxa"/>
            <w:vAlign w:val="bottom"/>
          </w:tcPr>
          <w:p>
            <w:pPr>
              <w:jc w:val="right"/>
              <w:spacing w:after="0"/>
              <w:rPr>
                <w:sz w:val="20"/>
                <w:szCs w:val="20"/>
                <w:color w:val="auto"/>
              </w:rPr>
            </w:pPr>
            <w:r>
              <w:rPr>
                <w:rFonts w:ascii="Arial" w:cs="Arial" w:eastAsia="Arial" w:hAnsi="Arial"/>
                <w:sz w:val="18"/>
                <w:szCs w:val="18"/>
                <w:color w:val="auto"/>
              </w:rPr>
              <w:t>32,340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James P. Ryan</w:t>
            </w:r>
          </w:p>
        </w:tc>
        <w:tc>
          <w:tcPr>
            <w:tcW w:w="8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6/01/06</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6/01/06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45,500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136,500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1"/>
              </w:rPr>
              <w:t>10/23/06</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10/23/06</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Bradley J. Rinehart</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6/01/06</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6/01/06</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35,875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71,750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107,625</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10/23/06</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10/23/06</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990</w:t>
            </w:r>
          </w:p>
        </w:tc>
        <w:tc>
          <w:tcPr>
            <w:tcW w:w="720" w:type="dxa"/>
            <w:vAlign w:val="bottom"/>
          </w:tcPr>
          <w:p>
            <w:pPr>
              <w:jc w:val="right"/>
              <w:spacing w:after="0"/>
              <w:rPr>
                <w:sz w:val="20"/>
                <w:szCs w:val="20"/>
                <w:color w:val="auto"/>
              </w:rPr>
            </w:pPr>
            <w:r>
              <w:rPr>
                <w:rFonts w:ascii="Arial" w:cs="Arial" w:eastAsia="Arial" w:hAnsi="Arial"/>
                <w:sz w:val="18"/>
                <w:szCs w:val="18"/>
                <w:color w:val="auto"/>
              </w:rPr>
              <w:t>1,320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1,650</w:t>
            </w:r>
          </w:p>
        </w:tc>
        <w:tc>
          <w:tcPr>
            <w:tcW w:w="720" w:type="dxa"/>
            <w:vAlign w:val="bottom"/>
          </w:tcPr>
          <w:p>
            <w:pPr>
              <w:jc w:val="right"/>
              <w:spacing w:after="0"/>
              <w:rPr>
                <w:sz w:val="20"/>
                <w:szCs w:val="20"/>
                <w:color w:val="auto"/>
              </w:rPr>
            </w:pPr>
            <w:r>
              <w:rPr>
                <w:rFonts w:ascii="Arial" w:cs="Arial" w:eastAsia="Arial" w:hAnsi="Arial"/>
                <w:sz w:val="18"/>
                <w:szCs w:val="18"/>
                <w:color w:val="auto"/>
              </w:rPr>
              <w:t>48,510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shown are targeted cash incentive compensation award potential for each Named Executive Officer under the Company’s incentive compensation plan described in the Compensation Discussion and Analysis. These amounts are based on the individual’s fiscal 2007 salary. Actual payouts earned by the Named Executive Officers for fiscal 2007 are reported in the Summary Compensation Table as “Non-equity incentive plan compensation”.</w:t>
      </w:r>
    </w:p>
    <w:p>
      <w:pPr>
        <w:spacing w:after="0" w:line="62" w:lineRule="exact"/>
        <w:rPr>
          <w:rFonts w:ascii="Arial" w:cs="Arial" w:eastAsia="Arial" w:hAnsi="Arial"/>
          <w:sz w:val="18"/>
          <w:szCs w:val="18"/>
          <w:color w:val="auto"/>
        </w:rPr>
      </w:pPr>
    </w:p>
    <w:p>
      <w:pPr>
        <w:ind w:left="900" w:right="40" w:hanging="446"/>
        <w:spacing w:after="0" w:line="290"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shown are the number of shares of performance-based restricted stock awards granted to the Named Executive Officers in fiscal 2007. The Named Executive Officers, excluding Mr. Hall, will receive 60% of the award after three years if the Company’s cumulative three year operating income for fiscal 2007, 2008 and 2009 is between $62.1 million and $64.4 million, 80% after three years if the cumulative operating income is between $64.4 million and $66.9 million, and 100% after three years if the cumulative operating income exceeds $66.9 million. Mr. Hall will receive 50% of the award after three years if the Company’s cumulative three year net income for fiscal 2007, 2008 and 2009 is between $25.8 million and $26.8 million, 75% after three years if the cumulative net income is between $26.8 million and $27.8 million, and 100% after three years if the cumulative net income exceeds $27.8 million.</w:t>
      </w:r>
    </w:p>
    <w:p>
      <w:pPr>
        <w:spacing w:after="0" w:line="37" w:lineRule="exact"/>
        <w:rPr>
          <w:rFonts w:ascii="Arial" w:cs="Arial" w:eastAsia="Arial" w:hAnsi="Arial"/>
          <w:sz w:val="16"/>
          <w:szCs w:val="16"/>
          <w:color w:val="auto"/>
        </w:rPr>
      </w:pPr>
    </w:p>
    <w:p>
      <w:pPr>
        <w:ind w:left="900" w:right="400" w:hanging="446"/>
        <w:spacing w:after="0" w:line="357"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Amounts shown are the restricted stock awards that vest based on the passage of time. With the exemption of certain restricted shares granted to Mr. Bradley, as discussed in footnote (4) below, all awards vest in five equal annual installments beginning one year from the grant date.</w:t>
      </w:r>
    </w:p>
    <w:p>
      <w:pPr>
        <w:ind w:left="900" w:right="60" w:hanging="446"/>
        <w:spacing w:after="0" w:line="294"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Bradley became President and Chief Executive Officer of the Company effective November 6, 2006. As a condition of his employment, the Company guaranteed a minimum bonus payout of $250,000 in fiscal 2007. In addition, Mr. Bradley was credited with a full year’s salary for purposes of calculating his bonus in fiscal 2007, resulting in an opportunity to earn 100% of his base salary in a cash bonus. Mr. Bradley also received 40,430 shares of restricted stock that vest on November 6, 2007, 88,200 shares of restricted stock that vest in equal annual installments over five years beginning on November 6, 2007 and 44,400 shares that vest if certain performance criteria are met.</w:t>
      </w:r>
    </w:p>
    <w:p>
      <w:pPr>
        <w:spacing w:after="0" w:line="34" w:lineRule="exact"/>
        <w:rPr>
          <w:rFonts w:ascii="Arial" w:cs="Arial" w:eastAsia="Arial" w:hAnsi="Arial"/>
          <w:sz w:val="16"/>
          <w:szCs w:val="16"/>
          <w:color w:val="auto"/>
        </w:rPr>
      </w:pPr>
    </w:p>
    <w:p>
      <w:pPr>
        <w:ind w:left="900" w:right="34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Mr. Hall’s retirement on November 6, 2006, he became eligible for an award of up to 50% of the earned compensation as of the date of his retirement. The award was at the discretion of the Compensation Committee and was compensation for his services as the CEO through his retirement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sets forth information with respect to the exercise of stock options and the vesting of restricted stock in fiscal year 2007 by the Named Executive Officers: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88"/>
              </w:rPr>
              <w:t>Stock Awards</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6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92"/>
              </w:rPr>
              <w:t>Number of Shares</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720" w:type="dxa"/>
            <w:vAlign w:val="bottom"/>
          </w:tcPr>
          <w:p>
            <w:pPr>
              <w:spacing w:after="0"/>
              <w:rPr>
                <w:sz w:val="11"/>
                <w:szCs w:val="11"/>
                <w:color w:val="auto"/>
              </w:rPr>
            </w:pPr>
          </w:p>
        </w:tc>
        <w:tc>
          <w:tcPr>
            <w:tcW w:w="190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spacing w:after="0"/>
              <w:rPr>
                <w:sz w:val="12"/>
                <w:szCs w:val="12"/>
                <w:color w:val="auto"/>
              </w:rPr>
            </w:pPr>
          </w:p>
        </w:tc>
        <w:tc>
          <w:tcPr>
            <w:tcW w:w="19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spacing w:after="0"/>
              <w:rPr>
                <w:sz w:val="14"/>
                <w:szCs w:val="14"/>
                <w:color w:val="auto"/>
              </w:rPr>
            </w:pPr>
          </w:p>
        </w:tc>
        <w:tc>
          <w:tcPr>
            <w:tcW w:w="12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7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Bradley</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color w:val="auto"/>
              </w:rPr>
              <w:t>Michael J. Hall</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040" w:type="dxa"/>
            <w:vAlign w:val="bottom"/>
          </w:tcPr>
          <w:p>
            <w:pPr>
              <w:jc w:val="right"/>
              <w:spacing w:after="0"/>
              <w:rPr>
                <w:sz w:val="20"/>
                <w:szCs w:val="20"/>
                <w:color w:val="auto"/>
              </w:rPr>
            </w:pPr>
            <w:r>
              <w:rPr>
                <w:rFonts w:ascii="Arial" w:cs="Arial" w:eastAsia="Arial" w:hAnsi="Arial"/>
                <w:sz w:val="18"/>
                <w:szCs w:val="18"/>
                <w:color w:val="auto"/>
              </w:rPr>
              <w:t>1,041,795</w:t>
            </w:r>
          </w:p>
        </w:tc>
        <w:tc>
          <w:tcPr>
            <w:tcW w:w="720" w:type="dxa"/>
            <w:vAlign w:val="bottom"/>
          </w:tcPr>
          <w:p>
            <w:pPr>
              <w:spacing w:after="0"/>
              <w:rPr>
                <w:sz w:val="24"/>
                <w:szCs w:val="24"/>
                <w:color w:val="auto"/>
              </w:rPr>
            </w:pPr>
          </w:p>
        </w:tc>
        <w:tc>
          <w:tcPr>
            <w:tcW w:w="19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color w:val="auto"/>
              </w:rPr>
              <w:t>John S. Newmeister</w:t>
            </w:r>
          </w:p>
        </w:tc>
        <w:tc>
          <w:tcPr>
            <w:tcW w:w="19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9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Ryan</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24,400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321,904</w:t>
            </w:r>
          </w:p>
        </w:tc>
        <w:tc>
          <w:tcPr>
            <w:tcW w:w="7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color w:val="auto"/>
              </w:rPr>
              <w:t>Bradley J. Rinehart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24,000</w:t>
            </w:r>
          </w:p>
        </w:tc>
        <w:tc>
          <w:tcPr>
            <w:tcW w:w="1040" w:type="dxa"/>
            <w:vAlign w:val="bottom"/>
          </w:tcPr>
          <w:p>
            <w:pPr>
              <w:jc w:val="right"/>
              <w:spacing w:after="0"/>
              <w:rPr>
                <w:sz w:val="20"/>
                <w:szCs w:val="20"/>
                <w:color w:val="auto"/>
              </w:rPr>
            </w:pPr>
            <w:r>
              <w:rPr>
                <w:rFonts w:ascii="Arial" w:cs="Arial" w:eastAsia="Arial" w:hAnsi="Arial"/>
                <w:sz w:val="18"/>
                <w:szCs w:val="18"/>
                <w:color w:val="auto"/>
              </w:rPr>
              <w:t>579,840</w:t>
            </w:r>
          </w:p>
        </w:tc>
        <w:tc>
          <w:tcPr>
            <w:tcW w:w="720" w:type="dxa"/>
            <w:vAlign w:val="bottom"/>
          </w:tcPr>
          <w:p>
            <w:pPr>
              <w:spacing w:after="0"/>
              <w:rPr>
                <w:sz w:val="24"/>
                <w:szCs w:val="24"/>
                <w:color w:val="auto"/>
              </w:rPr>
            </w:pPr>
          </w:p>
        </w:tc>
        <w:tc>
          <w:tcPr>
            <w:tcW w:w="19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00" w:right="1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realized is the difference between the option exercise price and the sales price of the common stock at the time of exercise, multiplied by the number of shares for which the options were exercised.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outstanding equity awards held by the Named Executive Officers as of May 31,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Option Awards (1)</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32"/>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Market</w:t>
            </w:r>
          </w:p>
        </w:tc>
        <w:tc>
          <w:tcPr>
            <w:tcW w:w="10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8"/>
                <w:szCs w:val="8"/>
                <w:color w:val="auto"/>
              </w:rPr>
            </w:pPr>
          </w:p>
        </w:tc>
        <w:tc>
          <w:tcPr>
            <w:tcW w:w="720" w:type="dxa"/>
            <w:vAlign w:val="bottom"/>
            <w:gridSpan w:val="2"/>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4"/>
                <w:szCs w:val="4"/>
                <w:color w:val="auto"/>
              </w:rPr>
            </w:pPr>
          </w:p>
        </w:tc>
        <w:tc>
          <w:tcPr>
            <w:tcW w:w="1200" w:type="dxa"/>
            <w:vAlign w:val="bottom"/>
            <w:gridSpan w:val="2"/>
            <w:vMerge w:val="restart"/>
          </w:tcPr>
          <w:p>
            <w:pPr>
              <w:jc w:val="center"/>
              <w:ind w:right="3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7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8"/>
                <w:szCs w:val="8"/>
                <w:color w:val="auto"/>
              </w:rPr>
            </w:pP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Value of</w:t>
            </w:r>
          </w:p>
        </w:tc>
        <w:tc>
          <w:tcPr>
            <w:tcW w:w="10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Unearned</w:t>
            </w:r>
          </w:p>
        </w:tc>
        <w:tc>
          <w:tcPr>
            <w:tcW w:w="100" w:type="dxa"/>
            <w:vAlign w:val="bottom"/>
          </w:tcPr>
          <w:p>
            <w:pPr>
              <w:spacing w:after="0"/>
              <w:rPr>
                <w:sz w:val="8"/>
                <w:szCs w:val="8"/>
                <w:color w:val="auto"/>
              </w:rPr>
            </w:pPr>
          </w:p>
        </w:tc>
        <w:tc>
          <w:tcPr>
            <w:tcW w:w="7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4"/>
                <w:szCs w:val="4"/>
                <w:color w:val="auto"/>
              </w:rPr>
            </w:pPr>
          </w:p>
        </w:tc>
        <w:tc>
          <w:tcPr>
            <w:tcW w:w="1200" w:type="dxa"/>
            <w:vAlign w:val="bottom"/>
            <w:gridSpan w:val="2"/>
            <w:vMerge w:val="restart"/>
          </w:tcPr>
          <w:p>
            <w:pPr>
              <w:jc w:val="right"/>
              <w:ind w:right="412"/>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or</w:t>
            </w:r>
          </w:p>
        </w:tc>
        <w:tc>
          <w:tcPr>
            <w:tcW w:w="80" w:type="dxa"/>
            <w:vAlign w:val="bottom"/>
          </w:tcPr>
          <w:p>
            <w:pPr>
              <w:spacing w:after="0"/>
              <w:rPr>
                <w:sz w:val="8"/>
                <w:szCs w:val="8"/>
                <w:color w:val="auto"/>
              </w:rPr>
            </w:pP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00" w:type="dxa"/>
            <w:vAlign w:val="bottom"/>
          </w:tcPr>
          <w:p>
            <w:pPr>
              <w:spacing w:after="0"/>
              <w:rPr>
                <w:sz w:val="8"/>
                <w:szCs w:val="8"/>
                <w:color w:val="auto"/>
              </w:rPr>
            </w:pPr>
          </w:p>
        </w:tc>
        <w:tc>
          <w:tcPr>
            <w:tcW w:w="7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4"/>
                <w:szCs w:val="4"/>
                <w:color w:val="auto"/>
              </w:rPr>
            </w:pPr>
          </w:p>
        </w:tc>
        <w:tc>
          <w:tcPr>
            <w:tcW w:w="1200" w:type="dxa"/>
            <w:vAlign w:val="bottom"/>
            <w:gridSpan w:val="2"/>
            <w:vMerge w:val="restart"/>
          </w:tcPr>
          <w:p>
            <w:pPr>
              <w:jc w:val="center"/>
              <w:ind w:right="3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8"/>
                <w:szCs w:val="8"/>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w w:val="99"/>
              </w:rPr>
              <w:t>Units of</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10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or Other</w:t>
            </w:r>
          </w:p>
        </w:tc>
        <w:tc>
          <w:tcPr>
            <w:tcW w:w="100" w:type="dxa"/>
            <w:vAlign w:val="bottom"/>
          </w:tcPr>
          <w:p>
            <w:pPr>
              <w:spacing w:after="0"/>
              <w:rPr>
                <w:sz w:val="8"/>
                <w:szCs w:val="8"/>
                <w:color w:val="auto"/>
              </w:rPr>
            </w:pPr>
          </w:p>
        </w:tc>
        <w:tc>
          <w:tcPr>
            <w:tcW w:w="7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180" w:type="dxa"/>
            <w:vAlign w:val="bottom"/>
          </w:tcPr>
          <w:p>
            <w:pPr>
              <w:spacing w:after="0"/>
              <w:rPr>
                <w:sz w:val="4"/>
                <w:szCs w:val="4"/>
                <w:color w:val="auto"/>
              </w:rPr>
            </w:pPr>
          </w:p>
        </w:tc>
        <w:tc>
          <w:tcPr>
            <w:tcW w:w="1200" w:type="dxa"/>
            <w:vAlign w:val="bottom"/>
            <w:gridSpan w:val="2"/>
            <w:vMerge w:val="restart"/>
          </w:tcPr>
          <w:p>
            <w:pPr>
              <w:jc w:val="right"/>
              <w:ind w:right="412"/>
              <w:spacing w:after="0"/>
              <w:rPr>
                <w:sz w:val="20"/>
                <w:szCs w:val="20"/>
                <w:color w:val="auto"/>
              </w:rPr>
            </w:pPr>
            <w:r>
              <w:rPr>
                <w:rFonts w:ascii="Arial" w:cs="Arial" w:eastAsia="Arial" w:hAnsi="Arial"/>
                <w:sz w:val="14"/>
                <w:szCs w:val="14"/>
                <w:b w:val="1"/>
                <w:bCs w:val="1"/>
                <w:color w:val="auto"/>
                <w:w w:val="94"/>
              </w:rPr>
              <w:t>Options (#)</w:t>
            </w:r>
          </w:p>
        </w:tc>
        <w:tc>
          <w:tcPr>
            <w:tcW w:w="7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9"/>
                <w:szCs w:val="9"/>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9"/>
                <w:szCs w:val="9"/>
                <w:color w:val="auto"/>
              </w:rPr>
            </w:pPr>
          </w:p>
        </w:tc>
        <w:tc>
          <w:tcPr>
            <w:tcW w:w="98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Option</w:t>
            </w: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Stock that</w:t>
            </w:r>
          </w:p>
        </w:tc>
        <w:tc>
          <w:tcPr>
            <w:tcW w:w="80" w:type="dxa"/>
            <w:vAlign w:val="bottom"/>
          </w:tcPr>
          <w:p>
            <w:pPr>
              <w:spacing w:after="0"/>
              <w:rPr>
                <w:sz w:val="9"/>
                <w:szCs w:val="9"/>
                <w:color w:val="auto"/>
              </w:rPr>
            </w:pP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Stock that</w:t>
            </w:r>
          </w:p>
        </w:tc>
        <w:tc>
          <w:tcPr>
            <w:tcW w:w="10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Rights that</w:t>
            </w:r>
          </w:p>
        </w:tc>
        <w:tc>
          <w:tcPr>
            <w:tcW w:w="100" w:type="dxa"/>
            <w:vAlign w:val="bottom"/>
          </w:tcPr>
          <w:p>
            <w:pPr>
              <w:spacing w:after="0"/>
              <w:rPr>
                <w:sz w:val="9"/>
                <w:szCs w:val="9"/>
                <w:color w:val="auto"/>
              </w:rPr>
            </w:pPr>
          </w:p>
        </w:tc>
        <w:tc>
          <w:tcPr>
            <w:tcW w:w="72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Rights that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80" w:type="dxa"/>
            <w:vAlign w:val="bottom"/>
          </w:tcPr>
          <w:p>
            <w:pPr>
              <w:spacing w:after="0"/>
              <w:rPr>
                <w:sz w:val="12"/>
                <w:szCs w:val="12"/>
                <w:color w:val="auto"/>
              </w:rPr>
            </w:pPr>
          </w:p>
        </w:tc>
        <w:tc>
          <w:tcPr>
            <w:tcW w:w="4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Price</w:t>
            </w: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Expiration</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have not</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have not</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have not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40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Options (#)</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right"/>
              <w:ind w:right="179"/>
              <w:spacing w:after="0" w:line="148" w:lineRule="exact"/>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Vested (#)</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Vested ($)</w:t>
            </w:r>
          </w:p>
        </w:tc>
        <w:tc>
          <w:tcPr>
            <w:tcW w:w="18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Vested (#)</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2"/>
              </w:rPr>
              <w:t>Vested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Michael J. Bradley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128,630(6)</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3,286,497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1,134,420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760" w:type="dxa"/>
            <w:vAlign w:val="bottom"/>
            <w:gridSpan w:val="2"/>
          </w:tcPr>
          <w:p>
            <w:pPr>
              <w:spacing w:after="0"/>
              <w:rPr>
                <w:sz w:val="20"/>
                <w:szCs w:val="20"/>
                <w:color w:val="auto"/>
              </w:rPr>
            </w:pPr>
            <w:r>
              <w:rPr>
                <w:rFonts w:ascii="Arial" w:cs="Arial" w:eastAsia="Arial" w:hAnsi="Arial"/>
                <w:sz w:val="18"/>
                <w:szCs w:val="18"/>
                <w:color w:val="auto"/>
              </w:rPr>
              <w:t>Michael J. Hall</w:t>
            </w:r>
          </w:p>
        </w:tc>
        <w:tc>
          <w:tcPr>
            <w:tcW w:w="180" w:type="dxa"/>
            <w:vAlign w:val="bottom"/>
          </w:tcPr>
          <w:p>
            <w:pPr>
              <w:spacing w:after="0"/>
              <w:rPr>
                <w:sz w:val="24"/>
                <w:szCs w:val="24"/>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3,400(7)</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86,870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10/23/2011</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1,000(2)</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10/22/2012</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3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6,800(3)</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10/21/2013</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29,400(4)</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10/26/2014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12,000(5)</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10/21/2015</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3,300(8)</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84,315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60" w:type="dxa"/>
            <w:vAlign w:val="bottom"/>
            <w:gridSpan w:val="2"/>
          </w:tcPr>
          <w:p>
            <w:pPr>
              <w:spacing w:after="0"/>
              <w:rPr>
                <w:sz w:val="20"/>
                <w:szCs w:val="20"/>
                <w:color w:val="auto"/>
              </w:rPr>
            </w:pPr>
            <w:r>
              <w:rPr>
                <w:rFonts w:ascii="Arial" w:cs="Arial" w:eastAsia="Arial" w:hAnsi="Arial"/>
                <w:sz w:val="18"/>
                <w:szCs w:val="18"/>
                <w:color w:val="auto"/>
              </w:rPr>
              <w:t>John S. Newmeister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10/18/2010</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10/23/2011</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380" w:type="dxa"/>
            <w:vAlign w:val="bottom"/>
            <w:gridSpan w:val="3"/>
          </w:tcPr>
          <w:p>
            <w:pPr>
              <w:jc w:val="right"/>
              <w:ind w:right="132"/>
              <w:spacing w:after="0"/>
              <w:rPr>
                <w:sz w:val="20"/>
                <w:szCs w:val="20"/>
                <w:color w:val="auto"/>
              </w:rPr>
            </w:pPr>
            <w:r>
              <w:rPr>
                <w:rFonts w:ascii="Arial" w:cs="Arial" w:eastAsia="Arial" w:hAnsi="Arial"/>
                <w:sz w:val="18"/>
                <w:szCs w:val="18"/>
                <w:color w:val="auto"/>
              </w:rPr>
              <w:t>2,000(2)</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10/22/2012</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380" w:type="dxa"/>
            <w:vAlign w:val="bottom"/>
            <w:gridSpan w:val="3"/>
          </w:tcPr>
          <w:p>
            <w:pPr>
              <w:jc w:val="right"/>
              <w:ind w:right="132"/>
              <w:spacing w:after="0"/>
              <w:rPr>
                <w:sz w:val="20"/>
                <w:szCs w:val="20"/>
                <w:color w:val="auto"/>
              </w:rPr>
            </w:pPr>
            <w:r>
              <w:rPr>
                <w:rFonts w:ascii="Arial" w:cs="Arial" w:eastAsia="Arial" w:hAnsi="Arial"/>
                <w:sz w:val="18"/>
                <w:szCs w:val="18"/>
                <w:color w:val="auto"/>
              </w:rPr>
              <w:t>2,000(3)</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12.20</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10/21/2013</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380" w:type="dxa"/>
            <w:vAlign w:val="bottom"/>
            <w:gridSpan w:val="3"/>
          </w:tcPr>
          <w:p>
            <w:pPr>
              <w:jc w:val="right"/>
              <w:ind w:right="132"/>
              <w:spacing w:after="0"/>
              <w:rPr>
                <w:sz w:val="20"/>
                <w:szCs w:val="20"/>
                <w:color w:val="auto"/>
              </w:rPr>
            </w:pPr>
            <w:r>
              <w:rPr>
                <w:rFonts w:ascii="Arial" w:cs="Arial" w:eastAsia="Arial" w:hAnsi="Arial"/>
                <w:sz w:val="18"/>
                <w:szCs w:val="18"/>
                <w:color w:val="auto"/>
              </w:rPr>
              <w:t>3,000(4)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10/26/2014</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380" w:type="dxa"/>
            <w:vAlign w:val="bottom"/>
            <w:gridSpan w:val="3"/>
          </w:tcPr>
          <w:p>
            <w:pPr>
              <w:jc w:val="right"/>
              <w:ind w:right="132"/>
              <w:spacing w:after="0"/>
              <w:rPr>
                <w:sz w:val="20"/>
                <w:szCs w:val="20"/>
                <w:color w:val="auto"/>
              </w:rPr>
            </w:pPr>
            <w:r>
              <w:rPr>
                <w:rFonts w:ascii="Arial" w:cs="Arial" w:eastAsia="Arial" w:hAnsi="Arial"/>
                <w:sz w:val="18"/>
                <w:szCs w:val="18"/>
                <w:color w:val="auto"/>
              </w:rPr>
              <w:t>4,000(5)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10/21/2015</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1,100(8)</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28,105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1,100(9)</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28,105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8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James P. Ryan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2,000(2)</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10/22/2012</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3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2,000(3)</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10/21/2013</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25,200(4)</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10/26/2014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6,000(5)</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10/21/2015</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1,650(8)</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42,158</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60" w:type="dxa"/>
            <w:vAlign w:val="bottom"/>
            <w:gridSpan w:val="2"/>
          </w:tcPr>
          <w:p>
            <w:pPr>
              <w:spacing w:after="0"/>
              <w:rPr>
                <w:sz w:val="20"/>
                <w:szCs w:val="20"/>
                <w:color w:val="auto"/>
              </w:rPr>
            </w:pPr>
            <w:r>
              <w:rPr>
                <w:rFonts w:ascii="Arial" w:cs="Arial" w:eastAsia="Arial" w:hAnsi="Arial"/>
                <w:sz w:val="18"/>
                <w:szCs w:val="18"/>
                <w:color w:val="auto"/>
              </w:rPr>
              <w:t>Bradley J. Rinehart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7/11/2010</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10/18/2010</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10/23/2011</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380" w:type="dxa"/>
            <w:vAlign w:val="bottom"/>
            <w:gridSpan w:val="3"/>
          </w:tcPr>
          <w:p>
            <w:pPr>
              <w:jc w:val="right"/>
              <w:ind w:right="132"/>
              <w:spacing w:after="0"/>
              <w:rPr>
                <w:sz w:val="20"/>
                <w:szCs w:val="20"/>
                <w:color w:val="auto"/>
              </w:rPr>
            </w:pPr>
            <w:r>
              <w:rPr>
                <w:rFonts w:ascii="Arial" w:cs="Arial" w:eastAsia="Arial" w:hAnsi="Arial"/>
                <w:sz w:val="18"/>
                <w:szCs w:val="18"/>
                <w:color w:val="auto"/>
              </w:rPr>
              <w:t>2,000(2)</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10/22/2012</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380" w:type="dxa"/>
            <w:vAlign w:val="bottom"/>
            <w:gridSpan w:val="3"/>
          </w:tcPr>
          <w:p>
            <w:pPr>
              <w:jc w:val="right"/>
              <w:ind w:right="132"/>
              <w:spacing w:after="0"/>
              <w:rPr>
                <w:sz w:val="20"/>
                <w:szCs w:val="20"/>
                <w:color w:val="auto"/>
              </w:rPr>
            </w:pPr>
            <w:r>
              <w:rPr>
                <w:rFonts w:ascii="Arial" w:cs="Arial" w:eastAsia="Arial" w:hAnsi="Arial"/>
                <w:sz w:val="18"/>
                <w:szCs w:val="18"/>
                <w:color w:val="auto"/>
              </w:rPr>
              <w:t>2,000(3)</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12.20</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10/21/2013</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380" w:type="dxa"/>
            <w:vAlign w:val="bottom"/>
            <w:gridSpan w:val="3"/>
          </w:tcPr>
          <w:p>
            <w:pPr>
              <w:jc w:val="right"/>
              <w:ind w:right="132"/>
              <w:spacing w:after="0"/>
              <w:rPr>
                <w:sz w:val="20"/>
                <w:szCs w:val="20"/>
                <w:color w:val="auto"/>
              </w:rPr>
            </w:pPr>
            <w:r>
              <w:rPr>
                <w:rFonts w:ascii="Arial" w:cs="Arial" w:eastAsia="Arial" w:hAnsi="Arial"/>
                <w:sz w:val="18"/>
                <w:szCs w:val="18"/>
                <w:color w:val="auto"/>
              </w:rPr>
              <w:t>4,500(4)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10/26/2014</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380" w:type="dxa"/>
            <w:vAlign w:val="bottom"/>
            <w:gridSpan w:val="3"/>
          </w:tcPr>
          <w:p>
            <w:pPr>
              <w:jc w:val="right"/>
              <w:ind w:right="132"/>
              <w:spacing w:after="0"/>
              <w:rPr>
                <w:sz w:val="20"/>
                <w:szCs w:val="20"/>
                <w:color w:val="auto"/>
              </w:rPr>
            </w:pPr>
            <w:r>
              <w:rPr>
                <w:rFonts w:ascii="Arial" w:cs="Arial" w:eastAsia="Arial" w:hAnsi="Arial"/>
                <w:sz w:val="18"/>
                <w:szCs w:val="18"/>
                <w:color w:val="auto"/>
              </w:rPr>
              <w:t>6,000(5)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10/21/2015</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1,650(8)</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42,158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1,650(9)</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42,518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-3222625</wp:posOffset>
            </wp:positionV>
            <wp:extent cx="51435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options were granted with 10 year terms. The options have vesting terms ranging from two to five years beginning one year after the grant date.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options were granted on October 22, 2002 and will vest on October 22,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options were granted on October 21, 2003 and will vest 50% on October 21, 2007 and 50% on October 21, 2008.</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options were granted on October 26, 2004 and will vest 33.3% on October 26, 2007, 33.3% on October 26, 2008 and 33.3% on October 26, 2009.</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options were granted on October 21, 2005 and will vest 25% on October 21, 2007, 25% on October 21, 2008, 25% on October 21, 2009 and 25% on October 21, 2010.</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shown represent restricted share awards received on November 6, 2006 of which 40,430 shares vest on November 6, 2007 and 88,200 shares vest in equal annual installments over five years beginning on November 6, 2007.</w:t>
      </w:r>
    </w:p>
    <w:p>
      <w:pPr>
        <w:spacing w:after="0" w:line="50" w:lineRule="exact"/>
        <w:rPr>
          <w:rFonts w:ascii="Arial" w:cs="Arial" w:eastAsia="Arial" w:hAnsi="Arial"/>
          <w:sz w:val="18"/>
          <w:szCs w:val="18"/>
          <w:color w:val="auto"/>
        </w:rPr>
      </w:pPr>
    </w:p>
    <w:p>
      <w:pPr>
        <w:ind w:left="900" w:right="80" w:hanging="446"/>
        <w:spacing w:after="0" w:line="294"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 shown represents the number of shares of performance-based restricted stock awards granted to Mr. Hall in fiscal 2007 as a non-employee director. Mr. Hall retired as our CEO on November 6, 2006. Subsequent to his retirement, Mr. Hall received the restricted stock award for his services as a non-employee Director. The non-employee directors will receive 50% of the award after three years if the Company’s cumulative three year net income for fiscal years 2007, 2008 and 2009 is between $25.8 million and $26.8 million, 75% after three years if the cumulative net income is between $26.8 million and $27.8 million, and 100% after three years if the cumulative net income exceeds $27.8 million.</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represent restricted share awards on October 23, 2006 and vest in five equal annual installments beginning one year after the award date.</w:t>
      </w:r>
    </w:p>
    <w:p>
      <w:pPr>
        <w:spacing w:after="0" w:line="113" w:lineRule="exact"/>
        <w:rPr>
          <w:rFonts w:ascii="Arial" w:cs="Arial" w:eastAsia="Arial" w:hAnsi="Arial"/>
          <w:sz w:val="16"/>
          <w:szCs w:val="16"/>
          <w:color w:val="auto"/>
        </w:rPr>
      </w:pPr>
    </w:p>
    <w:p>
      <w:pPr>
        <w:jc w:val="both"/>
        <w:ind w:left="900" w:right="100" w:hanging="446"/>
        <w:spacing w:after="0" w:line="29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shown are the number of shares of performance-based restricted stock awards granted to the Named Executive Officers in fiscal 2007. The Named Executive Officers will receive 60% of the award after three years if the Company’s cumulative three year operating income for fiscal years 2007, 2008 and 2009 is between $62.1 million and $64.4 million, 80% after three years if the cumulative operating income is between $64.4 million and $66.9 million, and 100% after three years if the cumulative operating income exceeds $66.9 million.</w:t>
      </w:r>
    </w:p>
    <w:p>
      <w:pPr>
        <w:sectPr>
          <w:pgSz w:w="11900" w:h="16838" w:orient="portrait"/>
          <w:cols w:equalWidth="0" w:num="1">
            <w:col w:w="11420"/>
          </w:cols>
          <w:pgMar w:left="240" w:top="459" w:right="239" w:bottom="562"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562"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has entered into Change of Control/Severance Agreements with Mr. Bradley, Mr. Austin and Mr. Ryan. These agreements are designed to promote stability, continuity and focus for key members of leadership during periods of uncertainty that may be created by change of control situations. Additionally, the use of such agreements is a competitive practice that enhances the Company’s ability to attract and retain leadership talent.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Under these four agreements, payment of benefits may occur under two circumstances:</w:t>
      </w:r>
    </w:p>
    <w:p>
      <w:pPr>
        <w:spacing w:after="0" w:line="90" w:lineRule="exact"/>
        <w:rPr>
          <w:sz w:val="20"/>
          <w:szCs w:val="20"/>
          <w:color w:val="auto"/>
        </w:rPr>
      </w:pPr>
    </w:p>
    <w:p>
      <w:pPr>
        <w:ind w:left="900" w:right="3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If the Company experiences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from the Company without cause, either on the date of the Change of Control or within 24 months following Change of Control date;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“Change of Control” means (i) a “change in ownership” of the Company of greater than fifty percent (50%) of the outstanding voting stock of the Company within a six (6) month period; (ii) a “change in the effective control” of the Company as determined by a change of greater than thirty-five percent (35%) of the outstanding voting stock of the Company by a person or persons acting as a group within a twelve (12) month period; or (iii) a “change in the ownership of a substantial portion of the assets of the Company as these terms are defined under Code § 409A(a)(2)(A)(v) and Treasury Regulations § 1.409A-3(g)(5) or other then existing and applicable Treasury Regulations promulgated under Code § 409A that define the terms “change of control” for deferred compensation arrangements.</w:t>
      </w:r>
    </w:p>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Executive’s theft of Company property, embezzlement or dishonesty that results in harm to the Company; continued gross or willful neglect of his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w:t>
      </w:r>
      <w:r>
        <w:rPr>
          <w:rFonts w:ascii="Arial" w:cs="Arial" w:eastAsia="Arial" w:hAnsi="Arial"/>
          <w:sz w:val="18"/>
          <w:szCs w:val="18"/>
          <w:color w:val="auto"/>
        </w:rPr>
        <w:t xml:space="preserve"> to a felony charged under state or federal law; or willful violation of Company policy. A determination by the Company Board of Directors that an event constituting “Cause” under this Agreement has occurred is binding upon the Company and the Executive.</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payment of benefits is triggered under these agreements, the executive officer will be paid an amount equal to one year’s annual base salary plus the average of annual bonus compensation paid to the executive in the three calendar years prior to the date of the event triggering payment. In addition, all stock options and other forms of equity compensation shall immediately vest and all restrictions on such benefits shall lapse. All benefits paid under these agreements are conditional upon the executive executing a waiver and release of claims and confidentiality agreement in a form satisfactory to the Company. Failure to execute such an agreement shall constitute an absolute forfeiture of the severance benefit. In the event an executive officer is terminated for Cause, no benefits are payable under the agreement.</w:t>
      </w:r>
    </w:p>
    <w:p>
      <w:pPr>
        <w:spacing w:after="0" w:line="14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has also entered into Change of Control Agreements with Mr. Newmeister and Mr. Rinehart. These agreements are designed to promote stability, continuity and focus for key managers during periods of uncertainty that may be created by potential change of control situations. Our goal is to offer some security and protection when asking officers and managers to remain engaged through difficult times. The Change of Control Agreements are provided to the other Company executive officers not named above and select management personnel. In contrast to the Change of Control/Severance Agreements, there is no general severance benefit in these agreements which is payable in the absence of a Change of Control.</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Under these agreements, payment of benefits occurs in the event of a Change of Control and the executive officer/manager has suffered an Adverse Event or been terminated from employment for reason other than Cause, either on the date of the Change of Control or within 6 months of the Change of Control date. The terms “Change of Control” and “Cause” are defined in the same manner as described above with respect to Change of Control/Severance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event payment of benefits is triggered under these agreements, the executive officer/manager will be paid an amount equal to one year’s annual compensation, excluding bonuses. In addition, all stock options and other forms of equity benefits shall immediately vest and all restrictions on such benefits shall lapse. All benefits paid under these agreements are conditional upon the executive executing a waiver and release of claims and confidentiality agreement in a form satisfactory to the Company. Failure to execute such an agreement shall constitute an absolute forfeiture of the severance benefit. In the event an executive is terminated for cause, all benefits and payments under the agreement are forfeited.</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30 days of the date of the event. In no case shall the payment of the severance benefits be paid later than March 15 following the calendar year in which the event occurred.</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following table shows potential payments to our named executive officers, other than Mr. Hall, who retired on November 6, 2006, under existing contracts, agreements, plans or arrangements, whether written or unwritten for various scenarios involving a termination of each of such named executive officers, assuming a May 31, 2007 termination date and, where applicable, using the closing price of our common stock of $25.55 on May 31, 2007. These amounts are estimates only. The actual amounts to be paid out can only be determined at the time of such executive officer’s separation from us.</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stock option or restricted stock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in the discretion of the Compensation Committee.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ind w:left="120"/>
              <w:spacing w:after="0"/>
              <w:rPr>
                <w:sz w:val="20"/>
                <w:szCs w:val="20"/>
                <w:color w:val="auto"/>
              </w:rPr>
            </w:pPr>
            <w:r>
              <w:rPr>
                <w:rFonts w:ascii="Arial" w:cs="Arial" w:eastAsia="Arial" w:hAnsi="Arial"/>
                <w:sz w:val="14"/>
                <w:szCs w:val="14"/>
                <w:b w:val="1"/>
                <w:bCs w:val="1"/>
                <w:color w:val="auto"/>
                <w:w w:val="94"/>
              </w:rPr>
              <w:t>Change of Control with Adverse Event or</w:t>
            </w:r>
          </w:p>
        </w:tc>
        <w:tc>
          <w:tcPr>
            <w:tcW w:w="2640" w:type="dxa"/>
            <w:vAlign w:val="bottom"/>
            <w:gridSpan w:val="7"/>
          </w:tcPr>
          <w:p>
            <w:pPr>
              <w:ind w:left="100"/>
              <w:spacing w:after="0"/>
              <w:rPr>
                <w:sz w:val="20"/>
                <w:szCs w:val="20"/>
                <w:color w:val="auto"/>
              </w:rPr>
            </w:pPr>
            <w:r>
              <w:rPr>
                <w:rFonts w:ascii="Arial" w:cs="Arial" w:eastAsia="Arial" w:hAnsi="Arial"/>
                <w:sz w:val="14"/>
                <w:szCs w:val="14"/>
                <w:b w:val="1"/>
                <w:bCs w:val="1"/>
                <w:color w:val="auto"/>
                <w:w w:val="92"/>
              </w:rPr>
              <w:t>Termination by the Company at any Time</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Voluntary</w:t>
            </w:r>
          </w:p>
        </w:tc>
        <w:tc>
          <w:tcPr>
            <w:tcW w:w="100" w:type="dxa"/>
            <w:vAlign w:val="bottom"/>
          </w:tcPr>
          <w:p>
            <w:pPr>
              <w:spacing w:after="0"/>
              <w:rPr>
                <w:sz w:val="14"/>
                <w:szCs w:val="14"/>
                <w:color w:val="auto"/>
              </w:rPr>
            </w:pPr>
          </w:p>
        </w:tc>
        <w:tc>
          <w:tcPr>
            <w:tcW w:w="12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5"/>
              </w:rPr>
              <w:t>Retirement, Death</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Termination</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Borders>
              <w:bottom w:val="single" w:sz="8" w:color="auto"/>
            </w:tcBorders>
            <w:gridSpan w:val="7"/>
          </w:tcPr>
          <w:p>
            <w:pPr>
              <w:jc w:val="right"/>
              <w:ind w:right="372"/>
              <w:spacing w:after="0"/>
              <w:rPr>
                <w:sz w:val="20"/>
                <w:szCs w:val="20"/>
                <w:color w:val="auto"/>
              </w:rPr>
            </w:pPr>
            <w:r>
              <w:rPr>
                <w:rFonts w:ascii="Arial" w:cs="Arial" w:eastAsia="Arial" w:hAnsi="Arial"/>
                <w:sz w:val="14"/>
                <w:szCs w:val="14"/>
                <w:b w:val="1"/>
                <w:bCs w:val="1"/>
                <w:color w:val="auto"/>
              </w:rPr>
              <w:t>for Reasons Other than Cause</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100" w:type="dxa"/>
            <w:vAlign w:val="bottom"/>
          </w:tcPr>
          <w:p>
            <w:pPr>
              <w:spacing w:after="0"/>
              <w:rPr>
                <w:sz w:val="14"/>
                <w:szCs w:val="14"/>
                <w:color w:val="auto"/>
              </w:rPr>
            </w:pPr>
          </w:p>
        </w:tc>
        <w:tc>
          <w:tcPr>
            <w:tcW w:w="12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or Disability</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Value</w:t>
            </w: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Value 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Value 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Stock for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Non-</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for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for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which</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that</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Restrictions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Salary</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would</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would</w:t>
            </w: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No</w:t>
            </w: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10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79"/>
              </w:rPr>
              <w:t>Severance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Severance</w:t>
            </w: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Vest</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Lapse</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Severance</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Severance</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Lapse</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Lapse</w:t>
            </w:r>
          </w:p>
        </w:tc>
        <w:tc>
          <w:tcPr>
            <w:tcW w:w="10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Potential</w:t>
            </w:r>
          </w:p>
        </w:tc>
        <w:tc>
          <w:tcPr>
            <w:tcW w:w="0" w:type="dxa"/>
            <w:vAlign w:val="bottom"/>
          </w:tcPr>
          <w:p>
            <w:pPr>
              <w:spacing w:after="0"/>
              <w:rPr>
                <w:sz w:val="1"/>
                <w:szCs w:val="1"/>
                <w:color w:val="auto"/>
              </w:rPr>
            </w:pPr>
          </w:p>
        </w:tc>
      </w:tr>
      <w:tr>
        <w:trPr>
          <w:trHeight w:val="16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 (2)</w:t>
            </w:r>
          </w:p>
        </w:tc>
        <w:tc>
          <w:tcPr>
            <w:tcW w:w="56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4"/>
              </w:rPr>
              <w:t>($) (3)</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 (4)</w:t>
            </w:r>
          </w:p>
        </w:tc>
        <w:tc>
          <w:tcPr>
            <w:tcW w:w="10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 (2)</w:t>
            </w: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 (3)</w:t>
            </w:r>
          </w:p>
        </w:tc>
        <w:tc>
          <w:tcPr>
            <w:tcW w:w="8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9"/>
              </w:rPr>
              <w:t>($) (4)</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56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9"/>
              </w:rPr>
              <w:t>($) (3)</w:t>
            </w:r>
          </w:p>
        </w:tc>
        <w:tc>
          <w:tcPr>
            <w:tcW w:w="8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9"/>
              </w:rPr>
              <w:t>($) (4)</w:t>
            </w:r>
          </w:p>
        </w:tc>
        <w:tc>
          <w:tcPr>
            <w:tcW w:w="10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J. Bradley</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4,420,917</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475,000</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475,000</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4,420,917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4,420,917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5,370,917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George L. Austin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92,512</w:t>
            </w: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928,000</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168,630</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225,000</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92,512</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6"/>
              </w:rPr>
              <w:t>928,000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168,630</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6"/>
              </w:rPr>
              <w:t>928,000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168,630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1,414,142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S. Newmeister (5)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61,735</w:t>
            </w:r>
          </w:p>
        </w:tc>
        <w:tc>
          <w:tcPr>
            <w:tcW w:w="6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199,730</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56,210</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6"/>
              </w:rPr>
              <w:t>199,730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56,210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James P. Ryan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260,000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76,625</w:t>
            </w: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698,060</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84,316</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260,000</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76,625</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6"/>
              </w:rPr>
              <w:t>698,060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84,316</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6"/>
              </w:rPr>
              <w:t>698,060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84,316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1,119,001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Bradley J. Rinehart (5)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50,532</w:t>
            </w:r>
          </w:p>
        </w:tc>
        <w:tc>
          <w:tcPr>
            <w:tcW w:w="6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264,395</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84,316</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6"/>
              </w:rPr>
              <w:t>264,395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84,316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604,243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payment of annual salary for the event specified based on annual salary as of May 31, 2007.</w:t>
      </w:r>
    </w:p>
    <w:p>
      <w:pPr>
        <w:spacing w:after="0" w:line="211"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payment of non-equity incentive severance for the event specified based on the average annual incentive payments received over the last three completed fiscal years.</w:t>
      </w:r>
    </w:p>
    <w:p>
      <w:pPr>
        <w:spacing w:after="0" w:line="172" w:lineRule="exact"/>
        <w:rPr>
          <w:rFonts w:ascii="Arial" w:cs="Arial" w:eastAsia="Arial" w:hAnsi="Arial"/>
          <w:sz w:val="18"/>
          <w:szCs w:val="18"/>
          <w:color w:val="auto"/>
        </w:rPr>
      </w:pPr>
    </w:p>
    <w:p>
      <w:pPr>
        <w:jc w:val="both"/>
        <w:ind w:left="460" w:right="4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May 31, 2007, multiplied by the number of shares represented by nonvested stock options at May 31, 2007.</w:t>
      </w:r>
    </w:p>
    <w:p>
      <w:pPr>
        <w:spacing w:after="0" w:line="180" w:lineRule="exact"/>
        <w:rPr>
          <w:rFonts w:ascii="Arial" w:cs="Arial" w:eastAsia="Arial" w:hAnsi="Arial"/>
          <w:sz w:val="18"/>
          <w:szCs w:val="18"/>
          <w:color w:val="auto"/>
        </w:rPr>
      </w:pPr>
    </w:p>
    <w:p>
      <w:pPr>
        <w:ind w:left="460" w:right="22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value the Named Executive Officer would realize for the lapsing of restrictions on restricted stock due to the specified event. The value is the number of shares held with restrictions at May 31, 2007 multiplied by the market price of common stock at the close of business on May 31, 2007.</w:t>
      </w:r>
    </w:p>
    <w:p>
      <w:pPr>
        <w:spacing w:after="0" w:line="125" w:lineRule="exact"/>
        <w:rPr>
          <w:rFonts w:ascii="Arial" w:cs="Arial" w:eastAsia="Arial" w:hAnsi="Arial"/>
          <w:sz w:val="16"/>
          <w:szCs w:val="16"/>
          <w:color w:val="auto"/>
        </w:rPr>
      </w:pPr>
    </w:p>
    <w:p>
      <w:pPr>
        <w:ind w:left="460" w:right="18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Newmeister and Mr. Rinehart do not have general severance provisions in their Change of Control Agreements. Under their agreements, they are eligible to receive a severance benefit only in the event of Change of Control occurs and an adverse action is taken against them. However, the Company may elect to provide severance pay to executive officers in situations other than a Change of Control event. The Company maintains the flexibility and discretion to provide severance pay to executive officers in the event of termination for reasons other than cause. To be eligible to receive payment of any severance benefits, executive officers are required to sign severance documents, including but not limited to, a waiver and release of all claims and a confidentiality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table sets forth, as of August 1, 2007, certain information with respect to the shares of Common Stock beneficially owned by (i) each person known by the Company to own beneficially more than five percent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Identity of Beneficial Owner</w:t>
            </w:r>
          </w:p>
        </w:tc>
        <w:tc>
          <w:tcPr>
            <w:tcW w:w="1220" w:type="dxa"/>
            <w:vAlign w:val="bottom"/>
          </w:tcPr>
          <w:p>
            <w:pPr>
              <w:spacing w:after="0"/>
              <w:rPr>
                <w:sz w:val="14"/>
                <w:szCs w:val="14"/>
                <w:color w:val="auto"/>
              </w:rPr>
            </w:pPr>
          </w:p>
        </w:tc>
        <w:tc>
          <w:tcPr>
            <w:tcW w:w="300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86"/>
              </w:rPr>
              <w:t>Shares Beneficially Owned</w:t>
            </w:r>
          </w:p>
        </w:tc>
        <w:tc>
          <w:tcPr>
            <w:tcW w:w="1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Calculated Ownership % (6)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Tontine Capital Partners, LP, et. al.</w:t>
            </w:r>
          </w:p>
        </w:tc>
        <w:tc>
          <w:tcPr>
            <w:tcW w:w="12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3,306,409(1)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55 Railroad Avenue, 3rd Floor</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Greenwich, CT 06830</w:t>
            </w:r>
          </w:p>
        </w:tc>
        <w:tc>
          <w:tcPr>
            <w:tcW w:w="1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400" w:type="dxa"/>
            <w:vAlign w:val="bottom"/>
            <w:gridSpan w:val="2"/>
          </w:tcPr>
          <w:p>
            <w:pPr>
              <w:spacing w:after="0"/>
              <w:rPr>
                <w:sz w:val="20"/>
                <w:szCs w:val="20"/>
                <w:color w:val="auto"/>
              </w:rPr>
            </w:pPr>
            <w:r>
              <w:rPr>
                <w:rFonts w:ascii="Arial" w:cs="Arial" w:eastAsia="Arial" w:hAnsi="Arial"/>
                <w:sz w:val="18"/>
                <w:szCs w:val="18"/>
                <w:color w:val="auto"/>
              </w:rPr>
              <w:t>Bear Stearns Asset Management Inc.</w:t>
            </w:r>
          </w:p>
        </w:tc>
        <w:tc>
          <w:tcPr>
            <w:tcW w:w="4220" w:type="dxa"/>
            <w:vAlign w:val="bottom"/>
            <w:gridSpan w:val="3"/>
          </w:tcPr>
          <w:p>
            <w:pPr>
              <w:jc w:val="right"/>
              <w:ind w:right="1240"/>
              <w:spacing w:after="0"/>
              <w:rPr>
                <w:sz w:val="20"/>
                <w:szCs w:val="20"/>
                <w:color w:val="auto"/>
              </w:rPr>
            </w:pPr>
            <w:r>
              <w:rPr>
                <w:rFonts w:ascii="Arial" w:cs="Arial" w:eastAsia="Arial" w:hAnsi="Arial"/>
                <w:sz w:val="18"/>
                <w:szCs w:val="18"/>
                <w:color w:val="auto"/>
              </w:rPr>
              <w:t>2,496,594(2)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383 Madison Avenue</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New York, NY 10179</w:t>
            </w:r>
          </w:p>
        </w:tc>
        <w:tc>
          <w:tcPr>
            <w:tcW w:w="1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Barclays Global Fund Advisors, et. al.</w:t>
            </w:r>
          </w:p>
        </w:tc>
        <w:tc>
          <w:tcPr>
            <w:tcW w:w="42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1,362,098(3)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45 Freemont Street</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94105</w:t>
            </w:r>
          </w:p>
        </w:tc>
        <w:tc>
          <w:tcPr>
            <w:tcW w:w="1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Michael J. Hall</w:t>
            </w:r>
          </w:p>
        </w:tc>
        <w:tc>
          <w:tcPr>
            <w:tcW w:w="4220" w:type="dxa"/>
            <w:vAlign w:val="bottom"/>
            <w:gridSpan w:val="3"/>
          </w:tcPr>
          <w:p>
            <w:pPr>
              <w:jc w:val="right"/>
              <w:ind w:right="1240"/>
              <w:spacing w:after="0"/>
              <w:rPr>
                <w:sz w:val="20"/>
                <w:szCs w:val="20"/>
                <w:color w:val="auto"/>
              </w:rPr>
            </w:pPr>
            <w:r>
              <w:rPr>
                <w:rFonts w:ascii="Arial" w:cs="Arial" w:eastAsia="Arial" w:hAnsi="Arial"/>
                <w:sz w:val="18"/>
                <w:szCs w:val="18"/>
                <w:color w:val="auto"/>
              </w:rPr>
              <w:t>25,000(4)</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 Edgar Hendrix</w:t>
            </w:r>
          </w:p>
        </w:tc>
        <w:tc>
          <w:tcPr>
            <w:tcW w:w="42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2,200(4)</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Paul K. Lackey</w:t>
            </w:r>
          </w:p>
        </w:tc>
        <w:tc>
          <w:tcPr>
            <w:tcW w:w="4220" w:type="dxa"/>
            <w:vAlign w:val="bottom"/>
            <w:gridSpan w:val="3"/>
          </w:tcPr>
          <w:p>
            <w:pPr>
              <w:jc w:val="right"/>
              <w:ind w:right="1240"/>
              <w:spacing w:after="0"/>
              <w:rPr>
                <w:sz w:val="20"/>
                <w:szCs w:val="20"/>
                <w:color w:val="auto"/>
              </w:rPr>
            </w:pPr>
            <w:r>
              <w:rPr>
                <w:rFonts w:ascii="Arial" w:cs="Arial" w:eastAsia="Arial" w:hAnsi="Arial"/>
                <w:sz w:val="18"/>
                <w:szCs w:val="18"/>
                <w:color w:val="auto"/>
              </w:rPr>
              <w:t>12,500(4)</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Tom E. Maxwell</w:t>
            </w:r>
          </w:p>
        </w:tc>
        <w:tc>
          <w:tcPr>
            <w:tcW w:w="42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18,500(4)</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David J. Tippeconnic</w:t>
            </w:r>
          </w:p>
        </w:tc>
        <w:tc>
          <w:tcPr>
            <w:tcW w:w="4220" w:type="dxa"/>
            <w:vAlign w:val="bottom"/>
            <w:gridSpan w:val="3"/>
          </w:tcPr>
          <w:p>
            <w:pPr>
              <w:jc w:val="right"/>
              <w:ind w:right="1240"/>
              <w:spacing w:after="0"/>
              <w:rPr>
                <w:sz w:val="20"/>
                <w:szCs w:val="20"/>
                <w:color w:val="auto"/>
              </w:rPr>
            </w:pPr>
            <w:r>
              <w:rPr>
                <w:rFonts w:ascii="Arial" w:cs="Arial" w:eastAsia="Arial" w:hAnsi="Arial"/>
                <w:sz w:val="18"/>
                <w:szCs w:val="18"/>
                <w:color w:val="auto"/>
              </w:rPr>
              <w:t>2,500(4)</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42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46,300(4)</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Michael J. Bradley</w:t>
            </w:r>
          </w:p>
        </w:tc>
        <w:tc>
          <w:tcPr>
            <w:tcW w:w="4220" w:type="dxa"/>
            <w:vAlign w:val="bottom"/>
            <w:gridSpan w:val="3"/>
          </w:tcPr>
          <w:p>
            <w:pPr>
              <w:jc w:val="right"/>
              <w:ind w:right="1240"/>
              <w:spacing w:after="0"/>
              <w:rPr>
                <w:sz w:val="20"/>
                <w:szCs w:val="20"/>
                <w:color w:val="auto"/>
              </w:rPr>
            </w:pPr>
            <w:r>
              <w:rPr>
                <w:rFonts w:ascii="Arial" w:cs="Arial" w:eastAsia="Arial" w:hAnsi="Arial"/>
                <w:sz w:val="18"/>
                <w:szCs w:val="18"/>
                <w:color w:val="auto"/>
              </w:rPr>
              <w:t>128,630(4)</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42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38,100(4)</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Bradley J. Rinehart</w:t>
            </w:r>
          </w:p>
        </w:tc>
        <w:tc>
          <w:tcPr>
            <w:tcW w:w="4220" w:type="dxa"/>
            <w:vAlign w:val="bottom"/>
            <w:gridSpan w:val="3"/>
          </w:tcPr>
          <w:p>
            <w:pPr>
              <w:jc w:val="right"/>
              <w:ind w:right="1240"/>
              <w:spacing w:after="0"/>
              <w:rPr>
                <w:sz w:val="20"/>
                <w:szCs w:val="20"/>
                <w:color w:val="auto"/>
              </w:rPr>
            </w:pPr>
            <w:r>
              <w:rPr>
                <w:rFonts w:ascii="Arial" w:cs="Arial" w:eastAsia="Arial" w:hAnsi="Arial"/>
                <w:sz w:val="18"/>
                <w:szCs w:val="18"/>
                <w:color w:val="auto"/>
              </w:rPr>
              <w:t>48,650(4)</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James P. Ryan</w:t>
            </w:r>
          </w:p>
        </w:tc>
        <w:tc>
          <w:tcPr>
            <w:tcW w:w="42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21,150(4)</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5400" w:type="dxa"/>
            <w:vAlign w:val="bottom"/>
            <w:gridSpan w:val="2"/>
          </w:tcPr>
          <w:p>
            <w:pPr>
              <w:spacing w:after="0"/>
              <w:rPr>
                <w:sz w:val="20"/>
                <w:szCs w:val="20"/>
                <w:color w:val="auto"/>
              </w:rPr>
            </w:pPr>
            <w:r>
              <w:rPr>
                <w:rFonts w:ascii="Arial" w:cs="Arial" w:eastAsia="Arial" w:hAnsi="Arial"/>
                <w:sz w:val="18"/>
                <w:szCs w:val="18"/>
                <w:color w:val="auto"/>
                <w:w w:val="98"/>
              </w:rPr>
              <w:t>All directors, director nominees and executive officers as a group (16</w:t>
            </w:r>
          </w:p>
        </w:tc>
        <w:tc>
          <w:tcPr>
            <w:tcW w:w="4220" w:type="dxa"/>
            <w:vAlign w:val="bottom"/>
            <w:gridSpan w:val="3"/>
          </w:tcPr>
          <w:p>
            <w:pPr>
              <w:jc w:val="right"/>
              <w:ind w:right="1240"/>
              <w:spacing w:after="0"/>
              <w:rPr>
                <w:sz w:val="20"/>
                <w:szCs w:val="20"/>
                <w:color w:val="auto"/>
              </w:rPr>
            </w:pPr>
            <w:r>
              <w:rPr>
                <w:rFonts w:ascii="Arial" w:cs="Arial" w:eastAsia="Arial" w:hAnsi="Arial"/>
                <w:sz w:val="18"/>
                <w:szCs w:val="18"/>
                <w:color w:val="auto"/>
              </w:rPr>
              <w:t>371,720(4)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persons)</w:t>
            </w:r>
          </w:p>
        </w:tc>
        <w:tc>
          <w:tcPr>
            <w:tcW w:w="1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620" w:right="4760" w:hanging="5612"/>
        <w:spacing w:after="0" w:line="525" w:lineRule="auto"/>
        <w:tabs>
          <w:tab w:leader="none" w:pos="448"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Indicates ownership of less than one percent of the outstanding shares of common stock. 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Information is as of October 3, 2005 and is based on the Schedule 13G/A dated October 5, 2005 which was filed by Tontine Capital Partners, L.P. (“TCP”), Tontine Capital Management, L.L.C. (“TCM”), and Jeffrey L. Gendell. TCM, the General Partner of TCP, has the power to direct the affairs of TCP, including decisions respecting the disposition of the proceeds from the sale of the shares. Mr. Gendell is the Managing Member of TCM and in that capacity directs its operations. Each of TCP, TCM and Mr. Gendell have shared voting and dispositive power over 3,306,409 shares.</w:t>
      </w:r>
    </w:p>
    <w:p>
      <w:pPr>
        <w:spacing w:after="0" w:line="15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is as of December 31, 2006 and is based on the Schedule 13G dated January 11, 2007 which was filed by Bear Stearns Asset Management Inc. Of the shares shown, Bear Stearns Asset Management Inc. has sole voting power over 803,098 shares, shared voting power over 1,243,687 shares, sole dispositive power over 943,304 shares and shared dispositive power over 1,243,687 shares.</w:t>
      </w:r>
    </w:p>
    <w:p>
      <w:pPr>
        <w:spacing w:after="0" w:line="180" w:lineRule="exact"/>
        <w:rPr>
          <w:rFonts w:ascii="Arial" w:cs="Arial" w:eastAsia="Arial" w:hAnsi="Arial"/>
          <w:sz w:val="18"/>
          <w:szCs w:val="18"/>
          <w:color w:val="auto"/>
        </w:rPr>
      </w:pPr>
    </w:p>
    <w:p>
      <w:pPr>
        <w:jc w:val="both"/>
        <w:ind w:left="460" w:right="240" w:hanging="452"/>
        <w:spacing w:after="0" w:line="30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Information is as of December 31, 2006 and is based on the Schedule 13G dated January 23, 2007 filed by Barclays Global Fund Advisors and Barclays Global Investors, N.A. Of the shares shown, Barclays Global Investors, N.A. has sole voting power over 857,766 shares and sole dispositive power over 1,012,866 shares, and Barclays Global Fund Advisors has sole voting power and sole dispositive power over 349,232 shares.</w:t>
      </w:r>
    </w:p>
    <w:p>
      <w:pPr>
        <w:spacing w:after="0" w:line="147" w:lineRule="exact"/>
        <w:rPr>
          <w:rFonts w:ascii="Arial" w:cs="Arial" w:eastAsia="Arial" w:hAnsi="Arial"/>
          <w:sz w:val="16"/>
          <w:szCs w:val="16"/>
          <w:color w:val="auto"/>
        </w:rPr>
      </w:pPr>
    </w:p>
    <w:p>
      <w:pPr>
        <w:ind w:left="460" w:right="160" w:hanging="452"/>
        <w:spacing w:after="0" w:line="305"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Includes the following shares of common stock that are issuable upon the exercise of stock options that are currently exercisable or are exercisable within 60 days after August 1, 2007: Mr. Hall—25,000 shares; Mr. Lackey—12,500 shares; Mr. Maxwell—17,500 shares; Mr. Tippeconnic—2,500 shares;</w:t>
      </w:r>
    </w:p>
    <w:p>
      <w:pPr>
        <w:ind w:left="460" w:right="120"/>
        <w:spacing w:after="0" w:line="261" w:lineRule="auto"/>
        <w:rPr>
          <w:rFonts w:ascii="Arial" w:cs="Arial" w:eastAsia="Arial" w:hAnsi="Arial"/>
          <w:sz w:val="15"/>
          <w:szCs w:val="15"/>
          <w:color w:val="auto"/>
        </w:rPr>
      </w:pPr>
      <w:r>
        <w:rPr>
          <w:rFonts w:ascii="Arial" w:cs="Arial" w:eastAsia="Arial" w:hAnsi="Arial"/>
          <w:sz w:val="18"/>
          <w:szCs w:val="18"/>
          <w:color w:val="auto"/>
        </w:rPr>
        <w:t>Mr. Austin—25,000 shares; Mr. Newmeister—34,000 shares; Mr. Rinehart—45,500 shares; Mr. Ryan—4,500 shares; 16 Directors and Executive Officers as a group—183,040 shares.</w:t>
      </w:r>
    </w:p>
    <w:p>
      <w:pPr>
        <w:spacing w:after="0" w:line="137" w:lineRule="exact"/>
        <w:rPr>
          <w:rFonts w:ascii="Arial" w:cs="Arial" w:eastAsia="Arial" w:hAnsi="Arial"/>
          <w:sz w:val="15"/>
          <w:szCs w:val="15"/>
          <w:color w:val="auto"/>
        </w:rPr>
      </w:pPr>
    </w:p>
    <w:p>
      <w:pPr>
        <w:jc w:val="both"/>
        <w:ind w:left="460" w:right="180"/>
        <w:spacing w:after="0" w:line="370" w:lineRule="auto"/>
        <w:rPr>
          <w:rFonts w:ascii="Arial" w:cs="Arial" w:eastAsia="Arial" w:hAnsi="Arial"/>
          <w:sz w:val="15"/>
          <w:szCs w:val="15"/>
          <w:color w:val="auto"/>
        </w:rPr>
      </w:pPr>
      <w:r>
        <w:rPr>
          <w:rFonts w:ascii="Arial" w:cs="Arial" w:eastAsia="Arial" w:hAnsi="Arial"/>
          <w:sz w:val="15"/>
          <w:szCs w:val="15"/>
          <w:color w:val="auto"/>
        </w:rPr>
        <w:t>Also includes the following shares of restricted stock awards beneficially owned, but not yet released: Mr. Austin—3,300 shares; Mr. Bradley—128,630 shares; Mr. Newmeister—1,100 shares; Mr. Rinehart—1,650 shares; Mr. Ryan—1,650 shares; 16 Directors and Executive Officers as a group—143,480.</w:t>
      </w:r>
    </w:p>
    <w:p>
      <w:pPr>
        <w:spacing w:after="0" w:line="102" w:lineRule="exact"/>
        <w:rPr>
          <w:rFonts w:ascii="Arial" w:cs="Arial" w:eastAsia="Arial" w:hAnsi="Arial"/>
          <w:sz w:val="15"/>
          <w:szCs w:val="15"/>
          <w:color w:val="auto"/>
        </w:rPr>
      </w:pPr>
    </w:p>
    <w:p>
      <w:pPr>
        <w:ind w:left="460" w:right="12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beneficially owned include restricted stock held by our executive officers and directors over which they have voting power but not investment power. Shares of Common Stock which were not outstanding but which could be acquired by an executive officer upon exercise of an option within 60 days of August 1, 2007, and which are deemed outstanding for the purpose of computing the percentage of outstanding shares beneficially owned by such executive officer, are not deemed to be outstanding for the purpose of computing the percentage of outstanding shares beneficially owned by any other person.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Section 16(a) of the Securities Exchange Act of 1934, as amended, requires the Company’s directors and executive officers, and persons who own more than 10 percent of the Company’s Common Stock, to report their initial ownership of the Common Stock and any subsequent changes in ownership (Forms 3, 4 and 5) of the Common Stock with the SEC and the Nasdaq Global Market and to furnish the Company with a copy of each such report.</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the Company’s knowledge, based solely on the Company’s review of the copies of such reports received by the Company and on written representations by certain reporting persons that no other reports were required during and with respect to fiscal 2007, all Section 16(a) filing requirements applicable to its executive officers, directors and more than 10 percent stockholders were satisfied on a timely basis, except for one transaction related to the exercise of incentive stock options by Mr. Ryan and two transactions involving the exercise of non qualified stock options by Mr. Lackey and Mr. Hugh Bradley, who has subsequently retired from the Board of Directors. These transactions were not reported timely due to an administrative error by the Company.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all of Matrix’s existing approved equity compensation plans as of May 31, 2007, including the Company’s 1990, 1991 and 2004 stock option plans and the 1995 Nonemployee Directors’ Stock Option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(b)</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 of securities to be</w:t>
            </w:r>
          </w:p>
        </w:tc>
        <w:tc>
          <w:tcPr>
            <w:tcW w:w="880" w:type="dxa"/>
            <w:vAlign w:val="bottom"/>
          </w:tcPr>
          <w:p>
            <w:pPr>
              <w:spacing w:after="0"/>
              <w:rPr>
                <w:sz w:val="12"/>
                <w:szCs w:val="12"/>
                <w:color w:val="auto"/>
              </w:rPr>
            </w:pPr>
          </w:p>
        </w:tc>
        <w:tc>
          <w:tcPr>
            <w:tcW w:w="20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8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880" w:type="dxa"/>
            <w:vAlign w:val="bottom"/>
          </w:tcPr>
          <w:p>
            <w:pPr>
              <w:spacing w:after="0"/>
              <w:rPr>
                <w:sz w:val="12"/>
                <w:szCs w:val="12"/>
                <w:color w:val="auto"/>
              </w:rPr>
            </w:pPr>
          </w:p>
        </w:tc>
        <w:tc>
          <w:tcPr>
            <w:tcW w:w="20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8"/>
        </w:trPr>
        <w:tc>
          <w:tcPr>
            <w:tcW w:w="49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880" w:type="dxa"/>
            <w:vAlign w:val="bottom"/>
          </w:tcPr>
          <w:p>
            <w:pPr>
              <w:spacing w:after="0"/>
              <w:rPr>
                <w:sz w:val="12"/>
                <w:szCs w:val="12"/>
                <w:color w:val="auto"/>
              </w:rPr>
            </w:pPr>
          </w:p>
        </w:tc>
        <w:tc>
          <w:tcPr>
            <w:tcW w:w="2020" w:type="dxa"/>
            <w:vAlign w:val="bottom"/>
            <w:gridSpan w:val="3"/>
          </w:tcPr>
          <w:p>
            <w:pPr>
              <w:jc w:val="center"/>
              <w:ind w:right="86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13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7.09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6.66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 ALS OF STOCKHOLDERS</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May 21, 2008, if the proposal is to be considered for inclusion in the Company’s proxy statement and proxy card for such meeting.</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2008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80 days prior to the date of the meeting; provided, however, that in the event that the date of such annual meeting is not publicly announced by the Company more than 90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 and Annual Report to Shareholders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copy of the Company’s Annual Report on Form 10-K for the fiscal year ended May 31, 2007 (without exhibits or documents incorporated by reference) including any financial statements and schedules and exhibits thereto, may be obtained without charge by written request to George L. Austin, Vice President Finance, Matrix Service Company, 10701 East Ute Street, Tulsa, Oklahoma 74116 or by visiting the Investors Section of the Company’s internet website at http://www.matrixservice.com.</w:t>
      </w:r>
    </w:p>
    <w:p>
      <w:pPr>
        <w:spacing w:after="0" w:line="26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George L.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George L. Austin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240" w:top="459" w:right="5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PROXY IS SOLICITED ON BEHALF OF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MATRIX SERVICE COMPANY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10701 East Ute Street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Tulsa, Oklahoma 74116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(918) 838-8822</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FOR 2007 ANNUAL MEETING OF SHAREHOLDERS OCTOBER 22, 2007</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undersigned shareholder(s) of Matrix Service Company, a Delaware corporation, hereby acknowledges receipt of the Notice of Annual Meeting of Shareholders and Proxy Statement, each dated September 14, 2007, and hereby appoints Michael J. Bradley and George L. Austin, and each of them, Proxies and Attorneys-in-Fact, with full power to each of substitution, on behalf and in the name of the undersigned, to represent the undersigned at the 2007 Annual Meeting of Shareholders of Matrix Service Company to be held on October 22, 2007 at 10:30 a.m., Central time, at Matrix Service’s Regional Offices, located at 1105 West Main Parkway, Catoosa, Oklahoma, and at any and all adjournments or postponements thereof, and to vote all shares of Common Stock which the undersigned would be entitled to vote if personally present on any of the following matters and with discretionary authority as to any and all other matters that may properly come before the meeting.</w:t>
      </w:r>
    </w:p>
    <w:p>
      <w:pPr>
        <w:spacing w:after="0" w:line="1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5"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FOR all the nominees listed below (except as indicated).</w:t>
      </w:r>
    </w:p>
    <w:p>
      <w:pPr>
        <w:spacing w:after="0" w:line="16" w:lineRule="exact"/>
        <w:rPr>
          <w:rFonts w:ascii="MS PGothic" w:cs="MS PGothic" w:eastAsia="MS PGothic" w:hAnsi="MS PGothic"/>
          <w:sz w:val="18"/>
          <w:szCs w:val="18"/>
          <w:color w:val="auto"/>
        </w:rPr>
      </w:pPr>
    </w:p>
    <w:p>
      <w:pPr>
        <w:ind w:left="1480" w:hanging="567"/>
        <w:spacing w:after="0"/>
        <w:tabs>
          <w:tab w:leader="none" w:pos="1480" w:val="left"/>
        </w:tabs>
        <w:numPr>
          <w:ilvl w:val="1"/>
          <w:numId w:val="33"/>
        </w:numPr>
        <w:rPr>
          <w:rFonts w:ascii="MS PGothic" w:cs="MS PGothic" w:eastAsia="MS PGothic" w:hAnsi="MS PGothic"/>
          <w:sz w:val="18"/>
          <w:szCs w:val="18"/>
          <w:color w:val="auto"/>
        </w:rPr>
      </w:pPr>
      <w:r>
        <w:rPr>
          <w:rFonts w:ascii="Arial" w:cs="Arial" w:eastAsia="Arial" w:hAnsi="Arial"/>
          <w:sz w:val="18"/>
          <w:szCs w:val="18"/>
          <w:color w:val="auto"/>
        </w:rPr>
        <w:t>WITHHOLD authority to vote for all nominees listed below.</w:t>
      </w:r>
    </w:p>
    <w:p>
      <w:pPr>
        <w:spacing w:after="0" w:line="15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YOU WISH TO WITHHOLD AUTHORITY TO VOTE FOR ANY INDIVIDUAL NOMINEE, STRIKE A LINE THROUGH THAT NOMINEE’S NAME IN THE LIST BELOW: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Michael J. Bradley, Michael J. Hall, I. Edgar (Ed) Hendrix, Paul K. Lackey, Tom E. Maxwell and David J. Tippeconnic.</w:t>
      </w:r>
    </w:p>
    <w:p>
      <w:pPr>
        <w:spacing w:after="0" w:line="212"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ratify the engagement of Deloitte &amp; Touche LLP as the Company’s independent registered public accounting firm for fiscal 2008.</w:t>
      </w:r>
    </w:p>
    <w:p>
      <w:pPr>
        <w:spacing w:after="0" w:line="15" w:lineRule="exact"/>
        <w:rPr>
          <w:rFonts w:ascii="Arial" w:cs="Arial" w:eastAsia="Arial" w:hAnsi="Arial"/>
          <w:sz w:val="18"/>
          <w:szCs w:val="18"/>
          <w:color w:val="auto"/>
        </w:rPr>
      </w:pPr>
    </w:p>
    <w:p>
      <w:pPr>
        <w:ind w:left="1480" w:hanging="567"/>
        <w:spacing w:after="0"/>
        <w:tabs>
          <w:tab w:leader="none" w:pos="1480" w:val="left"/>
        </w:tabs>
        <w:numPr>
          <w:ilvl w:val="1"/>
          <w:numId w:val="34"/>
        </w:numPr>
        <w:rPr>
          <w:rFonts w:ascii="MS PGothic" w:cs="MS PGothic" w:eastAsia="MS PGothic" w:hAnsi="MS PGothic"/>
          <w:sz w:val="18"/>
          <w:szCs w:val="18"/>
          <w:color w:val="auto"/>
        </w:rPr>
      </w:pPr>
      <w:r>
        <w:rPr>
          <w:rFonts w:ascii="Arial" w:cs="Arial" w:eastAsia="Arial" w:hAnsi="Arial"/>
          <w:sz w:val="18"/>
          <w:szCs w:val="18"/>
          <w:color w:val="auto"/>
        </w:rPr>
        <w:t>FOR</w:t>
      </w:r>
    </w:p>
    <w:p>
      <w:pPr>
        <w:spacing w:after="0" w:line="16" w:lineRule="exact"/>
        <w:rPr>
          <w:rFonts w:ascii="MS PGothic" w:cs="MS PGothic" w:eastAsia="MS PGothic" w:hAnsi="MS PGothic"/>
          <w:sz w:val="18"/>
          <w:szCs w:val="18"/>
          <w:color w:val="auto"/>
        </w:rPr>
      </w:pPr>
    </w:p>
    <w:p>
      <w:pPr>
        <w:ind w:left="1480" w:hanging="567"/>
        <w:spacing w:after="0"/>
        <w:tabs>
          <w:tab w:leader="none" w:pos="1480" w:val="left"/>
        </w:tabs>
        <w:numPr>
          <w:ilvl w:val="1"/>
          <w:numId w:val="34"/>
        </w:numPr>
        <w:rPr>
          <w:rFonts w:ascii="MS PGothic" w:cs="MS PGothic" w:eastAsia="MS PGothic" w:hAnsi="MS PGothic"/>
          <w:sz w:val="18"/>
          <w:szCs w:val="18"/>
          <w:color w:val="auto"/>
        </w:rPr>
      </w:pPr>
      <w:r>
        <w:rPr>
          <w:rFonts w:ascii="Arial" w:cs="Arial" w:eastAsia="Arial" w:hAnsi="Arial"/>
          <w:sz w:val="18"/>
          <w:szCs w:val="18"/>
          <w:color w:val="auto"/>
        </w:rPr>
        <w:t>AGAINST</w:t>
      </w:r>
    </w:p>
    <w:p>
      <w:pPr>
        <w:spacing w:after="0" w:line="9" w:lineRule="exact"/>
        <w:rPr>
          <w:rFonts w:ascii="MS PGothic" w:cs="MS PGothic" w:eastAsia="MS PGothic" w:hAnsi="MS PGothic"/>
          <w:sz w:val="18"/>
          <w:szCs w:val="18"/>
          <w:color w:val="auto"/>
        </w:rPr>
      </w:pPr>
    </w:p>
    <w:p>
      <w:pPr>
        <w:ind w:left="1480" w:hanging="567"/>
        <w:spacing w:after="0"/>
        <w:tabs>
          <w:tab w:leader="none" w:pos="1480" w:val="left"/>
        </w:tabs>
        <w:numPr>
          <w:ilvl w:val="1"/>
          <w:numId w:val="34"/>
        </w:numPr>
        <w:rPr>
          <w:rFonts w:ascii="MS PGothic" w:cs="MS PGothic" w:eastAsia="MS PGothic" w:hAnsi="MS PGothic"/>
          <w:sz w:val="18"/>
          <w:szCs w:val="18"/>
          <w:color w:val="auto"/>
        </w:rPr>
      </w:pPr>
      <w:r>
        <w:rPr>
          <w:rFonts w:ascii="Arial" w:cs="Arial" w:eastAsia="Arial" w:hAnsi="Arial"/>
          <w:sz w:val="18"/>
          <w:szCs w:val="18"/>
          <w:color w:val="auto"/>
        </w:rPr>
        <w:t>ABSTAIN</w:t>
      </w:r>
    </w:p>
    <w:p>
      <w:pPr>
        <w:spacing w:after="0" w:line="197" w:lineRule="exact"/>
        <w:rPr>
          <w:rFonts w:ascii="MS PGothic" w:cs="MS PGothic" w:eastAsia="MS PGothic" w:hAnsi="MS PGothic"/>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vote upon such other business as may properly come before the meeting or any and all postponements or adjournments thereof.</w:t>
      </w:r>
    </w:p>
    <w:p>
      <w:pPr>
        <w:spacing w:after="0" w:line="194"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SHARES REPRESENTED BY THIS PROXY WILL BE VOTED IN ACCORDANCE WITH THE SPECIFICATIONS MADE. IF NO SPECIFICATION IS MADE, THE SHARES REPRESENTED BY THIS PROXY WILL BE VOTED FOR EACH OF THE ABOVE PERSONS AND PROPOSALS, AND FOR SUCH OTHER MATTERS AS MAY PROPERLY COME BEFORE THE MEETING AS THE BOARD OF DIRECTORS MAY RECOMMEND OR, IN THE ABSENCE OF A RECOMMENDATION, AS THE PROXY HOLDERS IN THEIR DISCRETION DEEM ADVISABLE.</w:t>
      </w:r>
    </w:p>
    <w:p>
      <w:pPr>
        <w:spacing w:after="0" w:line="153" w:lineRule="exact"/>
        <w:rPr>
          <w:sz w:val="20"/>
          <w:szCs w:val="20"/>
          <w:color w:val="auto"/>
        </w:rPr>
      </w:pPr>
    </w:p>
    <w:p>
      <w:pPr>
        <w:spacing w:after="0"/>
        <w:tabs>
          <w:tab w:leader="none" w:pos="3000" w:val="left"/>
          <w:tab w:leader="none" w:pos="5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2007</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5887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8770" cy="8890"/>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-13970</wp:posOffset>
            </wp:positionV>
            <wp:extent cx="1699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 plan to attend the meeting: </w:t>
      </w:r>
      <w:r>
        <w:rPr>
          <w:rFonts w:ascii="MS PGothic" w:cs="MS PGothic" w:eastAsia="MS PGothic" w:hAnsi="MS PGothic"/>
          <w:sz w:val="18"/>
          <w:szCs w:val="18"/>
          <w:color w:val="auto"/>
        </w:rPr>
        <w:t>☐</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proxy should be marked, dated and signed by each shareholder exactly as such shareholder’s name appears hereon, and returned promptly in the enclosed envelope. Persons signing in a fiduciary capacity should so indicate. A corporation is requested to sign its full corporate name by its duly authorized officer, with the office held designated. If a partnership, please sign in partnership name by authorized person and give title or capacity of person signing. If shares are held by joint tenants or as community property, both holders must sign.)</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ENSURE YOUR REPRESENTATION AT THE ANNUAL MEETING, PLEASE MARK, SIGN AND DATE THIS PROXY AND RETURN IT USING THE ENCLOSED ENVELOPE AS PROMPTLY AS POSSIBLE.</w:t>
      </w:r>
    </w:p>
    <w:sectPr>
      <w:pgSz w:w="11900" w:h="16838" w:orient="portrait"/>
      <w:cols w:equalWidth="0" w:num="1">
        <w:col w:w="11360"/>
      </w:cols>
      <w:pgMar w:left="240" w:top="4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2)"/>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lvl w:ilvl="1">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2"/>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lvl w:ilvl="1">
      <w:lvlJc w:val="left"/>
      <w:lvlText w:val="☐"/>
      <w:numFmt w:val="bullet"/>
      <w:start w:val="1"/>
    </w:lvl>
  </w:abstractNum>
  <w:abstractNum w:abstractNumId="33">
    <w:nsid w:val="614FD4A1"/>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2019-12-11T21:14:51Z</dcterms:created>
  <dcterms:modified xsi:type="dcterms:W3CDTF">2019-12-11T21:14:51Z</dcterms:modified>
</cp:coreProperties>
</file>