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w:t>
      </w:r>
    </w:p>
    <w:p>
      <w:pPr>
        <w:spacing w:after="0" w:line="1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w:t>
      </w:r>
    </w:p>
    <w:p>
      <w:pPr>
        <w:jc w:val="center"/>
        <w:ind w:right="-119"/>
        <w:spacing w:after="0"/>
        <w:rPr>
          <w:sz w:val="20"/>
          <w:szCs w:val="20"/>
          <w:color w:val="auto"/>
        </w:rPr>
      </w:pPr>
      <w:r>
        <w:rPr>
          <w:rFonts w:ascii="Times New Roman" w:cs="Times New Roman" w:eastAsia="Times New Roman" w:hAnsi="Times New Roman"/>
          <w:sz w:val="14"/>
          <w:szCs w:val="14"/>
          <w:color w:val="auto"/>
        </w:rPr>
        <w:t>(Mark One)</w:t>
      </w:r>
    </w:p>
    <w:p>
      <w:pPr>
        <w:spacing w:after="0" w:line="30" w:lineRule="exact"/>
        <w:rPr>
          <w:sz w:val="24"/>
          <w:szCs w:val="24"/>
          <w:color w:val="auto"/>
        </w:rPr>
      </w:pPr>
    </w:p>
    <w:p>
      <w:pPr>
        <w:ind w:left="1820" w:hanging="449"/>
        <w:spacing w:after="0"/>
        <w:tabs>
          <w:tab w:leader="none" w:pos="18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1820" w:hanging="449"/>
        <w:spacing w:after="0"/>
        <w:tabs>
          <w:tab w:leader="none" w:pos="18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 (d) of the Securities Exchange Act of 1934</w:t>
      </w:r>
    </w:p>
    <w:p>
      <w:pPr>
        <w:spacing w:after="0" w:line="132" w:lineRule="exact"/>
        <w:rPr>
          <w:sz w:val="24"/>
          <w:szCs w:val="24"/>
          <w:color w:val="auto"/>
        </w:rPr>
      </w:pPr>
    </w:p>
    <w:p>
      <w:pPr>
        <w:ind w:left="38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3933190</wp:posOffset>
            </wp:positionH>
            <wp:positionV relativeFrom="paragraph">
              <wp:posOffset>-5080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No. 1-15461</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w:t>
      </w:r>
    </w:p>
    <w:p>
      <w:pPr>
        <w:spacing w:after="0" w:line="1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MATRIX SERVICE COMPANY</w:t>
      </w:r>
    </w:p>
    <w:p>
      <w:pPr>
        <w:spacing w:after="0" w:line="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w:t>
      </w:r>
    </w:p>
    <w:p>
      <w:pPr>
        <w:sectPr>
          <w:pgSz w:w="11900" w:h="16838" w:orient="portrait"/>
          <w:cols w:equalWidth="0" w:num="1">
            <w:col w:w="11120"/>
          </w:cols>
          <w:pgMar w:left="320" w:top="472" w:right="459" w:bottom="1440" w:gutter="0" w:footer="0" w:header="0"/>
        </w:sectPr>
      </w:pPr>
    </w:p>
    <w:p>
      <w:pPr>
        <w:spacing w:after="0" w:line="145"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73-1352174</w:t>
      </w:r>
    </w:p>
    <w:p>
      <w:pPr>
        <w:spacing w:after="0" w:line="31" w:lineRule="exact"/>
        <w:rPr>
          <w:sz w:val="24"/>
          <w:szCs w:val="24"/>
          <w:color w:val="auto"/>
        </w:rPr>
      </w:pPr>
    </w:p>
    <w:p>
      <w:pPr>
        <w:sectPr>
          <w:pgSz w:w="11900" w:h="16838" w:orient="portrait"/>
          <w:cols w:equalWidth="0" w:num="2">
            <w:col w:w="7260" w:space="720"/>
            <w:col w:w="3140"/>
          </w:cols>
          <w:pgMar w:left="320" w:top="472" w:right="45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2">
            <w:col w:w="6600" w:space="720"/>
            <w:col w:w="3800"/>
          </w:cols>
          <w:pgMar w:left="320" w:top="472"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5100 East Skelly Drive, Suite 500, Tulsa, Oklahoma 74135</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(918) 838-8822</w:t>
      </w:r>
    </w:p>
    <w:p>
      <w:pPr>
        <w:spacing w:after="0" w:line="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8"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5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3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MTRX</w:t>
            </w:r>
          </w:p>
        </w:tc>
        <w:tc>
          <w:tcPr>
            <w:tcW w:w="6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44" w:lineRule="exact"/>
        <w:rPr>
          <w:sz w:val="24"/>
          <w:szCs w:val="24"/>
          <w:color w:val="auto"/>
        </w:rPr>
      </w:pPr>
    </w:p>
    <w:p>
      <w:pPr>
        <w:ind w:right="18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3" w:lineRule="exact"/>
        <w:rPr>
          <w:sz w:val="24"/>
          <w:szCs w:val="24"/>
          <w:color w:val="auto"/>
        </w:rPr>
      </w:pPr>
    </w:p>
    <w:p>
      <w:pPr>
        <w:ind w:right="240"/>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23" w:lineRule="exact"/>
        <w:rPr>
          <w:sz w:val="24"/>
          <w:szCs w:val="24"/>
          <w:color w:val="auto"/>
        </w:rPr>
      </w:pPr>
    </w:p>
    <w:p>
      <w:pPr>
        <w:ind w:right="4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ind w:right="154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May 9, 2022 there were 26,790,514 shares of the Company's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472"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8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8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80" w:type="dxa"/>
            <w:vAlign w:val="bottom"/>
            <w:gridSpan w:val="9"/>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Nine Months Ended March 31, 2022 and 2021</w:t>
            </w:r>
          </w:p>
        </w:tc>
        <w:tc>
          <w:tcPr>
            <w:tcW w:w="3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rPr>
              <w:t>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March 31, 2022 and 2021</w:t>
            </w:r>
          </w:p>
        </w:tc>
        <w:tc>
          <w:tcPr>
            <w:tcW w:w="3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rPr>
              <w:t>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2022 and June 30, 2021</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March 31, 2022 and 2021</w:t>
            </w:r>
          </w:p>
        </w:tc>
        <w:tc>
          <w:tcPr>
            <w:tcW w:w="3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rPr>
              <w:t>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March 31, 2022</w:t>
            </w:r>
          </w:p>
        </w:tc>
        <w:tc>
          <w:tcPr>
            <w:tcW w:w="280" w:type="dxa"/>
            <w:vAlign w:val="bottom"/>
            <w:vMerge w:val="restart"/>
          </w:tcPr>
          <w:p>
            <w:pPr>
              <w:spacing w:after="0"/>
              <w:rPr>
                <w:sz w:val="22"/>
                <w:szCs w:val="22"/>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and 2021</w:t>
            </w:r>
          </w:p>
        </w:tc>
        <w:tc>
          <w:tcPr>
            <w:tcW w:w="8320" w:type="dxa"/>
            <w:vAlign w:val="bottom"/>
            <w:tcBorders>
              <w:top w:val="single" w:sz="8" w:color="0000FF"/>
            </w:tcBorders>
            <w:gridSpan w:val="11"/>
          </w:tcPr>
          <w:p>
            <w:pPr>
              <w:spacing w:after="0"/>
              <w:rPr>
                <w:sz w:val="14"/>
                <w:szCs w:val="14"/>
                <w:color w:val="auto"/>
              </w:rPr>
            </w:pPr>
          </w:p>
        </w:tc>
        <w:tc>
          <w:tcPr>
            <w:tcW w:w="180" w:type="dxa"/>
            <w:vAlign w:val="bottom"/>
            <w:gridSpan w:val="2"/>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400" w:type="dxa"/>
            <w:vAlign w:val="bottom"/>
            <w:gridSpan w:val="8"/>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40" w:type="dxa"/>
            <w:vAlign w:val="bottom"/>
            <w:gridSpan w:val="5"/>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21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2"/>
          </w:tcPr>
          <w:p>
            <w:pPr>
              <w:spacing w:after="0"/>
              <w:rPr>
                <w:sz w:val="22"/>
                <w:szCs w:val="22"/>
                <w:color w:val="auto"/>
              </w:rPr>
            </w:pPr>
          </w:p>
        </w:tc>
        <w:tc>
          <w:tcPr>
            <w:tcW w:w="2940" w:type="dxa"/>
            <w:vAlign w:val="bottom"/>
            <w:gridSpan w:val="5"/>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60" w:type="dxa"/>
            <w:vAlign w:val="bottom"/>
            <w:gridSpan w:val="7"/>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37</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8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OTHER INFORMATION</w:t>
            </w:r>
          </w:p>
        </w:tc>
        <w:tc>
          <w:tcPr>
            <w:tcW w:w="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20" w:type="dxa"/>
            <w:vAlign w:val="bottom"/>
            <w:gridSpan w:val="2"/>
          </w:tcPr>
          <w:p>
            <w:pPr>
              <w:spacing w:after="0"/>
              <w:rPr>
                <w:sz w:val="22"/>
                <w:szCs w:val="2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080" w:type="dxa"/>
            <w:vAlign w:val="bottom"/>
            <w:gridSpan w:val="12"/>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38</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80" w:type="dxa"/>
            <w:vAlign w:val="bottom"/>
            <w:gridSpan w:val="12"/>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38</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39</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60" w:type="dxa"/>
            <w:vAlign w:val="bottom"/>
            <w:gridSpan w:val="7"/>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39</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80" w:type="dxa"/>
            <w:vAlign w:val="bottom"/>
            <w:gridSpan w:val="10"/>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39</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Pr>
          <w:p>
            <w:pPr>
              <w:spacing w:after="0"/>
              <w:rPr>
                <w:sz w:val="22"/>
                <w:szCs w:val="22"/>
                <w:color w:val="auto"/>
              </w:rPr>
            </w:pPr>
          </w:p>
        </w:tc>
        <w:tc>
          <w:tcPr>
            <w:tcW w:w="7640" w:type="dxa"/>
            <w:vAlign w:val="bottom"/>
            <w:gridSpan w:val="11"/>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39</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80" w:type="dxa"/>
            <w:vAlign w:val="bottom"/>
            <w:gridSpan w:val="1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3"/>
          </w:tcPr>
          <w:p>
            <w:pPr>
              <w:spacing w:after="0"/>
              <w:rPr>
                <w:sz w:val="22"/>
                <w:szCs w:val="22"/>
                <w:color w:val="auto"/>
              </w:rPr>
            </w:pPr>
          </w:p>
        </w:tc>
        <w:tc>
          <w:tcPr>
            <w:tcW w:w="8080" w:type="dxa"/>
            <w:vAlign w:val="bottom"/>
            <w:gridSpan w:val="12"/>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40</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41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2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28"/>
        </w:trPr>
        <w:tc>
          <w:tcPr>
            <w:tcW w:w="5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2"/>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2"/>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5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498,499</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467,276</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(Note 4)</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costs (Note 10)</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(27,393)</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(Note 5)</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9"/>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 (benefit)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(26,503)</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federal, state and foreign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(20,501)</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26,422</w:t>
            </w: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26,422</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20" w:type="dxa"/>
            <w:vAlign w:val="bottom"/>
            <w:gridSpan w:val="4"/>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Foreign currency translation gain (loss) (net of tax expense (benefit) of</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4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$(16) and $30 for the three and nine months ended March 31, 2022,</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respectively, and $(33) and $20 for the three and nine months ended</w:t>
            </w: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March 31, 2021,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(78,084)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(19,210)</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8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(Note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83,878</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less allowances (March 31, 2022—$634 and June 30, 2021—$898)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148,030</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30,774</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291,219</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Land and buildings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41,633</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Construction equipment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94,453</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Transportation equipment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50,510</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Office equipment and 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42,706</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 - at cost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229,795</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(160,388)</w:t>
            </w:r>
          </w:p>
        </w:tc>
      </w:tr>
      <w:tr>
        <w:trPr>
          <w:trHeight w:val="22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69,407</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(Note 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22,412</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60,636</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11,973</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467,556</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4"/>
        </w:trPr>
        <w:tc>
          <w:tcPr>
            <w:tcW w:w="8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60,920</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53,832</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insurance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153,402</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20,771</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182,017</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76"/>
        </w:trPr>
        <w:tc>
          <w:tcPr>
            <w:tcW w:w="85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stock—$.01 par value; 60,000,000 shares authorized; 27,888,217 shares issued as of March 31, 2022</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85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June 30, 2021; 26,783,265 and 26,549,438 shares outstanding as of March 31, 2022 and June 30, 2021,</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137,575</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175,178</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r>
      <w:tr>
        <w:trPr>
          <w:trHeight w:val="223"/>
        </w:trPr>
        <w:tc>
          <w:tcPr>
            <w:tcW w:w="8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306,283</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Treasury stock, at cost — 1,104,952 shares as of March 31, 2022, and 1,338,779 shares as of June 30, 2021</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285,539</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467,556</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31"/>
        </w:trPr>
        <w:tc>
          <w:tcPr>
            <w:tcW w:w="8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1060" w:type="dxa"/>
            <w:vAlign w:val="bottom"/>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(20,501)</w:t>
            </w: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by operating activities: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w:t>
            </w:r>
          </w:p>
        </w:tc>
      </w:tr>
      <w:tr>
        <w:trPr>
          <w:trHeight w:val="22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r>
      <w:tr>
        <w:trPr>
          <w:trHeight w:val="22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impairment due to restructuring</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30"/>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property, plant and equipment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uncollectible accounts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Accelerated amortization of deferred debt amendment fees (Note 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increasing (decreasing) cash:</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29"/>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21,584</w:t>
            </w:r>
          </w:p>
        </w:tc>
      </w:tr>
      <w:tr>
        <w:trPr>
          <w:trHeight w:val="230"/>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(17,825)</w:t>
            </w:r>
          </w:p>
        </w:tc>
      </w:tr>
      <w:tr>
        <w:trPr>
          <w:trHeight w:val="229"/>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(22,966)</w:t>
            </w:r>
          </w:p>
        </w:tc>
      </w:tr>
      <w:tr>
        <w:trPr>
          <w:trHeight w:val="230"/>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30"/>
        </w:trPr>
        <w:tc>
          <w:tcPr>
            <w:tcW w:w="85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w:t>
            </w:r>
          </w:p>
        </w:tc>
      </w:tr>
      <w:tr>
        <w:trPr>
          <w:trHeight w:val="22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w:t>
            </w: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29"/>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Proceeds from asset sales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22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r>
    </w:tbl>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1060" w:type="dxa"/>
            <w:vAlign w:val="bottom"/>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Advances under senior secured revolving credit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advances under senior secured revolving credit facility</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debt amendment fees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of common stock</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 for payment of statutory taxes due on equity-based compensation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 (Note 1)</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100,036</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 (Note 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Interest, including payment of debt amendment fees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2,509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plant and equipment on account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364" w:right="359" w:bottom="10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026"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132,721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245,610</w:t>
            </w:r>
          </w:p>
        </w:tc>
        <w:tc>
          <w:tcPr>
            <w:tcW w:w="0" w:type="dxa"/>
            <w:vAlign w:val="bottom"/>
          </w:tcPr>
          <w:p>
            <w:pPr>
              <w:spacing w:after="0"/>
              <w:rPr>
                <w:sz w:val="1"/>
                <w:szCs w:val="1"/>
                <w:color w:val="auto"/>
              </w:rPr>
            </w:pP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(34,899)</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shares sold to Employee Stock Purchase Plan (9,290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0" w:type="dxa"/>
            <w:vAlign w:val="bottom"/>
          </w:tcPr>
          <w:p>
            <w:pPr>
              <w:spacing w:after="0"/>
              <w:rPr>
                <w:sz w:val="1"/>
                <w:szCs w:val="1"/>
                <w:color w:val="auto"/>
              </w:rPr>
            </w:pPr>
          </w:p>
        </w:tc>
      </w:tr>
      <w:tr>
        <w:trPr>
          <w:trHeight w:val="19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March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137,886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97,822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212,836</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December 31,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133,957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198,774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304,289</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(12,873)</w:t>
            </w:r>
          </w:p>
        </w:tc>
        <w:tc>
          <w:tcPr>
            <w:tcW w:w="0" w:type="dxa"/>
            <w:vAlign w:val="bottom"/>
          </w:tcPr>
          <w:p>
            <w:pPr>
              <w:spacing w:after="0"/>
              <w:rPr>
                <w:sz w:val="1"/>
                <w:szCs w:val="1"/>
                <w:color w:val="auto"/>
              </w:rPr>
            </w:pP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 (9,000 shares)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deferred shares (900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shares sold to Employee Stock Purchase Plan (6,785 shares)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shares purchased to satisfy tax withholding obligations (428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0" w:type="dxa"/>
            <w:vAlign w:val="bottom"/>
          </w:tcPr>
          <w:p>
            <w:pPr>
              <w:spacing w:after="0"/>
              <w:rPr>
                <w:sz w:val="1"/>
                <w:szCs w:val="1"/>
                <w:color w:val="auto"/>
              </w:rPr>
            </w:pPr>
          </w:p>
        </w:tc>
      </w:tr>
      <w:tr>
        <w:trPr>
          <w:trHeight w:val="19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March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136,042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185,901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293,860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June 30,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137,575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175,178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285,539</w:t>
            </w: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(77,356)</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(19,550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deferred shares (268,403 shares)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shares sold to Employee Stock Purchase Plan (22,577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46"/>
        </w:trPr>
        <w:tc>
          <w:tcPr>
            <w:tcW w:w="45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Treasury shares purchased to satisfy tax withholding obligations (76,703</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5,823</w:t>
            </w:r>
          </w:p>
        </w:tc>
        <w:tc>
          <w:tcPr>
            <w:tcW w:w="0" w:type="dxa"/>
            <w:vAlign w:val="bottom"/>
          </w:tcPr>
          <w:p>
            <w:pPr>
              <w:spacing w:after="0"/>
              <w:rPr>
                <w:sz w:val="1"/>
                <w:szCs w:val="1"/>
                <w:color w:val="auto"/>
              </w:rPr>
            </w:pPr>
          </w:p>
        </w:tc>
      </w:tr>
      <w:tr>
        <w:trPr>
          <w:trHeight w:val="221"/>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212,836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June 30,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307,889</w:t>
            </w: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(20,501)</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(9,000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deferred shares (515,218 shares)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shares sold to Employee Stock Purchase Plan (24,100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46"/>
        </w:trPr>
        <w:tc>
          <w:tcPr>
            <w:tcW w:w="45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Treasury shares purchased to satisfy tax withholding obligations (170,629</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0" w:type="dxa"/>
            <w:vAlign w:val="bottom"/>
          </w:tcPr>
          <w:p>
            <w:pPr>
              <w:spacing w:after="0"/>
              <w:rPr>
                <w:sz w:val="1"/>
                <w:szCs w:val="1"/>
                <w:color w:val="auto"/>
              </w:rPr>
            </w:pPr>
          </w:p>
        </w:tc>
      </w:tr>
      <w:tr>
        <w:trPr>
          <w:trHeight w:val="221"/>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293,860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36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2021, included in our Annual Report on Form 10-K for the year then ended. The results of operations for the three and nine months ended March 31, 2022 may not necessarily be indicative of the results of operations for the full year ending June 30,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updated our significant accounting policies as a result of entering into an asset-backed credit agreement (the "ABL Facility"), which requires us to maintain a restricted cash balance (See Note 5 - Debt for more information about the ABL Facility). Our other significant accounting policies are detailed in “Note 1 - Summary of Significant Accounting Policies” of our Annual Report on Form 10-K for the year ended June 30,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ABL Facility requires us to maintain a minimum of $25.0 million of restricted cash at all times. Since this cash must be restricted through the maturity date of the ABL Facility, which is beyond one year, we have classified this restricted cash as non-current in our Condensed Consolidated Balance Sheets. During the third quarter, restrictions were released on $2.6 million of cash that supported a prior purchase card program.</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in the Condensed Consolidated Balance Sheets to the total cash, cash equivalents and restricted cash shown in the Condensed Consolidated Statements of Cash Flows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8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83,878</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 of Cash Flows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83,878</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$433.6 million of remaining performance obligations yet to be satisfied as of March 31, 2022. We expect to recognize $368.9 million of our remaining performance obligations as revenue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0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6"/>
              </w:rPr>
              <w:t>46,393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8"/>
                <w:szCs w:val="18"/>
                <w:color w:val="auto"/>
              </w:rPr>
              <w:t>30,774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7"/>
              <w:spacing w:after="0"/>
              <w:rPr>
                <w:sz w:val="20"/>
                <w:szCs w:val="20"/>
                <w:color w:val="auto"/>
              </w:rPr>
            </w:pPr>
            <w:r>
              <w:rPr>
                <w:rFonts w:ascii="Times New Roman" w:cs="Times New Roman" w:eastAsia="Times New Roman" w:hAnsi="Times New Roman"/>
                <w:sz w:val="18"/>
                <w:szCs w:val="18"/>
                <w:color w:val="auto"/>
              </w:rPr>
              <w:t>(73,868)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8"/>
                <w:szCs w:val="18"/>
                <w:color w:val="auto"/>
              </w:rPr>
              <w:t>(53,832)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(20,036)</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rPr>
              <w:t>(27,475)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rPr>
              <w:t>(23,058)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difference between the beginning and ending balances of our CIE and BIE primarily results from the timing of revenue recognized relative to its billings. The amount of revenue recognized during the nine months ended March 31, 2022 that was included in the June 30, 2021 BIE balance was $48.2 million. This revenue consists primarily of work performed during the period on contracts with customers that had advance billings.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Progress billings in accounts receivable at March 31, 2022 and June 30, 2021 included retentions to be collected within one year of $14.1 million and $19.9 million, respectively. Contract retentions collectible beyond one year are included in other assets, non-current in the Condensed Consolidated Balance Sheet and totaled $2.8 million as of March 31, 2022 and $3.1 million as of June 30,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disaggregated by reportable segment is presented in Note 9 - Segment Information. The following tables presents revenue disaggregated by geographic area where the work was performed and by contract type: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Disaggregation: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44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68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160,453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459,654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445,578</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47,673</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498,499</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Contract Type Disaggregation:</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5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244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68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303,508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343,639</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and materials and other cost reimbursable contracts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154,860</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498,499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Typically, we assume more risk with fixed-price contracts since increases in costs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Revisions in Estimates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were materially impacted by an increase in the forecasted costs to complete a midstream gas processing project in the Process and Industrial Facilities segment, which resulted in a decrease in gross profit of $4.8 million in the three and nine months ended March 31, 2022. The increase in forecasted costs was primarily due to performance of a, now terminated, subcontractor, which will require rework in order to meet our client's expectations.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were materially impacted by changes in the forecasted costs to complete a large capital project in the Utility and Power Infrastructure segment. Improved project execution resulted in an increase in gross profit of $0.8 million during the three months ended March 31, 2022. However, increases in the forecasted costs to complete the project during the first half of fiscal 2022 resulted in the project reducing gross profit by $5.1 million during the nine months ended March 31, 2022. The increase in forecasted costs during the first half of the fiscal year was principally due to unexpected equipment repairs during commissioning that delayed the scheduled completion and increased the estimated costs to complete. We achieved a critical performance milestone during the second quarter of fiscal 2022, which significantly reduced our financial exposure on the project. We expect to complete the project during the fourth quarter of fiscal 2022.</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were materially impacted by an increase in the costs required to complete a thermal energy storage tank repair and maintenance project in the Storage and Terminal Solutions segment, which resulted in a decrease in gross profit of $5.5 million in the first half of fiscal 2022. The increase in costs was primarily due to changes in repair scope, expanded client weld testing and associated schedule delays. We expect to complete these repairs in the fourth quarter of fiscal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lease arrangements for real estate, construction equipment and information technology equipment in the normal course of business. Real estate leases accounted for approximately 96% of all right-of-use assets as of March 31, 2022. Most real estate and information technology equipment leases generally have fixed payments that follow an agreed upon payment schedule and have remaining lease terms ranging from less than one year to 14 years. Construction equipment leases generally have "month-to-month" lease terms that automatically renew as long as the equipment remains in use.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in the Condensed Consolidated Statements of Income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3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0"/>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60" w:type="dxa"/>
            <w:vAlign w:val="bottom"/>
            <w:tcBorders>
              <w:top w:val="single" w:sz="8" w:color="auto"/>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8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16"/>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expense</w:t>
            </w:r>
          </w:p>
        </w:tc>
        <w:tc>
          <w:tcPr>
            <w:tcW w:w="332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Location of Expense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4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69"/>
        </w:trPr>
        <w:tc>
          <w:tcPr>
            <w:tcW w:w="24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Operating lease expense</w:t>
            </w:r>
          </w:p>
        </w:tc>
        <w:tc>
          <w:tcPr>
            <w:tcW w:w="120" w:type="dxa"/>
            <w:vAlign w:val="bottom"/>
            <w:tcBorders>
              <w:top w:val="single" w:sz="8" w:color="CCEEFF"/>
            </w:tcBorders>
            <w:shd w:val="clear" w:color="auto" w:fill="CCEEFF"/>
          </w:tcPr>
          <w:p>
            <w:pPr>
              <w:spacing w:after="0"/>
              <w:rPr>
                <w:sz w:val="14"/>
                <w:szCs w:val="14"/>
                <w:color w:val="auto"/>
              </w:rPr>
            </w:pPr>
          </w:p>
        </w:tc>
        <w:tc>
          <w:tcPr>
            <w:tcW w:w="33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Cost of revenue and Selling, general and</w:t>
            </w: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243"/>
        </w:trPr>
        <w:tc>
          <w:tcPr>
            <w:tcW w:w="2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r>
      <w:tr>
        <w:trPr>
          <w:trHeight w:val="229"/>
        </w:trPr>
        <w:tc>
          <w:tcPr>
            <w:tcW w:w="25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expense</w:t>
            </w:r>
            <w:r>
              <w:rPr>
                <w:rFonts w:ascii="Times New Roman" w:cs="Times New Roman" w:eastAsia="Times New Roman" w:hAnsi="Times New Roman"/>
                <w:sz w:val="23"/>
                <w:szCs w:val="23"/>
                <w:color w:val="auto"/>
                <w:vertAlign w:val="superscript"/>
              </w:rPr>
              <w:t>(1)</w:t>
            </w:r>
          </w:p>
        </w:tc>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19,020</w:t>
            </w:r>
          </w:p>
        </w:tc>
      </w:tr>
      <w:tr>
        <w:trPr>
          <w:trHeight w:val="248"/>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3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25,562</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2" w:lineRule="exact"/>
        <w:rPr>
          <w:sz w:val="20"/>
          <w:szCs w:val="20"/>
          <w:color w:val="auto"/>
        </w:rPr>
      </w:pPr>
    </w:p>
    <w:p>
      <w:pPr>
        <w:ind w:left="560" w:hanging="309"/>
        <w:spacing w:after="0"/>
        <w:tabs>
          <w:tab w:leader="none" w:pos="5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lease expense of construction equipment that is subject to month-to-month rental agreements with expected rental durations of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8"/>
          <w:szCs w:val="18"/>
          <w:color w:val="auto"/>
        </w:rPr>
        <w:t>The future undiscounted lease payments, as reconciled to the discounted operating lease liabilities presented in our Condensed Consolidated Balance Sheets, were as follows:</w:t>
      </w: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3"/>
        </w:trPr>
        <w:tc>
          <w:tcPr>
            <w:tcW w:w="9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Analysis:</w:t>
            </w: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operating lease payments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29,447</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present value of future lease payments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weighted average remaining operating lease term and weighted average discount rate as of March 31,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years</w:t>
            </w:r>
          </w:p>
        </w:tc>
      </w:tr>
      <w:tr>
        <w:trPr>
          <w:trHeight w:val="234"/>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562"/>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6"/>
        </w:trPr>
        <w:tc>
          <w:tcPr>
            <w:tcW w:w="9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9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3"/>
        </w:trPr>
        <w:tc>
          <w:tcPr>
            <w:tcW w:w="9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9"/>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18"/>
              <w:spacing w:after="0"/>
              <w:rPr>
                <w:sz w:val="20"/>
                <w:szCs w:val="20"/>
                <w:color w:val="auto"/>
              </w:rPr>
            </w:pPr>
            <w:r>
              <w:rPr>
                <w:rFonts w:ascii="Times New Roman" w:cs="Times New Roman" w:eastAsia="Times New Roman" w:hAnsi="Times New Roman"/>
                <w:sz w:val="14"/>
                <w:szCs w:val="14"/>
                <w:color w:val="auto"/>
              </w:rPr>
              <w:t>(in thousands)</w:t>
            </w:r>
          </w:p>
        </w:tc>
      </w:tr>
      <w:tr>
        <w:trPr>
          <w:trHeight w:val="23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9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payments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4"/>
        </w:trPr>
        <w:tc>
          <w:tcPr>
            <w:tcW w:w="9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Goodwill and Other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segment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Process and Industrial</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340" w:type="dxa"/>
            <w:vAlign w:val="bottom"/>
          </w:tcPr>
          <w:p>
            <w:pPr>
              <w:spacing w:after="0"/>
              <w:rPr>
                <w:sz w:val="13"/>
                <w:szCs w:val="13"/>
                <w:color w:val="auto"/>
              </w:rPr>
            </w:pP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June 30,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Translation adjustment</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balance at March 31,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2" w:lineRule="exact"/>
        <w:rPr>
          <w:sz w:val="20"/>
          <w:szCs w:val="20"/>
          <w:color w:val="auto"/>
        </w:rPr>
      </w:pPr>
    </w:p>
    <w:p>
      <w:pPr>
        <w:ind w:left="580" w:hanging="329"/>
        <w:spacing w:after="0" w:line="282" w:lineRule="auto"/>
        <w:tabs>
          <w:tab w:leader="none" w:pos="57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we concluded that goodwill impairment indicators existed based on the decline in the price of our stock and operating results that have underperformed our forecasts during the year. Accordingly, we performed an interim impairment test as of March 31, 2022 and concluded that there was $18.3 million of total impairment to goodwill, which was recorded as follows:</w:t>
      </w:r>
    </w:p>
    <w:p>
      <w:pPr>
        <w:spacing w:after="0" w:line="12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million in the Process and Industrial Facilities segment;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million in the Storage and Terminal Solutions segment;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in the Utility and Power Infrastructure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each segment was derived by utilizing a discounted cash flow analysis. The key assumptions used are described in Item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Critical Accounting Policies, Goodwill.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the carrying value of other intangible assets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 March 31, 2022</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220" w:type="dxa"/>
            <w:vAlign w:val="bottom"/>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2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 to 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5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 June 30, 2021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220" w:type="dxa"/>
            <w:vAlign w:val="bottom"/>
          </w:tcPr>
          <w:p>
            <w:pPr>
              <w:jc w:val="center"/>
              <w:ind w:right="117"/>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 to 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totaled $0.4 million and $1.4 million during the three and nine months ended March 31, 2022, respectively; and $0.6 million and $1.7 million during the three and nine months ended March 31, 2021,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the remaining amortization expense related to March 31, 2022 amortizing intangible assets will be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 ending:</w:t>
            </w: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2022</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9"/>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estimated remaining amortization expense at March 31, 2022</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w:t>
            </w:r>
          </w:p>
        </w:tc>
      </w:tr>
      <w:tr>
        <w:trPr>
          <w:trHeight w:val="20"/>
        </w:trPr>
        <w:tc>
          <w:tcPr>
            <w:tcW w:w="9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Credit Facility</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9, 2021, we and our primary U.S. and Canada operating subsidiaries entered into an asset-backed credit agreement (the "ABL Facility") as borrowers with Bank of Montreal, as Administrative Agent, Swing-Line Lender, a Letter of Credit Issuer and a Lender. The ABL Facility is guaranteed by substantially all of our remaining U.S. and Canadian subsidiaries. The ABL Facility provides for available borrowings of up to $100.0 million, which may be increased further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secured by a first lien on all our assets and the assets of our co-borrowers and guarantors under the ABL Facility.</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2022, our borrowing base was $76.4 million and we had $23.7 million in letters of credit outstanding issued by Bank of Montreal, which resulted in availability of $52.7 million under the ABL Facility.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ABL Facility bear interest through maturity at a variable rate based upon, at our option, an annual rate equal to any of a base rate (“Base Rate”), Canadian prime rate, CDOR rate or a LIBOR rate, plus an applicable margin. The Base Rate is defined as a fluctuating interest rate equal to the greatest of (i) rate of interest announced by Bank of Montreal from time to time as its prime rate; (ii) the U.S. federal funds rate plus 0.50%; (iii) LIBOR rate for one month period plus 1.00%; and (iv) 1.00%. Depending on the amount of average availability, the applicable margin is between 1.00% to 1.50% for either U.S. Base Rate Loans or Canadian prime rate, and between 2.00% and 2.50% for CDOR and LIBOR rate borrowings. Interest is payable either (i) monthly for Base Rate borrowings or (ii) the last day of the interest period for LIBOR or CDOR rate borrowings, as set forth in the Credit Agreement. The fee for undrawn amounts is 0.25% per annum and is due quarterly.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are in compliance with all covenants of the ABL Facility as of March 31,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Revolving Credit Facility</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ABL Facility replaced the Fifth Amended and Restated Credit Agreement (the "Prior Credit Agreement"), that was entered into on November 2, 2020, and subsequently amended on May 4, 2021, by and among us and certain foreign subsidiaries, as Borrowers, various subsidiaries of ours, as Guarantors, JPMorgan, as Administrative Agent, Sole Lead Arranger and Sole Book Runner, and the other Lenders party thereto. The Prior Credit Agreement provided for a three-year senior secured revolving credit facility of $200.0 million that was set to expire November 2, 2023. We had no borrowings and $41.3 million of letters of credit outstanding under the Prior Credit Agreement as of the date we commenced the ABL Facility. Interest expense during the nine months ended March 31, 2022 included $1.5 million of accelerated amortization of deferred debt amendment fees associated with the Prior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 Tax Rate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effective tax rates were 0.4% and (7.8)% for the three and nine months ended March 31, 2022, compared to 28.2% and 22.6% during the three and nine months ended March 31, 2021, respectively. The effective tax rates during fiscal 2022 were impacted by a $14.2 million valuation allowance placed on our deferred tax assets during the second quarter. The tax benefit resulting from additional losses during the three months ended March 31, 2022 was offset by additional valuation allowances of $7.7 million. The income tax benefit recorded for the three months ended March 31, 2022 was the result of a change in estimate of our uncertain tax positions. The effective tax rates were negatively impacted by $1.9 million of valuation allowances on certain deferred tax assets in the third quarter of fiscal 2021, and $1.2 million of other deferred tax adjustments in the first half of fiscal 2021.</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need for a valuation allowance on deferred tax assets, the accounting standards provide that the existence of a cumulative loss over a three-year period generally precludes the use of management’s projections of future taxable income. Consequently, we have recorded a full valuation allowance against the deferred tax assets in the U.S. taxable jurisdiction in the amount of $21.9 million during fiscal 2022. These assets are primarily comprised of federal net operating losses, which have an indefinite carryforward, federal tax credits and state net operating losses. To the extent the Company generates taxable income in the future, or cumulative losses are no longer present and our future projections for growth or tax planning strategies are demonstrated, we will realize the benefit associated with the net operating losses for which the valuation allowance has been provided.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Operating Loss Carryback Refund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provisions in the CARES Act, we had an income tax benefit from the ability to carryback the fiscal 2021 federal net operating loss to a period with a higher statutory federal income tax rate. We estimate that we will receive a $12.6 million tax refund in connection with this carryback, which is included in income taxes receivable in the Condensed Consolidated Balance Sheets.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Refund of Overpayment of Estimated Taxes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2022, we received a $2.4 million tax refund in connection with overpayments of estimated taxes from prior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Payroll Taxes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we have a balance of $5.6 million remaining on U.S. payroll taxes we deferred through provisions of CARES Act. We paid half of the original deferred payroll tax balance during the second quarter of fiscal 2022 and must repay the remaining balance by December 31, 2022. The remaining balance of deferred payroll taxes is included within accrued wages and benefits in the Condensed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Reserves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insurance coverage for various aspects of our operations. However, we retain exposure to potential losses through the use of deductibles, self-insured retentions and coverage limits.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Unpriced Change Orders and Claims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 included revenues for unpriced change orders and claims of $9.3 million at March 31, 2022 and $14.6 million at June 30, 2021. The amounts ultimately realized may be significantly different than the recorded amounts resulting in a material adjustment to future earnings.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2020, we commenced litigation in an effort to collect accounts receivable from an iron and steel customer following the deterioration of the relationship in the second quarter of fiscal 2020. The unpaid receivable balance at March 31, 2022 was $17.0 million. Litigation is unpredictable, however, based on the terms of the contract with this customer, we believe we are entitled to collect the full amount owed under the contract.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our subsidiaries are participants in various legal actions. It is the opinion of management that none of the other known legal actions will have a material impact on our financial position, results of operations or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Earnings per Common Share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(“Basic EPS”) is calculated based on the weighted average shares outstanding during the period. Diluted earnings per share (“Diluted EPS”) includes the dilutive effect of stock options and nonvested deferred shares. In the event we report a loss, stock options and nonvested deferred shares are not included since they are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28"/>
        </w:trPr>
        <w:tc>
          <w:tcPr>
            <w:tcW w:w="5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8"/>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5"/>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5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1"/>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5"/>
          </w:tcPr>
          <w:p>
            <w:pPr>
              <w:ind w:left="220"/>
              <w:spacing w:after="0"/>
              <w:rPr>
                <w:sz w:val="20"/>
                <w:szCs w:val="20"/>
                <w:color w:val="auto"/>
              </w:rPr>
            </w:pPr>
            <w:r>
              <w:rPr>
                <w:rFonts w:ascii="Times New Roman" w:cs="Times New Roman" w:eastAsia="Times New Roman" w:hAnsi="Times New Roman"/>
                <w:sz w:val="13"/>
                <w:szCs w:val="13"/>
                <w:color w:val="auto"/>
              </w:rPr>
              <w:t>(In thousands, except per share data)</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(20,501)</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26,714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Basic loss per share</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(0.78)</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5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EPS: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26,714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26,422</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report our results of operations through three reportable segments: Utility and Power Infrastructure, Process and Industrial Facilities, and Storage and Terminal Solutions.</w:t>
      </w:r>
    </w:p>
    <w:p>
      <w:pPr>
        <w:spacing w:after="0" w:line="104" w:lineRule="exact"/>
        <w:rPr>
          <w:sz w:val="20"/>
          <w:szCs w:val="20"/>
          <w:color w:val="auto"/>
        </w:rPr>
      </w:pPr>
    </w:p>
    <w:p>
      <w:pPr>
        <w:jc w:val="both"/>
        <w:ind w:left="660" w:hanging="328"/>
        <w:spacing w:after="0" w:line="25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Utility and Power Infrastructure</w:t>
      </w:r>
      <w:r>
        <w:rPr>
          <w:rFonts w:ascii="Times New Roman" w:cs="Times New Roman" w:eastAsia="Times New Roman" w:hAnsi="Times New Roman"/>
          <w:sz w:val="18"/>
          <w:szCs w:val="18"/>
          <w:color w:val="auto"/>
        </w:rPr>
        <w:t>: consists of power delivery services provided to investor-owned utilities, including construction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substations, upgrades of existing substations, transmission and distribution line installations, upgrades and maintenance, as well as emergency and storm restoration services. We also provide engineering, fabrication, and construction services for LNG utility peak shaving facilities, and provide construction and maintenance services to a variety of power generation facilities, including natural gas fired facilities in simple or combined cycle configuration.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Process and Industrial Facilities</w:t>
      </w:r>
      <w:r>
        <w:rPr>
          <w:rFonts w:ascii="Times New Roman" w:cs="Times New Roman" w:eastAsia="Times New Roman" w:hAnsi="Times New Roman"/>
          <w:sz w:val="18"/>
          <w:szCs w:val="18"/>
          <w:color w:val="auto"/>
        </w:rPr>
        <w:t>: primarily serves customers in the downstream and midstream petroleum industries who are engaged in refining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25"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Storage and Terminal Solutions</w:t>
      </w:r>
      <w:r>
        <w:rPr>
          <w:rFonts w:ascii="Times New Roman" w:cs="Times New Roman" w:eastAsia="Times New Roman" w:hAnsi="Times New Roman"/>
          <w:sz w:val="18"/>
          <w:szCs w:val="18"/>
          <w:color w:val="auto"/>
        </w:rPr>
        <w:t>: consists of work related to aboveground crude oil and refined product storage tanks and terminals. We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work related to cryogenic and other specialty storage tanks and terminals, including LNG, liquid nitrogen/liquid oxygen, liquid petroleum, hydrogen and other specialty vessels such as spheres in this segment, as well as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performance and allocate resources based on operating income. We eliminate intersegment sales; therefore, no intercompany profit or loss is recognized. Corporate selling, general and administrative expenses are excluded from our three reportable segments in order to better align controllable costs with the responsibility of segment management, and to be consistent with how our chief operating decision-maker assesses segment performance and allocates resources.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assets consist primarily of accounts receivable, costs and estimated earnings in excess of billings on uncompleted contracts, property, plant and equipment, right-of-use lease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9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7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7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20" w:type="dxa"/>
            <w:vAlign w:val="bottom"/>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revenue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171,298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204,572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503,556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Less: Inter-segment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4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inter-segment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 w:type="dxa"/>
            <w:vAlign w:val="bottom"/>
          </w:tcPr>
          <w:p>
            <w:pPr>
              <w:spacing w:after="0"/>
              <w:rPr>
                <w:sz w:val="15"/>
                <w:szCs w:val="15"/>
                <w:color w:val="auto"/>
              </w:rPr>
            </w:pPr>
          </w:p>
        </w:tc>
        <w:tc>
          <w:tcPr>
            <w:tcW w:w="4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507,061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498,499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4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 (loss)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gross profit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4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4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Goodwill impairment and restructuring costs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goodwill impairment and restructuring costs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4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by segment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0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81,717</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106,619</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160,782</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118,438</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segment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467,556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Restructuring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2020, we initiated a business improvement plan to increase profitability and reduce our cost structure in order to help us become more competitive and deliver higher quality service. As a result of specific events, including the effects of the COVID-19 pandemic and related market disruptions, the Company expanded its business improvement plan.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improvement plan consists of an initial phase of discretionary cost reductions, workforce reductions, reduction of capital expenditures and the reduction in size or closure of certain offices in order to increase the utilization of our staff and bring the cost structure of the business in line with revenue volumes. In fiscal 2022, we commenced a second phase of our plan to focus on centralization of support functions, including business development, accounting, human resources, procurement and project services into shared service centers. The restructuring costs consist primarily of severance costs, facility closure costs, consulting fees and other liabilities.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costs under our business improvement plan are classified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6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122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Since Inception of</w:t>
            </w: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6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00" w:type="dxa"/>
            <w:vAlign w:val="bottom"/>
          </w:tcPr>
          <w:p>
            <w:pPr>
              <w:spacing w:after="0"/>
              <w:rPr>
                <w:sz w:val="12"/>
                <w:szCs w:val="12"/>
                <w:color w:val="auto"/>
              </w:rPr>
            </w:pPr>
          </w:p>
        </w:tc>
        <w:tc>
          <w:tcPr>
            <w:tcW w:w="1220" w:type="dxa"/>
            <w:vAlign w:val="bottom"/>
          </w:tcPr>
          <w:p>
            <w:pPr>
              <w:jc w:val="center"/>
              <w:ind w:right="11"/>
              <w:spacing w:after="0" w:line="146"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 Plan</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and Power Infrastructure</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other personnel-related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impairments</w:t>
            </w:r>
          </w:p>
        </w:tc>
        <w:tc>
          <w:tcPr>
            <w:tcW w:w="14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Utility and Power Infrastructure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Process and Industrial Facilities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other personnel-related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impairments</w:t>
            </w:r>
          </w:p>
        </w:tc>
        <w:tc>
          <w:tcPr>
            <w:tcW w:w="14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costs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Process and Industrial Facilities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(1,589)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Storage and Terminal Solutions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other personnel-related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4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43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Storage and Terminal Solutions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other personnel-related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14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Corporate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Costs by Type: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other personnel-related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14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(1,590)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(1,578)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969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81" w:lineRule="exact"/>
        <w:rPr>
          <w:sz w:val="20"/>
          <w:szCs w:val="20"/>
          <w:color w:val="auto"/>
        </w:rPr>
      </w:pPr>
    </w:p>
    <w:p>
      <w:pPr>
        <w:ind w:left="580" w:hanging="329"/>
        <w:spacing w:after="0" w:line="302" w:lineRule="auto"/>
        <w:tabs>
          <w:tab w:leader="none" w:pos="57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in the Process and Industrial Facilities segment consisted of a $1.6 million credit in the three and nine months ended March 31, 2022. The credit was due to a favorable settlement of a restructuring obligation related to our exit from the domestic iron and steel industry in fiscal 2020.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right="382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others, such things as:</w:t>
      </w:r>
    </w:p>
    <w:p>
      <w:pPr>
        <w:spacing w:after="0" w:line="171"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and nature of future project awards, revenue and margins from each of our segments;</w:t>
      </w:r>
    </w:p>
    <w:p>
      <w:pPr>
        <w:spacing w:after="0" w:line="17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from operations, access our credit facility, or raise cash in order to meet our short and long-term capital requirements;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credit agreement;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of changes in crude oil, natural gas and other commodity prices;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operating expenses and our business operations;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impact of new or existing regulations or market forces on the demand for our services;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of the COVID-19 pandemic;</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likelihood of a future impairment;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other trends of the industries we serve.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207" w:lineRule="exact"/>
        <w:rPr>
          <w:sz w:val="20"/>
          <w:szCs w:val="20"/>
          <w:color w:val="auto"/>
        </w:rPr>
      </w:pPr>
    </w:p>
    <w:p>
      <w:pPr>
        <w:ind w:left="980" w:right="24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risk factors discussed in this Form 10-Q, Form 10-K for the fiscal year ended June 30, 2021, and in our other filings with the Securities and Exchange Commission;</w:t>
      </w:r>
    </w:p>
    <w:p>
      <w:pPr>
        <w:spacing w:after="0" w:line="107"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or business conditions in general and in the oil, natural gas, power, petrochemical, agricultural and mining industries in particular;</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to renewable energy sources and its impact on our current customer base;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 or over-utilization of our work force;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or progression of major projects, whether due to permitting issues or other factors;</w:t>
      </w:r>
    </w:p>
    <w:p>
      <w:pPr>
        <w:spacing w:after="0" w:line="17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creditworthiness of our customer base and the higher risk of non-payment of receivables due to volatility of crude oil, natural gas, and other commodity prices which affect our customers' businesses;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inherently uncertain outcome of current and future litigation;</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reserves for claims and contingencies;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the imposition, cancellation or delay of tariffs on imported goods.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report our results of operations through three reportable segments: Utility and Power Infrastructure, Process and Industrial Facilities, and Storage and Terminal Solutions.</w:t>
      </w:r>
    </w:p>
    <w:p>
      <w:pPr>
        <w:spacing w:after="0" w:line="104" w:lineRule="exact"/>
        <w:rPr>
          <w:sz w:val="20"/>
          <w:szCs w:val="20"/>
          <w:color w:val="auto"/>
        </w:rPr>
      </w:pPr>
    </w:p>
    <w:p>
      <w:pPr>
        <w:jc w:val="both"/>
        <w:ind w:left="660" w:hanging="328"/>
        <w:spacing w:after="0" w:line="259"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Utility and Power Infrastructure</w:t>
      </w:r>
      <w:r>
        <w:rPr>
          <w:rFonts w:ascii="Times New Roman" w:cs="Times New Roman" w:eastAsia="Times New Roman" w:hAnsi="Times New Roman"/>
          <w:sz w:val="18"/>
          <w:szCs w:val="18"/>
          <w:color w:val="auto"/>
        </w:rPr>
        <w:t>: consists of power delivery services provided to investor-owned utilities, including construction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substations, upgrades of existing substations, transmission and distribution line installations, upgrades and maintenance, as well as emergency and storm restoration services. We also provide engineering, fabrication, and construction services for LNG utility peak shaving facilities, and provide construction and maintenance services to a variety of power generation facilities, including natural gas fired facilities in simple or combined cycle configuration.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Process and Industrial Facilities</w:t>
      </w:r>
      <w:r>
        <w:rPr>
          <w:rFonts w:ascii="Times New Roman" w:cs="Times New Roman" w:eastAsia="Times New Roman" w:hAnsi="Times New Roman"/>
          <w:sz w:val="18"/>
          <w:szCs w:val="18"/>
          <w:color w:val="auto"/>
        </w:rPr>
        <w:t>: primarily serves customers in the downstream and midstream petroleum industries who are engaged in refining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Storage and Terminal Solutions</w:t>
      </w:r>
      <w:r>
        <w:rPr>
          <w:rFonts w:ascii="Times New Roman" w:cs="Times New Roman" w:eastAsia="Times New Roman" w:hAnsi="Times New Roman"/>
          <w:sz w:val="18"/>
          <w:szCs w:val="18"/>
          <w:color w:val="auto"/>
        </w:rPr>
        <w:t>: consists of work related to aboveground crude oil and refined product storage tanks and terminals. We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work related to cryogenic and other specialty storage tanks and terminals, including LNG, liquid nitrogen/liquid oxygen, liquid petroleum, hydrogen and other specialty vessels such as spheres in this segment, as well as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performance and allocate resources based on operating income. We eliminate intersegment sales; therefore, no intercompany profit or loss is recognized. Corporate selling, general and administrative expenses are excluded from our three reportable segments in order to better align controllable costs with the responsibility of segment management, and to be consistent with how our chief operating decision-maker assesses segment performance and allocates resources.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Update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Bidding activity and the volume of project awards have both improved as the economy emerges from the pandemic. However, we have not been able to generate enough revenue to fully recover construction overhead and SG&amp;A costs despite the significant reductions in our cost structure. In addition, increased forecasted costs to complete certain projects have further pressured profitability during the fiscal year (see the discussion of our three and nine months results for more details).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2022, we commenced the second phase of our ongoing business improvement plan to focus on centralization of support functions, including business development, accounting, human resources, procurement and project services into shared service centers. Since the beginning of fiscal 2020, we estimate that we have reduced our cost structure by approximately $82 million, or approximately 30%, with approximately one-third of those reductions related to SG&amp;A and the rest related to construction overhead, which is included in cost of revenue in the Condensed Consolidated Statements of Income. See Item 1. Financial Statements, Note 10 - Restructuring Costs, for more information about our business improvement plan.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improving market conditions and strong bidding activity, we are expecting project awards to pick up in the fourth quarter and continue the momentum into fiscal 2023. We expect this to result in higher revenue volume, increased cost leverage and improved earnings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1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Three Months Ended March 31, 2022 Compared to the Three Months Ended March 31, 2021 </w:t>
      </w:r>
      <w:r>
        <w:rPr>
          <w:rFonts w:ascii="Times New Roman" w:cs="Times New Roman" w:eastAsia="Times New Roman" w:hAnsi="Times New Roman"/>
          <w:sz w:val="18"/>
          <w:szCs w:val="18"/>
          <w:b w:val="1"/>
          <w:bCs w:val="1"/>
          <w:i w:val="1"/>
          <w:iCs w:val="1"/>
          <w:color w:val="auto"/>
        </w:rPr>
        <w:t>Consolidated</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revenue was $177.0 million for the three months ended March 31, 2022, compared to $148.3 million in the same period last year. On a segment basis, revenue increased in the Process and Industrial Facilities and Utility and Power Infrastructure segments by $26.1 million and $14.6 million, respectively. The increases were partially offset by a decrease in revenue of $12.0 million in the Storage and Terminal Solutions segment.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gross profit (loss) decreased to ($1.8) million in the three months ended March 31, 2022 compared to $1.6 million in the same period last year. Gross margin (loss) decreased to (1.0%) in the three months ended March 31, 2022 compared to 1.1% in the same period last year. Gross margins in the third quarter of fiscal 2022 were negatively impacted by low revenue volume, which led to the under recovery of construction overhead costs and an increase in forecasted costs on a midstream gas processing project in the Process and Industrial Facilities segment. Gross margins in fiscal 2021 were largely impacted negatively by a lower than previously forecasted margin on a large capital project in the Utility and Power Infrastructure segment. These negative impacts were partially offset by increases in estimated recoveries on other completed capital projects.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SG&amp;A expenses were $17.0 million in the three months ended March 31, 2022 compared to $17.2 million in the same period a year earlier.</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we recorded $18.3 million of goodwill impairment. See Item 1. Financial Statements, Note 4 - Goodwill and Other Intangible Assets, for more information.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restructuring activities, we recorded a credit of $1.6 million to restructuring costs in the three months ended March 31, 2022. The credit was due to a favorable settlement of a restructuring obligation related to our exit from the domestic iron and steel industry in fiscal 2020. See Item 1. Financial Statements, Note 10 - Restructuring Costs, for more information.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$0.2 million in the three months ended March 31, 2022 compared to $0.3 million in the three months ended March 31, 2021. Interest expense in the three months ended March 31, 2022 consisted primarily of letter of credit fees, unused capacity fees and amortization of deferred debt issuance costs.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rates for the three months ended March 31, 2022 and March 31, 2021 were 0.4% and 28.2%, respectively. The effective tax rate during fiscal 2022 was impacted by valuation allowances of $7.7 million. The income tax benefit recorded for the three months ended March 31, 2022 was the result of a change in estimate of our uncertain tax positions. See Item 1. Financial Statements, Note 6 - Income Taxes, for more information about the valuation allowances. The effective tax rates were negatively impacted by $1.9 million of valuation allowances on certain deferred tax assets in the third quarter of fiscal 2021.</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we had a net loss of $34.9 million, or $1.30 per fully diluted share, compared to a net loss of $12.9 million, or $0.49 per fully diluted share, in the three months ended March 31,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Utility and Power Infrastructure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for the Utility and Power Infrastructure segment was $59.3 million in the three months ended March 31, 2022 compared to $44.7 million in the same period last year. The increase is primarily due to higher volumes of power delivery and power generation work.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segment gross margin (loss) was (0.8%) in fiscal 2022 compared to (10.5%) in fiscal 2021. The segment gross margin for the third quarter of fiscal 2022 was negatively impacted by low revenue volume, which led to the under recovery of construction overhead costs, an increase in forecasted cost on a capital project, and lower margins on capital work bid competitively.</w:t>
      </w:r>
    </w:p>
    <w:p>
      <w:pPr>
        <w:spacing w:after="0" w:line="122" w:lineRule="exact"/>
        <w:rPr>
          <w:sz w:val="20"/>
          <w:szCs w:val="20"/>
          <w:color w:val="auto"/>
        </w:rPr>
      </w:pPr>
    </w:p>
    <w:p>
      <w:pPr>
        <w:ind w:right="1420"/>
        <w:spacing w:after="0" w:line="438" w:lineRule="auto"/>
        <w:rPr>
          <w:sz w:val="20"/>
          <w:szCs w:val="20"/>
          <w:color w:val="auto"/>
        </w:rPr>
      </w:pPr>
      <w:r>
        <w:rPr>
          <w:rFonts w:ascii="Times New Roman" w:cs="Times New Roman" w:eastAsia="Times New Roman" w:hAnsi="Times New Roman"/>
          <w:sz w:val="18"/>
          <w:szCs w:val="18"/>
          <w:color w:val="auto"/>
        </w:rPr>
        <w:t xml:space="preserve">The fiscal 2021 segment gross margin was negatively impacted by an increase in the forecasted costs to complete a large capital project. </w:t>
      </w:r>
      <w:r>
        <w:rPr>
          <w:rFonts w:ascii="Times New Roman" w:cs="Times New Roman" w:eastAsia="Times New Roman" w:hAnsi="Times New Roman"/>
          <w:sz w:val="18"/>
          <w:szCs w:val="18"/>
          <w:b w:val="1"/>
          <w:bCs w:val="1"/>
          <w:i w:val="1"/>
          <w:iCs w:val="1"/>
          <w:color w:val="auto"/>
        </w:rPr>
        <w:t>Process and Industrial Facilities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the Process and Industrial Facilities segment was $69.0 million in the three months ended March 31, 2022 compared to $42.8 million in the same period last year. The increase was primarily due to higher volumes of refinery maintenance and turnaround work.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segment gross loss was (0.6%) for the three months ended March 31, 2022 compared to (0.4%) in the same period last year. The segment gross loss in the third quarter of fiscal 2022 was negatively impacted by an increase in forecasted costs to complete a midstream gas processing project, which resulted in a $4.8 million reduction to gross profit. The increase in forecasted costs was primarily due to performance of a, now terminated, subcontractor, which will require rework in order to meet our client's expectations. In addition, the mix of work, which was impacted by increased reimbursable maintenance activity also contributed to lower margins. The higher revenue led to improvement in the recovery of construction overhead costs, but the segment still had some under recovery that impacted the segment gross margin.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 execution generally met our expectations in the third quarter of fiscal 2021. However, segment gross margin in the same period was negatively impacted by low volumes, which led to the under recovery of construction overhead costs, and an adjustment related to the Company's assessment of the amount due on a completed project.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and Terminal Solutions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Storage and Terminal Solutions segment was $48.7 million in the three months ended March 31, 2022 compared to $60.7 million in the same period last year. The decrease in segment revenue is primarily a result of lower volumes of crude oil tank and terminal capital work, and tank repair and maintenance work.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segment gross margin (loss) was (0.9%) for the three months ended March 31, 2022 compared to 10.6% in the same period last year. The fiscal 2022 segment gross margin was negatively impacted by low revenue volume, which led to under recovery of construction overhead costs, and smaller competitively priced capital projects.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fiscal 2021 segment gross margin was positively impacted by additional estimated recoveries of unpriced change orders on a large crude oil terminal project following the achievement of mechanical completion and demobilization from the project site.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Unallocated corporate expenses were $7.2 million during the three months ended March 31, 2022 compared to $6.2 million in the same period last year. The increase is primarily attributable to centralizing support costs under the second phase of our business improvement plan (see Item 1. Financial Statements, Note 10 - Restructuring Costs, and "Operational Update" in this Results of Operations section for more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March 31, 2022 Compared to the Nine Months Ended March 31, 2021</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revenue was $507.1 million for the nine months ended March 31, 2022, compared to $498.5 million in the same period last year. On a segment basis, revenue increased in the Process and Industrial Facilities and Utility and Power Infrastructure segments by $23.2 million and $13.9 million, respectively. The increases were partially offset by a decrease in revenue of $28.5 million in the Storage and Terminal Solutions segment.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gross profit (loss) decreased to ($2.1) million in the nine months ended March 31, 2022 compared to $31.2 million in the same period last year. Gross margin (loss) decreased to (0.4%) in the nine months ended March 31, 2022 compared to 6.3% in the same period last year. Gross margins in fiscal 2022 were negatively impacted by low revenue volume, which led to the under recovery of construction overhead costs. In addition, the competitive environment and project adjustments negatively impacted gross margins. Gross margins in fiscal 2021 were negatively impacted by lower than forecasted volumes, which led to under recovery of construction overhead costs as well as a lower than previously forecasted margin on a large capital project in the Utility and Power Infrastructure segment.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SG&amp;A expenses were $49.6 million in the nine months ended March 31, 2022 compared to $52.0 million in the same period a year earlier.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primarily attributable to implemented cost reductions.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we recorded $18.3 million of goodwill impairment. See Item 1. Financial Statements, Note 4 - Goodwill and Other Intangible Assets, for more information.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restructuring activities, we recorded ($0.3) million of restructuring costs in the nine months ended March 31, 2022. The credit included a $1.6 million favorable settlement of a restructuring obligation related to our exit from the domestic iron and steel industry in fiscal 2020. See Item 1. Financial Statements, Note 10 - Restructuring Costs, for more information.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was $2.7 million in the nine months ended March 31, 2022 compared to $1.1 million in the nine months ended March 31, 2021. Interest expense in fiscal 2022 included $1.5 million of accelerated amortization of deferred debt amendment fees (see Item 1. Financial Statements, Note 5 - Debt, for more information). The remaining interest expense in fiscal 2022 was comprised of letter of credit fees, unused capacity fees and amortization of deferred debt issuance costs.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rates for the nine months ended March 31, 2022 and March 31, 2021 were (7.8%) and 22.6%, respectively. The effective tax rate during fiscal 2022 was impacted by a $21.9 million valuation allowance placed on our deferred tax assets. See Item 1. Financial Statements, Note 6 - Income Taxes, for more information about the valuation allowances. The effective tax rates were negatively impacted by $1.9 million of valuation allowances on certain deferred tax assets in the third quarter of fiscal 2021, and $1.2 million of other deferred tax adjustments in the first half of fiscal 2021.</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March 31, 2022, we had a net loss of $77.4 million, or $2.90 per fully diluted share, compared to a net loss of $20.5 million, or $0.78 per fully diluted share, in the nine months ended March 31,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Utility and Power Infrastructure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Utility and Power Infrastructure segment was $171.3 million in the nine months ended March 31, 2022 compared to $157.4 million in the same period last year. The increase is primarily due to higher volumes of power generation and power delivery work, partially offset by lower volumes of natural gas utility peak shaving and storm response service work.</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segment gross margin (loss) was (4.1%) in fiscal 2022 compared to 5.0% in fiscal 2021. The segment gross margin in fiscal 2022 was negatively impacted by low revenue volume, which led to the under recovery of construction overhead costs. In addition, the fiscal 2022 segment gross margin was materially impacted by changes in the forecasted costs to complete a large capital project. Improved execution during the third quarter of fiscal 2022 resulted in an increase in gross profit of $0.8 million on this project during the three months ended March 31, 2022. However, increases in the forecasted costs to complete the project during the first half of fiscal 2022 resulted in the project reducing gross profit by $5.1 million during the nine months ended March 31, 2022. The increase in forecasted costs during the first half of the fiscal year was principally due to unexpected equipment repairs during commissioning that delayed the scheduled completion and increased the estimated costs to complete. We achieved a critical performance milestone during the second quarter of fiscal 2022, which significantly reduced our financial exposure on the project. We expect to complete the project during the fourth quarter of fiscal 2022. In addition, segment gross margin was negatively impacted by an unfavorable settlement of a claim with a customer.</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fiscal 2021 segment gross margin was negatively impacted by an increase in the forecasted costs to complete a large capital project. In addition, segment gross margin was negatively impacted by low volumes, which led to the under recovery of construction overhead costs. These negative impacts were partially offset by good project execution in the remainder of the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and Industrial Facilities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for the Process and Industrial Facilities segment was $163.2 million in the nine months ended March 31, 2022 compared to $140.0 million in the same period last year. The increase was primarily due to higher levels of refinery maintenance and turnaround work.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segment gross margin was 4.1% for the nine months ended March 31, 2022 compared to 8.1% in the same period last year. Despite generally strong project execution and higher volumes, the segment gross margin in fiscal 2022 was negatively impacted by under recovered construction overhead costs and a $4.8 million increase in forecasted costs to complete a midstream gas processing project. The increase in forecasted costs was primarily due to performance of a, now terminated, subcontractor, which will require rework in order to meet our client's expectations.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gross margin in fiscal 2021 was positively impacted by strong project execution and the positive impact of a one-time workers' compensation item recorded in the second quarter, but these positive impacts were partially offset by lower revenue volumes, which led to the under recovery of construction overhead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and Terminal Solutions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the Storage and Terminal Solutions segment was $172.6 million in the nine months ended March 31, 2022 compared to $201.1 million in the same period last year. The decrease in segment revenue is primarily a result of lower volumes of crude oil tank and terminal capital work.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segment gross margin (loss) was (0.1%) for the nine months ended March 31, 2022 compared to 6.0% in the same period last year. The fiscal 2022 segment gross margin was negatively impacted by low revenue volume, which led to under recovery of construction overhead costs and a lower than previously forecasted margin on a thermal energy storage tank repair and maintenance project due to changes in repair scope, expanded client weld testing and associated schedule delays, which reduced segment gross profit by $5.5 million. In addition, segment gross margin was negatively impacted by smaller competitively priced capital projects.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fiscal 2021 segment gross margin was negatively impacted by increases in the costs to complete a large crude oil terminal project, partially offset by an increase in the estimated recovery of those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Unallocated corporate expenses were $21.5 million during the nine months ended March 31, 2022 compared to $20.2 million in the same period last year. The increase is primarily attributable to an increase in legal costs for outstanding litigation (see Item 1. Financial Statements, Note 7 - Commitment and Contingencies, for more information), third party consulting services and centralization of support costs related to restructuring activities (see "Operational Update" in this Results of Operations section), partially offset by cost reductions we implemented.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89"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awards;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customer commitments on cost plus arrangements; and</w:t>
      </w:r>
    </w:p>
    <w:p>
      <w:pPr>
        <w:spacing w:after="0" w:line="252"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time and material arrangements in which the estimated value is firm or can be estimated with a reasonable amount of certainty in both timing and amounts.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("LNTP"),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backlog for the three months ended March 31, 2022:</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Process and</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 and</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Industrial Facilities</w:t>
            </w: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Terminal Solutions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591,560</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179,670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(177,003)</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 as of March 31,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114,393</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594,227</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Book-to-bill ratio</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145415</wp:posOffset>
            </wp:positionV>
            <wp:extent cx="7969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08" w:lineRule="exact"/>
        <w:rPr>
          <w:sz w:val="20"/>
          <w:szCs w:val="20"/>
          <w:color w:val="auto"/>
        </w:rPr>
      </w:pPr>
    </w:p>
    <w:p>
      <w:pPr>
        <w:ind w:left="560" w:hanging="309"/>
        <w:spacing w:after="0"/>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project awards by revenue recognized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backlog for the nine months ended March 31,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Process and</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 and</w:t>
            </w:r>
          </w:p>
        </w:tc>
        <w:tc>
          <w:tcPr>
            <w:tcW w:w="28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Industrial Facilities</w:t>
            </w: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Terminal Solutions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June 30,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462,561</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awards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638,727</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(507,061)</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 as of March 31,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114,393</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193,106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594,227</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Book-to-bill ratio</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969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81" w:lineRule="exact"/>
        <w:rPr>
          <w:sz w:val="20"/>
          <w:szCs w:val="20"/>
          <w:color w:val="auto"/>
        </w:rPr>
      </w:pPr>
    </w:p>
    <w:p>
      <w:pPr>
        <w:ind w:left="560" w:hanging="309"/>
        <w:spacing w:after="0"/>
        <w:tabs>
          <w:tab w:leader="none" w:pos="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project awards by revenue recognized during the period.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Strong bidding activity has led to project awards of $179.7 million and $638.7 million during the three and nine months ended March 31, 2022, respectively, leading to a book-to-bill ratios of 1.0 and 1.3 for the three and nine months ended March 31, 2022, respectively. Project awards through the first half of fiscal 2022 surpassed project awards for the full year of fiscal 2021. Total backlog increased by 0.5% and 28.5% during the three and nine months ended March 31, 2022, respectively.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Utility and Power Infrastructure segment, backlog decreased by 23.9% as we booked $23.4 million of project awards during the three months ended March 31, 2022. Backlog decreased by 32.7% as we booked $115.6 million of project awards during the nine months ended March 31, 2022. Bidding activity is strong in the power delivery portion of the business. During fiscal 2022, we received several key contracts for electrical infrastructure services including substation and transmission line rebuilds, relay upgrades, and fiber installation. Our opportunity pipeline for LNG peak shaving projects is also building, however those awards, while significant, can be less frequent. In addition, we expect the $1.2 trillion Infrastructure Investment and Jobs Act passed by congress will lead to increased opportunities in this segment.</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Process and Industrial Facilities segment, backlog increased by 14.2% as we booked $104.7 million of project awards during the three months ended March 31, 2022. Backlog increased by 112.7% as we booked $315.1 million of project awards during the nine months ended March 31, 2022. Client spending related to refinery maintenance operations has returned to near-normal levels. During fiscal 2022, we received key awards for two thermal vacuum chamber projects, a midstream gas processing plant, a borate mining facility, and other renewable energy capital projects. We continue to see strong demand for thermal vacuum chambers in the coming quarters, as well as increasing opportunities in mining and minerals and chemicals. In addition, we are seeing more opportunities for midstream gas work, including some larger scale projects.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Storage and Terminal Solutions segment, backlog increased by 1.5% as we booked $51.6 million of project awards during the three months ended March 31, 2022. Backlog increased by 22.4% as we booked $207.9 million of project awards during the nine months ended March 31, 2022. Oil and natural gas producers have remained cautious with capital spending, which has limited new production volumes and opportunities in crude oil tanks and terminals. However, the price of crude oil increased significantly during the third quarter of fiscal 2022 primarily due to increased foreign supply pressures from the sanctions against Russia. While the impact of the price increase remains uncertain, if sustained, we expect it could strengthen our existing opportunities for crude oil tanks and terminals, and export facilities in the coming quarters. This segment also includes significant opportunities for storage infrastructure projects related to natural gas, LNG, ammonia, hydrogen, NGLs and other forms of renewable energy.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 level of awards presented above only represents an interim period and may not be indicative of full year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Other Factors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results can exhibit seasonal fluctuations, especially in our Process and Industrial Facilities segment, for a variety of reasons. Turnarounds and planned outages at customer facilities are typically scheduled in the spring and the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can also be affected, both positively and negatively, by seasonal factors such as energy demand or weather conditions including hurricanes, snowstorms, wildfires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factors impacting operating results in all segments come from decreased work volume during holidays, work site permitting delays or customers accelerating or postponing work. The differing types, sizes, and durations of our contracts, combined with their geographic diversity and stages of completion, often results in fluctuations in our operating results.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overhead cost structure is generally fixed. Significant fluctuations in revenue usually leads to over or under recovery of fixed overhead costs, which can have a material impact on our gross margin and profitability.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Loss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more clearly depict our core profitability, the following tables present our operating results after certain adjustments: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Loss and Diluted Loss per Common Share</w:t>
      </w:r>
      <w:r>
        <w:rPr>
          <w:rFonts w:ascii="Times New Roman" w:cs="Times New Roman" w:eastAsia="Times New Roman" w:hAnsi="Times New Roman"/>
          <w:sz w:val="23"/>
          <w:szCs w:val="23"/>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50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0"/>
        </w:trPr>
        <w:tc>
          <w:tcPr>
            <w:tcW w:w="58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29"/>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as reported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w:t>
            </w:r>
          </w:p>
        </w:tc>
      </w:tr>
      <w:tr>
        <w:trPr>
          <w:trHeight w:val="230"/>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costs incurred</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r>
      <w:tr>
        <w:trPr>
          <w:trHeight w:val="230"/>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Accelerated amortization of deferred debt amendment fees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Deferred tax asset valuation allowance</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Tax impact of adjustments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fully diluted share, as reported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8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loss per fully diluted share</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(0.59)</w:t>
            </w:r>
          </w:p>
        </w:tc>
      </w:tr>
      <w:tr>
        <w:trPr>
          <w:trHeight w:val="20"/>
        </w:trPr>
        <w:tc>
          <w:tcPr>
            <w:tcW w:w="5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111125</wp:posOffset>
            </wp:positionV>
            <wp:extent cx="7969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27" w:lineRule="exact"/>
        <w:rPr>
          <w:sz w:val="20"/>
          <w:szCs w:val="20"/>
          <w:color w:val="auto"/>
        </w:rPr>
      </w:pPr>
    </w:p>
    <w:p>
      <w:pPr>
        <w:jc w:val="both"/>
        <w:ind w:left="580" w:hanging="329"/>
        <w:spacing w:after="0" w:line="262" w:lineRule="auto"/>
        <w:tabs>
          <w:tab w:leader="none" w:pos="57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presents non-GAAP financial measures of our adjusted net loss and adjusted diluted loss per common share for the three and nine months ended March 31, 2022 and 2021. The most directly comparable financial measures are net loss and net loss per diluted share, respectively, presented in the Condensed Consolidated Statements of Income. We have presented these non-GAAP financial measures because we believe they more clearly depict our core operating results during the periods presented and provide a more comparable measure of our operating results to other companies considered to be in similar businesses. Since adjusted net loss and adjusted diluted loss per common share are not measures of performance calculated in accordance with GAAP, they should be considered in addition to, rather than as a substitute for, the most directly comparable GAAP financial measures.</w:t>
      </w:r>
    </w:p>
    <w:p>
      <w:pPr>
        <w:spacing w:after="0" w:line="1" w:lineRule="exact"/>
        <w:rPr>
          <w:rFonts w:ascii="Times New Roman" w:cs="Times New Roman" w:eastAsia="Times New Roman" w:hAnsi="Times New Roman"/>
          <w:sz w:val="14"/>
          <w:szCs w:val="14"/>
          <w:color w:val="auto"/>
        </w:rPr>
      </w:pPr>
    </w:p>
    <w:p>
      <w:pPr>
        <w:ind w:left="580" w:right="20" w:hanging="329"/>
        <w:spacing w:after="0" w:line="259" w:lineRule="auto"/>
        <w:tabs>
          <w:tab w:leader="none" w:pos="57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in fiscal 2022 included $1.5 million of accelerated amortization of deferred debt amendment fees (see Item 1. Financial Statements, Note 5 - Debt, for more information).</w:t>
      </w:r>
    </w:p>
    <w:p>
      <w:pPr>
        <w:spacing w:after="0" w:line="173"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Item 1. Financial Statements, Note 6 - Income Taxes, for more information about the deferred tax asset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presented Adjusted EBITDA, which we define as net loss before restructuring costs, stock-based compensation, interest expense, income taxes, and depreciation and amortization, because it is used by the financial community as a method of measuring our performance and of evaluating the market value of companies considered to be in similar businesses. We believe that the line item on our Condensed Consolidated Statements of Income entitled “Net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34" w:lineRule="exact"/>
        <w:rPr>
          <w:sz w:val="20"/>
          <w:szCs w:val="20"/>
          <w:color w:val="auto"/>
        </w:rPr>
      </w:pPr>
    </w:p>
    <w:p>
      <w:pPr>
        <w:ind w:left="980" w:right="420" w:hanging="324"/>
        <w:spacing w:after="0" w:line="289" w:lineRule="auto"/>
        <w:tabs>
          <w:tab w:leader="none" w:pos="97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include impairment to goodwill. While impairment to goodwill is a non-cash expense in the period recognized, cash or other consideration was still transferred in exchange for goodwill in the period of the acquisition. Any measure that excludes impairment to goodwill has material limitations since this expense represents the loss of an asset that was acquired in exchange for cash or other assets.</w:t>
      </w:r>
    </w:p>
    <w:p>
      <w:pPr>
        <w:spacing w:after="0" w:line="103" w:lineRule="exact"/>
        <w:rPr>
          <w:rFonts w:ascii="Times New Roman" w:cs="Times New Roman" w:eastAsia="Times New Roman" w:hAnsi="Times New Roman"/>
          <w:sz w:val="17"/>
          <w:szCs w:val="17"/>
          <w:color w:val="auto"/>
        </w:rPr>
      </w:pPr>
    </w:p>
    <w:p>
      <w:pPr>
        <w:ind w:left="980" w:right="52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restructuring costs. Restructuring costs represent material costs that were incurred and are oftentimes cash expenses. Therefore, any measure that excludes restructuring costs has material limitations.</w:t>
      </w:r>
    </w:p>
    <w:p>
      <w:pPr>
        <w:spacing w:after="0" w:line="107"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stock-based compensation. Stock-based compensation represents material amounts of equity that are awarded to our employees and directors for services rendered. While the expense is non-cash, we release vested shares out of our treasury stock, which has historically been replenished by using cash to periodically repurchase our stock. Therefore, any measure that excludes stock-based compensation has material limitations.</w:t>
      </w:r>
    </w:p>
    <w:p>
      <w:pPr>
        <w:spacing w:after="0" w:line="12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2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income taxes. Because the payment of income taxes is a necessary and ongoing part of our operations, any measure that excludes income taxes has material limitations.</w:t>
      </w:r>
    </w:p>
    <w:p>
      <w:pPr>
        <w:spacing w:after="0" w:line="10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Adjusted EBITDA to net loss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2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1"/>
        </w:trPr>
        <w:tc>
          <w:tcPr>
            <w:tcW w:w="5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1"/>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liquidity as the ongoing ability to pay our liabilities as they become due, fund business operations and meet all monetary contractual obligations. Our primary sources of liquidity at March 31, 2022 were unrestricted cash and cash equivalents on hand, capacity under our ABL Facility, and cash generated from operations. Unrestricted cash and cash equivalents at March 31, 2022 totaled $34.1 million and availability under the ABL Facility totaled $52.7 million, resulting in total liquidity of $86.8 million.</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in the Condensed Consolidated Balance Sheets to the total cash, cash equivalents and restricted cash shown in the Condensed Consolidated Statements of Cash Flows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83,878</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 of Cash Flows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83,878</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bidding activity and the volume of project awards have both improved as the economy emerges from the pandemic, the market environment is still uncertain. Therefore we continue to maintain a strong balance sheet, which we believe is sufficient to support our near- to intermediate-term needs. We are continuing to take the following actions:</w:t>
      </w:r>
    </w:p>
    <w:p>
      <w:pPr>
        <w:spacing w:after="0" w:line="12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reviewing business processes and organizational 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managing our the cost structure and working capital;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 to critical needs.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routinely impact our short-term liquidity and may impact our long-term liquidity include, but are not limited to:</w:t>
      </w:r>
    </w:p>
    <w:p>
      <w:pPr>
        <w:spacing w:after="0" w:line="252" w:lineRule="exact"/>
        <w:rPr>
          <w:sz w:val="20"/>
          <w:szCs w:val="20"/>
          <w:color w:val="auto"/>
        </w:rPr>
      </w:pPr>
    </w:p>
    <w:p>
      <w:pPr>
        <w:ind w:left="660" w:right="2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88"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cost-plus and fixed-price customer contracts are billed based on milestones which may require us to incur significant expenditures prior to collections from our customers;</w:t>
      </w:r>
    </w:p>
    <w:p>
      <w:pPr>
        <w:spacing w:after="0" w:line="188" w:lineRule="exact"/>
        <w:rPr>
          <w:rFonts w:ascii="Times New Roman" w:cs="Times New Roman" w:eastAsia="Times New Roman" w:hAnsi="Times New Roman"/>
          <w:sz w:val="18"/>
          <w:szCs w:val="18"/>
          <w:color w:val="auto"/>
        </w:rPr>
      </w:pPr>
    </w:p>
    <w:p>
      <w:pPr>
        <w:ind w:left="1300" w:right="480" w:hanging="320"/>
        <w:spacing w:after="0" w:line="282"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fixed-price customer contracts allow for significant upfront billings at the beginning of a project, which temporarily increases liquidity near term;</w:t>
      </w:r>
    </w:p>
    <w:p>
      <w:pPr>
        <w:spacing w:after="0" w:line="188"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material contracts are normally billed in arrears. Therefore, we are routinely required to carry these costs until they can be billed and collected; and</w:t>
      </w:r>
    </w:p>
    <w:p>
      <w:pPr>
        <w:spacing w:after="0" w:line="188" w:lineRule="exact"/>
        <w:rPr>
          <w:rFonts w:ascii="Times New Roman" w:cs="Times New Roman" w:eastAsia="Times New Roman" w:hAnsi="Times New Roman"/>
          <w:sz w:val="18"/>
          <w:szCs w:val="18"/>
          <w:color w:val="auto"/>
        </w:rPr>
      </w:pPr>
    </w:p>
    <w:p>
      <w:pPr>
        <w:ind w:left="1300" w:right="600" w:hanging="320"/>
        <w:spacing w:after="0" w:line="282"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large construction projects may require security in the form of letters of credit or significant retentions. The timing of collection of retentions is often uncertain;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working capital;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may impact both short and long-term liquidity include:</w:t>
      </w:r>
    </w:p>
    <w:p>
      <w:pPr>
        <w:spacing w:after="0" w:line="25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disputes, which can be significant;</w:t>
      </w:r>
    </w:p>
    <w:p>
      <w:pPr>
        <w:spacing w:after="0" w:line="25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issues, including those caused by weak commodity prices, economic slowdowns or other factors which can lead to credit deterioration of our customers;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letters of credit;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in new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may impact long-term liquidity include:</w:t>
      </w:r>
    </w:p>
    <w:p>
      <w:pPr>
        <w:spacing w:after="0" w:line="25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constraints under our ABL Facility and maintaining compliance with all covenants contained in the ABL Facility;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disposals of businesses;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under our stock buyback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ABL Credit Facility and Senior Secured Revolving Credit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Credit Facility</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9, 2021, we and our primary U.S. and Canada operating subsidiaries entered into an asset-backed credit agreement (the "ABL Facility") as borrowers with Bank of Montreal, as Administrative Agent, Swing-Line Lender, a Letter of Credit Issuer and a Lender. The ABL Facility is guaranteed by substantially all of our remaining U.S. and Canadian subsidiaries. The ABL Facility provides for available borrowings of up to $100.0 million, which may be increased further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secured by a first lien on all our assets and the assets of our co-borrowers and guarantors under the ABL Facility.</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2022, our borrowing base was $76.4 million and we had $23.7 million in letters of credit outstanding issued by Bank of Montreal, which resulted in availability of $52.7 million under the ABL Facility.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ABL Facility bear interest through maturity at a variable rate based upon, at our option, an annual rate equal to any of a base rate (“Base Rate”), Canadian prime rate, CDOR rate or a LIBOR rate, plus an applicable margin. The Base Rate is defined as a fluctuating interest rate equal to the greatest of (i) rate of interest announced by Bank of Montreal from time to time as its prime rate; (ii) the U.S. federal funds rate plus 0.50%; (iii) LIBOR rate for one month period plus 1.00%; and (iv) 1.00%. Depending on the amount of average availability, the applicable margin is between 1.00% to 1.50% for either U.S. Base Rate Loans or Canadian prime rate, and between 2.00% and 2.50% for CDOR and LIBOR rate borrowings. Interest is payable either (i) monthly for Base Rate borrowings or (ii) the last day of the interest period for LIBOR or CDOR rate borrowings, as set forth in the Credit Agreement. The fee for undrawn amounts is 0.25% per annum and is due quarterly.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are in compliance with all covenants of the ABL Facility as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Revolving Credit Facility</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ABL Facility replaced the Fifth Amended and Restated Credit Agreement (the "Prior Credit Agreement"), that was entered into on November 2, 2020, and subsequently amended on May 4, 2021, by and among us and certain foreign subsidiaries, as Borrowers, various subsidiaries of ours, as Guarantors, JPMorgan, as Administrative Agent, Sole Lead Arranger and Sole Book Runner, and the other Lenders party thereto. The Prior Credit Agreement provided for a three-year senior secured revolving credit facility of $200.0 million that was set to expire November 2, 2023. We had no borrowings and $41.3 million of letters of credit outstanding under the Prior Credit Agreement as of the date we commenced the ABL Facility. Interest expense during the nine months ended March 31, 2022 included $1.5 million of accelerated amortization of deferred debt amendment fees associated with the Prior Credit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for the Nine Months Ended March 31,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by Operating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by operating activities for the nine months ended March 31, 2022 totaled $22.5 million. The various components are as follows: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080" w:type="dxa"/>
            <w:vAlign w:val="bottom"/>
          </w:tcPr>
          <w:p>
            <w:pPr>
              <w:spacing w:after="0"/>
              <w:rPr>
                <w:sz w:val="19"/>
                <w:szCs w:val="19"/>
                <w:color w:val="auto"/>
              </w:rPr>
            </w:pPr>
          </w:p>
        </w:tc>
        <w:tc>
          <w:tcPr>
            <w:tcW w:w="6200" w:type="dxa"/>
            <w:vAlign w:val="bottom"/>
            <w:gridSpan w:val="2"/>
          </w:tcPr>
          <w:p>
            <w:pPr>
              <w:jc w:val="right"/>
              <w:ind w:right="3110"/>
              <w:spacing w:after="0"/>
              <w:rPr>
                <w:sz w:val="20"/>
                <w:szCs w:val="20"/>
                <w:color w:val="auto"/>
              </w:rPr>
            </w:pPr>
            <w:r>
              <w:rPr>
                <w:rFonts w:ascii="Times New Roman" w:cs="Times New Roman" w:eastAsia="Times New Roman" w:hAnsi="Times New Roman"/>
                <w:sz w:val="18"/>
                <w:szCs w:val="18"/>
                <w:b w:val="1"/>
                <w:bCs w:val="1"/>
                <w:color w:val="auto"/>
              </w:rPr>
              <w:t>Net Cash Used by Operating Activities</w:t>
            </w:r>
          </w:p>
        </w:tc>
        <w:tc>
          <w:tcPr>
            <w:tcW w:w="920" w:type="dxa"/>
            <w:vAlign w:val="bottom"/>
          </w:tcPr>
          <w:p>
            <w:pPr>
              <w:spacing w:after="0"/>
              <w:rPr>
                <w:sz w:val="19"/>
                <w:szCs w:val="19"/>
                <w:color w:val="auto"/>
              </w:rPr>
            </w:pPr>
          </w:p>
        </w:tc>
      </w:tr>
      <w:tr>
        <w:trPr>
          <w:trHeight w:val="234"/>
        </w:trPr>
        <w:tc>
          <w:tcPr>
            <w:tcW w:w="4080" w:type="dxa"/>
            <w:vAlign w:val="bottom"/>
          </w:tcPr>
          <w:p>
            <w:pPr>
              <w:spacing w:after="0"/>
              <w:rPr>
                <w:sz w:val="20"/>
                <w:szCs w:val="20"/>
                <w:color w:val="auto"/>
              </w:rPr>
            </w:pPr>
          </w:p>
        </w:tc>
        <w:tc>
          <w:tcPr>
            <w:tcW w:w="6200" w:type="dxa"/>
            <w:vAlign w:val="bottom"/>
            <w:gridSpan w:val="2"/>
          </w:tcPr>
          <w:p>
            <w:pPr>
              <w:jc w:val="right"/>
              <w:ind w:right="4070"/>
              <w:spacing w:after="0"/>
              <w:rPr>
                <w:sz w:val="20"/>
                <w:szCs w:val="20"/>
                <w:color w:val="auto"/>
              </w:rPr>
            </w:pPr>
            <w:r>
              <w:rPr>
                <w:rFonts w:ascii="Times New Roman" w:cs="Times New Roman" w:eastAsia="Times New Roman" w:hAnsi="Times New Roman"/>
                <w:sz w:val="18"/>
                <w:szCs w:val="18"/>
                <w:color w:val="auto"/>
              </w:rPr>
              <w:t>(In thousands)</w:t>
            </w:r>
          </w:p>
        </w:tc>
        <w:tc>
          <w:tcPr>
            <w:tcW w:w="920" w:type="dxa"/>
            <w:vAlign w:val="bottom"/>
          </w:tcPr>
          <w:p>
            <w:pPr>
              <w:spacing w:after="0"/>
              <w:rPr>
                <w:sz w:val="20"/>
                <w:szCs w:val="20"/>
                <w:color w:val="auto"/>
              </w:rPr>
            </w:pPr>
          </w:p>
        </w:tc>
      </w:tr>
      <w:tr>
        <w:trPr>
          <w:trHeight w:val="216"/>
        </w:trPr>
        <w:tc>
          <w:tcPr>
            <w:tcW w:w="40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2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(77,356)</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expenses</w:t>
            </w:r>
          </w:p>
        </w:tc>
        <w:tc>
          <w:tcPr>
            <w:tcW w:w="5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18,276</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5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w:t>
            </w:r>
          </w:p>
        </w:tc>
        <w:tc>
          <w:tcPr>
            <w:tcW w:w="5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effect of changes in operating assets and liabilities</w:t>
            </w:r>
          </w:p>
        </w:tc>
        <w:tc>
          <w:tcPr>
            <w:tcW w:w="5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5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effect of changes in operating assets and liabilities at March 31, 2022 in comparison to June 30, 2021 include the following:</w:t>
      </w:r>
    </w:p>
    <w:p>
      <w:pPr>
        <w:spacing w:after="0" w:line="252" w:lineRule="exact"/>
        <w:rPr>
          <w:sz w:val="20"/>
          <w:szCs w:val="20"/>
          <w:color w:val="auto"/>
        </w:rPr>
      </w:pPr>
    </w:p>
    <w:p>
      <w:pPr>
        <w:ind w:left="980" w:right="4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decreased $10.3 million during the nine months ended March 31, 2022, which increased cash flows from operating activities. The variance is primarily attributable to the timing of billing and collections.</w:t>
      </w:r>
    </w:p>
    <w:p>
      <w:pPr>
        <w:spacing w:after="0" w:line="188"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estimated earnings in excess of billings on uncompleted contracts ("CIE") increased $15.6 million, which decreased cash flows from operating activities. Billings on uncompleted contracts in excess of costs and estimated earnings ("BIE") increased $20.0 million, which increased cash flows from operating activities. CIE and BIE balances can experience significant fluctuations based on business volumes and the timing of when job costs are incurred and the timing of customer billings and payments.</w:t>
      </w:r>
    </w:p>
    <w:p>
      <w:pPr>
        <w:spacing w:after="0" w:line="206" w:lineRule="exact"/>
        <w:rPr>
          <w:rFonts w:ascii="Times New Roman" w:cs="Times New Roman" w:eastAsia="Times New Roman" w:hAnsi="Times New Roman"/>
          <w:sz w:val="18"/>
          <w:szCs w:val="18"/>
          <w:color w:val="auto"/>
        </w:rPr>
      </w:pPr>
    </w:p>
    <w:p>
      <w:pPr>
        <w:ind w:left="980" w:right="360" w:hanging="324"/>
        <w:spacing w:after="0" w:line="258"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income taxes receivable, other current assets, operating right-of-use lease assets and other assets, non-current, decreased $1.0 million during the nine months ended March 31, 2022, which increased cash flows from operating activities. These operating assets can fluctuate based on the timing of inventory builds and draw-downs, accrual and receipt of income taxes receivable; prepayments of certain expenses; lease commencement, passage of time, expiration, or termination of operating leases; business volumes; and other timing differences.</w:t>
      </w:r>
    </w:p>
    <w:p>
      <w:pPr>
        <w:spacing w:after="0" w:line="210"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accrued wages and benefits, accrued insurance, operating lease liabilities, other accrued expenses, and other liabilities, non-current decreased by $1.8 million during the nine months ended March 31, 2022, which decreased cash flows from operating activities. These operating liabilities can fluctuate based on the timing of vendor payments; accruals; lease commencement, lease payments, expiration, or termination of operating leases; business volumes; and other timing differences.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by Investing Activities</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used $0.1 million of cash in the nine months ended March 31, 2022 primarily due to $1.4 million of capital expenditures, partially offset by $1.3 million of proceeds from other asset sales.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by Financing Activities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Financing activities used $1.9 million of cash in the nine months ended March 31, 2022 primarily due to $1.1 million paid in fees to enter into our ABL Facility and $0.9 million paid to repurchase our stock for payment of withholding taxes due on equity-based compensation.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nine months ended March 31, 2022 and have no current plans to repurchase stock. As of March 31, 2022,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1,104,952 treasury shares as of March 31, 2022 and intend to utilize these treasury shares in connection with equity awards under the our stock incentive plans and for sales to the Employee Stock Purchase Plan.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from those reported in our fiscal 2021 Annual Report on Form 10-K filed with the SEC. For more information on our critical accounting policies, see Part II, Item 7 of our fiscal 2021 Annual Report on Form 10-K. The following section provides certain information with respect to our critical accounting policies as of the close of our most recent quarterly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Information about our Contracts with Customers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are commonly fixed-price contracts that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exceed one year for capital projects.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Contract Identification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a single contract. This evaluation requires judgment and could change the timing of the amount of revenue and profit recorded for a given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Performance Obligations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Contract Price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Assign Contract Price to Performance Obligations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as Performance Obligations are Satisfied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revenue for contracts with our customers as we satisfy the contracts' performance obligations. We recognize revenue on performance obligations associated with fixed-price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We do not sell separate warranties.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Orders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 of the Notes to Condensed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 of the Notes to Financial Statements.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 included revenues for unpriced change orders and claims of $9.3 million at March 31, 2022 and $14.6 million at June 30, 2021. The amounts ultimately realized may be significantly different than the recorded amounts resulting in a material adjustment to future earnings.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but is tested at least annually for impairment at the reporting unit level, which is a level below our reportable segments.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perform our annual impairment test as of May 31st of each fiscal year, or in between annual tests if impairment indicators are present,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fair values of our reporting units compared to our market capitalization.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We believe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legal actions, claims, and other contingencies arise in the normal course of our business. Contingencies are recorded in the condensed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market risk faced by us from those reported in our Annual Report on Form 10-K for the fiscal year ended June 30, 2021, filed with the Securities and Exchange Commission. For more information on market risk, see Part II, Item 7A in our fiscal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2022. Based on the foregoing, our Chief Executive Officer and Chief Financial Officer concluded that our disclosure controls and procedures were effective at the reasonable assurance level at March 31, 2022.</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have materially affected, or are reasonably likely to materially affect our internal controls over financial reporting during the quarter ended March 31,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amended the following Risk Factor that appeared in Item 1A of Part I of our Annual Report on Form 10-K for the fiscal year ended June 30, 2021. This amended Risk Factor should be considered along with the other Risk Factors that appeared in our Annual Report for the fiscal year ended June 30, 2021. Except as set forth below, there have been no material changes to the risk factors involving us from those previously disclosed in Item 1A of our Annual Report on Form 10-K for the fiscal year ended June 30,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affected our business and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has adversely affected our business and operations and the business and operations of our customers. We have experienced unpredictable reductions in demand for our services. In response to the COVID-19 pandemic, companies within the oil and natural gas and other industries (including our customers) have announced spending cuts and/or project delays which, in turn, have resulted in decreased awards of new contracts or adjustments, reductions, suspensions or cancellations of contracts.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monitor the potential for regulation requiring our employees to get vaccinated and/or tested frequently for COVID-19. No such regulation is in place at this time, but we have prepared for the possibility that we must comply with such regulation. It is not possible to predict with certainty the exact impact that such regulation would have on us or on our workforce. However, vaccine and testing mandates could result in employee attrition and difficulty securing future labor needs which could have an adverse effect on our business, results of operations and/or cash flows.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duration of the COVID-19 pandemic and its economic consequences are uncertain, rapidly changing and difficult to predict. While we expect the COVID-19 pandemic to continue to have an adverse effect on our business, financial condition, liquidity, cash flow and results of operations, we are unable to predict the nature, timing and extent of these impacts at this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been affected by inflation, supply chain disruptions and shortages of materials and labor.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onset of the pandemic and with the ongoing conflict between Ukraine and Russia in Europe, there has been a high degree of volatility in commodity and energy markets that affect our client's businesses. In addition, inflation in the United States has reached multi-decade highs and has been increasing since the beginning of the fiscal year. In some cases we have had to bid more competitively than before to win work, which has compressed margins somewhat given the higher inflation. It is uncertain how this market environment will impact our business, both positively or negatively.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we made of our common stock during the third quarter of fiscal year 2022.</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7"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22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188"/>
              <w:spacing w:after="0" w:line="146"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22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left="176"/>
              <w:spacing w:after="0" w:line="137" w:lineRule="exact"/>
              <w:rPr>
                <w:sz w:val="20"/>
                <w:szCs w:val="20"/>
                <w:color w:val="auto"/>
              </w:rPr>
            </w:pPr>
            <w:r>
              <w:rPr>
                <w:rFonts w:ascii="Times New Roman" w:cs="Times New Roman" w:eastAsia="Times New Roman" w:hAnsi="Times New Roman"/>
                <w:sz w:val="14"/>
                <w:szCs w:val="14"/>
                <w:b w:val="1"/>
                <w:bCs w:val="1"/>
                <w:color w:val="auto"/>
              </w:rPr>
              <w:t>Paid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7"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22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(C)</w:t>
            </w:r>
          </w:p>
        </w:tc>
        <w:tc>
          <w:tcPr>
            <w:tcW w:w="0" w:type="dxa"/>
            <w:vAlign w:val="bottom"/>
          </w:tcPr>
          <w:p>
            <w:pPr>
              <w:spacing w:after="0"/>
              <w:rPr>
                <w:sz w:val="1"/>
                <w:szCs w:val="1"/>
                <w:color w:val="auto"/>
              </w:rPr>
            </w:pPr>
          </w:p>
        </w:tc>
      </w:tr>
      <w:tr>
        <w:trPr>
          <w:trHeight w:val="23"/>
        </w:trPr>
        <w:tc>
          <w:tcPr>
            <w:tcW w:w="47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to January 31, 2022</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 Buyback Program (A)</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1,349,037</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Transactions (B)</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1 to February 28, 2022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Buyback Program (A)</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1,349,037</w:t>
            </w:r>
          </w:p>
        </w:tc>
        <w:tc>
          <w:tcPr>
            <w:tcW w:w="0" w:type="dxa"/>
            <w:vAlign w:val="bottom"/>
          </w:tcPr>
          <w:p>
            <w:pPr>
              <w:spacing w:after="0"/>
              <w:rPr>
                <w:sz w:val="1"/>
                <w:szCs w:val="1"/>
                <w:color w:val="auto"/>
              </w:rPr>
            </w:pPr>
          </w:p>
        </w:tc>
      </w:tr>
      <w:tr>
        <w:trPr>
          <w:trHeight w:val="229"/>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Employee Transactions (B)</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1 to March 31, 2022</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 Buyback Program (A)</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1,349,037</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Transactions (B)</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60" w:hanging="309"/>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purchased under our Stock Buyback Program.</w:t>
      </w:r>
    </w:p>
    <w:p>
      <w:pPr>
        <w:spacing w:after="0" w:line="27" w:lineRule="exact"/>
        <w:rPr>
          <w:rFonts w:ascii="Times New Roman" w:cs="Times New Roman" w:eastAsia="Times New Roman" w:hAnsi="Times New Roman"/>
          <w:sz w:val="18"/>
          <w:szCs w:val="18"/>
          <w:color w:val="auto"/>
        </w:rPr>
      </w:pPr>
    </w:p>
    <w:p>
      <w:pPr>
        <w:ind w:left="580" w:hanging="329"/>
        <w:spacing w:after="0" w:line="250" w:lineRule="auto"/>
        <w:tabs>
          <w:tab w:leader="none" w:pos="5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to satisfy the employee’s tax withholding obligation that is incurred upon the vesting of deferred shares granted under our stock incentive plans.</w:t>
      </w:r>
    </w:p>
    <w:p>
      <w:pPr>
        <w:jc w:val="both"/>
        <w:ind w:left="580" w:hanging="329"/>
        <w:spacing w:after="0" w:line="252" w:lineRule="auto"/>
        <w:tabs>
          <w:tab w:leader="none" w:pos="5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program in the third quarter of fiscal 2022 and have no current plans to repurchase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6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63"/>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Amended and Restated Matrix Service Company 2021 Severance Plan for Executives.</w:t>
            </w:r>
          </w:p>
        </w:tc>
      </w:tr>
      <w:tr>
        <w:trPr>
          <w:trHeight w:val="264"/>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31.1:</w:t>
            </w:r>
          </w:p>
        </w:tc>
        <w:tc>
          <w:tcPr>
            <w:tcW w:w="5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Sarbanes-Oxley Act of 2002 – CEO.</w:t>
            </w:r>
          </w:p>
        </w:tc>
        <w:tc>
          <w:tcPr>
            <w:tcW w:w="660" w:type="dxa"/>
            <w:vAlign w:val="bottom"/>
            <w:tcBorders>
              <w:top w:val="single" w:sz="8" w:color="0000FF"/>
            </w:tcBorders>
          </w:tcPr>
          <w:p>
            <w:pPr>
              <w:spacing w:after="0"/>
              <w:rPr>
                <w:sz w:val="22"/>
                <w:szCs w:val="22"/>
                <w:color w:val="auto"/>
              </w:rPr>
            </w:pPr>
          </w:p>
        </w:tc>
        <w:tc>
          <w:tcPr>
            <w:tcW w:w="2560" w:type="dxa"/>
            <w:vAlign w:val="bottom"/>
            <w:gridSpan w:val="3"/>
          </w:tcPr>
          <w:p>
            <w:pPr>
              <w:spacing w:after="0"/>
              <w:rPr>
                <w:sz w:val="22"/>
                <w:szCs w:val="22"/>
                <w:color w:val="auto"/>
              </w:rPr>
            </w:pPr>
          </w:p>
        </w:tc>
      </w:tr>
      <w:tr>
        <w:trPr>
          <w:trHeight w:val="263"/>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31.2:</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Sarbanes-Oxley Act of 2002 – CFO.</w:t>
            </w:r>
          </w:p>
        </w:tc>
      </w:tr>
      <w:tr>
        <w:trPr>
          <w:trHeight w:val="20"/>
        </w:trPr>
        <w:tc>
          <w:tcPr>
            <w:tcW w:w="208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64"/>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32.1:</w:t>
            </w:r>
          </w:p>
        </w:tc>
        <w:tc>
          <w:tcPr>
            <w:tcW w:w="6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18 U.S.C. 1350 (section 906 of Sarbanes-Oxley Act of 2002) – CEO.</w:t>
            </w:r>
          </w:p>
        </w:tc>
        <w:tc>
          <w:tcPr>
            <w:tcW w:w="1960" w:type="dxa"/>
            <w:vAlign w:val="bottom"/>
          </w:tcPr>
          <w:p>
            <w:pPr>
              <w:spacing w:after="0"/>
              <w:rPr>
                <w:sz w:val="22"/>
                <w:szCs w:val="22"/>
                <w:color w:val="auto"/>
              </w:rPr>
            </w:pPr>
          </w:p>
        </w:tc>
      </w:tr>
      <w:tr>
        <w:trPr>
          <w:trHeight w:val="263"/>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32.2:</w:t>
            </w:r>
          </w:p>
        </w:tc>
        <w:tc>
          <w:tcPr>
            <w:tcW w:w="6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1350 (section 906 of Sarbanes-Oxley Act of 2002) – CFO.</w:t>
            </w:r>
          </w:p>
        </w:tc>
        <w:tc>
          <w:tcPr>
            <w:tcW w:w="1980" w:type="dxa"/>
            <w:vAlign w:val="bottom"/>
            <w:gridSpan w:val="2"/>
          </w:tcPr>
          <w:p>
            <w:pPr>
              <w:spacing w:after="0"/>
              <w:rPr>
                <w:sz w:val="22"/>
                <w:szCs w:val="22"/>
                <w:color w:val="auto"/>
              </w:rPr>
            </w:pPr>
          </w:p>
        </w:tc>
      </w:tr>
      <w:tr>
        <w:trPr>
          <w:trHeight w:val="264"/>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95:</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w:t>
            </w:r>
          </w:p>
        </w:tc>
      </w:tr>
      <w:tr>
        <w:trPr>
          <w:trHeight w:val="20"/>
        </w:trPr>
        <w:tc>
          <w:tcPr>
            <w:tcW w:w="208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r>
      <w:tr>
        <w:trPr>
          <w:trHeight w:val="250"/>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w:t>
            </w:r>
          </w:p>
        </w:tc>
      </w:tr>
      <w:tr>
        <w:trPr>
          <w:trHeight w:val="234"/>
        </w:trPr>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283"/>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4"/>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83"/>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81" w:lineRule="exact"/>
        <w:rPr>
          <w:sz w:val="20"/>
          <w:szCs w:val="20"/>
          <w:color w:val="auto"/>
        </w:rPr>
      </w:pPr>
    </w:p>
    <w:p>
      <w:pPr>
        <w:ind w:left="20"/>
        <w:spacing w:after="0"/>
        <w:tabs>
          <w:tab w:leader="none" w:pos="600" w:val="left"/>
          <w:tab w:leader="none" w:pos="4680" w:val="left"/>
        </w:tabs>
        <w:rPr>
          <w:sz w:val="20"/>
          <w:szCs w:val="20"/>
          <w:color w:val="auto"/>
        </w:rPr>
      </w:pPr>
      <w:r>
        <w:rPr>
          <w:rFonts w:ascii="Times New Roman" w:cs="Times New Roman" w:eastAsia="Times New Roman" w:hAnsi="Times New Roman"/>
          <w:sz w:val="18"/>
          <w:szCs w:val="18"/>
          <w:color w:val="auto"/>
        </w:rPr>
        <w:t>Date:</w:t>
        <w:tab/>
        <w:t>May 10, 2022</w:t>
      </w:r>
      <w:r>
        <w:rPr>
          <w:sz w:val="20"/>
          <w:szCs w:val="20"/>
          <w:color w:val="auto"/>
        </w:rPr>
        <w:tab/>
      </w:r>
      <w:r>
        <w:rPr>
          <w:rFonts w:ascii="Times New Roman" w:cs="Times New Roman" w:eastAsia="Times New Roman" w:hAnsi="Times New Roman"/>
          <w:sz w:val="17"/>
          <w:szCs w:val="17"/>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41402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6" w:lineRule="exact"/>
        <w:rPr>
          <w:sz w:val="20"/>
          <w:szCs w:val="20"/>
          <w:color w:val="auto"/>
        </w:rPr>
      </w:pPr>
    </w:p>
    <w:p>
      <w:pPr>
        <w:ind w:left="4700" w:right="380"/>
        <w:spacing w:after="0" w:line="250" w:lineRule="auto"/>
        <w:rPr>
          <w:sz w:val="20"/>
          <w:szCs w:val="20"/>
          <w:color w:val="auto"/>
        </w:rPr>
      </w:pPr>
      <w:r>
        <w:rPr>
          <w:rFonts w:ascii="Times New Roman" w:cs="Times New Roman" w:eastAsia="Times New Roman" w:hAnsi="Times New Roman"/>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36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AMENDED AND RESTATED</w:t>
      </w:r>
    </w:p>
    <w:p>
      <w:pPr>
        <w:spacing w:after="0" w:line="2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MATRIX SERVICE COMPANY</w:t>
      </w:r>
    </w:p>
    <w:p>
      <w:pPr>
        <w:spacing w:after="0" w:line="25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2021 SEVERANCE PLAN</w:t>
      </w:r>
    </w:p>
    <w:p>
      <w:pPr>
        <w:spacing w:after="0" w:line="2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120"/>
          </w:cols>
          <w:pgMar w:left="1440" w:top="140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1"/>
          <w:szCs w:val="21"/>
          <w:b w:val="1"/>
          <w:bCs w:val="1"/>
          <w:color w:val="auto"/>
        </w:rPr>
        <w:t>MATRIX SERVICE COMPANY</w:t>
      </w:r>
    </w:p>
    <w:p>
      <w:pPr>
        <w:sectPr>
          <w:pgSz w:w="11900" w:h="16838" w:orient="portrait"/>
          <w:cols w:equalWidth="0" w:num="1">
            <w:col w:w="9019"/>
          </w:cols>
          <w:pgMar w:left="1440" w:top="1404"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2021 SEVERANCE PLAN</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321945</wp:posOffset>
            </wp:positionV>
            <wp:extent cx="5349240" cy="4594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4594860"/>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9019"/>
          </w:cols>
          <w:pgMar w:left="1440" w:top="1404" w:right="1440" w:bottom="1440" w:gutter="0" w:footer="0" w:header="0"/>
          <w:type w:val="continuous"/>
        </w:sectPr>
      </w:pPr>
    </w:p>
    <w:bookmarkStart w:id="45" w:name="page46"/>
    <w:bookmarkEnd w:id="45"/>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MATRIX SERVICE COMPANY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SEVERANCE PLAN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EXECUTIVES</w:t>
      </w:r>
    </w:p>
    <w:p>
      <w:pPr>
        <w:spacing w:after="0" w:line="23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September 13, 2021)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May 2, 2022)</w:t>
      </w:r>
    </w:p>
    <w:p>
      <w:pPr>
        <w:spacing w:after="0" w:line="2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MATRIX SERVICE COMPANY (the “Company”) </w:t>
      </w:r>
      <w:r>
        <w:rPr>
          <w:rFonts w:ascii="Times New Roman" w:cs="Times New Roman" w:eastAsia="Times New Roman" w:hAnsi="Times New Roman"/>
          <w:sz w:val="22"/>
          <w:szCs w:val="22"/>
          <w:color w:val="auto"/>
        </w:rPr>
        <w:t>hereby adopts the</w:t>
      </w:r>
      <w:r>
        <w:rPr>
          <w:rFonts w:ascii="Times New Roman" w:cs="Times New Roman" w:eastAsia="Times New Roman" w:hAnsi="Times New Roman"/>
          <w:sz w:val="22"/>
          <w:szCs w:val="22"/>
          <w:b w:val="1"/>
          <w:bCs w:val="1"/>
          <w:color w:val="auto"/>
        </w:rPr>
        <w:t xml:space="preserve"> 2021 MATRIX SERVICE COMPANY SEVERANCE PLAN FOR EXECUTIVES, </w:t>
      </w:r>
      <w:r>
        <w:rPr>
          <w:rFonts w:ascii="Times New Roman" w:cs="Times New Roman" w:eastAsia="Times New Roman" w:hAnsi="Times New Roman"/>
          <w:sz w:val="22"/>
          <w:szCs w:val="22"/>
          <w:color w:val="auto"/>
        </w:rPr>
        <w:t>hereinafter referred to as the “Plan,” for the benefit of certain designated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 DEFINITIONS</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xml:space="preserve"> In addition to the terms defined elsewhere herein, the following words and phrases, when used herein with initial capital letters, shall have the following respective meanings: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1.1.1 “Act” means the United States Securities Exchange Act of 1934, as amended.</w:t>
      </w:r>
    </w:p>
    <w:p>
      <w:pPr>
        <w:spacing w:after="0" w:line="233"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21"/>
          <w:szCs w:val="21"/>
          <w:color w:val="auto"/>
        </w:rPr>
        <w:t>1.1.2 “Affiliate” means any Person (including a Subsidiary) that directly or indirectly through one or more intermediaries, controls, or is controlled by or is under common control with the Company. For purposes of this definition the term “control” with respect to any Person means the power to direct or cause the direction of management or policies of such Person, directly or indirectly, whether through the ownership of voting securities, by contract or otherwise.</w:t>
      </w:r>
    </w:p>
    <w:p>
      <w:pPr>
        <w:spacing w:after="0" w:line="189" w:lineRule="exact"/>
        <w:rPr>
          <w:sz w:val="20"/>
          <w:szCs w:val="20"/>
          <w:color w:val="auto"/>
        </w:rPr>
      </w:pPr>
    </w:p>
    <w:p>
      <w:pPr>
        <w:jc w:val="both"/>
        <w:ind w:left="660" w:firstLine="648"/>
        <w:spacing w:after="0" w:line="236" w:lineRule="auto"/>
        <w:rPr>
          <w:sz w:val="20"/>
          <w:szCs w:val="20"/>
          <w:color w:val="auto"/>
        </w:rPr>
      </w:pPr>
      <w:r>
        <w:rPr>
          <w:rFonts w:ascii="Times New Roman" w:cs="Times New Roman" w:eastAsia="Times New Roman" w:hAnsi="Times New Roman"/>
          <w:sz w:val="22"/>
          <w:szCs w:val="22"/>
          <w:color w:val="auto"/>
        </w:rPr>
        <w:t>1.1.3 “Annual Base Compensation” means the amount a Participant is entitled to receive as wages or salary on an annualized basis, excluding all bonus, overtime and incentive compensation, payable by an Employer as consideration for the Participant’s services, in effect on the Termination Date but disregarding any reduction that would qualify as Good Reason.</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1.1.4 “Board” means the Board of Directors of the Company.</w:t>
      </w:r>
    </w:p>
    <w:p>
      <w:pPr>
        <w:spacing w:after="0" w:line="233" w:lineRule="exact"/>
        <w:rPr>
          <w:sz w:val="20"/>
          <w:szCs w:val="20"/>
          <w:color w:val="auto"/>
        </w:rPr>
      </w:pPr>
    </w:p>
    <w:p>
      <w:pPr>
        <w:jc w:val="both"/>
        <w:ind w:left="660"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1.1.5 “Cause” means, the Participant’s theft of Company property, embezzlement or dishonesty that results in harm to the Company; continued gross or willful neglect of his or her job responsibilities after receiving written warnings regarding such neglect from the Company; conviction of a felony or pleading </w:t>
      </w:r>
      <w:r>
        <w:rPr>
          <w:rFonts w:ascii="Times New Roman" w:cs="Times New Roman" w:eastAsia="Times New Roman" w:hAnsi="Times New Roman"/>
          <w:sz w:val="22"/>
          <w:szCs w:val="22"/>
          <w:i w:val="1"/>
          <w:iCs w:val="1"/>
          <w:color w:val="auto"/>
        </w:rPr>
        <w:t>nolo contender</w:t>
      </w:r>
      <w:r>
        <w:rPr>
          <w:rFonts w:ascii="Times New Roman" w:cs="Times New Roman" w:eastAsia="Times New Roman" w:hAnsi="Times New Roman"/>
          <w:sz w:val="22"/>
          <w:szCs w:val="22"/>
          <w:color w:val="auto"/>
        </w:rPr>
        <w:t xml:space="preserve"> to a felony charged under state or federal law; or willful violation of Company policy. A determination by the Board that an event constituting “Cause” has occurred shall be binding upon the Company and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9019"/>
          </w:cols>
          <w:pgMar w:left="1440" w:top="1440" w:right="1440" w:bottom="1440" w:gutter="0" w:footer="0" w:header="0"/>
        </w:sectPr>
      </w:pPr>
    </w:p>
    <w:bookmarkStart w:id="47" w:name="page48"/>
    <w:bookmarkEnd w:id="47"/>
    <w:p>
      <w:pPr>
        <w:ind w:left="640"/>
        <w:spacing w:after="0"/>
        <w:rPr>
          <w:sz w:val="20"/>
          <w:szCs w:val="20"/>
          <w:color w:val="auto"/>
        </w:rPr>
      </w:pPr>
      <w:r>
        <w:rPr>
          <w:rFonts w:ascii="Times New Roman" w:cs="Times New Roman" w:eastAsia="Times New Roman" w:hAnsi="Times New Roman"/>
          <w:sz w:val="22"/>
          <w:szCs w:val="22"/>
          <w:color w:val="auto"/>
        </w:rPr>
        <w:t>1.1.6 “Cause Determination” has the meaning set forth in Section 3.2.1.</w:t>
      </w:r>
    </w:p>
    <w:p>
      <w:pPr>
        <w:spacing w:after="0" w:line="23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1.1.7 “Change of Control” means (i) the acquisition by any Person or “group” (as defined pursuant to Section 13(d) under the Act) of “beneficial ownership” (as defined in Rule 13d-3 under the Act) of in excess of 35% of the Voting Securities of the Company; (ii) during any one (1) year period, individuals who at the beginning of such period constituted the Board (together with any new directors whose election by the Board or nomination for election by the Company’s stockholders was approved by a vote of at least two-thirds (2/3) of the directors of the Company then still in office who either were directors at the beginning of such period or whose election or nomination for election was previously so approved (but excluding, for purposes of this definition,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cease for any reason to constitute a majority of the members of the Board; (iii) consummation of a merger, consolidation, recapitalization or reorganization of the Company, other than a merger, consolidation, recapitalization or reorganization which would result in the Voting Securities of the Company outstanding immediately prior thereto continuing to represent, either by remaining outstanding or by being converted into voting stock of the surviving entity (or if the surviving entity is a subsidiary of another entity, then of the parent entity of such surviving entity), more than fifty percent (50%) of the total voting power represented by the voting stock of the surviving entity (or parent entity) outstanding immediately after such merger, consolidation, recapitalization or reorganization; or (iv) the Company’s stockholders approve a plan of complete liquidation of the Company or an agreement for the sale or disposition by the Company (in one transaction or a series of related transactions) of all or substantially all of the Company’s assets to any Person. Upon identification and notice to the Board of the occurrence of one of the above events, the Board shall consider all the facts and circumstances at its next meeting and shall confirm or deny by resolution or majority vote whether a “Change of Control” exists within the meaning of this Plan.</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1.1.8 “Change of Control Severance Compensation” means, with respect to each Participant, the sum of the following:</w:t>
      </w:r>
    </w:p>
    <w:p>
      <w:pPr>
        <w:spacing w:after="0" w:line="185" w:lineRule="exact"/>
        <w:rPr>
          <w:sz w:val="20"/>
          <w:szCs w:val="20"/>
          <w:color w:val="auto"/>
        </w:rPr>
      </w:pPr>
    </w:p>
    <w:p>
      <w:pPr>
        <w:ind w:left="640" w:firstLine="652"/>
        <w:spacing w:after="0" w:line="258" w:lineRule="auto"/>
        <w:tabs>
          <w:tab w:leader="none" w:pos="170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greater of such Participant’s Annual Base Compensation in effect on the date of such Participant’s Separation from Service or immediately prior to the date on which Change of Control occurs; plus</w:t>
      </w:r>
    </w:p>
    <w:p>
      <w:pPr>
        <w:spacing w:after="0" w:line="185" w:lineRule="exact"/>
        <w:rPr>
          <w:rFonts w:ascii="Times New Roman" w:cs="Times New Roman" w:eastAsia="Times New Roman" w:hAnsi="Times New Roman"/>
          <w:sz w:val="22"/>
          <w:szCs w:val="22"/>
          <w:color w:val="auto"/>
        </w:rPr>
      </w:pPr>
    </w:p>
    <w:p>
      <w:pPr>
        <w:jc w:val="both"/>
        <w:ind w:left="640" w:firstLine="652"/>
        <w:spacing w:after="0" w:line="238" w:lineRule="auto"/>
        <w:tabs>
          <w:tab w:leader="none" w:pos="179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target opportunity that could have been earned by the Participant for the fiscal year of the Company during which the Participant’s Termination Date occurs (determined as if all applicable goals and targets had been satisfied in full at the target level of performance).</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1.1.9 “Code” means the United States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0"/>
          </w:cols>
          <w:pgMar w:left="980" w:top="1408"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1.1.10 “Committee” means a committee consisting of the Company’s President and CEO, the Chief Financial Officer, the Chief Administrative Officer, and the General Counsel.</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1.1.11 “Company” means Matrix Service Company, a Delaware corporation, and any successor thereto.</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1.1.12 “Disability” means the Participant is unable to engage in any substantial gainful activity by reason of any medically determinable physical or mental impairment that can be expected to result in death or last for a continuous period of not less than 12 months. Provided, a Participant will be deemed to be Disabled if the Participant becomes eligible to receive disability benefits under the long-term disability benefit plan sponsored by the Company. Notwithstanding the foregoing, all determinations of whether a Participant is Disabled shall be made in accordance with Section 409A of the Code.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1.1.13 “Effective Date” means September 13, 2021.</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1.1.14 “Employee” means a common law employee of an Employer.</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1.1.15 “Employer” means the Company or, if Participant is not employed by the Company, a Subsidiary that employs the Participant, and the successor of either (provided, in the case of a Subsidiary, that each successor is also a Subsidiary).</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1.1.16 “ERISA” means the United States Employee Retirement Income Security Act of 1974, as amended.</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1.1.17 “Excise Tax” has the meaning set forth in Section 3.3.</w:t>
      </w:r>
    </w:p>
    <w:p>
      <w:pPr>
        <w:spacing w:after="0" w:line="233"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1.1.18 “General Severance Compensation” means, with respect to each Participant, such Participant’s Annual Base Compensation in effect on the date of such Participant’s Separation from Service.</w:t>
      </w:r>
    </w:p>
    <w:p>
      <w:pPr>
        <w:spacing w:after="0" w:line="19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1.1.19 “Good Reason” means a Separation from Service by a Participant in accordance with the substantive and procedural provisions of this Section.</w:t>
      </w:r>
    </w:p>
    <w:p>
      <w:pPr>
        <w:spacing w:after="0" w:line="185" w:lineRule="exact"/>
        <w:rPr>
          <w:sz w:val="20"/>
          <w:szCs w:val="20"/>
          <w:color w:val="auto"/>
        </w:rPr>
      </w:pPr>
    </w:p>
    <w:p>
      <w:pPr>
        <w:ind w:left="640" w:right="100" w:firstLine="652"/>
        <w:spacing w:after="0" w:line="250" w:lineRule="auto"/>
        <w:tabs>
          <w:tab w:leader="none" w:pos="15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by a Participant for “Good Reason” means a Separation from Service initiated by the Participant on account of any one or more of the following actions or omissions that, unless otherwise specified, occurs following a Change of Control:</w:t>
      </w:r>
    </w:p>
    <w:p>
      <w:pPr>
        <w:spacing w:after="0" w:line="194" w:lineRule="exact"/>
        <w:rPr>
          <w:rFonts w:ascii="Times New Roman" w:cs="Times New Roman" w:eastAsia="Times New Roman" w:hAnsi="Times New Roman"/>
          <w:sz w:val="22"/>
          <w:szCs w:val="22"/>
          <w:color w:val="auto"/>
        </w:rPr>
      </w:pPr>
    </w:p>
    <w:p>
      <w:pPr>
        <w:ind w:left="1300" w:firstLine="640"/>
        <w:spacing w:after="0" w:line="258" w:lineRule="auto"/>
        <w:tabs>
          <w:tab w:leader="none" w:pos="242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rate of the Participant’s Annual Base Compensation or a material reduction in the Participant’s target annual 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0"/>
          </w:cols>
          <w:pgMar w:left="980" w:top="1408" w:right="339" w:bottom="1440" w:gutter="0" w:footer="0" w:header="0"/>
        </w:sectPr>
      </w:pPr>
    </w:p>
    <w:bookmarkStart w:id="49" w:name="page50"/>
    <w:bookmarkEnd w:id="49"/>
    <w:p>
      <w:pPr>
        <w:jc w:val="both"/>
        <w:ind w:left="1300" w:firstLine="640"/>
        <w:spacing w:after="0" w:line="244" w:lineRule="auto"/>
        <w:tabs>
          <w:tab w:leader="none" w:pos="245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location of a Participant’s principal place of employment by the Employer by more than thirty-five (35) miles from the location where the Participant was principally employed immediately prior to the date on which a Change of Control occurs;</w:t>
      </w:r>
    </w:p>
    <w:p>
      <w:pPr>
        <w:spacing w:after="0" w:line="200" w:lineRule="exact"/>
        <w:rPr>
          <w:rFonts w:ascii="Times New Roman" w:cs="Times New Roman" w:eastAsia="Times New Roman" w:hAnsi="Times New Roman"/>
          <w:sz w:val="22"/>
          <w:szCs w:val="22"/>
          <w:color w:val="auto"/>
        </w:rPr>
      </w:pPr>
    </w:p>
    <w:p>
      <w:pPr>
        <w:jc w:val="both"/>
        <w:ind w:left="1300" w:firstLine="640"/>
        <w:spacing w:after="0" w:line="244" w:lineRule="auto"/>
        <w:tabs>
          <w:tab w:leader="none" w:pos="2567"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adverse reduction in the nature or scope of Participant’s office, position, duties, functions, responsibilities or authority (including reporting responsibilities and authority) from those applicable to such Participant immediately prior to the date on which a Change of Control occurs; or</w:t>
      </w:r>
    </w:p>
    <w:p>
      <w:pPr>
        <w:spacing w:after="0" w:line="186" w:lineRule="exact"/>
        <w:rPr>
          <w:rFonts w:ascii="Times New Roman" w:cs="Times New Roman" w:eastAsia="Times New Roman" w:hAnsi="Times New Roman"/>
          <w:sz w:val="22"/>
          <w:szCs w:val="22"/>
          <w:color w:val="auto"/>
        </w:rPr>
      </w:pPr>
    </w:p>
    <w:p>
      <w:pPr>
        <w:ind w:left="1300" w:firstLine="640"/>
        <w:spacing w:after="0" w:line="258" w:lineRule="auto"/>
        <w:tabs>
          <w:tab w:leader="none" w:pos="2487"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at any time of the successor to the Participant’s Employer explicitly to assume and agree to be bound by this Plan.</w:t>
      </w:r>
    </w:p>
    <w:p>
      <w:pPr>
        <w:spacing w:after="0" w:line="185" w:lineRule="exact"/>
        <w:rPr>
          <w:rFonts w:ascii="Times New Roman" w:cs="Times New Roman" w:eastAsia="Times New Roman" w:hAnsi="Times New Roman"/>
          <w:sz w:val="22"/>
          <w:szCs w:val="22"/>
          <w:color w:val="auto"/>
        </w:rPr>
      </w:pPr>
    </w:p>
    <w:p>
      <w:pPr>
        <w:ind w:left="640" w:right="300" w:firstLine="652"/>
        <w:spacing w:after="0" w:line="271" w:lineRule="auto"/>
        <w:tabs>
          <w:tab w:leader="none" w:pos="159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Plan to the contrary, no act or omission shall constitute grounds for “Good Reason”:</w:t>
      </w:r>
    </w:p>
    <w:p>
      <w:pPr>
        <w:spacing w:after="0" w:line="171" w:lineRule="exact"/>
        <w:rPr>
          <w:rFonts w:ascii="Times New Roman" w:cs="Times New Roman" w:eastAsia="Times New Roman" w:hAnsi="Times New Roman"/>
          <w:sz w:val="22"/>
          <w:szCs w:val="22"/>
          <w:color w:val="auto"/>
        </w:rPr>
      </w:pPr>
    </w:p>
    <w:p>
      <w:pPr>
        <w:jc w:val="both"/>
        <w:ind w:left="1300" w:right="220" w:firstLine="640"/>
        <w:spacing w:after="0" w:line="250" w:lineRule="auto"/>
        <w:tabs>
          <w:tab w:leader="none" w:pos="236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Participant gives a Notice of Termination to the Employer thirty (30) days prior to the Participant’s intent to terminate his or her employment for Good Reason which describes the alleged act or omission giving rise to Good Reason;</w:t>
      </w:r>
    </w:p>
    <w:p>
      <w:pPr>
        <w:spacing w:after="0" w:line="194" w:lineRule="exact"/>
        <w:rPr>
          <w:rFonts w:ascii="Times New Roman" w:cs="Times New Roman" w:eastAsia="Times New Roman" w:hAnsi="Times New Roman"/>
          <w:sz w:val="22"/>
          <w:szCs w:val="22"/>
          <w:color w:val="auto"/>
        </w:rPr>
      </w:pPr>
    </w:p>
    <w:p>
      <w:pPr>
        <w:ind w:left="1300" w:firstLine="640"/>
        <w:spacing w:after="0" w:line="258" w:lineRule="auto"/>
        <w:tabs>
          <w:tab w:leader="none" w:pos="252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such Notice of Termination is given within sixty (60) days of the Participant’s first actual knowledge of such act or omission; and</w:t>
      </w:r>
    </w:p>
    <w:p>
      <w:pPr>
        <w:spacing w:after="0" w:line="185" w:lineRule="exact"/>
        <w:rPr>
          <w:rFonts w:ascii="Times New Roman" w:cs="Times New Roman" w:eastAsia="Times New Roman" w:hAnsi="Times New Roman"/>
          <w:sz w:val="22"/>
          <w:szCs w:val="22"/>
          <w:color w:val="auto"/>
        </w:rPr>
      </w:pPr>
    </w:p>
    <w:p>
      <w:pPr>
        <w:ind w:left="1300" w:firstLine="640"/>
        <w:spacing w:after="0" w:line="258" w:lineRule="auto"/>
        <w:tabs>
          <w:tab w:leader="none" w:pos="251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Employer fails to cure such act or omission within the thirty (30) day period after receiving the Notice of Termination.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1.1.20 “Net After-Tax Benefit” has the meaning set forth in Section 3.3.</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1.1.21 “Notice of Consideration” has the meaning set forth in Section 3.2.1.</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1.1.22 “Notice of Termination” means a written notice of a Separation from Service, if applicable, given in accordance with Section 10.3 that sets forth: (a) the specific termination provision in the Plan relied on by the party giving such notice, (b) in reasonable detail the specific facts and circumstances claimed to provide a basis for such Separation from Service, and (c) if the Termination Date is other than the date of receipt of such Notice of Termination, the Termination Date.</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1.1.23 “Participant” means an Employee selected for participation in the Plan pursuant to Section 2.1 hereof.</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1.1.24 “Participation Agreement” means an agreement between a Participant and the Company in substantially the form of Exhibit B hereto, and which may include such other terms as the Committee deems necessary or advisable in the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08" w:right="339" w:bottom="1440" w:gutter="0" w:footer="0" w:header="0"/>
        </w:sectPr>
      </w:pPr>
    </w:p>
    <w:bookmarkStart w:id="50" w:name="page51"/>
    <w:bookmarkEnd w:id="50"/>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1.1.25 “Payment Date” means the date which is the sixtieth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day after the date of a Separation from Service as to which a Severance Benefit is payable.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1.1.26 “Person” shall have the meaning assigned in the Act.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1.1.27 “Plan” means the 2021 Matrix Service Company Severance Plan for Executives, effective September 13,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as amended from time to time.</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1.1.28 “Reduced Payment” has the meaning set forth in Section 3.3.</w:t>
      </w:r>
    </w:p>
    <w:p>
      <w:pPr>
        <w:spacing w:after="0" w:line="22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1.1.29 “Sale of a Business” means the Company has sold or otherwise disposed of a Subsidiary, branch or other business unit (or all or substantially all of the assets thereof), in which the Participant was employed before such sale or disposition, to any Person, other than the Company or an Affiliate, and the Participant has been offered employment with the acquirer of such Subsidiary, branch or unit on substantially the same terms and conditions under which the Participant worked for the Participant’s Employer.</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1.1.30 “Separation from Service” means a Participant’s termination or deemed termination from employment with the Employer. A termination of employment shall not be deemed to have occurred for purposes of any provision of this Plan providing for the payment of any amounts or benefits upon or following a termination of employment unless such termination is also a “separation from service” within the meaning of Code Section 409A.</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1.1.31 “Severance Benefit” means the amounts payable in accordance with Section 3.1 hereof.</w:t>
      </w:r>
    </w:p>
    <w:p>
      <w:pPr>
        <w:spacing w:after="0" w:line="2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1.1.32 “Subsidiary” means any corporation, partnership, limited liability company or joint venture in which the Company, directly or indirectly, holds a majority of the voting power of such corporation’s outstanding shares of capital stock or a majority of the capital or profits interests of such partnership, limited liability company, or joint venture.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1.1.33 “Termination Date” means the date of the receipt of the Notice of Termination by Participant (if such notice is given by Participant’s Employer) or by Participant’s Employer (if such notice is given by Participant), or any later date, not more than thirty (30) days after the giving of such notice, specified in such notice; provided, however, that:</w:t>
      </w:r>
    </w:p>
    <w:p>
      <w:pPr>
        <w:spacing w:after="0" w:line="184" w:lineRule="exact"/>
        <w:rPr>
          <w:sz w:val="20"/>
          <w:szCs w:val="20"/>
          <w:color w:val="auto"/>
        </w:rPr>
      </w:pPr>
    </w:p>
    <w:p>
      <w:pPr>
        <w:jc w:val="both"/>
        <w:ind w:left="640" w:firstLine="652"/>
        <w:spacing w:after="0" w:line="244" w:lineRule="auto"/>
        <w:tabs>
          <w:tab w:leader="none" w:pos="176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Participant’s employment is terminated by reason of death or Disability, the Termination Date shall be the date of Participant’s death or the date of deemed termination of employment due to Disability, as applicable, regardless of whether a Notice of Termination has been given; and</w:t>
      </w:r>
    </w:p>
    <w:p>
      <w:pPr>
        <w:spacing w:after="0" w:line="200" w:lineRule="exact"/>
        <w:rPr>
          <w:rFonts w:ascii="Times New Roman" w:cs="Times New Roman" w:eastAsia="Times New Roman" w:hAnsi="Times New Roman"/>
          <w:sz w:val="22"/>
          <w:szCs w:val="22"/>
          <w:color w:val="auto"/>
        </w:rPr>
      </w:pPr>
    </w:p>
    <w:p>
      <w:pPr>
        <w:ind w:left="640" w:firstLine="652"/>
        <w:spacing w:after="0" w:line="258" w:lineRule="auto"/>
        <w:tabs>
          <w:tab w:leader="none" w:pos="190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Notice of Termination is given, the Termination Date shall be the last date on which the Participant is employed by an Employer;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0"/>
          </w:cols>
          <w:pgMar w:left="980" w:top="1440" w:right="339" w:bottom="1440" w:gutter="0" w:footer="0" w:header="0"/>
        </w:sectPr>
      </w:pPr>
    </w:p>
    <w:bookmarkStart w:id="51" w:name="page52"/>
    <w:bookmarkEnd w:id="51"/>
    <w:p>
      <w:pPr>
        <w:spacing w:after="0" w:line="212" w:lineRule="exact"/>
        <w:rPr>
          <w:sz w:val="20"/>
          <w:szCs w:val="20"/>
          <w:color w:val="auto"/>
        </w:rPr>
      </w:pPr>
    </w:p>
    <w:p>
      <w:pPr>
        <w:jc w:val="both"/>
        <w:ind w:left="1300" w:firstLine="652"/>
        <w:spacing w:after="0" w:line="244" w:lineRule="auto"/>
        <w:tabs>
          <w:tab w:leader="none" w:pos="243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Article VI (Restrictive Covenants) if the Participant does not have a Separation from Service, the Termination Date shall be the date the entity that employs the Participant ceases to be a Subsidiary, or the date of the Sale of a Business.</w:t>
      </w:r>
    </w:p>
    <w:p>
      <w:pPr>
        <w:spacing w:after="0" w:line="200"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22"/>
          <w:szCs w:val="22"/>
          <w:color w:val="auto"/>
        </w:rPr>
        <w:t>1.1.34 “Voting Securities” means any securities of the Company which carry the right to vote generally in the election of directors.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 ELIGIBILITY</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Participation.</w:t>
      </w:r>
      <w:r>
        <w:rPr>
          <w:rFonts w:ascii="Times New Roman" w:cs="Times New Roman" w:eastAsia="Times New Roman" w:hAnsi="Times New Roman"/>
          <w:sz w:val="22"/>
          <w:szCs w:val="22"/>
          <w:color w:val="auto"/>
        </w:rPr>
        <w:t xml:space="preserve"> An Employee shall be entitled to be a Participant if the Employee is selected for participation by the Board and such Employee signs and returns to the Company a Participation Agreement, in a form acceptable to the Company, within the time period required therein.</w:t>
      </w:r>
    </w:p>
    <w:p>
      <w:pPr>
        <w:spacing w:after="0" w:line="19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Duration of Participation.</w:t>
      </w:r>
      <w:r>
        <w:rPr>
          <w:rFonts w:ascii="Times New Roman" w:cs="Times New Roman" w:eastAsia="Times New Roman" w:hAnsi="Times New Roman"/>
          <w:sz w:val="22"/>
          <w:szCs w:val="22"/>
          <w:color w:val="auto"/>
        </w:rPr>
        <w:t xml:space="preserve"> A Participant shall cease to be a Participant when the Participant incurs a Separation from Service, unless such Participant is then entitled to a Severance Benefit. A Participant entitled to a Severance Benefit shall remain a Participant until the full amount of the Severance Benefit has been provided to such Participant. The Board may, from time to time, determine that a Participant shall no longer be a Participant; provided, however, that the Board shall not change the status of a Participant in any manner as of, after, or in anticipation of a Separation from Service or a Change of Control. For purposes of this Plan, a removal of a Participant from this Plan 180 days prior to a Separation from Service or Change of Control will be deemed to be in anticipation of a Separation from Service or a Change of Control. The Company shall provide a notice to each Participant of any revocation of Participant status.</w:t>
      </w:r>
    </w:p>
    <w:p>
      <w:pPr>
        <w:spacing w:after="0" w:line="19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color w:val="auto"/>
        </w:rPr>
        <w:t>Plan Benefits Provided in Lieu of any Previous Benefits.</w:t>
      </w:r>
      <w:r>
        <w:rPr>
          <w:rFonts w:ascii="Times New Roman" w:cs="Times New Roman" w:eastAsia="Times New Roman" w:hAnsi="Times New Roman"/>
          <w:sz w:val="22"/>
          <w:szCs w:val="22"/>
          <w:color w:val="auto"/>
        </w:rPr>
        <w:t xml:space="preserve"> This Plan shall supersede any change of control or severance benefit plan, policy or practice previously maintained by the Company with respect to a Participant and any change of control or severance benefits in any employment contract, change of control/severance agreement, change of control agreement or other agreement between the Company and a Participant. Notwithstanding the foregoing, a Participant’s outstanding equity awards shall remain subject to the terms of the equity incentive plan under which such awards were granted (including the award agreements governing such awards) that may apply upon a Change of Control and/or termination of such Participant’s service and all restricted stock units, performance units and other forms of long-term incentive awards granted to the Executive shall vest upon a Change of Control of the Company but only if so provided and in the manner set forth in the change of control vesting provisions set forth in the award agreements governing such restricted stock units, performance units and other forms of long-term incentive award.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 SEVERANCE BENEFIT</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Right to Severance Benefit.</w:t>
      </w:r>
      <w:r>
        <w:rPr>
          <w:rFonts w:ascii="Times New Roman" w:cs="Times New Roman" w:eastAsia="Times New Roman" w:hAnsi="Times New Roman"/>
          <w:sz w:val="22"/>
          <w:szCs w:val="22"/>
          <w:color w:val="auto"/>
        </w:rPr>
        <w:t xml:space="preserve"> Subject to Sections 3.5 and 3.6, a Participant shall be entitled to receive a Severance Benefit from the Participant’s Employer or the Company as set forth in the Participation Agreement. The cash payments described therein shall be paid on the Payment Date. The Severance Benefit shall be payable in addition to, and not in lieu of,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52" w:name="page53"/>
    <w:bookmarkEnd w:id="52"/>
    <w:p>
      <w:pPr>
        <w:jc w:val="both"/>
        <w:spacing w:after="0" w:line="239" w:lineRule="auto"/>
        <w:rPr>
          <w:sz w:val="20"/>
          <w:szCs w:val="20"/>
          <w:color w:val="auto"/>
        </w:rPr>
      </w:pPr>
      <w:r>
        <w:rPr>
          <w:rFonts w:ascii="Times New Roman" w:cs="Times New Roman" w:eastAsia="Times New Roman" w:hAnsi="Times New Roman"/>
          <w:sz w:val="22"/>
          <w:szCs w:val="22"/>
          <w:color w:val="auto"/>
        </w:rPr>
        <w:t>accrued or vested or earned but deferred compensation, rights, options and other benefits which may be owed to a Participant under any other plan or arrangement following termination, including, but not limited to, accrued vacation or sick pay, amounts or benefits payable under any incentive plan, any life insurance plan, health plan, disability plan, or any similar or successor plans.</w:t>
      </w:r>
    </w:p>
    <w:p>
      <w:pPr>
        <w:spacing w:after="0" w:line="20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Terminations Which do not Give Rise to a Severance Benefit.</w:t>
      </w:r>
      <w:r>
        <w:rPr>
          <w:rFonts w:ascii="Times New Roman" w:cs="Times New Roman" w:eastAsia="Times New Roman" w:hAnsi="Times New Roman"/>
          <w:sz w:val="22"/>
          <w:szCs w:val="22"/>
          <w:color w:val="auto"/>
        </w:rPr>
        <w:t xml:space="preserve"> If a Participant dies, becomes Disabled, incurs a Separation from Service from the Employer for Cause or by reason of the Participant’s voluntary Separation from Service (other than for Good Reason), or incurs a Separation from Service due to the Sale of a Business, the Participant shall not be entitled to a Severance Benefit, regardless of the occurrence of a Change of Control.</w:t>
      </w:r>
    </w:p>
    <w:p>
      <w:pPr>
        <w:spacing w:after="0" w:line="206"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2"/>
          <w:szCs w:val="22"/>
          <w:color w:val="auto"/>
        </w:rPr>
        <w:t>3.2.1 Procedural Requirements for Termination for Cause Following a Change of Control. For any Separation from Service for Cause following a Change of Control, the Company and its Affiliates shall strictly observe each of the following substantive and procedural provisions:</w:t>
      </w:r>
    </w:p>
    <w:p>
      <w:pPr>
        <w:spacing w:after="0" w:line="200" w:lineRule="exact"/>
        <w:rPr>
          <w:sz w:val="20"/>
          <w:szCs w:val="20"/>
          <w:color w:val="auto"/>
        </w:rPr>
      </w:pPr>
    </w:p>
    <w:p>
      <w:pPr>
        <w:jc w:val="both"/>
        <w:ind w:left="1300" w:firstLine="652"/>
        <w:spacing w:after="0" w:line="244" w:lineRule="auto"/>
        <w:tabs>
          <w:tab w:leader="none" w:pos="246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shall call a meeting for the stated purpose of determining whether Participant’s acts or omissions satisfy the requirements of the definition of “Cause” and, if so, whether to terminate Participant’s employment for Cause.</w:t>
      </w:r>
    </w:p>
    <w:p>
      <w:pPr>
        <w:spacing w:after="0" w:line="200" w:lineRule="exact"/>
        <w:rPr>
          <w:rFonts w:ascii="Times New Roman" w:cs="Times New Roman" w:eastAsia="Times New Roman" w:hAnsi="Times New Roman"/>
          <w:sz w:val="22"/>
          <w:szCs w:val="22"/>
          <w:color w:val="auto"/>
        </w:rPr>
      </w:pPr>
    </w:p>
    <w:p>
      <w:pPr>
        <w:jc w:val="both"/>
        <w:ind w:left="1300" w:firstLine="652"/>
        <w:spacing w:after="0" w:line="236" w:lineRule="auto"/>
        <w:tabs>
          <w:tab w:leader="none" w:pos="246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less than fifteen (15) days prior to the date of such meeting, the Board shall provide or cause to be provided Participant and each member of the Board written notice (a “Notice of Consideration”) of: (A) a detailed description of the acts or omissions alleged to constitute Cause, (B) the date of such meeting of the Board, and (C) Participant’s rights under clauses (iii) and (iv) below.</w:t>
      </w:r>
    </w:p>
    <w:p>
      <w:pPr>
        <w:spacing w:after="0" w:line="206" w:lineRule="exact"/>
        <w:rPr>
          <w:rFonts w:ascii="Times New Roman" w:cs="Times New Roman" w:eastAsia="Times New Roman" w:hAnsi="Times New Roman"/>
          <w:sz w:val="22"/>
          <w:szCs w:val="22"/>
          <w:color w:val="auto"/>
        </w:rPr>
      </w:pPr>
    </w:p>
    <w:p>
      <w:pPr>
        <w:ind w:left="1300" w:right="20" w:firstLine="652"/>
        <w:spacing w:after="0" w:line="258" w:lineRule="auto"/>
        <w:tabs>
          <w:tab w:leader="none" w:pos="257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have the opportunity to present to the Board a written response to the Notice of Consideration, but shall not have the right to appear in person or by counsel before the Board.</w:t>
      </w:r>
    </w:p>
    <w:p>
      <w:pPr>
        <w:spacing w:after="0" w:line="185" w:lineRule="exact"/>
        <w:rPr>
          <w:rFonts w:ascii="Times New Roman" w:cs="Times New Roman" w:eastAsia="Times New Roman" w:hAnsi="Times New Roman"/>
          <w:sz w:val="22"/>
          <w:szCs w:val="22"/>
          <w:color w:val="auto"/>
        </w:rPr>
      </w:pPr>
    </w:p>
    <w:p>
      <w:pPr>
        <w:jc w:val="both"/>
        <w:ind w:left="1300" w:firstLine="652"/>
        <w:spacing w:after="0" w:line="235" w:lineRule="auto"/>
        <w:tabs>
          <w:tab w:leader="none" w:pos="248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employment may be terminated for Cause only if: (A) the acts or omissions specified in the Notice of Consideration did in fact occur and such actions or omissions do constitute Cause as defined in this Plan, (B) the Board, by affirmative vote of a simple majority of its members, makes a specific determination to such effect and to the effect that Participant’s employment should be terminated for Cause (“Cause Determination”), and (C) the Company or the Employer thereafter provides Participant with a Notice of Termination that specifies in specific detail the basis of such Separation from Service for Cause and which Notice shall be consistent with the reasons set forth in the Notice of Consideration.</w:t>
      </w:r>
    </w:p>
    <w:p>
      <w:pPr>
        <w:spacing w:after="0" w:line="196" w:lineRule="exact"/>
        <w:rPr>
          <w:rFonts w:ascii="Times New Roman" w:cs="Times New Roman" w:eastAsia="Times New Roman" w:hAnsi="Times New Roman"/>
          <w:sz w:val="22"/>
          <w:szCs w:val="22"/>
          <w:color w:val="auto"/>
        </w:rPr>
      </w:pPr>
    </w:p>
    <w:p>
      <w:pPr>
        <w:ind w:left="1300" w:right="20" w:firstLine="652"/>
        <w:spacing w:after="0" w:line="282" w:lineRule="auto"/>
        <w:tabs>
          <w:tab w:leader="none" w:pos="247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existence of Cause shall become an issue in any action or proceeding between Participant, on the one hand, and any one or more of the Company and its Affiliates, on the other hand, the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8" w:right="33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22"/>
          <w:szCs w:val="22"/>
          <w:color w:val="auto"/>
        </w:rPr>
        <w:t>Determination shall be final and binding on all parties, except as provided in Section 3.2.2 below.</w:t>
      </w:r>
    </w:p>
    <w:p>
      <w:pPr>
        <w:spacing w:after="0" w:line="233" w:lineRule="exact"/>
        <w:rPr>
          <w:sz w:val="20"/>
          <w:szCs w:val="20"/>
          <w:color w:val="auto"/>
        </w:rPr>
      </w:pPr>
    </w:p>
    <w:p>
      <w:pPr>
        <w:ind w:left="1300" w:right="20" w:firstLine="648"/>
        <w:spacing w:after="0" w:line="258" w:lineRule="auto"/>
        <w:rPr>
          <w:sz w:val="20"/>
          <w:szCs w:val="20"/>
          <w:color w:val="auto"/>
        </w:rPr>
      </w:pPr>
      <w:r>
        <w:rPr>
          <w:rFonts w:ascii="Times New Roman" w:cs="Times New Roman" w:eastAsia="Times New Roman" w:hAnsi="Times New Roman"/>
          <w:sz w:val="22"/>
          <w:szCs w:val="22"/>
          <w:color w:val="auto"/>
        </w:rPr>
        <w:t>Nothing in this Section 3.2.1 shall preclude the Board, by majority vote, from suspending Participant from his or her duties, with pay, at any time.</w:t>
      </w:r>
    </w:p>
    <w:p>
      <w:pPr>
        <w:spacing w:after="0" w:line="185" w:lineRule="exact"/>
        <w:rPr>
          <w:sz w:val="20"/>
          <w:szCs w:val="20"/>
          <w:color w:val="auto"/>
        </w:rPr>
      </w:pPr>
    </w:p>
    <w:p>
      <w:pPr>
        <w:jc w:val="both"/>
        <w:ind w:left="660" w:firstLine="648"/>
        <w:spacing w:after="0" w:line="234" w:lineRule="auto"/>
        <w:rPr>
          <w:sz w:val="20"/>
          <w:szCs w:val="20"/>
          <w:color w:val="auto"/>
        </w:rPr>
      </w:pPr>
      <w:r>
        <w:rPr>
          <w:rFonts w:ascii="Times New Roman" w:cs="Times New Roman" w:eastAsia="Times New Roman" w:hAnsi="Times New Roman"/>
          <w:sz w:val="22"/>
          <w:szCs w:val="22"/>
          <w:color w:val="auto"/>
        </w:rPr>
        <w:t>3.2.2 Standard of Review. In the event that the existence of Cause shall become an issue in any action or proceeding between a Participant following a Change of Control, on the one hand, and any one or more of the Company and its Affiliates, on the other hand, the Company and its Affiliates, as applicable, shall, notwithstanding the Cause Determination, have the burden of establishing that the actions or omissions specified in the Notice of Consideration did in fact occur and do constitute Cause and that the Company and its Affiliates have satisfied all applicable substantive and procedural requirements of this Section.</w:t>
      </w:r>
    </w:p>
    <w:p>
      <w:pPr>
        <w:spacing w:after="0" w:line="20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b w:val="1"/>
          <w:bCs w:val="1"/>
          <w:color w:val="auto"/>
        </w:rPr>
        <w:t>Maximum Payments.</w:t>
      </w:r>
      <w:r>
        <w:rPr>
          <w:rFonts w:ascii="Times New Roman" w:cs="Times New Roman" w:eastAsia="Times New Roman" w:hAnsi="Times New Roman"/>
          <w:sz w:val="21"/>
          <w:szCs w:val="21"/>
          <w:color w:val="auto"/>
        </w:rPr>
        <w:t xml:space="preserve"> It is the objective of this Plan to maximize the Participants’ Net After-Tax Benefit (as defined herein) if payments or benefits provided under this Plan are subject to excise tax under Section 4999 of the Code. Therefore, in the event it is determined that any payment or benefit by the Company to or for the benefit of a Participant, whether paid or payable or distributed or distributable pursuant to the terms of this Plan or otherwise, including, by example and not by way of limitation, acceleration by the Company or otherwise of the date of vesting or payment or rate of payment under any plan, program or arrangement of the Company, would be subject to the excise tax imposed by Section 4999 of the Code or any interest or penalties with respect to such excise tax (such excise tax, together with any such interest and penalties, are hereinafter collectively referred to as the “Excise Tax”), the Company shall first make a calculation under which such payments or benefits provided to the Participant under this Agreement are reduced to the extent necessary so that no portion thereof shall be subject to the excise tax imposed by Section 4999 of the Code (the “Reduced Payment”), provided that, for purposes of this calculation, the payments and benefits that do not constitute deferred compensation within the meaning of Section 409A of the Code shall first be reduced and the portion of the payments and benefits that do constitute deferred compensation within the meaning of Section 409A of the Code shall thereafter be reduced as necessary. The Company shall then compare (x) the Participant’s Net After-Tax Benefit assuming application of the Reduced Payment with (y) the Participant’s Net After-Tax Benefit without the application of the Reduced Payment and the Participant shall be entitled to the greater of (x) or (y). “Net After-Tax Benefit” shall mean the sum of (i) all payments and benefits which the Participant receives or is then entitled to receive from the Company, less (ii) the amount of federal income taxes payable with respect to the payments and benefits described in (i) above calculated at the maximum marginal income tax rate for each year in which such payments and benefits shall be paid to the Participant (based upon the rate for such year as set forth in the Code at the time of the first payment of the foregoing), less (iii) the amount of excise taxes imposed with respect to the payments and benefits described in (i) above by Section 4999 of the Code. The determination of whether a payment or benefit constitutes an excess parachute payment shall be made by tax counsel or other tax professional selected by the Company. The costs of obtaining this determination shall be borne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8" w:right="339" w:bottom="1440" w:gutter="0" w:footer="0" w:header="0"/>
        </w:sectPr>
      </w:pPr>
    </w:p>
    <w:bookmarkStart w:id="54" w:name="page55"/>
    <w:bookmarkEnd w:id="54"/>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Payment Date Limitation.</w:t>
      </w:r>
      <w:r>
        <w:rPr>
          <w:rFonts w:ascii="Times New Roman" w:cs="Times New Roman" w:eastAsia="Times New Roman" w:hAnsi="Times New Roman"/>
          <w:sz w:val="22"/>
          <w:szCs w:val="22"/>
          <w:color w:val="auto"/>
        </w:rPr>
        <w:t xml:space="preserve"> Notwithstanding anything to the contrary in this Plan, no payment under the Plan shall be paid later than the December 31 of the second calendar year following the calendar year in which the Separation from Service occurs.</w:t>
      </w:r>
    </w:p>
    <w:p>
      <w:pPr>
        <w:spacing w:after="0" w:line="19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color w:val="auto"/>
        </w:rPr>
        <w:t>Waiver and Release.</w:t>
      </w:r>
      <w:r>
        <w:rPr>
          <w:rFonts w:ascii="Times New Roman" w:cs="Times New Roman" w:eastAsia="Times New Roman" w:hAnsi="Times New Roman"/>
          <w:sz w:val="22"/>
          <w:szCs w:val="22"/>
          <w:color w:val="auto"/>
        </w:rPr>
        <w:t xml:space="preserve"> Notwithstanding anything to the contrary in this Plan, in the event that the Participant becomes entitled to a Severance Benefit, neither the Company nor the Employer shall have any obligation to the Participant unless and until the Participant executes and delivers to the Company within sixty (60) days after Separation from Service a release and waiver in form and substance satisfactory to the Company which is no longer subject to revocation.</w:t>
      </w:r>
    </w:p>
    <w:p>
      <w:pPr>
        <w:spacing w:after="0" w:line="2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color w:val="auto"/>
        </w:rPr>
        <w:t>Breach of Covenants.</w:t>
      </w:r>
      <w:r>
        <w:rPr>
          <w:rFonts w:ascii="Times New Roman" w:cs="Times New Roman" w:eastAsia="Times New Roman" w:hAnsi="Times New Roman"/>
          <w:sz w:val="22"/>
          <w:szCs w:val="22"/>
          <w:color w:val="auto"/>
        </w:rPr>
        <w:t xml:space="preserve"> If a court determines that the Participant has breached the covenants of Article VI or other obligation entered into at any time between the Participant and the Company, then neither the Company nor the Employer shall have any obligation to pay or provide any Severance Benefits under Article III of the Plan.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 WELFARE PLAN AND SUMMARY PLAN DESCRIPTION</w:t>
      </w:r>
    </w:p>
    <w:p>
      <w:pPr>
        <w:spacing w:after="0" w:line="23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This Plan is intended to be a welfare plan under Section 3(1) of ERISA, and if this Plan were found to be a pension plan under Section 3(2) of ERISA, the Plan is intended to qualify as a plan maintained for the purpose of providing deferred compensation for a select group of management or highly compensated employees, within the meaning of Sections 201(2), 301(3) and 401(a)(1) of ERISA. This Plan also is intended to be a summary plan description under Section 102 of ERISA. The Plan, as a summary plan description, has been written in a manner calculated to be understood by the average Participant of the Plan and to reasonably apprise the Participants and their beneficiaries of their rights and obligations under the Plan. Additional provisions of the Plan which are intended to satisfy the requirements of a summary plan description under Section 102 of ERISA are set out in Exhibit A, attached hereto and made a part hereof. A copy of the Plan shall be provided to each Participant.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 NO SET-OFF OR MITIGATION</w:t>
      </w:r>
    </w:p>
    <w:p>
      <w:pPr>
        <w:spacing w:after="0" w:line="23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No Set-off.</w:t>
      </w:r>
      <w:r>
        <w:rPr>
          <w:rFonts w:ascii="Times New Roman" w:cs="Times New Roman" w:eastAsia="Times New Roman" w:hAnsi="Times New Roman"/>
          <w:sz w:val="22"/>
          <w:szCs w:val="22"/>
          <w:color w:val="auto"/>
        </w:rPr>
        <w:t xml:space="preserve"> The Participant’s right to receive when due the payments and other benefits provided for under this Plan is absolute, unconditional and subject to no setoff, counterclaim, recoupment, or other claim, right or action that the Company or the Employer may have against Participant or others, except as expressly provided in this Section 5.1 or as specifically otherwise provided in this Plan. Notwithstanding the prior sentence, the Company or the Employer shall have the right to deduct any amounts outstanding on any loans or other extensions of credit to Participant from the Participant’s payments and other benefits (if any) provided for under this Plan.</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No Mitigation.</w:t>
      </w:r>
      <w:r>
        <w:rPr>
          <w:rFonts w:ascii="Times New Roman" w:cs="Times New Roman" w:eastAsia="Times New Roman" w:hAnsi="Times New Roman"/>
          <w:sz w:val="22"/>
          <w:szCs w:val="22"/>
          <w:color w:val="auto"/>
        </w:rPr>
        <w:t xml:space="preserve"> The Participant shall not have any duty to mitigate the amounts payable by the Company or the Employer under this Plan by seeking new employment or self-employment following termination. Except as specifically otherwise provided in this Plan, all amounts payable pursuant to this Plan shall be paid without reduction regardless of any amounts of salary, compensation or other amounts which may be paid or payable to the Participant as the result of Participant’s employment by another employer or self-employment.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color w:val="auto"/>
        </w:rPr>
        <w:t>ARTICLE VI. RESTRICTIVE COVENANTS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Non-Solicitation.</w:t>
      </w:r>
      <w:r>
        <w:rPr>
          <w:rFonts w:ascii="Times New Roman" w:cs="Times New Roman" w:eastAsia="Times New Roman" w:hAnsi="Times New Roman"/>
          <w:sz w:val="22"/>
          <w:szCs w:val="22"/>
          <w:color w:val="auto"/>
        </w:rPr>
        <w:t xml:space="preserve"> During the period beginning on the Effective Date and ending on the second anniversary of the date of Separation from Service, regardless of the reason for Participant’s Separation from Service, the Participant shall not, directly or indirectly:</w:t>
      </w:r>
    </w:p>
    <w:p>
      <w:pPr>
        <w:spacing w:after="0" w:line="198"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22"/>
          <w:szCs w:val="22"/>
          <w:color w:val="auto"/>
        </w:rPr>
        <w:t>6.1.1 cause or attempt to cause or encourage any employee of the Company or an Affiliate to terminate his or her relationship with the Company or an Affiliate; or</w:t>
      </w:r>
    </w:p>
    <w:p>
      <w:pPr>
        <w:spacing w:after="0" w:line="17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21"/>
          <w:szCs w:val="21"/>
          <w:color w:val="auto"/>
        </w:rPr>
        <w:t>6.1.2 solicit the employment or engagement as a consultant or adviser, of any employee of the Company or an Affiliate or any former employee of the Company or an Affiliate who left the employ of the Company or Affiliate within two years following your Separation from Service, or cause or attempt to cause any Person to do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Reasonableness of Restrictive Covenants.</w:t>
      </w:r>
    </w:p>
    <w:p>
      <w:pPr>
        <w:spacing w:after="0" w:line="237" w:lineRule="exact"/>
        <w:rPr>
          <w:sz w:val="20"/>
          <w:szCs w:val="20"/>
          <w:color w:val="auto"/>
        </w:rPr>
      </w:pPr>
    </w:p>
    <w:p>
      <w:pPr>
        <w:jc w:val="both"/>
        <w:ind w:left="660" w:firstLine="648"/>
        <w:spacing w:after="0" w:line="238" w:lineRule="auto"/>
        <w:rPr>
          <w:sz w:val="20"/>
          <w:szCs w:val="20"/>
          <w:color w:val="auto"/>
        </w:rPr>
      </w:pPr>
      <w:r>
        <w:rPr>
          <w:rFonts w:ascii="Times New Roman" w:cs="Times New Roman" w:eastAsia="Times New Roman" w:hAnsi="Times New Roman"/>
          <w:sz w:val="22"/>
          <w:szCs w:val="22"/>
          <w:color w:val="auto"/>
        </w:rPr>
        <w:t>6.2.1 Participant acknowledges that the covenants contained in this Plan are reasonable in the scope of the activities restricted, the geographic area covered by the restrictions, and the duration of the restrictions, and that such covenants are reasonably necessary to protect the Company’s and its Affiliates’ legitimate interests in their confidential and proprietary information, their proprietary work, and in their relationships with their employees, customers, suppliers and agents.</w:t>
      </w:r>
    </w:p>
    <w:p>
      <w:pPr>
        <w:spacing w:after="0" w:line="204" w:lineRule="exact"/>
        <w:rPr>
          <w:sz w:val="20"/>
          <w:szCs w:val="20"/>
          <w:color w:val="auto"/>
        </w:rPr>
      </w:pPr>
    </w:p>
    <w:p>
      <w:pPr>
        <w:jc w:val="both"/>
        <w:ind w:left="660" w:right="20" w:firstLine="648"/>
        <w:spacing w:after="0" w:line="258" w:lineRule="auto"/>
        <w:rPr>
          <w:sz w:val="20"/>
          <w:szCs w:val="20"/>
          <w:color w:val="auto"/>
        </w:rPr>
      </w:pPr>
      <w:r>
        <w:rPr>
          <w:rFonts w:ascii="Times New Roman" w:cs="Times New Roman" w:eastAsia="Times New Roman" w:hAnsi="Times New Roman"/>
          <w:sz w:val="22"/>
          <w:szCs w:val="22"/>
          <w:color w:val="auto"/>
        </w:rPr>
        <w:t>6.2.2 Participant acknowledges that Participant’s observance of the covenants contained herein will not deprive Participant of the ability to earn a livelihood or to support his or her dependents.</w:t>
      </w:r>
    </w:p>
    <w:p>
      <w:pPr>
        <w:spacing w:after="0" w:line="172" w:lineRule="exact"/>
        <w:rPr>
          <w:sz w:val="20"/>
          <w:szCs w:val="20"/>
          <w:color w:val="auto"/>
        </w:rPr>
      </w:pPr>
    </w:p>
    <w:p>
      <w:pPr>
        <w:jc w:val="both"/>
        <w:ind w:left="660" w:right="20" w:firstLine="648"/>
        <w:spacing w:after="0" w:line="258" w:lineRule="auto"/>
        <w:rPr>
          <w:sz w:val="20"/>
          <w:szCs w:val="20"/>
          <w:color w:val="auto"/>
        </w:rPr>
      </w:pPr>
      <w:r>
        <w:rPr>
          <w:rFonts w:ascii="Times New Roman" w:cs="Times New Roman" w:eastAsia="Times New Roman" w:hAnsi="Times New Roman"/>
          <w:sz w:val="22"/>
          <w:szCs w:val="22"/>
          <w:color w:val="auto"/>
        </w:rPr>
        <w:t>6.2.3 Participant understands he or she is bound by the terms of this Article VI, whether or not Participant receives severance payments under this Plan or otherwise.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Right to Injunction; Survival of Undertakings.</w:t>
      </w:r>
    </w:p>
    <w:p>
      <w:pPr>
        <w:spacing w:after="0" w:line="237"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1"/>
          <w:szCs w:val="21"/>
          <w:color w:val="auto"/>
        </w:rPr>
        <w:t>6.3.1 In recognition of the necessity of the limited restrictions imposed by this Plan, Participant and the Company agree that it would be impossible to measure solely in money the damages which the Company and its Affiliates would suffer if Participant were to breach any of his or her obligations hereunder. Participant acknowledges that any breach of any provision of this Plan would irreparably injure the Company and its Affiliates. Accordingly, Participant agrees that if he or she breaches any of the provisions of this Plan, the Company and its Affiliates shall be entitled, in addition to any other remedies to which the Company and its Affiliates may be entitled under this Plan or otherwise, to an injunction to be issued by a court of competent jurisdiction, to restrain any breach, or threatened breach, of any provision of this Plan without the necessity of posting a bond or other security therefor, and Participant hereby waives any right to assert any claim or defense that the Company and its Affiliates have an adequate remedy at law for any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4" w:right="339" w:bottom="1440" w:gutter="0" w:footer="0" w:header="0"/>
        </w:sectPr>
      </w:pPr>
    </w:p>
    <w:bookmarkStart w:id="56" w:name="page57"/>
    <w:bookmarkEnd w:id="56"/>
    <w:p>
      <w:pPr>
        <w:jc w:val="both"/>
        <w:ind w:left="660" w:firstLine="648"/>
        <w:spacing w:after="0" w:line="236" w:lineRule="auto"/>
        <w:rPr>
          <w:sz w:val="20"/>
          <w:szCs w:val="20"/>
          <w:color w:val="auto"/>
        </w:rPr>
      </w:pPr>
      <w:r>
        <w:rPr>
          <w:rFonts w:ascii="Times New Roman" w:cs="Times New Roman" w:eastAsia="Times New Roman" w:hAnsi="Times New Roman"/>
          <w:sz w:val="22"/>
          <w:szCs w:val="22"/>
          <w:color w:val="auto"/>
        </w:rPr>
        <w:t>6.3.2 The covenants in this Article VI are severable and separate, and the unenforceability of any specific covenant shall not affect the provisions of any other covenant. In the event any court of competent jurisdiction determines that a covenant included in this Article VI is unenforceable in whole or in part because of such covenant’s duration or geographical or other scope, it is the intention of the Company and the Participant that the court shall modify such restrictions, as the case may be, so as to cause such covenant as so modified to be enforceable, and this Plan shall thereby be reformed.</w:t>
      </w:r>
    </w:p>
    <w:p>
      <w:pPr>
        <w:spacing w:after="0" w:line="195" w:lineRule="exact"/>
        <w:rPr>
          <w:sz w:val="20"/>
          <w:szCs w:val="20"/>
          <w:color w:val="auto"/>
        </w:rPr>
      </w:pPr>
    </w:p>
    <w:p>
      <w:pPr>
        <w:jc w:val="both"/>
        <w:ind w:left="660" w:firstLine="648"/>
        <w:spacing w:after="0" w:line="238" w:lineRule="auto"/>
        <w:rPr>
          <w:sz w:val="20"/>
          <w:szCs w:val="20"/>
          <w:color w:val="auto"/>
        </w:rPr>
      </w:pPr>
      <w:r>
        <w:rPr>
          <w:rFonts w:ascii="Times New Roman" w:cs="Times New Roman" w:eastAsia="Times New Roman" w:hAnsi="Times New Roman"/>
          <w:sz w:val="22"/>
          <w:szCs w:val="22"/>
          <w:color w:val="auto"/>
        </w:rPr>
        <w:t>6.3.3 All of the provisions of this Plan shall survive any Separation from Service of Participant, without regard to the reasons for such termination. Notwithstanding anything to the contrary in this Plan, in addition to any other rights it may have, neither the Company nor any Affiliate shall have any obligation to pay or provide severance or other benefits (except as may be required under ERISA) after the date of Separation from Service if Participant has materially breached any of Participant’s obligations under this Plan.</w:t>
      </w:r>
    </w:p>
    <w:p>
      <w:pPr>
        <w:spacing w:after="0" w:line="204" w:lineRule="exact"/>
        <w:rPr>
          <w:sz w:val="20"/>
          <w:szCs w:val="20"/>
          <w:color w:val="auto"/>
        </w:rPr>
      </w:pPr>
    </w:p>
    <w:p>
      <w:pPr>
        <w:jc w:val="both"/>
        <w:ind w:left="660" w:firstLine="648"/>
        <w:spacing w:after="0" w:line="239" w:lineRule="auto"/>
        <w:rPr>
          <w:sz w:val="20"/>
          <w:szCs w:val="20"/>
          <w:color w:val="auto"/>
        </w:rPr>
      </w:pPr>
      <w:r>
        <w:rPr>
          <w:rFonts w:ascii="Times New Roman" w:cs="Times New Roman" w:eastAsia="Times New Roman" w:hAnsi="Times New Roman"/>
          <w:sz w:val="22"/>
          <w:szCs w:val="22"/>
          <w:color w:val="auto"/>
        </w:rPr>
        <w:t>6.3.4 The covenants in this Article VI shall be construed as an agreement independent of any other provision in this Plan, and the existence of any claim or cause of action of the Participant against the Company or an Affiliate, whether predicated on this Plan, or otherwise, shall not constitute a defense to the enforcement by the Company or an Affiliate of such covenants.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 NON-EXCLUSIVITY OF RIGHTS</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Waiver of Certain Other Rights.</w:t>
      </w:r>
      <w:r>
        <w:rPr>
          <w:rFonts w:ascii="Times New Roman" w:cs="Times New Roman" w:eastAsia="Times New Roman" w:hAnsi="Times New Roman"/>
          <w:sz w:val="22"/>
          <w:szCs w:val="22"/>
          <w:color w:val="auto"/>
        </w:rPr>
        <w:t xml:space="preserve"> To the extent that Participant shall have received severance payments or other severance benefits under any other plan, program, policy, practice or procedure or agreement of the Company or any Affiliate prior to receiving severance payments or other severance benefits pursuant to Article III, the severance payments or other severance benefits under such other plan, program, policy, practice or procedure or agreement shall reduce (but not below zero) the corresponding severance payments or other benefits to which Participant shall be entitled under Article III. To the extent that Participant accepts payments made pursuant to Article III, the Participant shall be deemed to have waived his or her right to receive a corresponding amount of future severance payments or other severance benefits under any other plan, program, policy, practice or procedure or agreement of the Company or any Affiliate.</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Other Rights.</w:t>
      </w:r>
      <w:r>
        <w:rPr>
          <w:rFonts w:ascii="Times New Roman" w:cs="Times New Roman" w:eastAsia="Times New Roman" w:hAnsi="Times New Roman"/>
          <w:sz w:val="22"/>
          <w:szCs w:val="22"/>
          <w:color w:val="auto"/>
        </w:rPr>
        <w:t xml:space="preserve"> Except as expressly provided in this Plan, the Participant’s participation in the Plan shall not prevent or limit Participant’s continuing or future participation in any benefit, bonus, incentive or other plan, program, policy, practice or procedure provided by the Company or any Affiliate and for which Participant may qualify, nor shall this Plan limit or otherwise affect such rights as Participant may have under any other plans with the Company or any Affiliate. Amounts that are vested benefits or that Participant is otherwise entitled to receive under any plan, program, policy, practice or procedure and any other payment or benefit required by law at or after the date of Separation from Service shall be payable in accordance with such plan, program, policy, practice or procedure or applicable law except as expressly modified by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8" w:right="339" w:bottom="1440" w:gutter="0" w:footer="0" w:header="0"/>
        </w:sectPr>
      </w:pPr>
    </w:p>
    <w:bookmarkStart w:id="57" w:name="page58"/>
    <w:bookmarkEnd w:id="57"/>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No Right to Continued Employment.</w:t>
      </w:r>
      <w:r>
        <w:rPr>
          <w:rFonts w:ascii="Times New Roman" w:cs="Times New Roman" w:eastAsia="Times New Roman" w:hAnsi="Times New Roman"/>
          <w:sz w:val="22"/>
          <w:szCs w:val="22"/>
          <w:color w:val="auto"/>
        </w:rPr>
        <w:t xml:space="preserve"> Nothing in this Plan shall guarantee the right of Participant to continue in employment, and the Company and the Employer retain the right to terminate Participant’s employment at any time for any reason or for no reason.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 PARTICIPATING EMPLOYERS</w:t>
      </w:r>
    </w:p>
    <w:p>
      <w:pPr>
        <w:spacing w:after="0" w:line="23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Upon the selection by the Board of an employee of any Subsidiary to be a Participant in this Plan, the Subsidiary shall become an Employer and the provisions of the Plan shall be fully applicable to the Employees of that Subsidiary who are designated Participants by the Board. This Plan establishes and vests in each Participant a contractual right to the relevant benefits hereunder, enforceable by the Participant against the Participant’s Employer.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 SUCCESSOR TO EMPLOYER</w:t>
      </w:r>
    </w:p>
    <w:p>
      <w:pPr>
        <w:spacing w:after="0" w:line="23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Plan shall bind any successor (whether direct or indirect, by purchase, merger, consolidation or otherwise) which becomes such after a Change of Control has occurred in the same manner and to the same extent that the Employer would be obligated under this Plan if no succession had taken place. In the case of any transaction in which a successor (which becomes such after a Change of Control has occurred) would not by the foregoing provision or by operation of law be bound by this Plan, the Employer shall require such successor expressly and unconditionally to assume and agree to perform the Employer’s obligations under this Plan, in the same manner and to the same extent that the Employer would be required to perform if no such succession had taken place. The terms “Company” and “Employer,” as used in this Plan, shall mean the Company or an Employer, respectively, as hereinbefore defined and any successor or assignee to the business or assets which by reason hereof becomes bound by this Plan.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 DURATION AND AMENDMENT</w:t>
      </w:r>
    </w:p>
    <w:p>
      <w:pPr>
        <w:spacing w:after="0" w:line="23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Duration.</w:t>
      </w:r>
      <w:r>
        <w:rPr>
          <w:rFonts w:ascii="Times New Roman" w:cs="Times New Roman" w:eastAsia="Times New Roman" w:hAnsi="Times New Roman"/>
          <w:sz w:val="22"/>
          <w:szCs w:val="22"/>
          <w:color w:val="auto"/>
        </w:rPr>
        <w:t xml:space="preserve"> The initial term of the Plan shall be the period beginning on the Effective Date and ending on (and including) December 31, 2021. Beginning on the last day of such initial term, and on each successive anniversary of such date, the term of the Plan shall be extended automatically for an additional successive one (1)-year term; provided, however, that if, at least three (3) months prior to the last day of any such term, the Company shall give to the Participants written notice that no such automatic extension shall occur, then this Plan shall terminate on the last day of such term. This Plan shall remain in effect until so terminated by the Company. Failure of the Company to provide the required notice to Participants shall be considered as an extension of this Plan for an additional one (1)-year term. Notwithstanding anything to the contrary contained in this “sunset provision,” if a Change of Control occurs while this Plan is in effect, then this Plan shall not be subject to termination under this “sunset provision,” and this Plan shall remain in force for a period of two (2) years after such Change of Control, and if within said two (2)-year period the contingency factors occur which would entitle a Participant to the benefits as provided herein, then this Plan shall remain in effect in accordance with its terms. If, within such two (2) years after a Change of Control, the contingency factors that would entitle a Participant to benefits do not occur, thereupon this Plan shall terminate at the expiration of two (2) years after such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4" w:right="339" w:bottom="1440" w:gutter="0" w:footer="0" w:header="0"/>
        </w:sectPr>
      </w:pPr>
    </w:p>
    <w:bookmarkStart w:id="58" w:name="page59"/>
    <w:bookmarkEnd w:id="58"/>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xml:space="preserve"> The Plan may not be amended except for: (i) an amendment that increases the benefits payable under the Plan or otherwise constitutes a bona fide improvement of a Participant’s rights under the Plan, or (ii) an amendment which decreases the benefits of a Participant that is consented to in writing by such Participant or that is required in order for the Plan to comply with applicable law or regulation. The parties intend that all payments and reimbursements made under this Plan be excepted from Section 409A of the Code, and the regulations and other guidance promulgated thereunder (collectively, “Section 409A”) and, if not excepted, be compliant with Section 409A. Accordingly, in the event of any ambiguity in this Plan, this Plan shall be interpreted and administered so as to be excepted from or, if not excepted from, compliant with, Section 409A to the fullest extent possible. In the event the Company determines that a payment or reimbursement or a series of payments or reimbursements is neither excepted from nor compliant with 409A, notwithstanding anything in this Plan to the contrary, the Company shall have the unilateral right to modify or amend this Plan as it deems reasonably appropriate with respect to Section 409A and other applicable law to render such payment excepted or compliant so as, to the extent possible, to avoid any adverse tax consequences to either the Company, any Affiliate or the Participants. Each payment under this Plan shall be deemed a separate payment for purposes of Section 409A.</w:t>
      </w:r>
    </w:p>
    <w:p>
      <w:pPr>
        <w:spacing w:after="0" w:line="20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xml:space="preserve"> All notices and other communications under this Plan shall be in writing and delivered by hand, by a nationally recognized delivery service that promises overnight delivery, or by first-class registered or certified mail, return receipt requested, postage prepaid, addressed as follows: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Participant: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Participant at his or her most recent home address on file with the Company.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 or the Employer: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Matrix Service Company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5100 E. Skelly Drive, Suite 100</w:t>
      </w:r>
    </w:p>
    <w:p>
      <w:pPr>
        <w:ind w:left="660"/>
        <w:spacing w:after="0"/>
        <w:rPr>
          <w:sz w:val="20"/>
          <w:szCs w:val="20"/>
          <w:color w:val="auto"/>
        </w:rPr>
      </w:pPr>
      <w:r>
        <w:rPr>
          <w:rFonts w:ascii="Times New Roman" w:cs="Times New Roman" w:eastAsia="Times New Roman" w:hAnsi="Times New Roman"/>
          <w:sz w:val="22"/>
          <w:szCs w:val="22"/>
          <w:color w:val="auto"/>
        </w:rPr>
        <w:t>Tulsa, OK 74135</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or to such other address as either party shall have furnished to the other in writing</w:t>
      </w:r>
      <w:r>
        <w:rPr>
          <w:rFonts w:ascii="Times New Roman" w:cs="Times New Roman" w:eastAsia="Times New Roman" w:hAnsi="Times New Roman"/>
          <w:sz w:val="23"/>
          <w:szCs w:val="23"/>
          <w:color w:val="auto"/>
        </w:rPr>
        <w:t>.</w:t>
      </w:r>
      <w:r>
        <w:rPr>
          <w:rFonts w:ascii="Times New Roman" w:cs="Times New Roman" w:eastAsia="Times New Roman" w:hAnsi="Times New Roman"/>
          <w:sz w:val="22"/>
          <w:szCs w:val="22"/>
          <w:color w:val="auto"/>
        </w:rPr>
        <w:t xml:space="preserve"> Notice and communications shall be effective when actually received by the addressee.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 ADMINISTRATION</w:t>
      </w:r>
    </w:p>
    <w:p>
      <w:pPr>
        <w:spacing w:after="0" w:line="233" w:lineRule="exact"/>
        <w:rPr>
          <w:sz w:val="20"/>
          <w:szCs w:val="20"/>
          <w:color w:val="auto"/>
        </w:rPr>
      </w:pPr>
    </w:p>
    <w:p>
      <w:pPr>
        <w:jc w:val="both"/>
        <w:ind w:firstLine="583"/>
        <w:spacing w:after="0" w:line="23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Fiduciaries.</w:t>
      </w:r>
      <w:r>
        <w:rPr>
          <w:rFonts w:ascii="Times New Roman" w:cs="Times New Roman" w:eastAsia="Times New Roman" w:hAnsi="Times New Roman"/>
          <w:sz w:val="22"/>
          <w:szCs w:val="22"/>
          <w:color w:val="auto"/>
        </w:rPr>
        <w:t xml:space="preserve"> Under certain circumstances, the Board or the Committee may be determined by a court of law to be a fiduciary with respect to a particular action under the Plan. As authorized by ERISA, to prevent any two parties to the Plan from being deemed co-fiduciaries with respect to a particular function, the Plan is intended, and should be construed, to allocate to each party to the Plan only those specific powers, duties, responsibilities, and obligations as are specifically granted to it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Allocation of Responsibilities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11.2.1 </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xml:space="preserve"> The Board shall have exclusive authority and responsibility for:</w:t>
      </w:r>
    </w:p>
    <w:p>
      <w:pPr>
        <w:spacing w:after="0" w:line="237" w:lineRule="exact"/>
        <w:rPr>
          <w:sz w:val="20"/>
          <w:szCs w:val="20"/>
          <w:color w:val="auto"/>
        </w:rPr>
      </w:pPr>
    </w:p>
    <w:p>
      <w:pPr>
        <w:ind w:left="1700" w:hanging="408"/>
        <w:spacing w:after="0"/>
        <w:tabs>
          <w:tab w:leader="none" w:pos="17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amendment or termination of this Plan in accordance with Sections 10.1 and 10.2; and</w:t>
      </w:r>
    </w:p>
    <w:p>
      <w:pPr>
        <w:spacing w:after="0" w:line="233"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delegation to the Committee of any authority and responsibility reserved herein to the Board.</w:t>
      </w:r>
    </w:p>
    <w:p>
      <w:pPr>
        <w:spacing w:after="0" w:line="22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11.2.2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xml:space="preserve"> The Committee shall serve as plan administrator and shall have exclusive authority and responsibility for those functions set forth in Section 11.3, in other provisions of this Plan, and in provisions of a trust used to pay benefits under this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Provisions Concerning the Committee.</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11.3.1 </w:t>
      </w:r>
      <w:r>
        <w:rPr>
          <w:rFonts w:ascii="Times New Roman" w:cs="Times New Roman" w:eastAsia="Times New Roman" w:hAnsi="Times New Roman"/>
          <w:sz w:val="22"/>
          <w:szCs w:val="22"/>
          <w:b w:val="1"/>
          <w:bCs w:val="1"/>
          <w:color w:val="auto"/>
        </w:rPr>
        <w:t>Membership and Voting</w:t>
      </w:r>
      <w:r>
        <w:rPr>
          <w:rFonts w:ascii="Times New Roman" w:cs="Times New Roman" w:eastAsia="Times New Roman" w:hAnsi="Times New Roman"/>
          <w:sz w:val="22"/>
          <w:szCs w:val="22"/>
          <w:color w:val="auto"/>
        </w:rPr>
        <w:t>. The Committee shall consist of not less than three (3) members. The Committee shall act by a majority of its members at the time in office, and such action may be taken by a vote at a meeting, in writing without a meeting, or by telephonic communications. Attendance at a meeting, in person or by telephone, shall constitute waiver of notice thereof. A member of the Committee who is a Participant of the Plan shall not vote on any question relating specifically to such Participant. Any such action shall be voted or decided by a majority of the remaining members of the Committee. The Committee may designate one of its members as the Chairman and may appoint a Secretary who may, but need not, be a member thereof. The Committee may appoint from its members such subcommittees with such powers as the Committee shall determine.</w:t>
      </w:r>
    </w:p>
    <w:p>
      <w:pPr>
        <w:spacing w:after="0" w:line="20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11.3.2 </w:t>
      </w:r>
      <w:r>
        <w:rPr>
          <w:rFonts w:ascii="Times New Roman" w:cs="Times New Roman" w:eastAsia="Times New Roman" w:hAnsi="Times New Roman"/>
          <w:sz w:val="22"/>
          <w:szCs w:val="22"/>
          <w:b w:val="1"/>
          <w:bCs w:val="1"/>
          <w:color w:val="auto"/>
        </w:rPr>
        <w:t>Duties of the Committee.</w:t>
      </w:r>
      <w:r>
        <w:rPr>
          <w:rFonts w:ascii="Times New Roman" w:cs="Times New Roman" w:eastAsia="Times New Roman" w:hAnsi="Times New Roman"/>
          <w:sz w:val="22"/>
          <w:szCs w:val="22"/>
          <w:color w:val="auto"/>
        </w:rPr>
        <w:t xml:space="preserve"> The Committee shall administer the Plan in accordance with its terms and shall have all the powers necessary to carry out such terms. The Committee shall execute any certificate, instrument or other written direction on behalf of the Plan and may make any payment on behalf of the Plan. All interpretations of the Plan, and questions concerning its administration and application, shall be determined by the Committee (or its delegate). The Committee may appoint such accountants, counsel, specialists, and other persons as it deems necessary or desirable in connection with the administration of the Plan. Such accountants and counsel may, but need not, be accountants and counsel for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Delegation of Responsibilities; Bonding.</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11.4.1 </w:t>
      </w:r>
      <w:r>
        <w:rPr>
          <w:rFonts w:ascii="Times New Roman" w:cs="Times New Roman" w:eastAsia="Times New Roman" w:hAnsi="Times New Roman"/>
          <w:sz w:val="22"/>
          <w:szCs w:val="22"/>
          <w:b w:val="1"/>
          <w:bCs w:val="1"/>
          <w:color w:val="auto"/>
        </w:rPr>
        <w:t>Delegation and Allocation.</w:t>
      </w:r>
      <w:r>
        <w:rPr>
          <w:rFonts w:ascii="Times New Roman" w:cs="Times New Roman" w:eastAsia="Times New Roman" w:hAnsi="Times New Roman"/>
          <w:sz w:val="22"/>
          <w:szCs w:val="22"/>
          <w:color w:val="auto"/>
        </w:rPr>
        <w:t xml:space="preserve"> The Board and the Committee, respectively, shall have the authority to delegate or allocate, from time to time, by a written instrument, all or any part of their responsibilities under the Plan to such person or persons as each may deem advisable and in the same manner to revoke any such delegation or allocation of responsibility. Any action of a person in the exercise of such delegated or allocated responsibility shall have the same force and effect for all purposes hereunder as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80"/>
          </w:cols>
          <w:pgMar w:left="980" w:top="1404" w:right="339" w:bottom="1440" w:gutter="0" w:footer="0" w:header="0"/>
        </w:sectPr>
      </w:pPr>
    </w:p>
    <w:bookmarkStart w:id="60" w:name="page61"/>
    <w:bookmarkEnd w:id="60"/>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action had been taken by the Board or the Committee, as the case may be. Neither the Company, any Employer, the Board, the Committee nor any member thereof shall be liable for any acts or omissions of any such person, who shall periodically report to the Board or the Committee, as applicable, concerning the discharge of the delegated or allocated responsibilities.</w:t>
      </w:r>
    </w:p>
    <w:p>
      <w:pPr>
        <w:spacing w:after="0" w:line="203" w:lineRule="exact"/>
        <w:rPr>
          <w:sz w:val="20"/>
          <w:szCs w:val="20"/>
          <w:color w:val="auto"/>
        </w:rPr>
      </w:pPr>
    </w:p>
    <w:p>
      <w:pPr>
        <w:jc w:val="both"/>
        <w:ind w:left="660" w:right="20" w:firstLine="648"/>
        <w:spacing w:after="0" w:line="262" w:lineRule="auto"/>
        <w:rPr>
          <w:sz w:val="20"/>
          <w:szCs w:val="20"/>
          <w:color w:val="auto"/>
        </w:rPr>
      </w:pPr>
      <w:r>
        <w:rPr>
          <w:rFonts w:ascii="Times New Roman" w:cs="Times New Roman" w:eastAsia="Times New Roman" w:hAnsi="Times New Roman"/>
          <w:sz w:val="22"/>
          <w:szCs w:val="22"/>
          <w:color w:val="auto"/>
        </w:rPr>
        <w:t xml:space="preserve">11.4.2 </w:t>
      </w:r>
      <w:r>
        <w:rPr>
          <w:rFonts w:ascii="Times New Roman" w:cs="Times New Roman" w:eastAsia="Times New Roman" w:hAnsi="Times New Roman"/>
          <w:sz w:val="22"/>
          <w:szCs w:val="22"/>
          <w:b w:val="1"/>
          <w:bCs w:val="1"/>
          <w:color w:val="auto"/>
        </w:rPr>
        <w:t>Bonding.</w:t>
      </w:r>
      <w:r>
        <w:rPr>
          <w:rFonts w:ascii="Times New Roman" w:cs="Times New Roman" w:eastAsia="Times New Roman" w:hAnsi="Times New Roman"/>
          <w:sz w:val="22"/>
          <w:szCs w:val="22"/>
          <w:color w:val="auto"/>
        </w:rPr>
        <w:t xml:space="preserve"> The members of the Committee shall serve without bond (except as expressly required by federal law) and without compensation for their services as such.</w:t>
      </w:r>
    </w:p>
    <w:p>
      <w:pPr>
        <w:spacing w:after="0" w:line="163" w:lineRule="exact"/>
        <w:rPr>
          <w:sz w:val="20"/>
          <w:szCs w:val="20"/>
          <w:color w:val="auto"/>
        </w:rPr>
      </w:pPr>
    </w:p>
    <w:p>
      <w:pPr>
        <w:jc w:val="both"/>
        <w:ind w:firstLine="583"/>
        <w:spacing w:after="0" w:line="236"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color w:val="auto"/>
        </w:rPr>
        <w:t>No Joint Fiduciary Responsibilities.</w:t>
      </w:r>
      <w:r>
        <w:rPr>
          <w:rFonts w:ascii="Times New Roman" w:cs="Times New Roman" w:eastAsia="Times New Roman" w:hAnsi="Times New Roman"/>
          <w:sz w:val="22"/>
          <w:szCs w:val="22"/>
          <w:color w:val="auto"/>
        </w:rPr>
        <w:t xml:space="preserve"> This Plan is intended to allocate to each named fiduciary the individual responsibility for the prudent execution of the functions assigned to it, and none of such responsibilities and no other responsibility shall be shared by two or more of such named fiduciaries unless such sharing is provided for by a specific provision of the Plan. Whenever one named fiduciary is required herein to follow the directions of another named fiduciary, the two named fiduciaries shall not be deemed to have been assigned a shared responsibility, but the responsibility of a named fiduciary receiving such directions shall be to follow them insofar as such instructions are on their face proper under applicable law.</w:t>
      </w:r>
    </w:p>
    <w:p>
      <w:pPr>
        <w:spacing w:after="0" w:line="203" w:lineRule="exact"/>
        <w:rPr>
          <w:sz w:val="20"/>
          <w:szCs w:val="20"/>
          <w:color w:val="auto"/>
        </w:rPr>
      </w:pPr>
    </w:p>
    <w:p>
      <w:pPr>
        <w:jc w:val="both"/>
        <w:ind w:right="20" w:firstLine="583"/>
        <w:spacing w:after="0" w:line="262"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b w:val="1"/>
          <w:bCs w:val="1"/>
          <w:color w:val="auto"/>
        </w:rPr>
        <w:t>Information to be Supplied by Employer.</w:t>
      </w:r>
      <w:r>
        <w:rPr>
          <w:rFonts w:ascii="Times New Roman" w:cs="Times New Roman" w:eastAsia="Times New Roman" w:hAnsi="Times New Roman"/>
          <w:sz w:val="22"/>
          <w:szCs w:val="22"/>
          <w:color w:val="auto"/>
        </w:rPr>
        <w:t xml:space="preserve"> Each Employer shall provide to the Committee or its delegate such information as it shall from time to time need in the discharge of its duties.</w:t>
      </w:r>
    </w:p>
    <w:p>
      <w:pPr>
        <w:spacing w:after="0" w:line="17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b w:val="1"/>
          <w:bCs w:val="1"/>
          <w:color w:val="auto"/>
        </w:rPr>
        <w:t>Fiduciary Capacity.</w:t>
      </w:r>
      <w:r>
        <w:rPr>
          <w:rFonts w:ascii="Times New Roman" w:cs="Times New Roman" w:eastAsia="Times New Roman" w:hAnsi="Times New Roman"/>
          <w:sz w:val="22"/>
          <w:szCs w:val="22"/>
          <w:color w:val="auto"/>
        </w:rPr>
        <w:t xml:space="preserve"> Any person or group of persons may serve in more than one fiduciary capacity with respect to the Plan.</w:t>
      </w:r>
    </w:p>
    <w:p>
      <w:pPr>
        <w:spacing w:after="0" w:line="16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b w:val="1"/>
          <w:bCs w:val="1"/>
          <w:color w:val="auto"/>
        </w:rPr>
        <w:t>Claims Procedures.</w:t>
      </w:r>
      <w:r>
        <w:rPr>
          <w:rFonts w:ascii="Times New Roman" w:cs="Times New Roman" w:eastAsia="Times New Roman" w:hAnsi="Times New Roman"/>
          <w:sz w:val="22"/>
          <w:szCs w:val="22"/>
          <w:color w:val="auto"/>
        </w:rPr>
        <w:t xml:space="preserve"> Generally, a Participant will not need to file a claim for a Severance Benefit in order to receive benefits payable under the Plan. If, however, a Participant believes that the Participant has not received Severance Benefits to which the Participant believes the Participant is entitled, including a disagreement with respect to the amount of the Severance Benefit paid, then the Participant may file a claim for benefits as follows below.</w:t>
      </w:r>
    </w:p>
    <w:p>
      <w:pPr>
        <w:spacing w:after="0" w:line="199" w:lineRule="exact"/>
        <w:rPr>
          <w:sz w:val="20"/>
          <w:szCs w:val="20"/>
          <w:color w:val="auto"/>
        </w:rPr>
      </w:pPr>
    </w:p>
    <w:p>
      <w:pPr>
        <w:ind w:left="660" w:firstLine="648"/>
        <w:spacing w:after="0" w:line="262" w:lineRule="auto"/>
        <w:rPr>
          <w:sz w:val="20"/>
          <w:szCs w:val="20"/>
          <w:color w:val="auto"/>
        </w:rPr>
      </w:pPr>
      <w:r>
        <w:rPr>
          <w:rFonts w:ascii="Times New Roman" w:cs="Times New Roman" w:eastAsia="Times New Roman" w:hAnsi="Times New Roman"/>
          <w:sz w:val="22"/>
          <w:szCs w:val="22"/>
          <w:color w:val="auto"/>
        </w:rPr>
        <w:t xml:space="preserve">11.8.1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xml:space="preserve"> For purposes of this Section 11.8, the following terms, when capitalized, will be defined as follows:</w:t>
      </w:r>
    </w:p>
    <w:p>
      <w:pPr>
        <w:spacing w:after="0" w:line="181" w:lineRule="exact"/>
        <w:rPr>
          <w:sz w:val="20"/>
          <w:szCs w:val="20"/>
          <w:color w:val="auto"/>
        </w:rPr>
      </w:pPr>
    </w:p>
    <w:p>
      <w:pPr>
        <w:jc w:val="both"/>
        <w:ind w:left="1300" w:firstLine="652"/>
        <w:spacing w:after="0" w:line="235" w:lineRule="auto"/>
        <w:tabs>
          <w:tab w:leader="none" w:pos="237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 Benefit Determination: Any denial, reduction or termination of or failure to provide or make payment (in whole or in part) for a Plan benefit, including any denial, reduction, termination or failure to provide or make payment that is based on a determination of a Claimant’s eligibility to participate in the Plan. Further, any invalidation of a claim for failure to comply with the claim submission procedure will be treated as an Adverse Benefit Determination.</w:t>
      </w:r>
    </w:p>
    <w:p>
      <w:pPr>
        <w:spacing w:after="0" w:line="205" w:lineRule="exact"/>
        <w:rPr>
          <w:rFonts w:ascii="Times New Roman" w:cs="Times New Roman" w:eastAsia="Times New Roman" w:hAnsi="Times New Roman"/>
          <w:sz w:val="22"/>
          <w:szCs w:val="22"/>
          <w:color w:val="auto"/>
        </w:rPr>
      </w:pPr>
    </w:p>
    <w:p>
      <w:pPr>
        <w:jc w:val="both"/>
        <w:ind w:left="1300" w:firstLine="652"/>
        <w:spacing w:after="0" w:line="244" w:lineRule="auto"/>
        <w:tabs>
          <w:tab w:leader="none" w:pos="248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Benefits Administrator: The person or office, if any, to whom the Committee has delegated day-to-day Plan administration responsibilities and who, pursuant to such delegation, processes Plan benefit claims in the ordinary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8" w:right="339" w:bottom="1440" w:gutter="0" w:footer="0" w:header="0"/>
        </w:sectPr>
      </w:pPr>
    </w:p>
    <w:bookmarkStart w:id="61" w:name="page62"/>
    <w:bookmarkEnd w:id="61"/>
    <w:p>
      <w:pPr>
        <w:ind w:left="644" w:right="20" w:firstLine="652"/>
        <w:spacing w:after="0" w:line="258" w:lineRule="auto"/>
        <w:tabs>
          <w:tab w:leader="none" w:pos="202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Claimant: A Participant or beneficiary or an authorized representative of such Participant or beneficiary who has filed or desires to file a claim for a Plan benefit.</w:t>
      </w:r>
    </w:p>
    <w:p>
      <w:pPr>
        <w:spacing w:after="0" w:line="181" w:lineRule="exact"/>
        <w:rPr>
          <w:sz w:val="20"/>
          <w:szCs w:val="20"/>
          <w:color w:val="auto"/>
        </w:rPr>
      </w:pPr>
    </w:p>
    <w:p>
      <w:pPr>
        <w:jc w:val="both"/>
        <w:ind w:left="4" w:firstLine="648"/>
        <w:spacing w:after="0" w:line="234" w:lineRule="auto"/>
        <w:rPr>
          <w:sz w:val="20"/>
          <w:szCs w:val="20"/>
          <w:color w:val="auto"/>
        </w:rPr>
      </w:pPr>
      <w:r>
        <w:rPr>
          <w:rFonts w:ascii="Times New Roman" w:cs="Times New Roman" w:eastAsia="Times New Roman" w:hAnsi="Times New Roman"/>
          <w:sz w:val="22"/>
          <w:szCs w:val="22"/>
          <w:color w:val="auto"/>
        </w:rPr>
        <w:t xml:space="preserve">11.8.2 </w:t>
      </w:r>
      <w:r>
        <w:rPr>
          <w:rFonts w:ascii="Times New Roman" w:cs="Times New Roman" w:eastAsia="Times New Roman" w:hAnsi="Times New Roman"/>
          <w:sz w:val="22"/>
          <w:szCs w:val="22"/>
          <w:b w:val="1"/>
          <w:bCs w:val="1"/>
          <w:color w:val="auto"/>
        </w:rPr>
        <w:t>Filing of Benefit Claim.</w:t>
      </w:r>
      <w:r>
        <w:rPr>
          <w:rFonts w:ascii="Times New Roman" w:cs="Times New Roman" w:eastAsia="Times New Roman" w:hAnsi="Times New Roman"/>
          <w:sz w:val="22"/>
          <w:szCs w:val="22"/>
          <w:color w:val="auto"/>
        </w:rPr>
        <w:t xml:space="preserve"> A Claimant must file with the Committee (or the Benefits Administrator) a written claim for benefits under the Plan on the form provided by, or in any other manner approved by, the Committee. (For purposes of applying the time periods for benefit determination pursuant to Section 11.8.4, filing a claim with the Benefits Administrator will be treated as filing a claim with the Committee.) In connection with the submission of a claim, the Claimant may examine the Plan and any other relevant documents relating to the claim, and may submit written comments relating to such claim to the Committee coincident with the filing of the benefit claim form. Failure of a Claimant to comply with the claim submission procedure will invalidate such claim unless the Committee in its discretion determines that it was not reasonably possible to provide such proof or comply with such procedure.</w:t>
      </w:r>
    </w:p>
    <w:p>
      <w:pPr>
        <w:spacing w:after="0" w:line="200" w:lineRule="exact"/>
        <w:rPr>
          <w:sz w:val="20"/>
          <w:szCs w:val="20"/>
          <w:color w:val="auto"/>
        </w:rPr>
      </w:pPr>
    </w:p>
    <w:p>
      <w:pPr>
        <w:jc w:val="both"/>
        <w:ind w:left="4" w:firstLine="648"/>
        <w:spacing w:after="0" w:line="237" w:lineRule="auto"/>
        <w:rPr>
          <w:sz w:val="20"/>
          <w:szCs w:val="20"/>
          <w:color w:val="auto"/>
        </w:rPr>
      </w:pPr>
      <w:r>
        <w:rPr>
          <w:rFonts w:ascii="Times New Roman" w:cs="Times New Roman" w:eastAsia="Times New Roman" w:hAnsi="Times New Roman"/>
          <w:sz w:val="22"/>
          <w:szCs w:val="22"/>
          <w:color w:val="auto"/>
        </w:rPr>
        <w:t xml:space="preserve">11.8.3 </w:t>
      </w:r>
      <w:r>
        <w:rPr>
          <w:rFonts w:ascii="Times New Roman" w:cs="Times New Roman" w:eastAsia="Times New Roman" w:hAnsi="Times New Roman"/>
          <w:sz w:val="22"/>
          <w:szCs w:val="22"/>
          <w:b w:val="1"/>
          <w:bCs w:val="1"/>
          <w:color w:val="auto"/>
        </w:rPr>
        <w:t>Processing of Benefit Claim.</w:t>
      </w:r>
      <w:r>
        <w:rPr>
          <w:rFonts w:ascii="Times New Roman" w:cs="Times New Roman" w:eastAsia="Times New Roman" w:hAnsi="Times New Roman"/>
          <w:sz w:val="22"/>
          <w:szCs w:val="22"/>
          <w:color w:val="auto"/>
        </w:rPr>
        <w:t xml:space="preserve"> Upon receipt of fully completed benefit claim forms from a Claimant, the Committee (or the Benefits Administrator) shall process such benefit claim considering (i) all materials submitted by the Claimant in connection with the claim, (ii) all Plan provisions pertaining to the benefit claim, and (iii) where appropriate, all information as to whether such Plan provisions have in the past been consistently applied with respect to other similarly situated Claimants. The Committee (or the Benefits Administrator) shall process the claim within the time frame provided in Section 11.8.4.</w:t>
      </w:r>
    </w:p>
    <w:p>
      <w:pPr>
        <w:spacing w:after="0" w:line="202" w:lineRule="exact"/>
        <w:rPr>
          <w:sz w:val="20"/>
          <w:szCs w:val="20"/>
          <w:color w:val="auto"/>
        </w:rPr>
      </w:pPr>
    </w:p>
    <w:p>
      <w:pPr>
        <w:jc w:val="both"/>
        <w:ind w:left="4" w:firstLine="648"/>
        <w:spacing w:after="0" w:line="246" w:lineRule="auto"/>
        <w:rPr>
          <w:sz w:val="20"/>
          <w:szCs w:val="20"/>
          <w:color w:val="auto"/>
        </w:rPr>
      </w:pPr>
      <w:r>
        <w:rPr>
          <w:rFonts w:ascii="Times New Roman" w:cs="Times New Roman" w:eastAsia="Times New Roman" w:hAnsi="Times New Roman"/>
          <w:sz w:val="21"/>
          <w:szCs w:val="21"/>
          <w:color w:val="auto"/>
        </w:rPr>
        <w:t xml:space="preserve">11.8.4 </w:t>
      </w:r>
      <w:r>
        <w:rPr>
          <w:rFonts w:ascii="Times New Roman" w:cs="Times New Roman" w:eastAsia="Times New Roman" w:hAnsi="Times New Roman"/>
          <w:sz w:val="21"/>
          <w:szCs w:val="21"/>
          <w:b w:val="1"/>
          <w:bCs w:val="1"/>
          <w:color w:val="auto"/>
        </w:rPr>
        <w:t>Notification of Adverse Benefit Determination.</w:t>
      </w:r>
      <w:r>
        <w:rPr>
          <w:rFonts w:ascii="Times New Roman" w:cs="Times New Roman" w:eastAsia="Times New Roman" w:hAnsi="Times New Roman"/>
          <w:sz w:val="21"/>
          <w:szCs w:val="21"/>
          <w:color w:val="auto"/>
        </w:rPr>
        <w:t xml:space="preserve"> In any case of an Adverse Benefit Determination of a claim for a Plan benefit, the Committee shall furnish written notice to the affected Claimant within a reasonable period of time but not later than ninety (90) days after receipt of such claim for Plan benefits (or within one hundred and eighty</w:t>
      </w:r>
    </w:p>
    <w:p>
      <w:pPr>
        <w:spacing w:after="0" w:line="1" w:lineRule="exact"/>
        <w:rPr>
          <w:sz w:val="20"/>
          <w:szCs w:val="20"/>
          <w:color w:val="auto"/>
        </w:rPr>
      </w:pPr>
    </w:p>
    <w:p>
      <w:pPr>
        <w:jc w:val="both"/>
        <w:ind w:left="4" w:hanging="4"/>
        <w:spacing w:after="0" w:line="233" w:lineRule="auto"/>
        <w:tabs>
          <w:tab w:leader="none" w:pos="52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if special circumstances necessitate an extension of the ninety (90)-day period and the Claimant is informed of such extension in writing within the ninety (90)-day period and is provided with an extension notice consisting of an explanation of the special circumstances requiring the extension of time and the date by which the benefit determination will be rendered). Any notice that denies a benefit claim of a Claimant in whole or in part shall, in a manner calculated to be understood by the Claimant:</w:t>
      </w:r>
    </w:p>
    <w:p>
      <w:pPr>
        <w:spacing w:after="0" w:line="206" w:lineRule="exact"/>
        <w:rPr>
          <w:rFonts w:ascii="Times New Roman" w:cs="Times New Roman" w:eastAsia="Times New Roman" w:hAnsi="Times New Roman"/>
          <w:sz w:val="22"/>
          <w:szCs w:val="22"/>
          <w:color w:val="auto"/>
        </w:rPr>
      </w:pPr>
    </w:p>
    <w:p>
      <w:pPr>
        <w:ind w:left="1724" w:hanging="428"/>
        <w:spacing w:after="0"/>
        <w:tabs>
          <w:tab w:leader="none" w:pos="172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the specific reason or reasons for the Adverse Benefit Determination;</w:t>
      </w:r>
    </w:p>
    <w:p>
      <w:pPr>
        <w:spacing w:after="0" w:line="233" w:lineRule="exact"/>
        <w:rPr>
          <w:rFonts w:ascii="Times New Roman" w:cs="Times New Roman" w:eastAsia="Times New Roman" w:hAnsi="Times New Roman"/>
          <w:sz w:val="22"/>
          <w:szCs w:val="22"/>
          <w:color w:val="auto"/>
        </w:rPr>
      </w:pPr>
    </w:p>
    <w:p>
      <w:pPr>
        <w:ind w:left="1824" w:hanging="528"/>
        <w:spacing w:after="0"/>
        <w:tabs>
          <w:tab w:leader="none" w:pos="1824"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specific reference to pertinent Plan provisions on which the Adverse Benefit Determination</w:t>
      </w:r>
    </w:p>
    <w:p>
      <w:pPr>
        <w:spacing w:after="0" w:line="25" w:lineRule="exact"/>
        <w:rPr>
          <w:rFonts w:ascii="Times New Roman" w:cs="Times New Roman" w:eastAsia="Times New Roman" w:hAnsi="Times New Roman"/>
          <w:sz w:val="21"/>
          <w:szCs w:val="21"/>
          <w:color w:val="auto"/>
        </w:rPr>
      </w:pPr>
    </w:p>
    <w:p>
      <w:pPr>
        <w:ind w:left="64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is based;</w:t>
      </w:r>
    </w:p>
    <w:p>
      <w:pPr>
        <w:spacing w:after="0" w:line="195" w:lineRule="exact"/>
        <w:rPr>
          <w:rFonts w:ascii="Times New Roman" w:cs="Times New Roman" w:eastAsia="Times New Roman" w:hAnsi="Times New Roman"/>
          <w:sz w:val="21"/>
          <w:szCs w:val="21"/>
          <w:color w:val="auto"/>
        </w:rPr>
      </w:pPr>
    </w:p>
    <w:p>
      <w:pPr>
        <w:ind w:left="644" w:firstLine="652"/>
        <w:spacing w:after="0" w:line="258" w:lineRule="auto"/>
        <w:tabs>
          <w:tab w:leader="none" w:pos="186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Describe any additional material or information necessary for the Claimant to perfect the claim and explain why such material or information is necessary;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84"/>
          </w:cols>
          <w:pgMar w:left="976" w:top="1408" w:right="339" w:bottom="1440" w:gutter="0" w:footer="0" w:header="0"/>
        </w:sectPr>
      </w:pPr>
    </w:p>
    <w:bookmarkStart w:id="62" w:name="page63"/>
    <w:bookmarkEnd w:id="62"/>
    <w:p>
      <w:pPr>
        <w:jc w:val="both"/>
        <w:ind w:left="640" w:firstLine="652"/>
        <w:spacing w:after="0" w:line="244" w:lineRule="auto"/>
        <w:tabs>
          <w:tab w:leader="none" w:pos="183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Describe the Plan’s review procedures and the time limits applicable to such procedures, including a statement of the Claimant’s right to bring a civil action under Section 502(a) of ERISA following an Adverse Benefit Determination on review.</w:t>
      </w:r>
    </w:p>
    <w:p>
      <w:pPr>
        <w:spacing w:after="0" w:line="19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11.8.5 </w:t>
      </w:r>
      <w:r>
        <w:rPr>
          <w:rFonts w:ascii="Times New Roman" w:cs="Times New Roman" w:eastAsia="Times New Roman" w:hAnsi="Times New Roman"/>
          <w:sz w:val="22"/>
          <w:szCs w:val="22"/>
          <w:b w:val="1"/>
          <w:bCs w:val="1"/>
          <w:color w:val="auto"/>
        </w:rPr>
        <w:t>Review of Adverse Benefit Determination.</w:t>
      </w:r>
      <w:r>
        <w:rPr>
          <w:rFonts w:ascii="Times New Roman" w:cs="Times New Roman" w:eastAsia="Times New Roman" w:hAnsi="Times New Roman"/>
          <w:sz w:val="22"/>
          <w:szCs w:val="22"/>
          <w:color w:val="auto"/>
        </w:rPr>
        <w:t xml:space="preserve"> A Claimant has the right to have an Adverse Benefit Determination reviewed in accordance with the following claims review procedure:</w:t>
      </w:r>
    </w:p>
    <w:p>
      <w:pPr>
        <w:spacing w:after="0" w:line="181" w:lineRule="exact"/>
        <w:rPr>
          <w:sz w:val="20"/>
          <w:szCs w:val="20"/>
          <w:color w:val="auto"/>
        </w:rPr>
      </w:pPr>
    </w:p>
    <w:p>
      <w:pPr>
        <w:ind w:left="640" w:firstLine="652"/>
        <w:spacing w:after="0" w:line="245" w:lineRule="auto"/>
        <w:tabs>
          <w:tab w:leader="none" w:pos="171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Claimant must submit a written request for such review to the Committee not later than sixty (60) days following receipt by the Claimant of the Adverse Benefit Determination notification;</w:t>
      </w:r>
    </w:p>
    <w:p>
      <w:pPr>
        <w:spacing w:after="0" w:line="199" w:lineRule="exact"/>
        <w:rPr>
          <w:rFonts w:ascii="Times New Roman" w:cs="Times New Roman" w:eastAsia="Times New Roman" w:hAnsi="Times New Roman"/>
          <w:sz w:val="22"/>
          <w:szCs w:val="22"/>
          <w:color w:val="auto"/>
        </w:rPr>
      </w:pPr>
    </w:p>
    <w:p>
      <w:pPr>
        <w:ind w:left="640" w:firstLine="652"/>
        <w:spacing w:after="0" w:line="258" w:lineRule="auto"/>
        <w:tabs>
          <w:tab w:leader="none" w:pos="179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Claimant shall have the opportunity to submit written comments, documents, records, and other information relating to the claim for benefits to the Committee;</w:t>
      </w:r>
    </w:p>
    <w:p>
      <w:pPr>
        <w:spacing w:after="0" w:line="185" w:lineRule="exact"/>
        <w:rPr>
          <w:rFonts w:ascii="Times New Roman" w:cs="Times New Roman" w:eastAsia="Times New Roman" w:hAnsi="Times New Roman"/>
          <w:sz w:val="22"/>
          <w:szCs w:val="22"/>
          <w:color w:val="auto"/>
        </w:rPr>
      </w:pPr>
    </w:p>
    <w:p>
      <w:pPr>
        <w:jc w:val="both"/>
        <w:ind w:left="640" w:firstLine="652"/>
        <w:spacing w:after="0" w:line="239" w:lineRule="auto"/>
        <w:tabs>
          <w:tab w:leader="none" w:pos="186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Claimant shall have the right to have all comments, documents, records, and other information relating to the claim for benefits that have been submitted by the Claimant considered on review without regard to whether such comments, documents, records or information were considered in the initial benefit determination; and</w:t>
      </w:r>
    </w:p>
    <w:p>
      <w:pPr>
        <w:spacing w:after="0" w:line="207" w:lineRule="exact"/>
        <w:rPr>
          <w:rFonts w:ascii="Times New Roman" w:cs="Times New Roman" w:eastAsia="Times New Roman" w:hAnsi="Times New Roman"/>
          <w:sz w:val="22"/>
          <w:szCs w:val="22"/>
          <w:color w:val="auto"/>
        </w:rPr>
      </w:pPr>
    </w:p>
    <w:p>
      <w:pPr>
        <w:jc w:val="both"/>
        <w:ind w:left="640" w:firstLine="652"/>
        <w:spacing w:after="0" w:line="234" w:lineRule="auto"/>
        <w:tabs>
          <w:tab w:leader="none" w:pos="194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Claimant shall have reasonable access to, and copies of, all documents, records, and other information relevant to the claim for benefits free of charge upon request, including (a) documents, records or other information relied upon for the benefit determination, (b) documents, records or other information submitted, considered or generated without regard to whether such documents, records or other information were relied upon in making the benefit determination, and (c) documents, records or other information that demonstrates compliance with the standard claims procedure.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decision on review by the Committee will be binding and conclusive upon all persons, and the Claimant shall neither be required nor be permitted to pursue further appeals to the Committee.</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11.8.6 </w:t>
      </w:r>
      <w:r>
        <w:rPr>
          <w:rFonts w:ascii="Times New Roman" w:cs="Times New Roman" w:eastAsia="Times New Roman" w:hAnsi="Times New Roman"/>
          <w:sz w:val="22"/>
          <w:szCs w:val="22"/>
          <w:b w:val="1"/>
          <w:bCs w:val="1"/>
          <w:color w:val="auto"/>
        </w:rPr>
        <w:t>Notification of Benefit Determination on Review.</w:t>
      </w:r>
      <w:r>
        <w:rPr>
          <w:rFonts w:ascii="Times New Roman" w:cs="Times New Roman" w:eastAsia="Times New Roman" w:hAnsi="Times New Roman"/>
          <w:sz w:val="22"/>
          <w:szCs w:val="22"/>
          <w:color w:val="auto"/>
        </w:rPr>
        <w:t xml:space="preserve"> Notice of the Committee’s final benefit determination regarding an Adverse Benefit Determination will be furnished in writing or electronically to the Claimant after a full and fair review. Notice of an Adverse Benefit Determination upon review will:</w:t>
      </w:r>
    </w:p>
    <w:p>
      <w:pPr>
        <w:spacing w:after="0" w:line="198" w:lineRule="exact"/>
        <w:rPr>
          <w:sz w:val="20"/>
          <w:szCs w:val="20"/>
          <w:color w:val="auto"/>
        </w:rPr>
      </w:pPr>
    </w:p>
    <w:p>
      <w:pPr>
        <w:ind w:left="1720" w:hanging="428"/>
        <w:spacing w:after="0"/>
        <w:tabs>
          <w:tab w:leader="none" w:pos="17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the specific reason or reasons for the Adverse Benefit Determination;</w:t>
      </w:r>
    </w:p>
    <w:p>
      <w:pPr>
        <w:spacing w:after="0" w:line="233" w:lineRule="exact"/>
        <w:rPr>
          <w:rFonts w:ascii="Times New Roman" w:cs="Times New Roman" w:eastAsia="Times New Roman" w:hAnsi="Times New Roman"/>
          <w:sz w:val="22"/>
          <w:szCs w:val="22"/>
          <w:color w:val="auto"/>
        </w:rPr>
      </w:pPr>
    </w:p>
    <w:p>
      <w:pPr>
        <w:ind w:left="1820" w:hanging="528"/>
        <w:spacing w:after="0"/>
        <w:tabs>
          <w:tab w:leader="none" w:pos="18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specific reference to pertinent Plan provisions on which the Adverse Benefit Determination</w:t>
      </w:r>
    </w:p>
    <w:p>
      <w:pPr>
        <w:spacing w:after="0" w:line="25"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580"/>
          </w:cols>
          <w:pgMar w:left="980" w:top="1408" w:right="339" w:bottom="1440" w:gutter="0" w:footer="0" w:header="0"/>
        </w:sectPr>
      </w:pPr>
    </w:p>
    <w:bookmarkStart w:id="63" w:name="page64"/>
    <w:bookmarkEnd w:id="63"/>
    <w:p>
      <w:pPr>
        <w:jc w:val="both"/>
        <w:ind w:left="640" w:firstLine="652"/>
        <w:spacing w:after="0" w:line="253" w:lineRule="auto"/>
        <w:tabs>
          <w:tab w:leader="none" w:pos="1874"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State that the Claimant is entitled to receive, upon request and free of charge, reasonable access to, and copies of, all documents, records, and other information relevant to the Claimant’s claim for benefits including</w:t>
      </w:r>
    </w:p>
    <w:p>
      <w:pPr>
        <w:jc w:val="both"/>
        <w:ind w:left="640" w:firstLine="4"/>
        <w:spacing w:after="0" w:line="234" w:lineRule="auto"/>
        <w:tabs>
          <w:tab w:leader="none" w:pos="95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 records or other information relied upon for the benefit determination, (b) documents, records or other information submitted, considered or generated without regard to whether such documents, records or other information were relied upon in making the benefit determination, and (c) documents, records or other information that demonstrates compliance with the standard claims procedure; and</w:t>
      </w:r>
    </w:p>
    <w:p>
      <w:pPr>
        <w:spacing w:after="0" w:line="191" w:lineRule="exact"/>
        <w:rPr>
          <w:sz w:val="20"/>
          <w:szCs w:val="20"/>
          <w:color w:val="auto"/>
        </w:rPr>
      </w:pPr>
    </w:p>
    <w:p>
      <w:pPr>
        <w:ind w:left="1820" w:hanging="528"/>
        <w:spacing w:after="0"/>
        <w:tabs>
          <w:tab w:leader="none" w:pos="18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Describe the Claimant’s right to bring an action under Section 502(a) of ERISA.</w:t>
      </w:r>
    </w:p>
    <w:p>
      <w:pPr>
        <w:spacing w:after="0" w:line="23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Committee shall notify a Claimant of its determination on review with respect to the Adverse Benefit Determination of the Claimant within a reasonable period of time but not later than sixty (60) days after the receipt of the Claimant’s request for review unless the Committee determines that special circumstances require an extension of time for processing the review of the Adverse Benefit Determination. If the Committee determines that such extension of time is required, written notice of the extension (which shall indicate the special circumstances requiring the extension and the date by which the Committee expects to render the determination on review) shall be furnished to the Claimant prior to the termination of the initial sixty (60)-day review period. In no event shall such extension exceed a period of sixty (60) days from the end of the initial sixty (60)-day review period. In the event such extension is due to the Claimant’s failure to submit necessary information, the period for making the determination on a review will be tolled from the date on which the notification of the extension is sent to the Claimant until the date on which the Claimant responds to the request for additional information.</w:t>
      </w:r>
    </w:p>
    <w:p>
      <w:pPr>
        <w:spacing w:after="0" w:line="20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11.8.7 </w:t>
      </w:r>
      <w:r>
        <w:rPr>
          <w:rFonts w:ascii="Times New Roman" w:cs="Times New Roman" w:eastAsia="Times New Roman" w:hAnsi="Times New Roman"/>
          <w:sz w:val="22"/>
          <w:szCs w:val="22"/>
          <w:b w:val="1"/>
          <w:bCs w:val="1"/>
          <w:color w:val="auto"/>
        </w:rPr>
        <w:t>Exhaustion of Administrative Remedies.</w:t>
      </w:r>
      <w:r>
        <w:rPr>
          <w:rFonts w:ascii="Times New Roman" w:cs="Times New Roman" w:eastAsia="Times New Roman" w:hAnsi="Times New Roman"/>
          <w:sz w:val="22"/>
          <w:szCs w:val="22"/>
          <w:color w:val="auto"/>
        </w:rPr>
        <w:t xml:space="preserve"> Completion of the claims procedures described in this Section 11.8 will be a condition precedent to the commencement of any legal or equitable action in connection with a claim for benefits under the Plan by a Claimant or by any other person or entity claiming rights individually or through a Claimant; provided, however, that the Committee may, in its sole discretion, waive compliance with such claims procedures as a condition precedent to any such action.</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11.8.8 </w:t>
      </w:r>
      <w:r>
        <w:rPr>
          <w:rFonts w:ascii="Times New Roman" w:cs="Times New Roman" w:eastAsia="Times New Roman" w:hAnsi="Times New Roman"/>
          <w:sz w:val="22"/>
          <w:szCs w:val="22"/>
          <w:b w:val="1"/>
          <w:bCs w:val="1"/>
          <w:color w:val="auto"/>
        </w:rPr>
        <w:t>Payment of Benefits.</w:t>
      </w:r>
      <w:r>
        <w:rPr>
          <w:rFonts w:ascii="Times New Roman" w:cs="Times New Roman" w:eastAsia="Times New Roman" w:hAnsi="Times New Roman"/>
          <w:sz w:val="22"/>
          <w:szCs w:val="22"/>
          <w:color w:val="auto"/>
        </w:rPr>
        <w:t xml:space="preserve"> If the Committee (or the Benefits Administrator) determines that a Claimant is entitled to a benefit hereunder, payment of such benefit will be made to such Claimant (or commence, as applicable) as soon as administratively practicable after the date the Committee (or the Benefits Administrator) determines that such Claimant is entitled to such benefit or on such other date as may be established pursuant to the Plan provisions or, as applicable, designated by the Committee.</w:t>
      </w:r>
    </w:p>
    <w:p>
      <w:pPr>
        <w:spacing w:after="0" w:line="20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11.8.9 </w:t>
      </w:r>
      <w:r>
        <w:rPr>
          <w:rFonts w:ascii="Times New Roman" w:cs="Times New Roman" w:eastAsia="Times New Roman" w:hAnsi="Times New Roman"/>
          <w:sz w:val="22"/>
          <w:szCs w:val="22"/>
          <w:b w:val="1"/>
          <w:bCs w:val="1"/>
          <w:color w:val="auto"/>
        </w:rPr>
        <w:t>Authorized Representatives.</w:t>
      </w:r>
      <w:r>
        <w:rPr>
          <w:rFonts w:ascii="Times New Roman" w:cs="Times New Roman" w:eastAsia="Times New Roman" w:hAnsi="Times New Roman"/>
          <w:sz w:val="22"/>
          <w:szCs w:val="22"/>
          <w:color w:val="auto"/>
        </w:rPr>
        <w:t xml:space="preserve"> An authorized representative may act on behalf of a Claimant in pursuing a benefit claim or an appeal of an Adverse Benefit Determination. An individual or entity will only be determined to be a Claimant’s authorized representative for such purposes if the Claimant has provided the Committee with a written statement identifying such individual or entity as the Claimant’s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580"/>
          </w:cols>
          <w:pgMar w:left="980" w:top="1408" w:right="339" w:bottom="1440" w:gutter="0" w:footer="0" w:header="0"/>
        </w:sectPr>
      </w:pPr>
    </w:p>
    <w:bookmarkStart w:id="64" w:name="page65"/>
    <w:bookmarkEnd w:id="64"/>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representative and describing the scope of the authority of such authorized representative. In the event a Claimant identifies an individual or entity as an authorized representative in writing to the Committee but fails to describe the scope of the authority of such authorized representative, the Committee shall assume that such authorized representative has full powers to act with respect to all matters pertaining to the Claimant’s benefit claim under the Plan or appeal of an Adverse Benefit Determination with respect to such benefit claim.</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 MISCELLANEOUS</w:t>
      </w:r>
    </w:p>
    <w:p>
      <w:pPr>
        <w:spacing w:after="0" w:line="220" w:lineRule="exact"/>
        <w:rPr>
          <w:sz w:val="20"/>
          <w:szCs w:val="20"/>
          <w:color w:val="auto"/>
        </w:rPr>
      </w:pPr>
    </w:p>
    <w:p>
      <w:pPr>
        <w:jc w:val="both"/>
        <w:ind w:firstLine="583"/>
        <w:spacing w:after="0" w:line="241"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Employment Status.</w:t>
      </w:r>
      <w:r>
        <w:rPr>
          <w:rFonts w:ascii="Times New Roman" w:cs="Times New Roman" w:eastAsia="Times New Roman" w:hAnsi="Times New Roman"/>
          <w:sz w:val="22"/>
          <w:szCs w:val="22"/>
          <w:color w:val="auto"/>
        </w:rPr>
        <w:t xml:space="preserve"> The Plan does not constitute a contract of employment or impose on the Participant or the Participant</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rPr>
        <w:t>s Employer any obligation to retain the Participant as an Employee, any restriction on changing the status of the Participant’s employment, or any restriction on changing the policies of the Company or its Affiliates regarding termination of employment.</w:t>
      </w:r>
    </w:p>
    <w:p>
      <w:pPr>
        <w:spacing w:after="0" w:line="199" w:lineRule="exact"/>
        <w:rPr>
          <w:sz w:val="20"/>
          <w:szCs w:val="20"/>
          <w:color w:val="auto"/>
        </w:rPr>
      </w:pPr>
    </w:p>
    <w:p>
      <w:pPr>
        <w:jc w:val="both"/>
        <w:ind w:firstLine="583"/>
        <w:spacing w:after="0" w:line="246"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b w:val="1"/>
          <w:bCs w:val="1"/>
          <w:color w:val="auto"/>
        </w:rPr>
        <w:t>Validity and Severability.</w:t>
      </w:r>
      <w:r>
        <w:rPr>
          <w:rFonts w:ascii="Times New Roman" w:cs="Times New Roman" w:eastAsia="Times New Roman" w:hAnsi="Times New Roman"/>
          <w:sz w:val="22"/>
          <w:szCs w:val="22"/>
          <w:color w:val="auto"/>
        </w:rPr>
        <w:t xml:space="preserve"> The invalidity or unenforceability of any provision of the Plan shall not affect the validity or enforceability of any other provision of the Plan, which shall remain in full force and effect, and any prohibition or unenforceability in any jurisdiction shall not invalidate or render unenforceable such provision in any other jurisdiction.</w:t>
      </w:r>
    </w:p>
    <w:p>
      <w:pPr>
        <w:spacing w:after="0" w:line="194" w:lineRule="exact"/>
        <w:rPr>
          <w:sz w:val="20"/>
          <w:szCs w:val="20"/>
          <w:color w:val="auto"/>
        </w:rPr>
      </w:pPr>
    </w:p>
    <w:p>
      <w:pPr>
        <w:jc w:val="both"/>
        <w:ind w:firstLine="583"/>
        <w:spacing w:after="0" w:line="246"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xml:space="preserve"> The validity, interpretation, construction and performance of the Plan shall in all respects be governed by the laws of the United States and, to the extent not preempted by such laws, by the laws of the State of Delaware, without regard to choice of law principles.</w:t>
      </w:r>
    </w:p>
    <w:p>
      <w:pPr>
        <w:spacing w:after="0" w:line="194" w:lineRule="exact"/>
        <w:rPr>
          <w:sz w:val="20"/>
          <w:szCs w:val="20"/>
          <w:color w:val="auto"/>
        </w:rPr>
      </w:pPr>
    </w:p>
    <w:p>
      <w:pPr>
        <w:jc w:val="both"/>
        <w:ind w:firstLine="583"/>
        <w:spacing w:after="0" w:line="237"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b w:val="1"/>
          <w:bCs w:val="1"/>
          <w:color w:val="auto"/>
        </w:rPr>
        <w:t>Withholding and Payment of Taxes.</w:t>
      </w:r>
      <w:r>
        <w:rPr>
          <w:rFonts w:ascii="Times New Roman" w:cs="Times New Roman" w:eastAsia="Times New Roman" w:hAnsi="Times New Roman"/>
          <w:sz w:val="22"/>
          <w:szCs w:val="22"/>
          <w:color w:val="auto"/>
        </w:rPr>
        <w:t xml:space="preserve"> The Company or its Affiliates may withhold from any amounts payable under the Plan all federal, state, local and/or other taxes as shall be legally required. In addition, except as otherwise provided herein, each Participant shall be solely responsible for the payment of all income, excise and other taxes which are individually levied on the Participant by any taxing authority with respect to any amount paid to such Participant under the Plan.</w:t>
      </w:r>
    </w:p>
    <w:p>
      <w:pPr>
        <w:spacing w:after="0" w:line="202" w:lineRule="exact"/>
        <w:rPr>
          <w:sz w:val="20"/>
          <w:szCs w:val="20"/>
          <w:color w:val="auto"/>
        </w:rPr>
      </w:pPr>
    </w:p>
    <w:p>
      <w:pPr>
        <w:jc w:val="both"/>
        <w:ind w:right="20" w:firstLine="583"/>
        <w:spacing w:after="0" w:line="263" w:lineRule="auto"/>
        <w:rPr>
          <w:sz w:val="20"/>
          <w:szCs w:val="20"/>
          <w:color w:val="auto"/>
        </w:rPr>
      </w:pPr>
      <w:r>
        <w:rPr>
          <w:rFonts w:ascii="Times New Roman" w:cs="Times New Roman" w:eastAsia="Times New Roman" w:hAnsi="Times New Roman"/>
          <w:sz w:val="21"/>
          <w:szCs w:val="21"/>
          <w:color w:val="auto"/>
        </w:rPr>
        <w:t xml:space="preserve">12.5 </w:t>
      </w:r>
      <w:r>
        <w:rPr>
          <w:rFonts w:ascii="Times New Roman" w:cs="Times New Roman" w:eastAsia="Times New Roman" w:hAnsi="Times New Roman"/>
          <w:sz w:val="21"/>
          <w:szCs w:val="21"/>
          <w:b w:val="1"/>
          <w:bCs w:val="1"/>
          <w:color w:val="auto"/>
        </w:rPr>
        <w:t>Obligations Unfunded.</w:t>
      </w:r>
      <w:r>
        <w:rPr>
          <w:rFonts w:ascii="Times New Roman" w:cs="Times New Roman" w:eastAsia="Times New Roman" w:hAnsi="Times New Roman"/>
          <w:sz w:val="21"/>
          <w:szCs w:val="21"/>
          <w:color w:val="auto"/>
        </w:rPr>
        <w:t xml:space="preserve"> All benefits due a Participant under the Plan are unfunded and unsecured and are payable out of the general funds of the Employers. One or more Employers may establish a “grantor trust” for the payment of benefits and obligations hereunder, the assets of which shall be at all times subject to the claims of creditors as provided for in such trust.</w:t>
      </w:r>
    </w:p>
    <w:p>
      <w:pPr>
        <w:spacing w:after="0" w:line="178"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b w:val="1"/>
          <w:bCs w:val="1"/>
          <w:color w:val="auto"/>
        </w:rPr>
        <w:t xml:space="preserve">Construction. </w:t>
      </w:r>
      <w:r>
        <w:rPr>
          <w:rFonts w:ascii="Times New Roman" w:cs="Times New Roman" w:eastAsia="Times New Roman" w:hAnsi="Times New Roman"/>
          <w:sz w:val="21"/>
          <w:szCs w:val="21"/>
          <w:color w:val="auto"/>
        </w:rPr>
        <w:t>For purposes of the Plan, the following rules of construction shall apply:</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12.6.1 The word “or” is disjunctive but not necessarily exclusive.</w:t>
      </w:r>
    </w:p>
    <w:p>
      <w:pPr>
        <w:spacing w:after="0" w:line="233"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22"/>
          <w:szCs w:val="22"/>
          <w:color w:val="auto"/>
        </w:rPr>
        <w:t>12.6.2 Words in the singular include the plural; words in the plural include the singular; and words in the neuter gender include the masculine and feminine genders.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8" w:right="339" w:bottom="1440" w:gutter="0" w:footer="0" w:header="0"/>
        </w:sectPr>
      </w:pPr>
    </w:p>
    <w:bookmarkStart w:id="65" w:name="page66"/>
    <w:bookmarkEnd w:id="65"/>
    <w:p>
      <w:pPr>
        <w:ind w:firstLine="583"/>
        <w:spacing w:after="0" w:line="258" w:lineRule="auto"/>
        <w:rPr>
          <w:sz w:val="20"/>
          <w:szCs w:val="20"/>
          <w:color w:val="auto"/>
        </w:rPr>
      </w:pPr>
      <w:r>
        <w:rPr>
          <w:rFonts w:ascii="Times New Roman" w:cs="Times New Roman" w:eastAsia="Times New Roman" w:hAnsi="Times New Roman"/>
          <w:sz w:val="22"/>
          <w:szCs w:val="22"/>
          <w:color w:val="auto"/>
        </w:rPr>
        <w:t>The Plan has been adopted by the Company to be effective as of the 13</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of September 2021, amended and reinstated May 2, 2022.</w:t>
      </w:r>
    </w:p>
    <w:p>
      <w:pPr>
        <w:spacing w:after="0" w:line="200" w:lineRule="exact"/>
        <w:rPr>
          <w:sz w:val="20"/>
          <w:szCs w:val="20"/>
          <w:color w:val="auto"/>
        </w:rPr>
      </w:pPr>
    </w:p>
    <w:p>
      <w:pPr>
        <w:spacing w:after="0" w:line="22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MATRIX SERVICE COMPANY</w:t>
      </w:r>
    </w:p>
    <w:p>
      <w:pPr>
        <w:spacing w:after="0" w:line="200" w:lineRule="exact"/>
        <w:rPr>
          <w:sz w:val="20"/>
          <w:szCs w:val="20"/>
          <w:color w:val="auto"/>
        </w:rPr>
      </w:pPr>
    </w:p>
    <w:p>
      <w:pPr>
        <w:spacing w:after="0" w:line="2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___________________________________</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_________________________________</w:t>
      </w:r>
    </w:p>
    <w:p>
      <w:pPr>
        <w:ind w:left="3240"/>
        <w:spacing w:after="0"/>
        <w:rPr>
          <w:sz w:val="20"/>
          <w:szCs w:val="20"/>
          <w:color w:val="auto"/>
        </w:rPr>
      </w:pPr>
      <w:r>
        <w:rPr>
          <w:rFonts w:ascii="Times New Roman" w:cs="Times New Roman" w:eastAsia="Times New Roman" w:hAnsi="Times New Roman"/>
          <w:sz w:val="22"/>
          <w:szCs w:val="22"/>
          <w:color w:val="auto"/>
        </w:rPr>
        <w:t>Title: __________________________________</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408" w:right="339" w:bottom="1440" w:gutter="0" w:footer="0" w:header="0"/>
          <w:type w:val="continuous"/>
        </w:sectPr>
      </w:pPr>
    </w:p>
    <w:bookmarkStart w:id="66" w:name="page67"/>
    <w:bookmarkEnd w:id="66"/>
    <w:p>
      <w:pPr>
        <w:ind w:left="5100"/>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ADDITIONAL PROVISIONS OF THE SUMMARY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Plan Information: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Name of Plan: </w:t>
      </w:r>
      <w:r>
        <w:rPr>
          <w:rFonts w:ascii="Times New Roman" w:cs="Times New Roman" w:eastAsia="Times New Roman" w:hAnsi="Times New Roman"/>
          <w:sz w:val="22"/>
          <w:szCs w:val="22"/>
          <w:color w:val="auto"/>
        </w:rPr>
        <w:t>Matrix Service Company 2021 Severance Plan for Executives (the “Plan”)</w:t>
      </w: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Plan Sponsor and Employer Identification Number:</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Matrix Service Company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5100 E. Skelly Drive, Suite 100 Tulsa, OK 74135</w:t>
      </w:r>
    </w:p>
    <w:p>
      <w:pPr>
        <w:ind w:left="660"/>
        <w:spacing w:after="0"/>
        <w:rPr>
          <w:sz w:val="20"/>
          <w:szCs w:val="20"/>
          <w:color w:val="auto"/>
        </w:rPr>
      </w:pPr>
      <w:r>
        <w:rPr>
          <w:rFonts w:ascii="Times New Roman" w:cs="Times New Roman" w:eastAsia="Times New Roman" w:hAnsi="Times New Roman"/>
          <w:sz w:val="22"/>
          <w:szCs w:val="22"/>
          <w:color w:val="auto"/>
        </w:rPr>
        <w:t>EIN: 73-1352174</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Plan Number: </w:t>
      </w:r>
      <w:r>
        <w:rPr>
          <w:rFonts w:ascii="Times New Roman" w:cs="Times New Roman" w:eastAsia="Times New Roman" w:hAnsi="Times New Roman"/>
          <w:sz w:val="22"/>
          <w:szCs w:val="22"/>
          <w:color w:val="auto"/>
        </w:rPr>
        <w:t>Plan #515</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Type of Plan: </w:t>
      </w:r>
      <w:r>
        <w:rPr>
          <w:rFonts w:ascii="Times New Roman" w:cs="Times New Roman" w:eastAsia="Times New Roman" w:hAnsi="Times New Roman"/>
          <w:sz w:val="22"/>
          <w:szCs w:val="22"/>
          <w:color w:val="auto"/>
        </w:rPr>
        <w:t>Welfare Benefits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Type of Administration: </w:t>
      </w:r>
      <w:r>
        <w:rPr>
          <w:rFonts w:ascii="Times New Roman" w:cs="Times New Roman" w:eastAsia="Times New Roman" w:hAnsi="Times New Roman"/>
          <w:sz w:val="22"/>
          <w:szCs w:val="22"/>
          <w:color w:val="auto"/>
        </w:rPr>
        <w:t>Plan Administrator</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Plan Administrator (and Agent for Service of Legal Process):</w:t>
      </w:r>
    </w:p>
    <w:p>
      <w:pPr>
        <w:spacing w:after="0" w:line="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Matrix Severance Plan Committee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5100 E. Skelly Drive, Suite 100</w:t>
      </w:r>
    </w:p>
    <w:p>
      <w:pPr>
        <w:ind w:left="660"/>
        <w:spacing w:after="0"/>
        <w:rPr>
          <w:sz w:val="20"/>
          <w:szCs w:val="20"/>
          <w:color w:val="auto"/>
        </w:rPr>
      </w:pPr>
      <w:r>
        <w:rPr>
          <w:rFonts w:ascii="Times New Roman" w:cs="Times New Roman" w:eastAsia="Times New Roman" w:hAnsi="Times New Roman"/>
          <w:sz w:val="22"/>
          <w:szCs w:val="22"/>
          <w:color w:val="auto"/>
        </w:rPr>
        <w:t>Tulsa, OK 74135</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Plan Year: </w:t>
      </w:r>
      <w:r>
        <w:rPr>
          <w:rFonts w:ascii="Times New Roman" w:cs="Times New Roman" w:eastAsia="Times New Roman" w:hAnsi="Times New Roman"/>
          <w:sz w:val="22"/>
          <w:szCs w:val="22"/>
          <w:color w:val="auto"/>
        </w:rPr>
        <w:t>The Plan Year ends on the 31</w:t>
      </w:r>
      <w:r>
        <w:rPr>
          <w:rFonts w:ascii="Times New Roman" w:cs="Times New Roman" w:eastAsia="Times New Roman" w:hAnsi="Times New Roman"/>
          <w:sz w:val="11"/>
          <w:szCs w:val="11"/>
          <w:color w:val="auto"/>
        </w:rPr>
        <w:t>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December of each year.</w:t>
      </w:r>
    </w:p>
    <w:p>
      <w:pPr>
        <w:spacing w:after="0" w:line="233" w:lineRule="exact"/>
        <w:rPr>
          <w:sz w:val="20"/>
          <w:szCs w:val="20"/>
          <w:color w:val="auto"/>
        </w:rPr>
      </w:pPr>
    </w:p>
    <w:p>
      <w:pPr>
        <w:ind w:left="440" w:hanging="432"/>
        <w:spacing w:after="0"/>
        <w:tabs>
          <w:tab w:leader="none" w:pos="44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The Statement of ERISA Rights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As a Participant in the Plan, you are entitled to certain rights and protections under ERISA. ERISA provides that all Plan Participants shall be entitled 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Receive Information About Your Plan and Benefits</w:t>
      </w:r>
    </w:p>
    <w:p>
      <w:pPr>
        <w:spacing w:after="0" w:line="233" w:lineRule="exact"/>
        <w:rPr>
          <w:sz w:val="20"/>
          <w:szCs w:val="20"/>
          <w:color w:val="auto"/>
        </w:rPr>
      </w:pPr>
    </w:p>
    <w:p>
      <w:pPr>
        <w:jc w:val="both"/>
        <w:ind w:left="660" w:hanging="4"/>
        <w:spacing w:after="0" w:line="239" w:lineRule="auto"/>
        <w:tabs>
          <w:tab w:leader="none" w:pos="106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Pension and Welfare Benefit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07" w:right="339" w:bottom="1440" w:gutter="0" w:footer="0" w:header="0"/>
        </w:sectPr>
      </w:pPr>
    </w:p>
    <w:bookmarkStart w:id="67" w:name="page68"/>
    <w:bookmarkEnd w:id="67"/>
    <w:p>
      <w:pPr>
        <w:jc w:val="both"/>
        <w:ind w:left="660" w:hanging="4"/>
        <w:spacing w:after="0" w:line="244" w:lineRule="auto"/>
        <w:tabs>
          <w:tab w:leader="none" w:pos="10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upon written request to the Plan Administrator, copies of documents governing the operation of the Plan and copies of the latest annual report (Form 5500 Series), if applicable, and of the updated summary plan description. The Plan Administrator may make a reasonable charge for the copies.</w:t>
      </w:r>
    </w:p>
    <w:p>
      <w:pPr>
        <w:spacing w:after="0" w:line="200" w:lineRule="exact"/>
        <w:rPr>
          <w:rFonts w:ascii="Times New Roman" w:cs="Times New Roman" w:eastAsia="Times New Roman" w:hAnsi="Times New Roman"/>
          <w:sz w:val="22"/>
          <w:szCs w:val="22"/>
          <w:color w:val="auto"/>
        </w:rPr>
      </w:pPr>
    </w:p>
    <w:p>
      <w:pPr>
        <w:ind w:left="660" w:right="20" w:hanging="4"/>
        <w:spacing w:after="0" w:line="258" w:lineRule="auto"/>
        <w:tabs>
          <w:tab w:leader="none" w:pos="102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a summary of the Plan’s annual financial report, if applicable. The Plan Administrator is required by law to furnish each Participant with a copy of this summary annual report.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Prudent Actions by Plan Fiduciaries</w:t>
      </w:r>
    </w:p>
    <w:p>
      <w:pPr>
        <w:spacing w:after="0" w:line="22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your employer, your union, or any other person, may fire you or otherwise discriminate against you in any way to prevent you from obtaining a welfare benefit or exercising your rights under ERISA.</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Enforce Your Rights</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If your claim for a welfare benefit is denied or ignored, in whole or in part, you have a right to know why this was done, to obtain copies of documents relating to the decision without charge, and to appeal any denial, all within certain time schedules.</w:t>
      </w:r>
    </w:p>
    <w:p>
      <w:pPr>
        <w:spacing w:after="0" w:line="16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If you have a claim for benefits which is denied or ignored, in whole or in part, you may file suit in a state or Federal court.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Assistance with Your Questions</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If you have any questions about your Plan, you should contact the Plan Administrator. If you have any questions about this statement or about your rights under ERISA, or if you need assistance in obtaining documents from the Plan Administrator, then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08"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PARTICIPATION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ELIGIBILITY.</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You have been designated as eligible to participate as a Participant in the Matrix Service Company 2021 Severance Plan for Executives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as amended and restated May 2, 2022, a copy of which is attached to this Participation Agreement (the “</w:t>
      </w:r>
      <w:r>
        <w:rPr>
          <w:rFonts w:ascii="Times New Roman" w:cs="Times New Roman" w:eastAsia="Times New Roman" w:hAnsi="Times New Roman"/>
          <w:sz w:val="22"/>
          <w:szCs w:val="22"/>
          <w:b w:val="1"/>
          <w:bCs w:val="1"/>
          <w:color w:val="auto"/>
        </w:rPr>
        <w:t>Participation Agreement</w:t>
      </w:r>
      <w:r>
        <w:rPr>
          <w:rFonts w:ascii="Times New Roman" w:cs="Times New Roman" w:eastAsia="Times New Roman" w:hAnsi="Times New Roman"/>
          <w:sz w:val="22"/>
          <w:szCs w:val="22"/>
          <w:color w:val="auto"/>
        </w:rPr>
        <w:t>”). Capitalized terms not explicitly defined in this Participation Agreement but defined in the Plan shall have the same definitions as in the Plan. Subject to all of the terms and conditions set forth in the Plan, you will receive the benefits described herein if you meet all the eligibility requirements described in the Plan, including, without limitation, executing and returning this Participation Agreement no later than ___________ and the required Release within the applicable time period set forth therein.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CHANGE OF CONTROL SEVERANCE BENEFITS.</w:t>
      </w:r>
    </w:p>
    <w:p>
      <w:pPr>
        <w:spacing w:after="0" w:line="237"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21"/>
          <w:szCs w:val="21"/>
          <w:color w:val="auto"/>
        </w:rPr>
        <w:t>If you incur an involuntary Separation from Service by action of the Employer other than for Cause or voluntarily incur a Separation from Service for Good Reason during a period that commences 180 days prior to the Change of Control and expires on the two (2) year anniversary of the Change of Control (the “Change of Control Period”), you shall be entitled to a lump sum cash payment in an amount equal to ________ percent (___%) of your Change of Control Severance Compensation set forth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1.1.8 of the Plan on the Payment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NON-CHANGE OF CONTROL SEVERANCE BENEFITS.</w:t>
      </w:r>
    </w:p>
    <w:p>
      <w:pPr>
        <w:spacing w:after="0" w:line="23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If you incur an involuntary Separation from Service by action of the Employer other than for Cause outside of the Change of Control Period, you shall be entitled to a lump sum cash payment in an amount equal to ________ percent (___%) of your General Severance Compensation under Section 1.1.18 of the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ACKNOWLEDGEMENTS; INTERACTION WITH PRIOR BENEFITS.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a condition to participation in the Plan, you hereby acknowledge each of the following:</w:t>
      </w:r>
    </w:p>
    <w:p>
      <w:pPr>
        <w:spacing w:after="0" w:line="233" w:lineRule="exact"/>
        <w:rPr>
          <w:sz w:val="20"/>
          <w:szCs w:val="20"/>
          <w:color w:val="auto"/>
        </w:rPr>
      </w:pPr>
    </w:p>
    <w:p>
      <w:pPr>
        <w:ind w:firstLine="1304"/>
        <w:spacing w:after="0" w:line="258" w:lineRule="auto"/>
        <w:tabs>
          <w:tab w:leader="none" w:pos="1602"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benefits that may be provided to you under the Plan are subject to certain reductions and termination under Article III of the Plan.</w:t>
      </w:r>
    </w:p>
    <w:p>
      <w:pPr>
        <w:spacing w:after="0" w:line="185" w:lineRule="exact"/>
        <w:rPr>
          <w:rFonts w:ascii="Times New Roman" w:cs="Times New Roman" w:eastAsia="Times New Roman" w:hAnsi="Times New Roman"/>
          <w:sz w:val="22"/>
          <w:szCs w:val="22"/>
          <w:b w:val="1"/>
          <w:bCs w:val="1"/>
          <w:color w:val="auto"/>
        </w:rPr>
      </w:pPr>
    </w:p>
    <w:p>
      <w:pPr>
        <w:ind w:right="20" w:firstLine="1304"/>
        <w:spacing w:after="0" w:line="235" w:lineRule="auto"/>
        <w:tabs>
          <w:tab w:leader="none" w:pos="1614"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eligibility for and receipt of any Severance Benefits to which you may become entitled as described in the Plan is expressly contingent upon your compliance with the terms and conditions of the Plan and your execution and compliance with a waiver and release in form and substance satisfactory to the Company. Severance Benefits under the Plan shall immediately cease in the event of your violation of the provisions of Article VI of the Plan or any other written agreement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40"/>
          </w:cols>
          <w:pgMar w:left="320" w:top="1404" w:right="339" w:bottom="1440" w:gutter="0" w:footer="0" w:header="0"/>
        </w:sectPr>
      </w:pPr>
    </w:p>
    <w:bookmarkStart w:id="69" w:name="page70"/>
    <w:bookmarkEnd w:id="69"/>
    <w:p>
      <w:pPr>
        <w:spacing w:after="0" w:line="212" w:lineRule="exact"/>
        <w:rPr>
          <w:sz w:val="20"/>
          <w:szCs w:val="20"/>
          <w:color w:val="auto"/>
        </w:rPr>
      </w:pPr>
    </w:p>
    <w:p>
      <w:pPr>
        <w:ind w:firstLine="1304"/>
        <w:spacing w:after="0" w:line="244" w:lineRule="auto"/>
        <w:tabs>
          <w:tab w:leader="none" w:pos="159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further described in Section 2.3 of the Plan, the Plan supersedes and replaces any change of control or severance benefits previously provided to you, including but not limited to any benefits under a Change of Control or Change of Control/Severance Agreement, and by executing below you expressly agree to such treatment.</w:t>
      </w:r>
    </w:p>
    <w:p>
      <w:pPr>
        <w:spacing w:after="0" w:line="20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21"/>
          <w:szCs w:val="21"/>
          <w:color w:val="auto"/>
        </w:rPr>
        <w:t>To accept the terms of this Participation Agreement and participate in the Plan, please sign and date this Participation Agreement in the space provided below and return it to _____________________ no later than _________, ____.</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Matrix Service 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Name]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100"/>
          </w:cols>
          <w:pgMar w:left="320" w:top="1440" w:right="47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Matrix Service Company;</w:t>
      </w:r>
    </w:p>
    <w:p>
      <w:pPr>
        <w:spacing w:after="0" w:line="171"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620" w:right="80" w:hanging="640"/>
        <w:spacing w:after="0" w:line="266" w:lineRule="auto"/>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10, 2022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 Hewitt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Matrix Service Company;</w:t>
      </w:r>
    </w:p>
    <w:p>
      <w:pPr>
        <w:spacing w:after="0" w:line="171"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620" w:right="80" w:hanging="640"/>
        <w:spacing w:after="0" w:line="266" w:lineRule="auto"/>
        <w:tabs>
          <w:tab w:leader="none" w:pos="16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10, 2022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Cavanah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88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Matrix Service Company (the “Company”) on Form 10-Q for the period ending March 31, 2022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203"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10, 2022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 Hewitt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Matrix Service Company (the “Company”) on Form 10-Q for the period ending March 31, 2022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203"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10, 2022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Cavanah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887" w:right="339" w:bottom="1440" w:gutter="0" w:footer="0" w:header="0"/>
        </w:sectPr>
      </w:pPr>
    </w:p>
    <w:bookmarkStart w:id="74" w:name="page75"/>
    <w:bookmarkEnd w:id="74"/>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for the three months ended March 31, 2022:</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1060" w:type="dxa"/>
            <w:vAlign w:val="bottom"/>
            <w:tcBorders>
              <w:top w:val="single" w:sz="8" w:color="auto"/>
              <w:left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Received</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Received Notice</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Total Number</w:t>
            </w:r>
          </w:p>
        </w:tc>
        <w:tc>
          <w:tcPr>
            <w:tcW w:w="860" w:type="dxa"/>
            <w:vAlign w:val="bottom"/>
            <w:tcBorders>
              <w:top w:val="single" w:sz="8" w:color="auto"/>
              <w:right w:val="single" w:sz="8" w:color="auto"/>
            </w:tcBorders>
          </w:tcPr>
          <w:p>
            <w:pPr>
              <w:spacing w:after="0"/>
              <w:rPr>
                <w:sz w:val="11"/>
                <w:szCs w:val="11"/>
                <w:color w:val="auto"/>
              </w:rPr>
            </w:pPr>
          </w:p>
        </w:tc>
        <w:tc>
          <w:tcPr>
            <w:tcW w:w="9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Notice of</w:t>
            </w:r>
          </w:p>
        </w:tc>
        <w:tc>
          <w:tcPr>
            <w:tcW w:w="9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Mine or Operating</w:t>
            </w: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Total Dollar Value</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Total Number</w:t>
            </w:r>
          </w:p>
        </w:tc>
        <w:tc>
          <w:tcPr>
            <w:tcW w:w="8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Pattern of</w:t>
            </w:r>
          </w:p>
        </w:tc>
        <w:tc>
          <w:tcPr>
            <w:tcW w:w="9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of Potential to</w:t>
            </w:r>
          </w:p>
        </w:tc>
        <w:tc>
          <w:tcPr>
            <w:tcW w:w="8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of Legal</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Total Number of</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Total Number of</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98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5"/>
              </w:rPr>
              <w:t>Violations</w:t>
            </w:r>
          </w:p>
        </w:tc>
        <w:tc>
          <w:tcPr>
            <w:tcW w:w="9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Have Pattern of</w:t>
            </w:r>
          </w:p>
        </w:tc>
        <w:tc>
          <w:tcPr>
            <w:tcW w:w="8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Actions</w:t>
            </w:r>
          </w:p>
        </w:tc>
        <w:tc>
          <w:tcPr>
            <w:tcW w:w="8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Name/MSHA</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Section 104</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Section 104(b)</w:t>
            </w:r>
          </w:p>
        </w:tc>
        <w:tc>
          <w:tcPr>
            <w:tcW w:w="7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104(d)</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Section 110(b)(2)</w:t>
            </w:r>
          </w:p>
        </w:tc>
        <w:tc>
          <w:tcPr>
            <w:tcW w:w="72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of MSHA</w:t>
            </w:r>
          </w:p>
        </w:tc>
        <w:tc>
          <w:tcPr>
            <w:tcW w:w="80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of Mining</w:t>
            </w:r>
          </w:p>
        </w:tc>
        <w:tc>
          <w:tcPr>
            <w:tcW w:w="8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Under Section</w:t>
            </w:r>
          </w:p>
        </w:tc>
        <w:tc>
          <w:tcPr>
            <w:tcW w:w="9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Violations Under</w:t>
            </w:r>
          </w:p>
        </w:tc>
        <w:tc>
          <w:tcPr>
            <w:tcW w:w="8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Pending as of</w:t>
            </w:r>
          </w:p>
        </w:tc>
        <w:tc>
          <w:tcPr>
            <w:tcW w:w="86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Legal Actions</w:t>
            </w:r>
          </w:p>
        </w:tc>
        <w:tc>
          <w:tcPr>
            <w:tcW w:w="9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Legal Actions</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Identification</w:t>
            </w:r>
          </w:p>
        </w:tc>
        <w:tc>
          <w:tcPr>
            <w:tcW w:w="8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Citations and</w:t>
            </w:r>
          </w:p>
        </w:tc>
        <w:tc>
          <w:tcPr>
            <w:tcW w:w="9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107(a)</w:t>
            </w:r>
          </w:p>
        </w:tc>
        <w:tc>
          <w:tcPr>
            <w:tcW w:w="98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Assessments</w:t>
            </w:r>
          </w:p>
        </w:tc>
        <w:tc>
          <w:tcPr>
            <w:tcW w:w="80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5"/>
              </w:rPr>
              <w:t>Related</w:t>
            </w:r>
          </w:p>
        </w:tc>
        <w:tc>
          <w:tcPr>
            <w:tcW w:w="8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104(e)</w:t>
            </w:r>
            <w:r>
              <w:rPr>
                <w:rFonts w:ascii="Times New Roman" w:cs="Times New Roman" w:eastAsia="Times New Roman" w:hAnsi="Times New Roman"/>
                <w:sz w:val="7"/>
                <w:szCs w:val="7"/>
                <w:color w:val="auto"/>
                <w:w w:val="97"/>
              </w:rPr>
              <w:t>(6)</w:t>
            </w:r>
          </w:p>
        </w:tc>
        <w:tc>
          <w:tcPr>
            <w:tcW w:w="9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Section 104(e)</w:t>
            </w:r>
            <w:r>
              <w:rPr>
                <w:rFonts w:ascii="Times New Roman" w:cs="Times New Roman" w:eastAsia="Times New Roman" w:hAnsi="Times New Roman"/>
                <w:sz w:val="7"/>
                <w:szCs w:val="7"/>
                <w:color w:val="auto"/>
                <w:w w:val="99"/>
              </w:rPr>
              <w:t>(7)</w:t>
            </w:r>
          </w:p>
        </w:tc>
        <w:tc>
          <w:tcPr>
            <w:tcW w:w="8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Last Day of</w:t>
            </w:r>
          </w:p>
        </w:tc>
        <w:tc>
          <w:tcPr>
            <w:tcW w:w="86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Initiated During</w:t>
            </w:r>
          </w:p>
        </w:tc>
        <w:tc>
          <w:tcPr>
            <w:tcW w:w="9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Resolved During</w:t>
            </w:r>
          </w:p>
        </w:tc>
        <w:tc>
          <w:tcPr>
            <w:tcW w:w="0" w:type="dxa"/>
            <w:vAlign w:val="bottom"/>
          </w:tcPr>
          <w:p>
            <w:pPr>
              <w:spacing w:after="0"/>
              <w:rPr>
                <w:sz w:val="1"/>
                <w:szCs w:val="1"/>
                <w:color w:val="auto"/>
              </w:rPr>
            </w:pPr>
          </w:p>
        </w:tc>
      </w:tr>
      <w:tr>
        <w:trPr>
          <w:trHeight w:val="140"/>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Number</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S&amp;S Citations</w:t>
            </w:r>
            <w:r>
              <w:rPr>
                <w:rFonts w:ascii="Times New Roman" w:cs="Times New Roman" w:eastAsia="Times New Roman" w:hAnsi="Times New Roman"/>
                <w:sz w:val="7"/>
                <w:szCs w:val="7"/>
                <w:color w:val="auto"/>
              </w:rPr>
              <w:t>(1)</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Orders</w:t>
            </w:r>
            <w:r>
              <w:rPr>
                <w:rFonts w:ascii="Times New Roman" w:cs="Times New Roman" w:eastAsia="Times New Roman" w:hAnsi="Times New Roman"/>
                <w:sz w:val="7"/>
                <w:szCs w:val="7"/>
                <w:color w:val="auto"/>
                <w:w w:val="99"/>
              </w:rPr>
              <w:t>(2)</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Orders</w:t>
            </w:r>
            <w:r>
              <w:rPr>
                <w:rFonts w:ascii="Times New Roman" w:cs="Times New Roman" w:eastAsia="Times New Roman" w:hAnsi="Times New Roman"/>
                <w:sz w:val="7"/>
                <w:szCs w:val="7"/>
                <w:color w:val="auto"/>
                <w:w w:val="99"/>
              </w:rPr>
              <w:t>(3)</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Violations</w:t>
            </w:r>
            <w:r>
              <w:rPr>
                <w:rFonts w:ascii="Times New Roman" w:cs="Times New Roman" w:eastAsia="Times New Roman" w:hAnsi="Times New Roman"/>
                <w:sz w:val="7"/>
                <w:szCs w:val="7"/>
                <w:color w:val="auto"/>
                <w:w w:val="96"/>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Orders</w:t>
            </w:r>
            <w:r>
              <w:rPr>
                <w:rFonts w:ascii="Times New Roman" w:cs="Times New Roman" w:eastAsia="Times New Roman" w:hAnsi="Times New Roman"/>
                <w:sz w:val="7"/>
                <w:szCs w:val="7"/>
                <w:color w:val="auto"/>
                <w:w w:val="99"/>
              </w:rPr>
              <w:t>(5)</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Proposed ($)</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Fatalities</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(yes/no)</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(yes/no)</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0" w:type="dxa"/>
            <w:vAlign w:val="bottom"/>
          </w:tcPr>
          <w:p>
            <w:pPr>
              <w:spacing w:after="0"/>
              <w:rPr>
                <w:sz w:val="1"/>
                <w:szCs w:val="1"/>
                <w:color w:val="auto"/>
              </w:rPr>
            </w:pPr>
          </w:p>
        </w:tc>
      </w:tr>
      <w:tr>
        <w:trPr>
          <w:trHeight w:val="62"/>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7"/>
              </w:rPr>
              <w:t>Pinto Valley Mine,</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9"/>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02-01049</w:t>
            </w:r>
          </w:p>
        </w:tc>
        <w:tc>
          <w:tcPr>
            <w:tcW w:w="86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right w:val="single" w:sz="8" w:color="auto"/>
            </w:tcBorders>
            <w:vMerge w:val="continue"/>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60" w:right="180" w:hanging="252"/>
        <w:spacing w:after="0" w:line="282" w:lineRule="auto"/>
        <w:tabs>
          <w:tab w:leader="none" w:pos="221"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2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 which represent a failure to abate a citation under section 104(a) within the period of time prescribed by MSHA.</w:t>
      </w:r>
    </w:p>
    <w:p>
      <w:pPr>
        <w:spacing w:after="0" w:line="176"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issued by MSHA under section 104(d) of the Mine Act for unwarrantable failure to comply with mandatory health or safety standards.</w:t>
      </w:r>
    </w:p>
    <w:p>
      <w:pPr>
        <w:spacing w:after="0" w:line="176"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identified under section 110(b)(2) of the Mine Act.</w:t>
      </w:r>
    </w:p>
    <w:p>
      <w:pPr>
        <w:spacing w:after="0" w:line="176"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107(a) of the Mine Act for situations in which MSHA determined an imminent danger existed.</w:t>
      </w:r>
    </w:p>
    <w:p>
      <w:pPr>
        <w:spacing w:after="0" w:line="16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pattern of violations under section 104(e) of the Mine Act.</w:t>
      </w:r>
    </w:p>
    <w:p>
      <w:pPr>
        <w:spacing w:after="0" w:line="176"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potential to have a pattern of violations under section 104(e) of the Mine Act.</w:t>
      </w:r>
    </w:p>
    <w:sectPr>
      <w:pgSz w:w="11900" w:h="16838" w:orient="portrait"/>
      <w:cols w:equalWidth="0" w:num="1">
        <w:col w:w="11260"/>
      </w:cols>
      <w:pgMar w:left="320" w:top="104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lvl w:ilvl="1">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upperLetter"/>
      <w:start w:val="1"/>
    </w:lvl>
  </w:abstractNum>
  <w:abstractNum w:abstractNumId="21">
    <w:nsid w:val="440BADFC"/>
    <w:multiLevelType w:val="hybridMultilevel"/>
    <w:lvl w:ilvl="0">
      <w:lvlJc w:val="left"/>
      <w:lvlText w:val="(%1)"/>
      <w:numFmt w:val="lowerRoman"/>
      <w:start w:val="1"/>
    </w:lvl>
  </w:abstractNum>
  <w:abstractNum w:abstractNumId="22">
    <w:nsid w:val="5072367"/>
    <w:multiLevelType w:val="hybridMultilevel"/>
    <w:lvl w:ilvl="0">
      <w:lvlJc w:val="left"/>
      <w:lvlText w:val="(%1)"/>
      <w:numFmt w:val="lowerLetter"/>
      <w:start w:val="1"/>
    </w:lvl>
    <w:lvl w:ilvl="1">
      <w:lvlJc w:val="left"/>
      <w:lvlText w:val="(%2)"/>
      <w:numFmt w:val="lowerLetter"/>
      <w:start w:val="9"/>
    </w:lvl>
  </w:abstractNum>
  <w:abstractNum w:abstractNumId="23">
    <w:nsid w:val="3804823E"/>
    <w:multiLevelType w:val="hybridMultilevel"/>
    <w:lvl w:ilvl="0">
      <w:lvlJc w:val="left"/>
      <w:lvlText w:val="%1"/>
      <w:numFmt w:val="lowerLetter"/>
      <w:start w:val="1"/>
    </w:lvl>
    <w:lvl w:ilvl="1">
      <w:lvlJc w:val="left"/>
      <w:lvlText w:val="(%2)"/>
      <w:numFmt w:val="lowerRoman"/>
      <w:start w:val="2"/>
    </w:lvl>
  </w:abstractNum>
  <w:abstractNum w:abstractNumId="24">
    <w:nsid w:val="77465F01"/>
    <w:multiLevelType w:val="hybridMultilevel"/>
    <w:lvl w:ilvl="0">
      <w:lvlJc w:val="left"/>
      <w:lvlText w:val="(%1)"/>
      <w:numFmt w:val="lowerLetter"/>
      <w:start w:val="2"/>
    </w:lvl>
    <w:lvl w:ilvl="1">
      <w:lvlJc w:val="left"/>
      <w:lvlText w:val="(%2)"/>
      <w:numFmt w:val="lowerRoman"/>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3"/>
    </w:lvl>
  </w:abstractNum>
  <w:abstractNum w:abstractNumId="27">
    <w:nsid w:val="2463B9EA"/>
    <w:multiLevelType w:val="hybridMultilevel"/>
    <w:lvl w:ilvl="0">
      <w:lvlJc w:val="left"/>
      <w:lvlText w:val="(%1)"/>
      <w:numFmt w:val="lowerRoman"/>
      <w:start w:val="1"/>
    </w:lvl>
  </w:abstractNum>
  <w:abstractNum w:abstractNumId="28">
    <w:nsid w:val="5E884ADC"/>
    <w:multiLevelType w:val="hybridMultilevel"/>
    <w:lvl w:ilvl="0">
      <w:lvlJc w:val="left"/>
      <w:lvlText w:val="(%1)"/>
      <w:numFmt w:val="lowerRoman"/>
      <w:start w:val="1"/>
    </w:lvl>
  </w:abstractNum>
  <w:abstractNum w:abstractNumId="29">
    <w:nsid w:val="51EAD36B"/>
    <w:multiLevelType w:val="hybridMultilevel"/>
    <w:lvl w:ilvl="0">
      <w:lvlJc w:val="left"/>
      <w:lvlText w:val="(%1)"/>
      <w:numFmt w:val="lowerRoman"/>
      <w:start w:val="1"/>
    </w:lvl>
  </w:abstractNum>
  <w:abstractNum w:abstractNumId="30">
    <w:nsid w:val="2D517796"/>
    <w:multiLevelType w:val="hybridMultilevel"/>
    <w:lvl w:ilvl="0">
      <w:lvlJc w:val="left"/>
      <w:lvlText w:val="(%1)"/>
      <w:numFmt w:val="lowerRoman"/>
      <w:start w:val="3"/>
    </w:lvl>
  </w:abstractNum>
  <w:abstractNum w:abstractNumId="31">
    <w:nsid w:val="580BD78F"/>
    <w:multiLevelType w:val="hybridMultilevel"/>
    <w:lvl w:ilvl="0">
      <w:lvlJc w:val="left"/>
      <w:lvlText w:val="(%1)"/>
      <w:numFmt w:val="decimal"/>
      <w:start w:val="180"/>
    </w:lvl>
    <w:lvl w:ilvl="1">
      <w:lvlJc w:val="left"/>
      <w:lvlText w:val="(%2)"/>
      <w:numFmt w:val="lowerRoman"/>
      <w:start w:val="1"/>
    </w:lvl>
  </w:abstractNum>
  <w:abstractNum w:abstractNumId="32">
    <w:nsid w:val="153EA438"/>
    <w:multiLevelType w:val="hybridMultilevel"/>
    <w:lvl w:ilvl="0">
      <w:lvlJc w:val="left"/>
      <w:lvlText w:val="(%1)"/>
      <w:numFmt w:val="lowerRoman"/>
      <w:start w:val="4"/>
    </w:lvl>
  </w:abstractNum>
  <w:abstractNum w:abstractNumId="33">
    <w:nsid w:val="3855585C"/>
    <w:multiLevelType w:val="hybridMultilevel"/>
    <w:lvl w:ilvl="0">
      <w:lvlJc w:val="left"/>
      <w:lvlText w:val="(%1)"/>
      <w:numFmt w:val="lowerRoman"/>
      <w:start w:val="1"/>
    </w:lvl>
  </w:abstractNum>
  <w:abstractNum w:abstractNumId="34">
    <w:nsid w:val="70A64E2A"/>
    <w:multiLevelType w:val="hybridMultilevel"/>
    <w:lvl w:ilvl="0">
      <w:lvlJc w:val="left"/>
      <w:lvlText w:val="(%1)"/>
      <w:numFmt w:val="lowerRoman"/>
      <w:start w:val="1"/>
    </w:lvl>
  </w:abstractNum>
  <w:abstractNum w:abstractNumId="35">
    <w:nsid w:val="6A2342EC"/>
    <w:multiLevelType w:val="hybridMultilevel"/>
    <w:lvl w:ilvl="0">
      <w:lvlJc w:val="left"/>
      <w:lvlText w:val="%1"/>
      <w:numFmt w:val="lowerLetter"/>
      <w:start w:val="1"/>
    </w:lvl>
    <w:lvl w:ilvl="1">
      <w:lvlJc w:val="left"/>
      <w:lvlText w:val="(%2)"/>
      <w:numFmt w:val="lowerLetter"/>
      <w:start w:val="61"/>
    </w:lvl>
  </w:abstractNum>
  <w:abstractNum w:abstractNumId="36">
    <w:nsid w:val="2A487CB0"/>
    <w:multiLevelType w:val="hybridMultilevel"/>
    <w:lvl w:ilvl="0">
      <w:lvlJc w:val="left"/>
      <w:lvlText w:val="(%1)"/>
      <w:numFmt w:val="lowerLetter"/>
      <w:start w:val="1"/>
    </w:lvl>
    <w:lvl w:ilvl="1">
      <w:lvlJc w:val="left"/>
      <w:lvlText w:val="%2"/>
      <w:numFmt w:val="lowerLetter"/>
      <w:start w:val="1"/>
    </w:lvl>
  </w:abstractNum>
  <w:abstractNum w:abstractNumId="37">
    <w:nsid w:val="1D4ED43B"/>
    <w:multiLevelType w:val="hybridMultilevel"/>
    <w:lvl w:ilvl="0">
      <w:lvlJc w:val="left"/>
      <w:lvlText w:val="(%1)"/>
      <w:numFmt w:val="lowerRoman"/>
      <w:start w:val="4"/>
    </w:lvl>
  </w:abstractNum>
  <w:abstractNum w:abstractNumId="38">
    <w:nsid w:val="725A06FB"/>
    <w:multiLevelType w:val="hybridMultilevel"/>
    <w:lvl w:ilvl="0">
      <w:lvlJc w:val="left"/>
      <w:lvlText w:val="%1."/>
      <w:numFmt w:val="upperLetter"/>
      <w:start w:val="9"/>
    </w:lvl>
  </w:abstractNum>
  <w:abstractNum w:abstractNumId="39">
    <w:nsid w:val="2CD89A32"/>
    <w:multiLevelType w:val="hybridMultilevel"/>
    <w:lvl w:ilvl="0">
      <w:lvlJc w:val="left"/>
      <w:lvlText w:val="%1."/>
      <w:numFmt w:val="upperLetter"/>
      <w:start w:val="35"/>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3"/>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2022-05-10T16:17:44Z</dcterms:created>
  <dcterms:modified xsi:type="dcterms:W3CDTF">2022-05-10T16:17:44Z</dcterms:modified>
</cp:coreProperties>
</file>