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683260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_______________________________________</w:t>
      </w:r>
    </w:p>
    <w:p>
      <w:pPr>
        <w:jc w:val="center"/>
        <w:ind w:right="-119"/>
        <w:spacing w:after="0"/>
        <w:rPr>
          <w:sz w:val="20"/>
          <w:szCs w:val="20"/>
          <w:color w:val="auto"/>
        </w:rPr>
      </w:pPr>
      <w:r>
        <w:rPr>
          <w:rFonts w:ascii="Arial" w:cs="Arial" w:eastAsia="Arial" w:hAnsi="Arial"/>
          <w:sz w:val="14"/>
          <w:szCs w:val="14"/>
          <w:color w:val="auto"/>
        </w:rPr>
        <w:t>(Mark One)</w:t>
      </w:r>
    </w:p>
    <w:p>
      <w:pPr>
        <w:spacing w:after="0" w:line="34" w:lineRule="exact"/>
        <w:rPr>
          <w:sz w:val="24"/>
          <w:szCs w:val="24"/>
          <w:color w:val="auto"/>
        </w:rPr>
      </w:pPr>
    </w:p>
    <w:p>
      <w:pPr>
        <w:ind w:left="1820" w:hanging="449"/>
        <w:spacing w:after="0"/>
        <w:tabs>
          <w:tab w:leader="none" w:pos="18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5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December 31, 2022</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1820" w:hanging="449"/>
        <w:spacing w:after="0"/>
        <w:tabs>
          <w:tab w:leader="none" w:pos="182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55" w:lineRule="exact"/>
        <w:rPr>
          <w:sz w:val="24"/>
          <w:szCs w:val="24"/>
          <w:color w:val="auto"/>
        </w:rPr>
      </w:pPr>
    </w:p>
    <w:p>
      <w:pPr>
        <w:ind w:left="38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3933190</wp:posOffset>
            </wp:positionH>
            <wp:positionV relativeFrom="paragraph">
              <wp:posOffset>-7620</wp:posOffset>
            </wp:positionV>
            <wp:extent cx="780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1-15461</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133"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MATRIX SERVICE COMPANY</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120"/>
          </w:cols>
          <w:pgMar w:left="320" w:top="476" w:right="459" w:bottom="1440" w:gutter="0" w:footer="0" w:header="0"/>
        </w:sectPr>
      </w:pPr>
    </w:p>
    <w:p>
      <w:pPr>
        <w:spacing w:after="0" w:line="149" w:lineRule="exact"/>
        <w:rPr>
          <w:sz w:val="24"/>
          <w:szCs w:val="24"/>
          <w:color w:val="auto"/>
        </w:rPr>
      </w:pPr>
    </w:p>
    <w:p>
      <w:pPr>
        <w:ind w:left="25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50" w:lineRule="exact"/>
        <w:rPr>
          <w:sz w:val="24"/>
          <w:szCs w:val="24"/>
          <w:color w:val="auto"/>
        </w:rPr>
      </w:pPr>
    </w:p>
    <w:p>
      <w:pPr>
        <w:sectPr>
          <w:pgSz w:w="11900" w:h="16838" w:orient="portrait"/>
          <w:cols w:equalWidth="0" w:num="2">
            <w:col w:w="7260" w:space="720"/>
            <w:col w:w="3140"/>
          </w:cols>
          <w:pgMar w:left="320" w:top="476" w:right="459" w:bottom="1440" w:gutter="0" w:footer="0" w:header="0"/>
          <w:type w:val="continuous"/>
        </w:sectPr>
      </w:pPr>
    </w:p>
    <w:p>
      <w:pPr>
        <w:ind w:left="22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7" w:lineRule="exact"/>
        <w:rPr>
          <w:sz w:val="24"/>
          <w:szCs w:val="24"/>
          <w:color w:val="auto"/>
        </w:rPr>
      </w:pPr>
    </w:p>
    <w:p>
      <w:pPr>
        <w:sectPr>
          <w:pgSz w:w="11900" w:h="16838" w:orient="portrait"/>
          <w:cols w:equalWidth="0" w:num="2">
            <w:col w:w="6600" w:space="720"/>
            <w:col w:w="3800"/>
          </w:cols>
          <w:pgMar w:left="320" w:top="476"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15 East 5th Street, Suite 1100, Tulsa, Oklahoma 74103</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8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52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360" w:type="dxa"/>
            <w:vAlign w:val="bottom"/>
            <w:gridSpan w:val="3"/>
          </w:tcPr>
          <w:p>
            <w:pPr>
              <w:jc w:val="center"/>
              <w:ind w:right="1340"/>
              <w:spacing w:after="0"/>
              <w:rPr>
                <w:sz w:val="20"/>
                <w:szCs w:val="20"/>
                <w:color w:val="auto"/>
              </w:rPr>
            </w:pPr>
            <w:r>
              <w:rPr>
                <w:rFonts w:ascii="Arial" w:cs="Arial" w:eastAsia="Arial" w:hAnsi="Arial"/>
                <w:sz w:val="18"/>
                <w:szCs w:val="18"/>
                <w:color w:val="auto"/>
                <w:w w:val="89"/>
              </w:rPr>
              <w:t>Common Stock, par value $0.01 per share</w:t>
            </w:r>
          </w:p>
        </w:tc>
        <w:tc>
          <w:tcPr>
            <w:tcW w:w="2060" w:type="dxa"/>
            <w:vAlign w:val="bottom"/>
            <w:gridSpan w:val="2"/>
          </w:tcPr>
          <w:p>
            <w:pPr>
              <w:jc w:val="center"/>
              <w:ind w:right="580"/>
              <w:spacing w:after="0"/>
              <w:rPr>
                <w:sz w:val="20"/>
                <w:szCs w:val="20"/>
                <w:color w:val="auto"/>
              </w:rPr>
            </w:pPr>
            <w:r>
              <w:rPr>
                <w:rFonts w:ascii="Arial" w:cs="Arial" w:eastAsia="Arial" w:hAnsi="Arial"/>
                <w:sz w:val="18"/>
                <w:szCs w:val="18"/>
                <w:color w:val="auto"/>
              </w:rPr>
              <w:t>MTRX</w:t>
            </w:r>
          </w:p>
        </w:tc>
        <w:tc>
          <w:tcPr>
            <w:tcW w:w="60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48" w:lineRule="exact"/>
        <w:rPr>
          <w:sz w:val="24"/>
          <w:szCs w:val="24"/>
          <w:color w:val="auto"/>
        </w:rPr>
      </w:pPr>
    </w:p>
    <w:p>
      <w:pPr>
        <w:ind w:right="18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48" w:lineRule="exact"/>
        <w:rPr>
          <w:sz w:val="24"/>
          <w:szCs w:val="24"/>
          <w:color w:val="auto"/>
        </w:rPr>
      </w:pPr>
    </w:p>
    <w:p>
      <w:pPr>
        <w:ind w:right="240"/>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47"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27" w:lineRule="exact"/>
        <w:rPr>
          <w:sz w:val="24"/>
          <w:szCs w:val="24"/>
          <w:color w:val="auto"/>
        </w:rPr>
      </w:pPr>
    </w:p>
    <w:p>
      <w:pPr>
        <w:ind w:right="4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ind w:right="1540"/>
        <w:spacing w:after="0" w:line="3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February 7, 2023 there were 27,037,556 shares of the Company's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476"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3"/>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b w:val="1"/>
                <w:bCs w:val="1"/>
                <w:color w:val="0000FF"/>
                <w:w w:val="98"/>
              </w:rPr>
              <w:t>PART I</w:t>
            </w:r>
          </w:p>
        </w:tc>
        <w:tc>
          <w:tcPr>
            <w:tcW w:w="380" w:type="dxa"/>
            <w:vAlign w:val="bottom"/>
            <w:gridSpan w:val="3"/>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gridSpan w:val="9"/>
          </w:tcPr>
          <w:p>
            <w:pPr>
              <w:jc w:val="center"/>
              <w:ind w:right="2400"/>
              <w:spacing w:after="0"/>
              <w:rPr>
                <w:sz w:val="20"/>
                <w:szCs w:val="20"/>
                <w:color w:val="auto"/>
              </w:rPr>
            </w:pPr>
            <w:r>
              <w:rPr>
                <w:rFonts w:ascii="Arial" w:cs="Arial" w:eastAsia="Arial" w:hAnsi="Arial"/>
                <w:sz w:val="18"/>
                <w:szCs w:val="18"/>
                <w:b w:val="1"/>
                <w:bCs w:val="1"/>
                <w:color w:val="auto"/>
              </w:rPr>
              <w:t>FINANCIAL INFORMATION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9"/>
              </w:rPr>
              <w:t>Financial Statements (Unaudited)</w:t>
            </w:r>
          </w:p>
        </w:tc>
        <w:tc>
          <w:tcPr>
            <w:tcW w:w="6860" w:type="dxa"/>
            <w:vAlign w:val="bottom"/>
            <w:gridSpan w:val="9"/>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8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Income for the Three and Six Months Ended December 31, 2022 and 2021</w:t>
            </w:r>
          </w:p>
        </w:tc>
        <w:tc>
          <w:tcPr>
            <w:tcW w:w="500" w:type="dxa"/>
            <w:vAlign w:val="bottom"/>
            <w:gridSpan w:val="2"/>
          </w:tcPr>
          <w:p>
            <w:pPr>
              <w:jc w:val="center"/>
              <w:ind w:left="311"/>
              <w:spacing w:after="0"/>
              <w:rPr>
                <w:sz w:val="20"/>
                <w:szCs w:val="20"/>
                <w:color w:val="auto"/>
              </w:rPr>
            </w:pPr>
            <w:r>
              <w:rPr>
                <w:rFonts w:ascii="Arial" w:cs="Arial" w:eastAsia="Arial" w:hAnsi="Arial"/>
                <w:sz w:val="18"/>
                <w:szCs w:val="18"/>
                <w:color w:val="0000FF"/>
                <w:w w:val="99"/>
              </w:rPr>
              <w:t>1</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80" w:type="dxa"/>
            <w:vAlign w:val="bottom"/>
            <w:gridSpan w:val="17"/>
          </w:tcPr>
          <w:p>
            <w:pPr>
              <w:spacing w:after="0"/>
              <w:rPr>
                <w:sz w:val="20"/>
                <w:szCs w:val="20"/>
                <w:color w:val="auto"/>
              </w:rPr>
            </w:pPr>
            <w:r>
              <w:rPr>
                <w:rFonts w:ascii="Arial" w:cs="Arial" w:eastAsia="Arial" w:hAnsi="Arial"/>
                <w:sz w:val="18"/>
                <w:szCs w:val="18"/>
                <w:color w:val="0000FF"/>
                <w:w w:val="92"/>
              </w:rPr>
              <w:t>Condensed Consolidated Statements of Comprehensive Income for the Three and Six Months Ended December 31, 2022 and</w:t>
            </w:r>
          </w:p>
        </w:tc>
        <w:tc>
          <w:tcPr>
            <w:tcW w:w="400" w:type="dxa"/>
            <w:vAlign w:val="bottom"/>
            <w:vMerge w:val="restart"/>
          </w:tcPr>
          <w:p>
            <w:pPr>
              <w:spacing w:after="0"/>
              <w:rPr>
                <w:sz w:val="22"/>
                <w:szCs w:val="22"/>
                <w:color w:val="auto"/>
              </w:rPr>
            </w:pPr>
          </w:p>
        </w:tc>
        <w:tc>
          <w:tcPr>
            <w:tcW w:w="100" w:type="dxa"/>
            <w:vAlign w:val="bottom"/>
            <w:vMerge w:val="restart"/>
          </w:tcPr>
          <w:p>
            <w:pPr>
              <w:jc w:val="center"/>
              <w:spacing w:after="0"/>
              <w:rPr>
                <w:sz w:val="20"/>
                <w:szCs w:val="20"/>
                <w:color w:val="auto"/>
              </w:rPr>
            </w:pPr>
            <w:r>
              <w:rPr>
                <w:rFonts w:ascii="Arial" w:cs="Arial" w:eastAsia="Arial" w:hAnsi="Arial"/>
                <w:sz w:val="18"/>
                <w:szCs w:val="18"/>
                <w:color w:val="0000FF"/>
                <w:w w:val="99"/>
              </w:rPr>
              <w:t>2</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5"/>
              </w:rPr>
              <w:t>2021</w:t>
            </w:r>
          </w:p>
        </w:tc>
        <w:tc>
          <w:tcPr>
            <w:tcW w:w="240" w:type="dxa"/>
            <w:vAlign w:val="bottom"/>
            <w:tcBorders>
              <w:top w:val="single" w:sz="8" w:color="0000FF"/>
              <w:bottom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8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1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8"/>
              </w:rPr>
              <w:t>Condensed Consolidated Balance Sheets as of December 31, 2022 and June 30, 2022</w:t>
            </w:r>
          </w:p>
        </w:tc>
        <w:tc>
          <w:tcPr>
            <w:tcW w:w="3140" w:type="dxa"/>
            <w:vAlign w:val="bottom"/>
            <w:gridSpan w:val="6"/>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3</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8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 for the Six Months Ended December 31, 2022 and 2021</w:t>
            </w:r>
          </w:p>
        </w:tc>
        <w:tc>
          <w:tcPr>
            <w:tcW w:w="500" w:type="dxa"/>
            <w:vAlign w:val="bottom"/>
            <w:gridSpan w:val="2"/>
          </w:tcPr>
          <w:p>
            <w:pPr>
              <w:jc w:val="center"/>
              <w:ind w:left="311"/>
              <w:spacing w:after="0"/>
              <w:rPr>
                <w:sz w:val="20"/>
                <w:szCs w:val="20"/>
                <w:color w:val="auto"/>
              </w:rPr>
            </w:pPr>
            <w:r>
              <w:rPr>
                <w:rFonts w:ascii="Arial" w:cs="Arial" w:eastAsia="Arial" w:hAnsi="Arial"/>
                <w:sz w:val="18"/>
                <w:szCs w:val="18"/>
                <w:color w:val="0000FF"/>
                <w:w w:val="99"/>
              </w:rPr>
              <w:t>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80" w:type="dxa"/>
            <w:vAlign w:val="bottom"/>
            <w:gridSpan w:val="17"/>
          </w:tcPr>
          <w:p>
            <w:pPr>
              <w:spacing w:after="0"/>
              <w:rPr>
                <w:sz w:val="20"/>
                <w:szCs w:val="20"/>
                <w:color w:val="auto"/>
              </w:rPr>
            </w:pPr>
            <w:r>
              <w:rPr>
                <w:rFonts w:ascii="Arial" w:cs="Arial" w:eastAsia="Arial" w:hAnsi="Arial"/>
                <w:sz w:val="18"/>
                <w:szCs w:val="18"/>
                <w:color w:val="0000FF"/>
                <w:w w:val="93"/>
              </w:rPr>
              <w:t>Condensed Consolidated Statements of Changes in Stockholders’ Equity for the Three and Six Months Ended December 31,</w:t>
            </w:r>
          </w:p>
        </w:tc>
        <w:tc>
          <w:tcPr>
            <w:tcW w:w="400" w:type="dxa"/>
            <w:vAlign w:val="bottom"/>
            <w:vMerge w:val="restart"/>
          </w:tcPr>
          <w:p>
            <w:pPr>
              <w:spacing w:after="0"/>
              <w:rPr>
                <w:sz w:val="22"/>
                <w:szCs w:val="22"/>
                <w:color w:val="auto"/>
              </w:rPr>
            </w:pPr>
          </w:p>
        </w:tc>
        <w:tc>
          <w:tcPr>
            <w:tcW w:w="100" w:type="dxa"/>
            <w:vAlign w:val="bottom"/>
            <w:vMerge w:val="restart"/>
          </w:tcPr>
          <w:p>
            <w:pPr>
              <w:jc w:val="center"/>
              <w:spacing w:after="0"/>
              <w:rPr>
                <w:sz w:val="20"/>
                <w:szCs w:val="20"/>
                <w:color w:val="auto"/>
              </w:rPr>
            </w:pPr>
            <w:r>
              <w:rPr>
                <w:rFonts w:ascii="Arial" w:cs="Arial" w:eastAsia="Arial" w:hAnsi="Arial"/>
                <w:sz w:val="18"/>
                <w:szCs w:val="18"/>
                <w:color w:val="0000FF"/>
                <w:w w:val="99"/>
              </w:rPr>
              <w:t>7</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2022 and 2021</w:t>
            </w:r>
          </w:p>
        </w:tc>
        <w:tc>
          <w:tcPr>
            <w:tcW w:w="7640" w:type="dxa"/>
            <w:vAlign w:val="bottom"/>
            <w:tcBorders>
              <w:top w:val="single" w:sz="8" w:color="0000FF"/>
            </w:tcBorders>
            <w:gridSpan w:val="10"/>
          </w:tcPr>
          <w:p>
            <w:pPr>
              <w:spacing w:after="0"/>
              <w:rPr>
                <w:sz w:val="14"/>
                <w:szCs w:val="14"/>
                <w:color w:val="auto"/>
              </w:rPr>
            </w:pPr>
          </w:p>
        </w:tc>
        <w:tc>
          <w:tcPr>
            <w:tcW w:w="320" w:type="dxa"/>
            <w:vAlign w:val="bottom"/>
            <w:gridSpan w:val="2"/>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5280" w:type="dxa"/>
            <w:vAlign w:val="bottom"/>
            <w:gridSpan w:val="8"/>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9</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20" w:type="dxa"/>
            <w:vAlign w:val="bottom"/>
            <w:gridSpan w:val="5"/>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Arial" w:cs="Arial" w:eastAsia="Arial" w:hAnsi="Arial"/>
                <w:sz w:val="18"/>
                <w:szCs w:val="18"/>
                <w:color w:val="0000FF"/>
                <w:w w:val="89"/>
              </w:rPr>
              <w:t>20</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20" w:type="dxa"/>
            <w:vAlign w:val="bottom"/>
            <w:gridSpan w:val="2"/>
          </w:tcPr>
          <w:p>
            <w:pPr>
              <w:spacing w:after="0"/>
              <w:rPr>
                <w:sz w:val="22"/>
                <w:szCs w:val="22"/>
                <w:color w:val="auto"/>
              </w:rPr>
            </w:pPr>
          </w:p>
        </w:tc>
        <w:tc>
          <w:tcPr>
            <w:tcW w:w="2820" w:type="dxa"/>
            <w:vAlign w:val="bottom"/>
            <w:gridSpan w:val="5"/>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Arial" w:cs="Arial" w:eastAsia="Arial" w:hAnsi="Arial"/>
                <w:sz w:val="18"/>
                <w:szCs w:val="18"/>
                <w:color w:val="0000FF"/>
                <w:w w:val="89"/>
              </w:rPr>
              <w:t>35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0"/>
          </w:tcPr>
          <w:p>
            <w:pPr>
              <w:spacing w:after="0"/>
              <w:rPr>
                <w:sz w:val="20"/>
                <w:szCs w:val="20"/>
                <w:color w:val="auto"/>
              </w:rPr>
            </w:pPr>
            <w:r>
              <w:rPr>
                <w:rFonts w:ascii="Arial" w:cs="Arial" w:eastAsia="Arial" w:hAnsi="Arial"/>
                <w:sz w:val="18"/>
                <w:szCs w:val="18"/>
                <w:color w:val="0000FF"/>
              </w:rPr>
              <w:t>Controls and Procedures</w:t>
            </w:r>
          </w:p>
        </w:tc>
        <w:tc>
          <w:tcPr>
            <w:tcW w:w="4940" w:type="dxa"/>
            <w:vAlign w:val="bottom"/>
            <w:gridSpan w:val="7"/>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Arial" w:cs="Arial" w:eastAsia="Arial" w:hAnsi="Arial"/>
                <w:sz w:val="18"/>
                <w:szCs w:val="18"/>
                <w:color w:val="0000FF"/>
                <w:w w:val="89"/>
              </w:rPr>
              <w:t>36</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8"/>
                <w:szCs w:val="18"/>
                <w:b w:val="1"/>
                <w:bCs w:val="1"/>
                <w:color w:val="0000FF"/>
              </w:rPr>
              <w:t>PART II</w:t>
            </w: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60" w:type="dxa"/>
            <w:vAlign w:val="bottom"/>
            <w:gridSpan w:val="9"/>
          </w:tcPr>
          <w:p>
            <w:pPr>
              <w:jc w:val="center"/>
              <w:ind w:right="2400"/>
              <w:spacing w:after="0"/>
              <w:rPr>
                <w:sz w:val="20"/>
                <w:szCs w:val="20"/>
                <w:color w:val="auto"/>
              </w:rPr>
            </w:pPr>
            <w:r>
              <w:rPr>
                <w:rFonts w:ascii="Arial" w:cs="Arial" w:eastAsia="Arial" w:hAnsi="Arial"/>
                <w:sz w:val="18"/>
                <w:szCs w:val="18"/>
                <w:b w:val="1"/>
                <w:bCs w:val="1"/>
                <w:color w:val="auto"/>
              </w:rPr>
              <w:t>OTHER INFORMATION</w:t>
            </w:r>
          </w:p>
        </w:tc>
        <w:tc>
          <w:tcPr>
            <w:tcW w:w="4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1.</w:t>
            </w:r>
          </w:p>
        </w:tc>
        <w:tc>
          <w:tcPr>
            <w:tcW w:w="320" w:type="dxa"/>
            <w:vAlign w:val="bottom"/>
            <w:gridSpan w:val="2"/>
          </w:tcPr>
          <w:p>
            <w:pPr>
              <w:spacing w:after="0"/>
              <w:rPr>
                <w:sz w:val="22"/>
                <w:szCs w:val="22"/>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0000FF"/>
                <w:w w:val="85"/>
              </w:rPr>
              <w:t>Legal Proceedings</w:t>
            </w:r>
          </w:p>
        </w:tc>
        <w:tc>
          <w:tcPr>
            <w:tcW w:w="7960" w:type="dxa"/>
            <w:vAlign w:val="bottom"/>
            <w:gridSpan w:val="12"/>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Arial" w:cs="Arial" w:eastAsia="Arial" w:hAnsi="Arial"/>
                <w:sz w:val="18"/>
                <w:szCs w:val="18"/>
                <w:color w:val="0000FF"/>
                <w:w w:val="89"/>
              </w:rPr>
              <w:t>37</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sz w:val="20"/>
                <w:szCs w:val="20"/>
                <w:color w:val="auto"/>
              </w:rPr>
            </w:pPr>
            <w:r>
              <w:rPr>
                <w:rFonts w:ascii="Arial" w:cs="Arial" w:eastAsia="Arial" w:hAnsi="Arial"/>
                <w:sz w:val="18"/>
                <w:szCs w:val="18"/>
                <w:color w:val="0000FF"/>
              </w:rPr>
              <w:t>Risk Factors</w:t>
            </w:r>
          </w:p>
        </w:tc>
        <w:tc>
          <w:tcPr>
            <w:tcW w:w="7960" w:type="dxa"/>
            <w:vAlign w:val="bottom"/>
            <w:gridSpan w:val="12"/>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Arial" w:cs="Arial" w:eastAsia="Arial" w:hAnsi="Arial"/>
                <w:sz w:val="18"/>
                <w:szCs w:val="18"/>
                <w:color w:val="0000FF"/>
                <w:w w:val="89"/>
              </w:rPr>
              <w:t>37</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2.</w:t>
            </w:r>
          </w:p>
        </w:tc>
        <w:tc>
          <w:tcPr>
            <w:tcW w:w="928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00" w:type="dxa"/>
            <w:vAlign w:val="bottom"/>
            <w:gridSpan w:val="2"/>
          </w:tcPr>
          <w:p>
            <w:pPr>
              <w:jc w:val="center"/>
              <w:ind w:left="231"/>
              <w:spacing w:after="0"/>
              <w:rPr>
                <w:sz w:val="20"/>
                <w:szCs w:val="20"/>
                <w:color w:val="auto"/>
              </w:rPr>
            </w:pPr>
            <w:r>
              <w:rPr>
                <w:rFonts w:ascii="Arial" w:cs="Arial" w:eastAsia="Arial" w:hAnsi="Arial"/>
                <w:sz w:val="18"/>
                <w:szCs w:val="18"/>
                <w:color w:val="0000FF"/>
                <w:w w:val="89"/>
              </w:rPr>
              <w:t>37</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sz w:val="20"/>
                <w:szCs w:val="20"/>
                <w:color w:val="auto"/>
              </w:rPr>
            </w:pPr>
            <w:r>
              <w:rPr>
                <w:rFonts w:ascii="Arial" w:cs="Arial" w:eastAsia="Arial" w:hAnsi="Arial"/>
                <w:sz w:val="18"/>
                <w:szCs w:val="18"/>
                <w:color w:val="0000FF"/>
              </w:rPr>
              <w:t>Defaults Upon Senior Securities</w:t>
            </w:r>
          </w:p>
        </w:tc>
        <w:tc>
          <w:tcPr>
            <w:tcW w:w="4940" w:type="dxa"/>
            <w:vAlign w:val="bottom"/>
            <w:gridSpan w:val="7"/>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Arial" w:cs="Arial" w:eastAsia="Arial" w:hAnsi="Arial"/>
                <w:sz w:val="18"/>
                <w:szCs w:val="18"/>
                <w:color w:val="0000FF"/>
                <w:w w:val="89"/>
              </w:rPr>
              <w:t>37</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7"/>
          </w:tcPr>
          <w:p>
            <w:pPr>
              <w:spacing w:after="0"/>
              <w:rPr>
                <w:sz w:val="20"/>
                <w:szCs w:val="20"/>
                <w:color w:val="auto"/>
              </w:rPr>
            </w:pPr>
            <w:r>
              <w:rPr>
                <w:rFonts w:ascii="Arial" w:cs="Arial" w:eastAsia="Arial" w:hAnsi="Arial"/>
                <w:sz w:val="18"/>
                <w:szCs w:val="18"/>
                <w:color w:val="0000FF"/>
              </w:rPr>
              <w:t>Mine Safety Disclosures</w:t>
            </w:r>
          </w:p>
        </w:tc>
        <w:tc>
          <w:tcPr>
            <w:tcW w:w="6960" w:type="dxa"/>
            <w:vAlign w:val="bottom"/>
            <w:gridSpan w:val="10"/>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Arial" w:cs="Arial" w:eastAsia="Arial" w:hAnsi="Arial"/>
                <w:sz w:val="18"/>
                <w:szCs w:val="18"/>
                <w:color w:val="0000FF"/>
                <w:w w:val="89"/>
              </w:rPr>
              <w:t>38</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520" w:type="dxa"/>
            <w:vAlign w:val="bottom"/>
            <w:gridSpan w:val="11"/>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5"/>
          </w:tcPr>
          <w:p>
            <w:pPr>
              <w:spacing w:after="0"/>
              <w:rPr>
                <w:sz w:val="20"/>
                <w:szCs w:val="20"/>
                <w:color w:val="auto"/>
              </w:rPr>
            </w:pPr>
            <w:r>
              <w:rPr>
                <w:rFonts w:ascii="Arial" w:cs="Arial" w:eastAsia="Arial" w:hAnsi="Arial"/>
                <w:sz w:val="18"/>
                <w:szCs w:val="18"/>
                <w:color w:val="0000FF"/>
                <w:w w:val="91"/>
              </w:rPr>
              <w:t>Other Information</w:t>
            </w:r>
          </w:p>
        </w:tc>
        <w:tc>
          <w:tcPr>
            <w:tcW w:w="440" w:type="dxa"/>
            <w:vAlign w:val="bottom"/>
          </w:tcPr>
          <w:p>
            <w:pPr>
              <w:spacing w:after="0"/>
              <w:rPr>
                <w:sz w:val="22"/>
                <w:szCs w:val="22"/>
                <w:color w:val="auto"/>
              </w:rPr>
            </w:pPr>
          </w:p>
        </w:tc>
        <w:tc>
          <w:tcPr>
            <w:tcW w:w="7520" w:type="dxa"/>
            <w:vAlign w:val="bottom"/>
            <w:gridSpan w:val="11"/>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Arial" w:cs="Arial" w:eastAsia="Arial" w:hAnsi="Arial"/>
                <w:sz w:val="18"/>
                <w:szCs w:val="18"/>
                <w:color w:val="0000FF"/>
                <w:w w:val="89"/>
              </w:rPr>
              <w:t>38</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960" w:type="dxa"/>
            <w:vAlign w:val="bottom"/>
            <w:gridSpan w:val="1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sz w:val="20"/>
                <w:szCs w:val="20"/>
                <w:color w:val="auto"/>
              </w:rPr>
            </w:pPr>
            <w:r>
              <w:rPr>
                <w:rFonts w:ascii="Arial" w:cs="Arial" w:eastAsia="Arial" w:hAnsi="Arial"/>
                <w:sz w:val="18"/>
                <w:szCs w:val="18"/>
                <w:color w:val="0000FF"/>
                <w:w w:val="91"/>
              </w:rPr>
              <w:t>Exhibits</w:t>
            </w:r>
          </w:p>
        </w:tc>
        <w:tc>
          <w:tcPr>
            <w:tcW w:w="720" w:type="dxa"/>
            <w:vAlign w:val="bottom"/>
            <w:gridSpan w:val="3"/>
          </w:tcPr>
          <w:p>
            <w:pPr>
              <w:spacing w:after="0"/>
              <w:rPr>
                <w:sz w:val="22"/>
                <w:szCs w:val="22"/>
                <w:color w:val="auto"/>
              </w:rPr>
            </w:pPr>
          </w:p>
        </w:tc>
        <w:tc>
          <w:tcPr>
            <w:tcW w:w="7960" w:type="dxa"/>
            <w:vAlign w:val="bottom"/>
            <w:gridSpan w:val="12"/>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Arial" w:cs="Arial" w:eastAsia="Arial" w:hAnsi="Arial"/>
                <w:sz w:val="18"/>
                <w:szCs w:val="18"/>
                <w:color w:val="0000FF"/>
                <w:w w:val="89"/>
              </w:rPr>
              <w:t>38</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0000FF"/>
              </w:rPr>
              <w:t>Signature</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Arial" w:cs="Arial" w:eastAsia="Arial" w:hAnsi="Arial"/>
                <w:sz w:val="18"/>
                <w:szCs w:val="18"/>
                <w:color w:val="0000FF"/>
                <w:w w:val="89"/>
              </w:rPr>
              <w:t>39</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58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w:t>
            </w:r>
          </w:p>
        </w:tc>
      </w:tr>
      <w:tr>
        <w:trPr>
          <w:trHeight w:val="26"/>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8"/>
        </w:trPr>
        <w:tc>
          <w:tcPr>
            <w:tcW w:w="54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December 31,</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w w:val="98"/>
              </w:rPr>
              <w:t>December 31,</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w w:val="96"/>
              </w:rPr>
              <w:t>December 31,</w:t>
            </w:r>
          </w:p>
        </w:tc>
      </w:tr>
      <w:tr>
        <w:trPr>
          <w:trHeight w:val="196"/>
        </w:trPr>
        <w:tc>
          <w:tcPr>
            <w:tcW w:w="5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161,965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330,058</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158,758</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390,565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330,359</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34,356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32,551</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costs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(34,152)</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r>
      <w:tr>
        <w:trPr>
          <w:trHeight w:val="229"/>
        </w:trPr>
        <w:tc>
          <w:tcPr>
            <w:tcW w:w="54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(36,746)</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federal, state and foreign income taxes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(32,827)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(39,339)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(42,457)</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Basic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(0.93)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26,680</w:t>
            </w:r>
          </w:p>
        </w:tc>
      </w:tr>
      <w:tr>
        <w:trPr>
          <w:trHeight w:val="230"/>
        </w:trPr>
        <w:tc>
          <w:tcPr>
            <w:tcW w:w="54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26,749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26,680</w:t>
            </w:r>
          </w:p>
        </w:tc>
      </w:tr>
    </w:tbl>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560" w:type="dxa"/>
            <w:vAlign w:val="bottom"/>
            <w:gridSpan w:val="4"/>
          </w:tcPr>
          <w:p>
            <w:pPr>
              <w:jc w:val="right"/>
              <w:ind w:right="71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
        </w:trPr>
        <w:tc>
          <w:tcPr>
            <w:tcW w:w="5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6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7"/>
              <w:spacing w:after="0" w:line="133" w:lineRule="exact"/>
              <w:rPr>
                <w:sz w:val="20"/>
                <w:szCs w:val="20"/>
                <w:color w:val="auto"/>
              </w:rPr>
            </w:pPr>
            <w:r>
              <w:rPr>
                <w:rFonts w:ascii="Arial" w:cs="Arial" w:eastAsia="Arial" w:hAnsi="Arial"/>
                <w:sz w:val="14"/>
                <w:szCs w:val="14"/>
                <w:b w:val="1"/>
                <w:bCs w:val="1"/>
                <w:color w:val="auto"/>
                <w:w w:val="96"/>
              </w:rPr>
              <w:t>December 31,</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7"/>
              <w:spacing w:after="0" w:line="13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56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(42,457)</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66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4"/>
              </w:rPr>
              <w:t>Foreign currency translation gain (loss) (net of tax expense (benefit) of</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$0 for the three and six months ended December 31, 2022 and $(8) and</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$46 for the three and six months ended December 31, 2021, respectively)</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(24,820)</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(43,153)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r>
      <w:tr>
        <w:trPr>
          <w:trHeight w:val="196"/>
        </w:trPr>
        <w:tc>
          <w:tcPr>
            <w:tcW w:w="8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r>
      <w:tr>
        <w:trPr>
          <w:trHeight w:val="215"/>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52,371</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Accounts receivable, less allowances (December 31, 2022—$1,112 and June 30, 2022—$1,320)</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182,054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153,879</w:t>
            </w: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44,752</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9,974</w:t>
            </w: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13,547</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4,024</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294,482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287,412</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50,684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53,869</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22,067</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42,135</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 of accumulated amortization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w:t>
            </w:r>
          </w:p>
        </w:tc>
      </w:tr>
      <w:tr>
        <w:trPr>
          <w:trHeight w:val="229"/>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non-current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440,793</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r>
      <w:tr>
        <w:trPr>
          <w:trHeight w:val="215"/>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74,886</w:t>
            </w: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65,106</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wages and benefits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21,526</w:t>
            </w: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Accrued insurance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6,125</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177,785</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19,904</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Borrowings under asset-backed credit facility</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 non-current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246,666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213,087</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75"/>
        </w:trPr>
        <w:tc>
          <w:tcPr>
            <w:tcW w:w="856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3"/>
              </w:rPr>
              <w:t>Common stock—$.01 par value; 60,000,000 shares authorized; 27,888,217 shares issued as of December 31,</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8"/>
        </w:trPr>
        <w:tc>
          <w:tcPr>
            <w:tcW w:w="856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w w:val="91"/>
              </w:rPr>
              <w:t>2022 and June 30, 2022; 27,027,323 and 26,790,514 shares outstanding as of December 31, 2022 and June 30,</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 respectively</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137,989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139,854</w:t>
            </w: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111,278</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(8,175)</w:t>
            </w:r>
          </w:p>
        </w:tc>
      </w:tr>
      <w:tr>
        <w:trPr>
          <w:trHeight w:val="223"/>
        </w:trPr>
        <w:tc>
          <w:tcPr>
            <w:tcW w:w="8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243,236</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92"/>
              </w:rPr>
              <w:t>Treasury stock, at cost — 860,894 shares as of December 31, 2022, and 1,097,703 shares as of June 30, 2022</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(15,530)</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191,452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227,706</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438,118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440,793</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r>
      <w:tr>
        <w:trPr>
          <w:trHeight w:val="26"/>
        </w:trPr>
        <w:tc>
          <w:tcPr>
            <w:tcW w:w="8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3"/>
        </w:trPr>
        <w:tc>
          <w:tcPr>
            <w:tcW w:w="8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100" w:type="dxa"/>
            <w:vAlign w:val="bottom"/>
          </w:tcPr>
          <w:p>
            <w:pPr>
              <w:jc w:val="right"/>
              <w:ind w:right="132"/>
              <w:spacing w:after="0" w:line="13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(39,339)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(42,457)</w:t>
            </w: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(used) by operating activities: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7,841</w:t>
            </w:r>
          </w:p>
        </w:tc>
      </w:tr>
      <w:tr>
        <w:trPr>
          <w:trHeight w:val="229"/>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impairment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3,735</w:t>
            </w:r>
          </w:p>
        </w:tc>
      </w:tr>
      <w:tr>
        <w:trPr>
          <w:trHeight w:val="229"/>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Loss (gain) on sale of property, plant and equipment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uncollectible accounts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Accelerated amortization of deferred debt amendment fees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1,518</w:t>
            </w:r>
          </w:p>
        </w:tc>
      </w:tr>
      <w:tr>
        <w:trPr>
          <w:trHeight w:val="230"/>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26,464</w:t>
            </w:r>
          </w:p>
        </w:tc>
      </w:tr>
      <w:tr>
        <w:trPr>
          <w:trHeight w:val="230"/>
        </w:trPr>
        <w:tc>
          <w:tcPr>
            <w:tcW w:w="8540" w:type="dxa"/>
            <w:vAlign w:val="bottom"/>
          </w:tcPr>
          <w:p>
            <w:pPr>
              <w:ind w:left="6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(3,729)</w:t>
            </w:r>
          </w:p>
        </w:tc>
      </w:tr>
      <w:tr>
        <w:trPr>
          <w:trHeight w:val="229"/>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r>
      <w:tr>
        <w:trPr>
          <w:trHeight w:val="230"/>
        </w:trPr>
        <w:tc>
          <w:tcPr>
            <w:tcW w:w="8540" w:type="dxa"/>
            <w:vAlign w:val="bottom"/>
          </w:tcPr>
          <w:p>
            <w:pPr>
              <w:ind w:left="660"/>
              <w:spacing w:after="0"/>
              <w:rPr>
                <w:sz w:val="20"/>
                <w:szCs w:val="20"/>
                <w:color w:val="auto"/>
              </w:rPr>
            </w:pPr>
            <w:r>
              <w:rPr>
                <w:rFonts w:ascii="Arial" w:cs="Arial" w:eastAsia="Arial" w:hAnsi="Arial"/>
                <w:sz w:val="18"/>
                <w:szCs w:val="18"/>
                <w:color w:val="auto"/>
              </w:rPr>
              <w:t>Other assets and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(3,784)</w:t>
            </w:r>
          </w:p>
        </w:tc>
      </w:tr>
      <w:tr>
        <w:trPr>
          <w:trHeight w:val="230"/>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w:t>
            </w:r>
          </w:p>
        </w:tc>
      </w:tr>
      <w:tr>
        <w:trPr>
          <w:trHeight w:val="229"/>
        </w:trPr>
        <w:tc>
          <w:tcPr>
            <w:tcW w:w="8540" w:type="dxa"/>
            <w:vAlign w:val="bottom"/>
          </w:tcPr>
          <w:p>
            <w:pPr>
              <w:ind w:left="66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34,656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31,027</w:t>
            </w:r>
          </w:p>
        </w:tc>
      </w:tr>
      <w:tr>
        <w:trPr>
          <w:trHeight w:val="230"/>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(10,657)</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Net cash provided (used) by operating activities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11,385</w:t>
            </w: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asset sales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4"/>
        </w:trPr>
        <w:tc>
          <w:tcPr>
            <w:tcW w:w="854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(2,812)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(461)</w:t>
            </w:r>
          </w:p>
        </w:tc>
      </w:tr>
    </w:tbl>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
        </w:trPr>
        <w:tc>
          <w:tcPr>
            <w:tcW w:w="8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100" w:type="dxa"/>
            <w:vAlign w:val="bottom"/>
          </w:tcPr>
          <w:p>
            <w:pPr>
              <w:jc w:val="right"/>
              <w:ind w:right="13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Advances under asset-backed credit facility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advances under asset-backed credit facility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Payment of debt amendment fees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Issuances of common stock</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Other Treasury Share Purchases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3"/>
        </w:trPr>
        <w:tc>
          <w:tcPr>
            <w:tcW w:w="8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by financing activities</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77,371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83,878</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92,640</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paid (received) during the period for: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4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Interest, including payment of debt amendment fees</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 on account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0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033"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September 30, 2022</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137,651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104,766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(9,928)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221,251</w:t>
            </w:r>
          </w:p>
        </w:tc>
        <w:tc>
          <w:tcPr>
            <w:tcW w:w="0" w:type="dxa"/>
            <w:vAlign w:val="bottom"/>
          </w:tcPr>
          <w:p>
            <w:pPr>
              <w:spacing w:after="0"/>
              <w:rPr>
                <w:sz w:val="1"/>
                <w:szCs w:val="1"/>
                <w:color w:val="auto"/>
              </w:rPr>
            </w:pPr>
          </w:p>
        </w:tc>
      </w:tr>
      <w:tr>
        <w:trPr>
          <w:trHeight w:val="182"/>
        </w:trPr>
        <w:tc>
          <w:tcPr>
            <w:tcW w:w="46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(32,827)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(32,827)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182"/>
        </w:trPr>
        <w:tc>
          <w:tcPr>
            <w:tcW w:w="4620" w:type="dxa"/>
            <w:vAlign w:val="bottom"/>
          </w:tcPr>
          <w:p>
            <w:pPr>
              <w:ind w:left="20"/>
              <w:spacing w:after="0"/>
              <w:rPr>
                <w:sz w:val="20"/>
                <w:szCs w:val="20"/>
                <w:color w:val="auto"/>
              </w:rPr>
            </w:pPr>
            <w:r>
              <w:rPr>
                <w:rFonts w:ascii="Arial" w:cs="Arial" w:eastAsia="Arial" w:hAnsi="Arial"/>
                <w:sz w:val="14"/>
                <w:szCs w:val="14"/>
                <w:color w:val="auto"/>
              </w:rPr>
              <w:t>Issuance of deferred shares (54,702 shares)</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Treasury shares sold to Employee Stock Purchase Plan (17,111 shares)</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2"/>
        </w:trPr>
        <w:tc>
          <w:tcPr>
            <w:tcW w:w="46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1,692</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December 31, 2022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137,989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71,939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(8,663)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(10,092)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191,452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September 30, 2021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135,308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157,640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(7,544)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(17,385)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268,298</w:t>
            </w:r>
          </w:p>
        </w:tc>
        <w:tc>
          <w:tcPr>
            <w:tcW w:w="0" w:type="dxa"/>
            <w:vAlign w:val="bottom"/>
          </w:tcPr>
          <w:p>
            <w:pPr>
              <w:spacing w:after="0"/>
              <w:rPr>
                <w:sz w:val="1"/>
                <w:szCs w:val="1"/>
                <w:color w:val="auto"/>
              </w:rPr>
            </w:pPr>
          </w:p>
        </w:tc>
      </w:tr>
      <w:tr>
        <w:trPr>
          <w:trHeight w:val="182"/>
        </w:trPr>
        <w:tc>
          <w:tcPr>
            <w:tcW w:w="46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(24,919)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(24,919)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2"/>
        </w:trPr>
        <w:tc>
          <w:tcPr>
            <w:tcW w:w="4620" w:type="dxa"/>
            <w:vAlign w:val="bottom"/>
          </w:tcPr>
          <w:p>
            <w:pPr>
              <w:ind w:left="20"/>
              <w:spacing w:after="0"/>
              <w:rPr>
                <w:sz w:val="20"/>
                <w:szCs w:val="20"/>
                <w:color w:val="auto"/>
              </w:rPr>
            </w:pPr>
            <w:r>
              <w:rPr>
                <w:rFonts w:ascii="Arial" w:cs="Arial" w:eastAsia="Arial" w:hAnsi="Arial"/>
                <w:sz w:val="14"/>
                <w:szCs w:val="14"/>
                <w:color w:val="auto"/>
              </w:rPr>
              <w:t>Exercise of stock options (19,550 shares)</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deferred shares (51,319 shares)</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620" w:type="dxa"/>
            <w:vAlign w:val="bottom"/>
          </w:tcPr>
          <w:p>
            <w:pPr>
              <w:ind w:left="20"/>
              <w:spacing w:after="0"/>
              <w:rPr>
                <w:sz w:val="20"/>
                <w:szCs w:val="20"/>
                <w:color w:val="auto"/>
              </w:rPr>
            </w:pPr>
            <w:r>
              <w:rPr>
                <w:rFonts w:ascii="Arial" w:cs="Arial" w:eastAsia="Arial" w:hAnsi="Arial"/>
                <w:sz w:val="14"/>
                <w:szCs w:val="14"/>
                <w:color w:val="auto"/>
              </w:rPr>
              <w:t>Treasury shares sold to Employee Stock Purchase Plan (6,078 shares)</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1,866</w:t>
            </w: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rPr>
                <w:sz w:val="20"/>
                <w:szCs w:val="20"/>
                <w:color w:val="auto"/>
              </w:rPr>
            </w:pPr>
            <w:r>
              <w:rPr>
                <w:rFonts w:ascii="Arial" w:cs="Arial" w:eastAsia="Arial" w:hAnsi="Arial"/>
                <w:sz w:val="14"/>
                <w:szCs w:val="14"/>
                <w:color w:val="auto"/>
              </w:rPr>
              <w:t>Balances, December 31, 2021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135,913</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132,721</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(7,445)</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(15,858)</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245,610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June 30, 2022</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139,854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111,278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(8,175)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(15,530)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227,706</w:t>
            </w:r>
          </w:p>
        </w:tc>
        <w:tc>
          <w:tcPr>
            <w:tcW w:w="0" w:type="dxa"/>
            <w:vAlign w:val="bottom"/>
          </w:tcPr>
          <w:p>
            <w:pPr>
              <w:spacing w:after="0"/>
              <w:rPr>
                <w:sz w:val="1"/>
                <w:szCs w:val="1"/>
                <w:color w:val="auto"/>
              </w:rPr>
            </w:pPr>
          </w:p>
        </w:tc>
      </w:tr>
      <w:tr>
        <w:trPr>
          <w:trHeight w:val="182"/>
        </w:trPr>
        <w:tc>
          <w:tcPr>
            <w:tcW w:w="46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(39,339)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(39,339)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82"/>
        </w:trPr>
        <w:tc>
          <w:tcPr>
            <w:tcW w:w="4620" w:type="dxa"/>
            <w:vAlign w:val="bottom"/>
          </w:tcPr>
          <w:p>
            <w:pPr>
              <w:ind w:left="20"/>
              <w:spacing w:after="0"/>
              <w:rPr>
                <w:sz w:val="20"/>
                <w:szCs w:val="20"/>
                <w:color w:val="auto"/>
              </w:rPr>
            </w:pPr>
            <w:r>
              <w:rPr>
                <w:rFonts w:ascii="Arial" w:cs="Arial" w:eastAsia="Arial" w:hAnsi="Arial"/>
                <w:sz w:val="14"/>
                <w:szCs w:val="14"/>
                <w:color w:val="auto"/>
              </w:rPr>
              <w:t>Issuance of deferred shares (259,529 shares)</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(5,149)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Treasury shares sold to Employee Stock Purchase Plan (30,144 shares)</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3"/>
        </w:trPr>
        <w:tc>
          <w:tcPr>
            <w:tcW w:w="4620" w:type="dxa"/>
            <w:vAlign w:val="bottom"/>
          </w:tcPr>
          <w:p>
            <w:pPr>
              <w:ind w:left="20"/>
              <w:spacing w:after="0" w:line="143" w:lineRule="exact"/>
              <w:rPr>
                <w:sz w:val="20"/>
                <w:szCs w:val="20"/>
                <w:color w:val="auto"/>
              </w:rPr>
            </w:pPr>
            <w:r>
              <w:rPr>
                <w:rFonts w:ascii="Arial" w:cs="Arial" w:eastAsia="Arial" w:hAnsi="Arial"/>
                <w:sz w:val="14"/>
                <w:szCs w:val="14"/>
                <w:color w:val="auto"/>
              </w:rPr>
              <w:t>Treasury shares purchased to satisfy tax withholding obligations (52,864</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88"/>
        </w:trPr>
        <w:tc>
          <w:tcPr>
            <w:tcW w:w="4620" w:type="dxa"/>
            <w:vAlign w:val="bottom"/>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3,747</w:t>
            </w: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rPr>
                <w:sz w:val="20"/>
                <w:szCs w:val="20"/>
                <w:color w:val="auto"/>
              </w:rPr>
            </w:pPr>
            <w:r>
              <w:rPr>
                <w:rFonts w:ascii="Arial" w:cs="Arial" w:eastAsia="Arial" w:hAnsi="Arial"/>
                <w:sz w:val="14"/>
                <w:szCs w:val="14"/>
                <w:color w:val="auto"/>
              </w:rPr>
              <w:t>Balances, December 31, 2022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137,989</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71,939</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(8,663)</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(10,092)</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191,452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620" w:type="dxa"/>
            <w:vAlign w:val="bottom"/>
          </w:tcPr>
          <w:p>
            <w:pPr>
              <w:ind w:left="20"/>
              <w:spacing w:after="0"/>
              <w:rPr>
                <w:sz w:val="20"/>
                <w:szCs w:val="20"/>
                <w:color w:val="auto"/>
              </w:rPr>
            </w:pPr>
            <w:r>
              <w:rPr>
                <w:rFonts w:ascii="Arial" w:cs="Arial" w:eastAsia="Arial" w:hAnsi="Arial"/>
                <w:sz w:val="14"/>
                <w:szCs w:val="14"/>
                <w:color w:val="auto"/>
              </w:rPr>
              <w:t>Balances, June 30, 2021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137,575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175,178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(6,749)</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(20,744)</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285,539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(42,457)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(42,457)</w:t>
            </w:r>
          </w:p>
        </w:tc>
        <w:tc>
          <w:tcPr>
            <w:tcW w:w="0" w:type="dxa"/>
            <w:vAlign w:val="bottom"/>
          </w:tcPr>
          <w:p>
            <w:pPr>
              <w:spacing w:after="0"/>
              <w:rPr>
                <w:sz w:val="1"/>
                <w:szCs w:val="1"/>
                <w:color w:val="auto"/>
              </w:rPr>
            </w:pPr>
          </w:p>
        </w:tc>
      </w:tr>
      <w:tr>
        <w:trPr>
          <w:trHeight w:val="182"/>
        </w:trPr>
        <w:tc>
          <w:tcPr>
            <w:tcW w:w="462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stock options (19,550 shares)</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82"/>
        </w:trPr>
        <w:tc>
          <w:tcPr>
            <w:tcW w:w="4620" w:type="dxa"/>
            <w:vAlign w:val="bottom"/>
          </w:tcPr>
          <w:p>
            <w:pPr>
              <w:ind w:left="20"/>
              <w:spacing w:after="0"/>
              <w:rPr>
                <w:sz w:val="20"/>
                <w:szCs w:val="20"/>
                <w:color w:val="auto"/>
              </w:rPr>
            </w:pPr>
            <w:r>
              <w:rPr>
                <w:rFonts w:ascii="Arial" w:cs="Arial" w:eastAsia="Arial" w:hAnsi="Arial"/>
                <w:sz w:val="14"/>
                <w:szCs w:val="14"/>
                <w:color w:val="auto"/>
              </w:rPr>
              <w:t>Issuance of deferred shares (268,403 shares)</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Treasury shares sold to Employee Stock Purchase Plan (13,287 shares)</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3"/>
        </w:trPr>
        <w:tc>
          <w:tcPr>
            <w:tcW w:w="4620" w:type="dxa"/>
            <w:vAlign w:val="bottom"/>
          </w:tcPr>
          <w:p>
            <w:pPr>
              <w:ind w:left="20"/>
              <w:spacing w:after="0" w:line="143" w:lineRule="exact"/>
              <w:rPr>
                <w:sz w:val="20"/>
                <w:szCs w:val="20"/>
                <w:color w:val="auto"/>
              </w:rPr>
            </w:pPr>
            <w:r>
              <w:rPr>
                <w:rFonts w:ascii="Arial" w:cs="Arial" w:eastAsia="Arial" w:hAnsi="Arial"/>
                <w:sz w:val="14"/>
                <w:szCs w:val="14"/>
                <w:color w:val="auto"/>
              </w:rPr>
              <w:t>Treasury shares purchased to satisfy tax withholding obligations (76,703</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(853)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188"/>
        </w:trPr>
        <w:tc>
          <w:tcPr>
            <w:tcW w:w="4620" w:type="dxa"/>
            <w:vAlign w:val="bottom"/>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3,735</w:t>
            </w: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rPr>
                <w:sz w:val="20"/>
                <w:szCs w:val="20"/>
                <w:color w:val="auto"/>
              </w:rPr>
            </w:pPr>
            <w:r>
              <w:rPr>
                <w:rFonts w:ascii="Arial" w:cs="Arial" w:eastAsia="Arial" w:hAnsi="Arial"/>
                <w:sz w:val="14"/>
                <w:szCs w:val="14"/>
                <w:color w:val="auto"/>
              </w:rPr>
              <w:t>Balances, December 31, 2021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135,913</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132,721</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(7,445)</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(15,858)</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245,610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consolidated financial statements should be read in conjunction with the audited financial statements for the year ended June 30, 2022, included in our Annual Report on Form 10-K for the year then ended. The results of operations for the three and six month periods ended December 31, 2022 may not necessarily be indicative of the results of operations for the full year ending June 30,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significant accounting policies are detailed in “Note 1 - Summary of Significant Accounting Policies” of our Annual Report on Form 10-K for the year ended June 30,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$574.6 million of remaining performance obligations yet to be satisfied as of December 31, 2022. We expect to recognize $432.8 million of our remaining performance obligations as revenue within the next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 terms with customers include the timing of billing and payments,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4"/>
                <w:szCs w:val="14"/>
                <w:color w:val="auto"/>
              </w:rPr>
            </w:pPr>
          </w:p>
        </w:tc>
        <w:tc>
          <w:tcPr>
            <w:tcW w:w="10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7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(in thousands)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w w:val="87"/>
              </w:rPr>
              <w:t>46,588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419"/>
              <w:spacing w:after="0"/>
              <w:rPr>
                <w:sz w:val="20"/>
                <w:szCs w:val="20"/>
                <w:color w:val="auto"/>
              </w:rPr>
            </w:pPr>
            <w:r>
              <w:rPr>
                <w:rFonts w:ascii="Arial" w:cs="Arial" w:eastAsia="Arial" w:hAnsi="Arial"/>
                <w:sz w:val="18"/>
                <w:szCs w:val="18"/>
                <w:color w:val="auto"/>
                <w:w w:val="90"/>
              </w:rPr>
              <w:t>44,752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17"/>
              <w:spacing w:after="0"/>
              <w:rPr>
                <w:sz w:val="20"/>
                <w:szCs w:val="20"/>
                <w:color w:val="auto"/>
              </w:rPr>
            </w:pPr>
            <w:r>
              <w:rPr>
                <w:rFonts w:ascii="Arial" w:cs="Arial" w:eastAsia="Arial" w:hAnsi="Arial"/>
                <w:sz w:val="18"/>
                <w:szCs w:val="18"/>
                <w:color w:val="auto"/>
                <w:w w:val="92"/>
              </w:rPr>
              <w:t>(99,762)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79"/>
              <w:spacing w:after="0"/>
              <w:rPr>
                <w:sz w:val="20"/>
                <w:szCs w:val="20"/>
                <w:color w:val="auto"/>
              </w:rPr>
            </w:pPr>
            <w:r>
              <w:rPr>
                <w:rFonts w:ascii="Arial" w:cs="Arial" w:eastAsia="Arial" w:hAnsi="Arial"/>
                <w:sz w:val="18"/>
                <w:szCs w:val="18"/>
                <w:color w:val="auto"/>
                <w:w w:val="92"/>
              </w:rPr>
              <w:t>(65,106)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(34,656)</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417"/>
              <w:spacing w:after="0"/>
              <w:rPr>
                <w:sz w:val="20"/>
                <w:szCs w:val="20"/>
                <w:color w:val="auto"/>
              </w:rPr>
            </w:pPr>
            <w:r>
              <w:rPr>
                <w:rFonts w:ascii="Arial" w:cs="Arial" w:eastAsia="Arial" w:hAnsi="Arial"/>
                <w:sz w:val="18"/>
                <w:szCs w:val="18"/>
                <w:color w:val="auto"/>
                <w:w w:val="92"/>
              </w:rPr>
              <w:t>(53,174)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379"/>
              <w:spacing w:after="0"/>
              <w:rPr>
                <w:sz w:val="20"/>
                <w:szCs w:val="20"/>
                <w:color w:val="auto"/>
              </w:rPr>
            </w:pPr>
            <w:r>
              <w:rPr>
                <w:rFonts w:ascii="Arial" w:cs="Arial" w:eastAsia="Arial" w:hAnsi="Arial"/>
                <w:sz w:val="18"/>
                <w:szCs w:val="18"/>
                <w:color w:val="auto"/>
                <w:w w:val="92"/>
              </w:rPr>
              <w:t>(20,354)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difference between the beginning and ending balances of our CIE and BIE primarily results from the timing of revenue recognized relative to its billings. The amount of revenue recognized during the six months ended December 31, 2022 that was included in the June 30, 2022 BIE balance was $52.3 million. This revenue consists primarily of work performed during the period on contracts with customers that had advance billings.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Progress billings in accounts receivable at December 31, 2022 and June 30, 2022 included retentions to be collected within one year of $19.7 million and $16.1 million, respectively. Contract retentions collectible beyond one year are included in other assets, non-current in the Condensed Consolidated Balance Sheets and totaled $9.0 million as of December 31, 2022 and $4.0 million as of June 30,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disaggregated by reportable segment is presented in Note 10 - Segment Information. The following tables presents revenue disaggregated by geographic area where the work was performed and by contract type: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Geographic Disaggregation: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8"/>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4"/>
          </w:tcPr>
          <w:p>
            <w:pPr>
              <w:jc w:val="right"/>
              <w:ind w:right="67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3"/>
          </w:tcPr>
          <w:p>
            <w:pPr>
              <w:spacing w:after="0" w:line="133" w:lineRule="exact"/>
              <w:rPr>
                <w:sz w:val="20"/>
                <w:szCs w:val="20"/>
                <w:color w:val="auto"/>
              </w:rPr>
            </w:pPr>
            <w:r>
              <w:rPr>
                <w:rFonts w:ascii="Arial" w:cs="Arial" w:eastAsia="Arial" w:hAnsi="Arial"/>
                <w:sz w:val="14"/>
                <w:szCs w:val="14"/>
                <w:b w:val="1"/>
                <w:bCs w:val="1"/>
                <w:color w:val="auto"/>
              </w:rPr>
              <w:t>December 31,</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3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97"/>
              <w:spacing w:after="0" w:line="13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2"/>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7"/>
          </w:tcPr>
          <w:p>
            <w:pPr>
              <w:ind w:left="7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145,917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299,201</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Canada</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15,260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28,770</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international</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402,271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330,058</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Contract Type Disaggregation:</w:t>
            </w: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5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8"/>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4"/>
          </w:tcPr>
          <w:p>
            <w:pPr>
              <w:jc w:val="right"/>
              <w:ind w:right="65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5"/>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3"/>
          </w:tcPr>
          <w:p>
            <w:pPr>
              <w:ind w:left="80"/>
              <w:spacing w:after="0" w:line="133" w:lineRule="exact"/>
              <w:rPr>
                <w:sz w:val="20"/>
                <w:szCs w:val="20"/>
                <w:color w:val="auto"/>
              </w:rPr>
            </w:pPr>
            <w:r>
              <w:rPr>
                <w:rFonts w:ascii="Arial" w:cs="Arial" w:eastAsia="Arial" w:hAnsi="Arial"/>
                <w:sz w:val="14"/>
                <w:szCs w:val="14"/>
                <w:b w:val="1"/>
                <w:bCs w:val="1"/>
                <w:color w:val="auto"/>
              </w:rPr>
              <w:t>December 31,</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100"/>
              <w:spacing w:after="0" w:line="13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97"/>
              <w:spacing w:after="0" w:line="13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2"/>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7"/>
          </w:tcPr>
          <w:p>
            <w:pPr>
              <w:ind w:left="78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contracts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105,283</w:t>
            </w: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202,906</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Time and materials and other cost reimbursable contracts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88,557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61,124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187,515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127,152</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193,840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161,965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330,058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Typically, we assume more risk with fixed-price contracts since increases in costs to perform the work may not be recoverable. However, these types of contracts typically offer higher profits than time and materials and other cost reimbursable contracts when completed at or below the costs originally estimated. The profitability of time and materials and other cost reimbursable contracts is typically lower than fixed-price contracts and is usually less volatile than fixed-price contracts since the profit component is factored into the rates charged for labor, equipment and materials, or is expressed in the contract as a percentage of the reimbursable costs incurred.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Revisions in Estimates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Subsequent to the end of the second quarter of fiscal 2023, we received notice from a client that they would not approve adequate compensation to us for the impact that excessive scope changes had on our ability to progress work on a midstream gas processing project according to forecast, as well as for the impact that global supply chain issues and inflation had on the project. The project is included in the Process and Industrial Facilities segment and reduced gross profit by $9.6 million and $9.4 million during the three and six months ended December 31, 2022, respectively. We have accrued the full expected loss for the project, which we expect to be mechanically complete in the fourth quarter of fiscal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Plant and Equipment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property, plant and equipment - net at December 31, 2022 and June 30, 2022:</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120" w:type="dxa"/>
            <w:vAlign w:val="bottom"/>
          </w:tcPr>
          <w:p>
            <w:pPr>
              <w:jc w:val="right"/>
              <w:ind w:right="45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7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r>
      <w:tr>
        <w:trPr>
          <w:trHeight w:val="186"/>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6"/>
                <w:szCs w:val="16"/>
                <w:color w:val="auto"/>
              </w:rPr>
            </w:pPr>
          </w:p>
        </w:tc>
      </w:tr>
      <w:tr>
        <w:trPr>
          <w:trHeight w:val="246"/>
        </w:trPr>
        <w:tc>
          <w:tcPr>
            <w:tcW w:w="7980" w:type="dxa"/>
            <w:vAlign w:val="bottom"/>
          </w:tcPr>
          <w:p>
            <w:pPr>
              <w:ind w:left="20"/>
              <w:spacing w:after="0"/>
              <w:rPr>
                <w:sz w:val="20"/>
                <w:szCs w:val="20"/>
                <w:color w:val="auto"/>
              </w:rPr>
            </w:pPr>
            <w:r>
              <w:rPr>
                <w:rFonts w:ascii="Arial" w:cs="Arial" w:eastAsia="Arial" w:hAnsi="Arial"/>
                <w:sz w:val="18"/>
                <w:szCs w:val="18"/>
                <w:color w:val="auto"/>
              </w:rPr>
              <w:t>Property, plant and equipment - at cost:</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 and buildings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34,788</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Construction equipment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91,954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93,036</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Transportation equipment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48,999</w:t>
            </w: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Office equipment and software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41,984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43,823</w:t>
            </w: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23"/>
        </w:trPr>
        <w:tc>
          <w:tcPr>
            <w:tcW w:w="7980" w:type="dxa"/>
            <w:vAlign w:val="bottom"/>
          </w:tcPr>
          <w:p>
            <w:pPr>
              <w:ind w:left="140"/>
              <w:spacing w:after="0"/>
              <w:rPr>
                <w:sz w:val="20"/>
                <w:szCs w:val="20"/>
                <w:color w:val="auto"/>
              </w:rPr>
            </w:pPr>
            <w:r>
              <w:rPr>
                <w:rFonts w:ascii="Arial" w:cs="Arial" w:eastAsia="Arial" w:hAnsi="Arial"/>
                <w:sz w:val="18"/>
                <w:szCs w:val="18"/>
                <w:color w:val="auto"/>
              </w:rPr>
              <w:t>Total property, plant and equipment - at cost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220,065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222,292</w:t>
            </w: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(168,423)</w:t>
            </w:r>
          </w:p>
        </w:tc>
      </w:tr>
      <w:tr>
        <w:trPr>
          <w:trHeight w:val="223"/>
        </w:trPr>
        <w:tc>
          <w:tcPr>
            <w:tcW w:w="7980" w:type="dxa"/>
            <w:vAlign w:val="bottom"/>
          </w:tcPr>
          <w:p>
            <w:pPr>
              <w:ind w:left="140"/>
              <w:spacing w:after="0"/>
              <w:rPr>
                <w:sz w:val="20"/>
                <w:szCs w:val="20"/>
                <w:color w:val="auto"/>
              </w:rPr>
            </w:pPr>
            <w:r>
              <w:rPr>
                <w:rFonts w:ascii="Arial" w:cs="Arial" w:eastAsia="Arial" w:hAnsi="Arial"/>
                <w:sz w:val="18"/>
                <w:szCs w:val="18"/>
                <w:color w:val="auto"/>
              </w:rPr>
              <w:t>Property, plant and equipment -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50,684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53,869</w:t>
            </w:r>
          </w:p>
        </w:tc>
      </w:tr>
      <w:tr>
        <w:trPr>
          <w:trHeight w:val="21"/>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enter into lease arrangements for real estate, construction equipment and information technology equipment in the normal course of business. Real estate leases accounted for approximately 98% of all right-of-use assets as of December 31, 2022. Most real estate and information technology equipment leases generally have fixed payments that follow an agreed upon payment schedule and have remaining lease terms ranging from less than one year to 13 years. Construction equipment leases generally have "month-to-month" lease terms that automatically renew as long as the equipment remains in use.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in the Condensed Consolidated Statements of Income are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28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33"/>
        </w:trPr>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79"/>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77"/>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r>
      <w:tr>
        <w:trPr>
          <w:trHeight w:val="216"/>
        </w:trPr>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 expense</w:t>
            </w:r>
          </w:p>
        </w:tc>
        <w:tc>
          <w:tcPr>
            <w:tcW w:w="3540" w:type="dxa"/>
            <w:vAlign w:val="bottom"/>
          </w:tcPr>
          <w:p>
            <w:pPr>
              <w:ind w:left="1000"/>
              <w:spacing w:after="0"/>
              <w:rPr>
                <w:sz w:val="20"/>
                <w:szCs w:val="20"/>
                <w:color w:val="auto"/>
              </w:rPr>
            </w:pPr>
            <w:r>
              <w:rPr>
                <w:rFonts w:ascii="Arial" w:cs="Arial" w:eastAsia="Arial" w:hAnsi="Arial"/>
                <w:sz w:val="18"/>
                <w:szCs w:val="18"/>
                <w:b w:val="1"/>
                <w:bCs w:val="1"/>
                <w:color w:val="auto"/>
              </w:rPr>
              <w:t>Location of Expense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ind w:left="66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2"/>
        </w:trPr>
        <w:tc>
          <w:tcPr>
            <w:tcW w:w="256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Operating lease expense</w:t>
            </w:r>
          </w:p>
        </w:tc>
        <w:tc>
          <w:tcPr>
            <w:tcW w:w="120" w:type="dxa"/>
            <w:vAlign w:val="bottom"/>
            <w:tcBorders>
              <w:top w:val="single" w:sz="8" w:color="CCEEFF"/>
            </w:tcBorders>
            <w:shd w:val="clear" w:color="auto" w:fill="CCEEFF"/>
          </w:tcPr>
          <w:p>
            <w:pPr>
              <w:spacing w:after="0"/>
              <w:rPr>
                <w:sz w:val="15"/>
                <w:szCs w:val="15"/>
                <w:color w:val="auto"/>
              </w:rPr>
            </w:pPr>
          </w:p>
        </w:tc>
        <w:tc>
          <w:tcPr>
            <w:tcW w:w="354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Cost of revenue and Selling, general and</w:t>
            </w: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230"/>
        </w:trPr>
        <w:tc>
          <w:tcPr>
            <w:tcW w:w="2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r>
      <w:tr>
        <w:trPr>
          <w:trHeight w:val="230"/>
        </w:trPr>
        <w:tc>
          <w:tcPr>
            <w:tcW w:w="26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Short-term lease expense</w:t>
            </w:r>
            <w:r>
              <w:rPr>
                <w:rFonts w:ascii="Arial" w:cs="Arial" w:eastAsia="Arial" w:hAnsi="Arial"/>
                <w:sz w:val="23"/>
                <w:szCs w:val="23"/>
                <w:color w:val="auto"/>
                <w:vertAlign w:val="superscript"/>
              </w:rPr>
              <w:t>(1)</w:t>
            </w:r>
          </w:p>
        </w:tc>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10,863</w:t>
            </w:r>
          </w:p>
        </w:tc>
      </w:tr>
      <w:tr>
        <w:trPr>
          <w:trHeight w:val="248"/>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expense</w:t>
            </w:r>
          </w:p>
        </w:tc>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14,833</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26" w:lineRule="exact"/>
        <w:rPr>
          <w:sz w:val="20"/>
          <w:szCs w:val="20"/>
          <w:color w:val="auto"/>
        </w:rPr>
      </w:pPr>
    </w:p>
    <w:p>
      <w:pPr>
        <w:ind w:left="560" w:hanging="309"/>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Primarily represents the lease expense of construction equipment that is subject to month-to-month rental agreements with expected rental durations of less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right="520"/>
        <w:spacing w:after="0" w:line="269" w:lineRule="auto"/>
        <w:rPr>
          <w:sz w:val="20"/>
          <w:szCs w:val="20"/>
          <w:color w:val="auto"/>
        </w:rPr>
      </w:pPr>
      <w:r>
        <w:rPr>
          <w:rFonts w:ascii="Arial" w:cs="Arial" w:eastAsia="Arial" w:hAnsi="Arial"/>
          <w:sz w:val="18"/>
          <w:szCs w:val="18"/>
          <w:color w:val="auto"/>
        </w:rPr>
        <w:t>The future undiscounted lease payments, as reconciled to the discounted operating lease liabilities presented in our Condensed Consolidated Balance Sheets, were as follows:</w:t>
      </w:r>
    </w:p>
    <w:tbl>
      <w:tblPr>
        <w:tblLayout w:type="fixed"/>
        <w:tblInd w:w="0" w:type="dxa"/>
        <w:tblCellMar>
          <w:top w:w="0" w:type="dxa"/>
          <w:left w:w="0" w:type="dxa"/>
          <w:bottom w:w="0" w:type="dxa"/>
          <w:right w:w="0" w:type="dxa"/>
        </w:tblCellMar>
      </w:tblPr>
      <w:tr>
        <w:trPr>
          <w:trHeight w:val="186"/>
        </w:trPr>
        <w:tc>
          <w:tcPr>
            <w:tcW w:w="9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26"/>
        </w:trPr>
        <w:tc>
          <w:tcPr>
            <w:tcW w:w="9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Maturity Analysis:</w:t>
            </w: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93"/>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4,246</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12,843</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operating lease payments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34,016</w:t>
            </w: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Imputed interest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(6,769)</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present value of future lease payments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27,247</w:t>
            </w: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22,713</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weighted average remaining operating lease term and weighted average discount rate as of December 31,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years</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566"/>
        </w:trPr>
        <w:tc>
          <w:tcPr>
            <w:tcW w:w="948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4"/>
        </w:trPr>
        <w:tc>
          <w:tcPr>
            <w:tcW w:w="9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Six Months Ended</w:t>
            </w:r>
          </w:p>
        </w:tc>
      </w:tr>
      <w:tr>
        <w:trPr>
          <w:trHeight w:val="203"/>
        </w:trPr>
        <w:tc>
          <w:tcPr>
            <w:tcW w:w="9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December 31, 2022</w:t>
            </w:r>
          </w:p>
        </w:tc>
      </w:tr>
      <w:tr>
        <w:trPr>
          <w:trHeight w:val="25"/>
        </w:trPr>
        <w:tc>
          <w:tcPr>
            <w:tcW w:w="9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76"/>
        </w:trPr>
        <w:tc>
          <w:tcPr>
            <w:tcW w:w="9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center"/>
              <w:ind w:right="138"/>
              <w:spacing w:after="0"/>
              <w:rPr>
                <w:sz w:val="20"/>
                <w:szCs w:val="20"/>
                <w:color w:val="auto"/>
              </w:rPr>
            </w:pPr>
            <w:r>
              <w:rPr>
                <w:rFonts w:ascii="Arial" w:cs="Arial" w:eastAsia="Arial" w:hAnsi="Arial"/>
                <w:sz w:val="14"/>
                <w:szCs w:val="14"/>
                <w:color w:val="auto"/>
                <w:w w:val="92"/>
              </w:rPr>
              <w:t>(in thousands)</w:t>
            </w:r>
          </w:p>
        </w:tc>
      </w:tr>
      <w:tr>
        <w:trPr>
          <w:trHeight w:val="20"/>
        </w:trPr>
        <w:tc>
          <w:tcPr>
            <w:tcW w:w="9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9480" w:type="dxa"/>
            <w:vAlign w:val="bottom"/>
          </w:tcPr>
          <w:p>
            <w:pPr>
              <w:ind w:left="360"/>
              <w:spacing w:after="0"/>
              <w:rPr>
                <w:sz w:val="20"/>
                <w:szCs w:val="20"/>
                <w:color w:val="auto"/>
              </w:rPr>
            </w:pPr>
            <w:r>
              <w:rPr>
                <w:rFonts w:ascii="Arial" w:cs="Arial" w:eastAsia="Arial" w:hAnsi="Arial"/>
                <w:sz w:val="18"/>
                <w:szCs w:val="18"/>
                <w:color w:val="auto"/>
              </w:rPr>
              <w:t>Operating lease payments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3,617</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948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5,219</w:t>
            </w:r>
          </w:p>
        </w:tc>
      </w:tr>
    </w:tbl>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Utility and Power</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Process and Industrial</w:t>
            </w: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Storage and Terminal</w:t>
            </w:r>
          </w:p>
        </w:tc>
        <w:tc>
          <w:tcPr>
            <w:tcW w:w="340" w:type="dxa"/>
            <w:vAlign w:val="bottom"/>
          </w:tcPr>
          <w:p>
            <w:pPr>
              <w:spacing w:after="0"/>
              <w:rPr>
                <w:sz w:val="14"/>
                <w:szCs w:val="14"/>
                <w:color w:val="auto"/>
              </w:rPr>
            </w:pP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7"/>
              </w:rPr>
              <w:t>Solutions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balance at 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42,135</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(12,316)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Translation adjustment</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balance at December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26" w:lineRule="exact"/>
        <w:rPr>
          <w:sz w:val="20"/>
          <w:szCs w:val="20"/>
          <w:color w:val="auto"/>
        </w:rPr>
      </w:pPr>
    </w:p>
    <w:p>
      <w:pPr>
        <w:ind w:left="580" w:hanging="329"/>
        <w:spacing w:after="0" w:line="273" w:lineRule="auto"/>
        <w:tabs>
          <w:tab w:leader="none" w:pos="572"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performed our annual goodwill impairment test as of May 31, 2022, which resulted in no impairment. The fiscal 2022 test indicated that four reporting units with a combined total of $33.8 million of goodwill as of June 30, 2022 were at higher risk of future impairment. Recent negative operating results of one of our reporting units at higher risk of impairment indicated that it was more likely than not that its goodwill was impaired. This reporting unit is in the Process and Industrial Facilities segment and includes the midstream gas processing project referenced in Note 2 - Revenue, Revisions in Estimates, which experienced a material adverse change in gross profit during the second quarter of fiscal 2023. Based on the indicated outcome of this project and our near-term outlook for the reporting unit, we performed an interim impairment test for the unit and concluded that its $12.3 million of goodwill was fully impaired. The impairment was recognized in operating income during the three and six months ended December 31, 2022.</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totality of both positive and negative factors, no impairment indicators related to the other reporting units existed at December 31, 2022. However, if our view of project opportunities or gross margins deteriorates, particularly for the remaining higher risk reporting units, then we may need to perform an interim goodwill impairment test, which could result in an impairment.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At December 31, 2022</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1"/>
                <w:szCs w:val="11"/>
                <w:color w:val="auto"/>
              </w:rPr>
            </w:pPr>
          </w:p>
        </w:tc>
        <w:tc>
          <w:tcPr>
            <w:tcW w:w="132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1220" w:type="dxa"/>
            <w:vAlign w:val="bottom"/>
          </w:tcPr>
          <w:p>
            <w:pPr>
              <w:jc w:val="right"/>
              <w:ind w:right="217"/>
              <w:spacing w:after="0" w:line="13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220" w:type="dxa"/>
            <w:vAlign w:val="bottom"/>
          </w:tcPr>
          <w:p>
            <w:pPr>
              <w:jc w:val="right"/>
              <w:ind w:right="37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1"/>
              </w:rPr>
              <w:t>(In thousands)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to 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Customer-based</w:t>
            </w:r>
            <w:r>
              <w:rPr>
                <w:rFonts w:ascii="Arial" w:cs="Arial" w:eastAsia="Arial" w:hAnsi="Arial"/>
                <w:sz w:val="23"/>
                <w:szCs w:val="23"/>
                <w:color w:val="auto"/>
                <w:vertAlign w:val="superscript"/>
              </w:rPr>
              <w:t>(1)</w:t>
            </w: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0"/>
              </w:rPr>
              <w:t>6 to 15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amortizing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26" w:lineRule="exact"/>
        <w:rPr>
          <w:sz w:val="20"/>
          <w:szCs w:val="20"/>
          <w:color w:val="auto"/>
        </w:rPr>
      </w:pP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Customer-based intangible assets have been adjusted in fiscal 2023 to remove $4.2 million of customer relationships that have been fully amortized.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At June 30, 2022</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1"/>
                <w:szCs w:val="11"/>
                <w:color w:val="auto"/>
              </w:rPr>
            </w:pPr>
          </w:p>
        </w:tc>
        <w:tc>
          <w:tcPr>
            <w:tcW w:w="13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1220" w:type="dxa"/>
            <w:vAlign w:val="bottom"/>
          </w:tcPr>
          <w:p>
            <w:pPr>
              <w:jc w:val="right"/>
              <w:ind w:right="217"/>
              <w:spacing w:after="0" w:line="129"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7"/>
                <w:szCs w:val="17"/>
                <w:color w:val="auto"/>
              </w:rPr>
            </w:pPr>
          </w:p>
        </w:tc>
        <w:tc>
          <w:tcPr>
            <w:tcW w:w="1220" w:type="dxa"/>
            <w:vAlign w:val="bottom"/>
          </w:tcPr>
          <w:p>
            <w:pPr>
              <w:jc w:val="right"/>
              <w:ind w:right="37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1"/>
              </w:rPr>
              <w:t>(In thousands)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to 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Customer-based</w:t>
            </w: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0"/>
              </w:rPr>
              <w:t>6 to 15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amortizing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totaled $0.4 million and $0.9 million during the three and six months ended December 31, 2022 and $0.4 million and $1.0 million during the three and six months ended December 31, 2021,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remaining amortization expense related to December 31, 2022 amortizing intangible assets will be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80" w:type="dxa"/>
            <w:vAlign w:val="bottom"/>
          </w:tcPr>
          <w:p>
            <w:pPr>
              <w:ind w:left="20"/>
              <w:spacing w:after="0"/>
              <w:rPr>
                <w:sz w:val="20"/>
                <w:szCs w:val="20"/>
                <w:color w:val="auto"/>
              </w:rPr>
            </w:pPr>
            <w:r>
              <w:rPr>
                <w:rFonts w:ascii="Arial" w:cs="Arial" w:eastAsia="Arial" w:hAnsi="Arial"/>
                <w:sz w:val="18"/>
                <w:szCs w:val="18"/>
                <w:b w:val="1"/>
                <w:bCs w:val="1"/>
                <w:color w:val="auto"/>
              </w:rPr>
              <w:t>Period ending:</w:t>
            </w: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2023</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1,416</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29"/>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Fiscal 2026</w:t>
            </w: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estimated remaining amortization expense at December 31, 2022</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9, 2021, the Company and our primary U.S. and Canada operating subsidiaries entered into an asset-based credit agreement, which was amended on October 5, 2022 (as amended, the "ABL Facility"), with Bank of Montreal, as Administrative Agent, Swing Line Lender and a Letter of Credit Issuer, and the lenders named therein. The maximum amount of loans under the ABL Facility is limited to $90.0 million. The ABL Facility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us and substantially all of our U.S. and Canadian subsidiaries and are secured by a first lien on all our assets and the assets of our co-borrowers and guarantors under the ABL Facility.</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ABL Facility matures, and any outstanding amounts become due and payable, on September 9, 2026. At December 31, 2022, our borrowing base was $83.2 million, we had $15.0 million of outstanding borrowings, and we had $19.2 million in letters of credit outstanding, which resulted in availability of $49.0 million under the ABL Facility.</w:t>
      </w:r>
    </w:p>
    <w:p>
      <w:pPr>
        <w:spacing w:after="0" w:line="1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Borrowings under the ABL Facility bear interest through maturity at a variable rate based upon, at our option, an annual rate of either a base rate (“Base Rate”), an Adjusted Term Secured Overnight Financing Rate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 The interest rate in effect for borrowings outstanding at December 31, 2022, including applicable margin, was 8.75%.</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commitments under the ABL Facility then in effect, a consolidated Fixed Charge Coverage Ratio of at least 1.00 to 1.00 must be maintained. We were in compliance with all covenants of the ABL Facility as of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effective tax rates were zero percent for the three and six months ended December 31, 2022, compared to (78.7)% and (15.5)% during the three and six months ended December 31, 2021, respectively. The effective tax rates during fiscal 2023 were impacted by valuation allowances of $8.4 million and $9.8 million placed on deferred tax assets during the three and six months ended December 31, 2022,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Valuation Allowance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placed a full valuation allowance on our deferred tax assets in the second quarter of fiscal 2022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 or cumulative losses are no longer present and our future projections for growth or tax planning strategies are demonstrated.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Operating Loss Carryback Refund</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Through provisions in the Coronavirus Aid, Relief, and Economic Security (CARES) Act (the "CARES Act"), we had an income tax benefit from the ability to carryback the fiscal 2021 federal net operating loss to a period with a higher statutory federal income tax rate. We estimate that we will receive a $12.6 million tax refund in connection with this carryback, which is included in income taxes receivable in the Condensed Consolidated Balance Sheets.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Payroll Taxes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During the second quarter of fiscal 2023, we repaid the remaining $5.6 million of U.S. payroll taxes we deferred through provisions of the CARES Act.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balance of deferred payroll taxes was included within accrued wages and benefits in the Condensed Consolidated Balance Sheets.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self-insured retentions and coverage limits.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maintain a performance and payment bonding line sufficient to support the business.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Unpriced Change Orders and Claims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$18.2 million at December 31, 2022 and $8.9 million at June 30, 2022. The amounts ultimately realized may be significantly different than the recorded amounts resulting in a material adjustment to future earnings. The determination of our legal basis for a claim requires significant judgment. Generally, collection of amounts related to unpriced change orders and claims is expected within twelve months. However, since customers may not pay these amounts until final resolution of related claims, collection of these amounts may extend beyond one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fiscal 2020, we commenced litigation in an effort to collect accounts receivable from an iron and steel customer following the deterioration of the relationship in the second quarter of fiscal 2020. The unpaid account receivable balance at December 31, 2022 was $17.0 million. Litigation is unpredictable, however, based on the terms of the contract with this customer, we believe we are entitled to collect the full amount owed under the contract.</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participants in various legal actions. It is the opinion of management that none of the other known legal actions will have a material impact on our financial position, results of operations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Common Share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 In the event we report a loss, stock options and nonvested deferred shares are not included since they are anti-dilutive.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58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Six Months Ended</w:t>
            </w:r>
          </w:p>
        </w:tc>
      </w:tr>
      <w:tr>
        <w:trPr>
          <w:trHeight w:val="26"/>
        </w:trPr>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3"/>
        </w:trPr>
        <w:tc>
          <w:tcPr>
            <w:tcW w:w="55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5"/>
              <w:spacing w:after="0" w:line="13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181"/>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5"/>
          </w:tcPr>
          <w:p>
            <w:pPr>
              <w:ind w:left="320"/>
              <w:spacing w:after="0"/>
              <w:rPr>
                <w:sz w:val="20"/>
                <w:szCs w:val="20"/>
                <w:color w:val="auto"/>
              </w:rPr>
            </w:pPr>
            <w:r>
              <w:rPr>
                <w:rFonts w:ascii="Arial" w:cs="Arial" w:eastAsia="Arial" w:hAnsi="Arial"/>
                <w:sz w:val="13"/>
                <w:szCs w:val="13"/>
                <w:color w:val="auto"/>
              </w:rPr>
              <w:t>(In thousands, except per share data)</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(24,919)</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(42,457)</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26,680</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540" w:type="dxa"/>
            <w:vAlign w:val="bottom"/>
          </w:tcPr>
          <w:p>
            <w:pPr>
              <w:ind w:left="20"/>
              <w:spacing w:after="0" w:line="203" w:lineRule="exact"/>
              <w:rPr>
                <w:sz w:val="20"/>
                <w:szCs w:val="20"/>
                <w:color w:val="auto"/>
              </w:rPr>
            </w:pPr>
            <w:r>
              <w:rPr>
                <w:rFonts w:ascii="Arial" w:cs="Arial" w:eastAsia="Arial" w:hAnsi="Arial"/>
                <w:sz w:val="18"/>
                <w:szCs w:val="18"/>
                <w:color w:val="auto"/>
              </w:rPr>
              <w:t>Basic loss per share</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(0.93)</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5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EPS: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(32,827)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(24,919)</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(39,339)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(42,457)</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26,680</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540" w:type="dxa"/>
            <w:vAlign w:val="bottom"/>
          </w:tcPr>
          <w:p>
            <w:pPr>
              <w:ind w:left="20"/>
              <w:spacing w:after="0" w:line="203" w:lineRule="exact"/>
              <w:rPr>
                <w:sz w:val="20"/>
                <w:szCs w:val="20"/>
                <w:color w:val="auto"/>
              </w:rPr>
            </w:pPr>
            <w:r>
              <w:rPr>
                <w:rFonts w:ascii="Arial" w:cs="Arial" w:eastAsia="Arial" w:hAnsi="Arial"/>
                <w:sz w:val="18"/>
                <w:szCs w:val="18"/>
                <w:color w:val="auto"/>
              </w:rPr>
              <w:t>Diluted loss per share</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(0.93)</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r>
      <w:tr>
        <w:trPr>
          <w:trHeight w:val="21"/>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Information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our results of operations through three reportable segments: Utility and Power Infrastructure, Process and Industrial Facilities, and Storage and Terminal Solutions.</w:t>
      </w:r>
    </w:p>
    <w:p>
      <w:pPr>
        <w:spacing w:after="0" w:line="112" w:lineRule="exact"/>
        <w:rPr>
          <w:sz w:val="20"/>
          <w:szCs w:val="20"/>
          <w:color w:val="auto"/>
        </w:rPr>
      </w:pPr>
    </w:p>
    <w:p>
      <w:pPr>
        <w:jc w:val="both"/>
        <w:ind w:left="660" w:hanging="328"/>
        <w:spacing w:after="0" w:line="25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Utility and Power Infrastructure</w:t>
      </w:r>
      <w:r>
        <w:rPr>
          <w:rFonts w:ascii="Arial" w:cs="Arial" w:eastAsia="Arial" w:hAnsi="Arial"/>
          <w:sz w:val="18"/>
          <w:szCs w:val="18"/>
          <w:color w:val="auto"/>
        </w:rPr>
        <w:t>: consists of power delivery services provided to investor-owned utilities, including construction of new</w:t>
      </w:r>
      <w:r>
        <w:rPr>
          <w:rFonts w:ascii="Arial" w:cs="Arial" w:eastAsia="Arial" w:hAnsi="Arial"/>
          <w:sz w:val="18"/>
          <w:szCs w:val="18"/>
          <w:b w:val="1"/>
          <w:bCs w:val="1"/>
          <w:color w:val="auto"/>
        </w:rPr>
        <w:t xml:space="preserve"> </w:t>
      </w:r>
      <w:r>
        <w:rPr>
          <w:rFonts w:ascii="Arial" w:cs="Arial" w:eastAsia="Arial" w:hAnsi="Arial"/>
          <w:sz w:val="18"/>
          <w:szCs w:val="18"/>
          <w:color w:val="auto"/>
        </w:rPr>
        <w:t>substations, upgrades of existing substations, transmission and distribution line installations, upgrades and maintenance, as well as emergency and storm restoration services. We also provide engineering, fabrication, and construction services for LNG utility peak shaving facilities, and provide construction and maintenance services to a variety of power generation facilities, including natural gas fired facilities in simple or combined cycle configuration.</w:t>
      </w:r>
    </w:p>
    <w:p>
      <w:pPr>
        <w:spacing w:after="0" w:line="12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Process and Industrial Facilities</w:t>
      </w:r>
      <w:r>
        <w:rPr>
          <w:rFonts w:ascii="Arial" w:cs="Arial" w:eastAsia="Arial" w:hAnsi="Arial"/>
          <w:sz w:val="18"/>
          <w:szCs w:val="18"/>
          <w:color w:val="auto"/>
        </w:rPr>
        <w:t>: primarily serves customers in the downstream and midstream petroleum industries who are engaged in refining</w:t>
      </w:r>
      <w:r>
        <w:rPr>
          <w:rFonts w:ascii="Arial" w:cs="Arial" w:eastAsia="Arial" w:hAnsi="Arial"/>
          <w:sz w:val="18"/>
          <w:szCs w:val="18"/>
          <w:b w:val="1"/>
          <w:bCs w:val="1"/>
          <w:color w:val="auto"/>
        </w:rPr>
        <w:t xml:space="preserve"> </w:t>
      </w:r>
      <w:r>
        <w:rPr>
          <w:rFonts w:ascii="Arial" w:cs="Arial" w:eastAsia="Arial" w:hAnsi="Arial"/>
          <w:sz w:val="18"/>
          <w:szCs w:val="18"/>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129" w:lineRule="exact"/>
        <w:rPr>
          <w:rFonts w:ascii="Arial" w:cs="Arial" w:eastAsia="Arial" w:hAnsi="Arial"/>
          <w:sz w:val="18"/>
          <w:szCs w:val="18"/>
          <w:color w:val="auto"/>
        </w:rPr>
      </w:pPr>
    </w:p>
    <w:p>
      <w:pPr>
        <w:jc w:val="both"/>
        <w:ind w:left="660" w:hanging="328"/>
        <w:spacing w:after="0" w:line="274"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u w:val="single" w:color="auto"/>
          <w:color w:val="auto"/>
        </w:rPr>
        <w:t>Storage and Terminal Solutions</w:t>
      </w:r>
      <w:r>
        <w:rPr>
          <w:rFonts w:ascii="Arial" w:cs="Arial" w:eastAsia="Arial" w:hAnsi="Arial"/>
          <w:sz w:val="17"/>
          <w:szCs w:val="17"/>
          <w:color w:val="auto"/>
        </w:rPr>
        <w:t>: consists of work related to aboveground crude oil and refined product storage tanks and terminals. We also</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work related to cryogenic and other specialty storage tanks and terminals, including LNG, liquid nitrogen/liquid oxygen, liquid petroleum, hydrogen and other specialty vessels such as spheres in this segment, as well as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performance and allocate resources based on operating income. We eliminate intersegment sales; therefore, no intercompany profit or loss is recognized. Corporate selling, general and administrative expenses are excluded from our three reportable segments in order to better align controllable costs with the responsibility of segment management, and to be consistent with how our chief operating decision-maker assesses segment performance and allocates resources. In fiscal year 2022, we commenced a project to centralize and standardize certain support functions including accounting, human resources and project support. These centralized support functions are now included in corporate selling, general and administrative expense, but were previously included in our operating segment selling, general and administrative expense. Segment assets consist primarily of accounts receivable, costs and estimated earnings in excess of billings on uncompleted contracts, property, plant and equipment, right-of-use lease assets,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600" w:type="dxa"/>
            <w:vAlign w:val="bottom"/>
            <w:gridSpan w:val="5"/>
          </w:tcPr>
          <w:p>
            <w:pPr>
              <w:ind w:lef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1"/>
              <w:spacing w:after="0" w:line="133" w:lineRule="exact"/>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1"/>
              <w:spacing w:after="0" w:line="133" w:lineRule="exact"/>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revenue</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50,589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54,752</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95,459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57,607</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gross revenue</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164,396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403,405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Less: Inter-segment revenue</w:t>
            </w: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and Power Infrastructure</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Total inter-segment revenue</w:t>
            </w:r>
          </w:p>
        </w:tc>
        <w:tc>
          <w:tcPr>
            <w:tcW w:w="8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Consolidated revenue</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50,535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54,752</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95,405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56,897</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consolidated revenue</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161,965</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profit (loss)</w:t>
            </w: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and Power Infrastructure</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4,235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gross profit (loss)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Selling, general and administrative expenses</w:t>
            </w: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and Power Infrastructure</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selling, general and administrative expenses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Goodwill impairment and restructuring costs</w:t>
            </w: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and Power Infrastructure</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goodwill impairment and restructuring costs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and Power Infrastructure</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(6,640)</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loss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80" w:type="dxa"/>
            <w:vAlign w:val="bottom"/>
          </w:tcPr>
          <w:p>
            <w:pPr>
              <w:jc w:val="right"/>
              <w:ind w:right="335"/>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4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and Power Infrastructure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94,059</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Process and Industrial Facilities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119,401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104,078</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and Terminal Solutions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141,084</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101,572</w:t>
            </w: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segment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440,793</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Restructuring Costs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fiscal 2020, we initiated a business improvement plan to increase profitability and reduce our cost structure in order to help us become more competitive and deliver higher quality service. As a result of specific events, including the effects of the COVID-19 pandemic and related market disruptions, the Company expanded its business improvement plan.</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business improvement plan consists of an initial phase of discretionary cost reductions, workforce reductions, reduction of capital expenditures and the reduction in size or closure of certain offices in order to increase the utilization of our staff and bring the cost structure of the business in line with revenue volumes. In fiscal 2022, we commenced a second phase of our plan to focus on centralization of support functions, including business development, accounting, human resources, procurement and project services into shared service centers. During the second quarter of fiscal 2023, we closed an underperforming office and ceased its associated operations, which resulted in $0.7 million of restructuring costs. We expect to complete these restructuring efforts in fiscal 2023 or early fiscal 2024. The restructuring costs consist primarily of severance costs, facility closure costs, consulting fees and other liabilities.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under our business improvement plan are classified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w w:val="92"/>
              </w:rPr>
              <w:t>Since Inception of</w:t>
            </w: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4260" w:type="dxa"/>
            <w:vAlign w:val="bottom"/>
          </w:tcPr>
          <w:p>
            <w:pPr>
              <w:spacing w:after="0"/>
              <w:rPr>
                <w:sz w:val="12"/>
                <w:szCs w:val="12"/>
                <w:color w:val="auto"/>
              </w:rPr>
            </w:pP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December 31, 2022</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December 31, 2021</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December 31, 2022</w:t>
            </w: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2"/>
                <w:szCs w:val="12"/>
                <w:color w:val="auto"/>
              </w:rPr>
            </w:pPr>
          </w:p>
        </w:tc>
        <w:tc>
          <w:tcPr>
            <w:tcW w:w="1220" w:type="dxa"/>
            <w:vAlign w:val="bottom"/>
          </w:tcPr>
          <w:p>
            <w:pPr>
              <w:jc w:val="center"/>
              <w:ind w:right="11"/>
              <w:spacing w:after="0" w:line="145" w:lineRule="exact"/>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1400" w:type="dxa"/>
            <w:vAlign w:val="bottom"/>
            <w:tcBorders>
              <w:bottom w:val="single" w:sz="8" w:color="auto"/>
            </w:tcBorders>
            <w:gridSpan w:val="3"/>
            <w:vMerge w:val="continue"/>
          </w:tcPr>
          <w:p>
            <w:pPr>
              <w:spacing w:after="0"/>
              <w:rPr>
                <w:sz w:val="17"/>
                <w:szCs w:val="17"/>
                <w:color w:val="auto"/>
              </w:rPr>
            </w:pPr>
          </w:p>
        </w:tc>
        <w:tc>
          <w:tcPr>
            <w:tcW w:w="1440" w:type="dxa"/>
            <w:vAlign w:val="bottom"/>
            <w:tcBorders>
              <w:bottom w:val="single" w:sz="8" w:color="auto"/>
            </w:tcBorders>
            <w:gridSpan w:val="3"/>
            <w:vMerge w:val="continue"/>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1400" w:type="dxa"/>
            <w:vAlign w:val="bottom"/>
            <w:tcBorders>
              <w:bottom w:val="single" w:sz="8" w:color="auto"/>
            </w:tcBorders>
            <w:gridSpan w:val="3"/>
            <w:vMerge w:val="continue"/>
          </w:tcPr>
          <w:p>
            <w:pPr>
              <w:spacing w:after="0"/>
              <w:rPr>
                <w:sz w:val="17"/>
                <w:szCs w:val="17"/>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Improvement Plan</w:t>
            </w:r>
          </w:p>
        </w:tc>
        <w:tc>
          <w:tcPr>
            <w:tcW w:w="0" w:type="dxa"/>
            <w:vAlign w:val="bottom"/>
          </w:tcPr>
          <w:p>
            <w:pPr>
              <w:spacing w:after="0"/>
              <w:rPr>
                <w:sz w:val="1"/>
                <w:szCs w:val="1"/>
                <w:color w:val="auto"/>
              </w:rPr>
            </w:pPr>
          </w:p>
        </w:tc>
      </w:tr>
      <w:tr>
        <w:trPr>
          <w:trHeight w:val="194"/>
        </w:trPr>
        <w:tc>
          <w:tcPr>
            <w:tcW w:w="4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Utility and Power Infrastructure</w:t>
            </w: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9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 costs</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Other intangible asset impairments</w:t>
            </w:r>
          </w:p>
        </w:tc>
        <w:tc>
          <w:tcPr>
            <w:tcW w:w="4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Total Utility and Power Infrastructure</w:t>
            </w: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Process and Industrial Facilities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800" w:type="dxa"/>
            <w:vAlign w:val="bottom"/>
          </w:tcPr>
          <w:p>
            <w:pPr>
              <w:jc w:val="right"/>
              <w:ind w:right="59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9,762</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 costs</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Other intangible asset impairments</w:t>
            </w:r>
          </w:p>
        </w:tc>
        <w:tc>
          <w:tcPr>
            <w:tcW w:w="4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Total Process and Industrial Facilities</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12,202</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Storage and Terminal Solutions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800" w:type="dxa"/>
            <w:vAlign w:val="bottom"/>
          </w:tcPr>
          <w:p>
            <w:pPr>
              <w:jc w:val="right"/>
              <w:ind w:right="59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 costs</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costs</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Storage and Terminal Solutions</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Corporate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Facility costs</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Total Corporate</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Restructuring Costs by Type:</w:t>
            </w: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17,226</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Facility costs</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 impairments</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costs</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restructuring costs</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23,977</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gridSpan w:val="3"/>
          </w:tcPr>
          <w:p>
            <w:pPr>
              <w:jc w:val="right"/>
              <w:ind w:right="592"/>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right="382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and nature of future project awards, revenue and margins from each of our segments;</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or raise cash in order to meet our short and long-term capital requirements;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to our business from economic, market or business conditions in general and in the oil, natural gas, power, petrochemical, agricultural and mining industries in particular;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inflation on our operating expenses and our business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to our business from disruptions to supply chains, inflation and availability of materials and labor;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214" w:lineRule="exact"/>
        <w:rPr>
          <w:sz w:val="20"/>
          <w:szCs w:val="20"/>
          <w:color w:val="auto"/>
        </w:rPr>
      </w:pPr>
    </w:p>
    <w:p>
      <w:pPr>
        <w:ind w:left="660" w:right="2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risk factors discussed in this Form 10-Q, Form 10-K for the fiscal year ended June 30, 2022, and in our other filings with the Securities and Exchange Commission;</w:t>
      </w:r>
    </w:p>
    <w:p>
      <w:pPr>
        <w:spacing w:after="0" w:line="116"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natural gas, power, petrochemical, agricultural and mining industries in particular;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transition to renewable energy sources and its impact on our current customer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 or over-utilization of our work force;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the commencement or progression of major projects, whether due to permitting issues or other factors;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our reserves for claims and contingencies;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or regulations, including the imposition, cancellation or delay of tariffs on imported goods.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report our results of operations through three reportable segments: Utility and Power Infrastructure, Process and Industrial Facilities, and Storage and Terminal Solutions.</w:t>
      </w:r>
    </w:p>
    <w:p>
      <w:pPr>
        <w:spacing w:after="0" w:line="112" w:lineRule="exact"/>
        <w:rPr>
          <w:sz w:val="20"/>
          <w:szCs w:val="20"/>
          <w:color w:val="auto"/>
        </w:rPr>
      </w:pPr>
    </w:p>
    <w:p>
      <w:pPr>
        <w:jc w:val="both"/>
        <w:ind w:left="66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Utility and Power Infrastructure</w:t>
      </w:r>
      <w:r>
        <w:rPr>
          <w:rFonts w:ascii="Arial" w:cs="Arial" w:eastAsia="Arial" w:hAnsi="Arial"/>
          <w:sz w:val="18"/>
          <w:szCs w:val="18"/>
          <w:color w:val="auto"/>
        </w:rPr>
        <w:t>: consists of power delivery services provided to investor-owned utilities, including construction of new</w:t>
      </w:r>
      <w:r>
        <w:rPr>
          <w:rFonts w:ascii="Arial" w:cs="Arial" w:eastAsia="Arial" w:hAnsi="Arial"/>
          <w:sz w:val="18"/>
          <w:szCs w:val="18"/>
          <w:b w:val="1"/>
          <w:bCs w:val="1"/>
          <w:color w:val="auto"/>
        </w:rPr>
        <w:t xml:space="preserve"> </w:t>
      </w:r>
      <w:r>
        <w:rPr>
          <w:rFonts w:ascii="Arial" w:cs="Arial" w:eastAsia="Arial" w:hAnsi="Arial"/>
          <w:sz w:val="18"/>
          <w:szCs w:val="18"/>
          <w:color w:val="auto"/>
        </w:rPr>
        <w:t>substations, upgrades of existing substations, transmission and distribution line installations, upgrades and maintenance, as well as emergency and storm restoration services. We also provide engineering, fabrication, and construction services for LNG utility peak shaving facilities, and provide construction and maintenance services to a variety of power generation facilities, including natural gas fired facilities in simple or combined cycle configuration.</w:t>
      </w:r>
    </w:p>
    <w:p>
      <w:pPr>
        <w:spacing w:after="0" w:line="12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Process and Industrial Facilities</w:t>
      </w:r>
      <w:r>
        <w:rPr>
          <w:rFonts w:ascii="Arial" w:cs="Arial" w:eastAsia="Arial" w:hAnsi="Arial"/>
          <w:sz w:val="18"/>
          <w:szCs w:val="18"/>
          <w:color w:val="auto"/>
        </w:rPr>
        <w:t>: primarily serves customers in the downstream and midstream petroleum industries who are engaged in refining</w:t>
      </w:r>
      <w:r>
        <w:rPr>
          <w:rFonts w:ascii="Arial" w:cs="Arial" w:eastAsia="Arial" w:hAnsi="Arial"/>
          <w:sz w:val="18"/>
          <w:szCs w:val="18"/>
          <w:b w:val="1"/>
          <w:bCs w:val="1"/>
          <w:color w:val="auto"/>
        </w:rPr>
        <w:t xml:space="preserve"> </w:t>
      </w:r>
      <w:r>
        <w:rPr>
          <w:rFonts w:ascii="Arial" w:cs="Arial" w:eastAsia="Arial" w:hAnsi="Arial"/>
          <w:sz w:val="18"/>
          <w:szCs w:val="18"/>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129" w:lineRule="exact"/>
        <w:rPr>
          <w:rFonts w:ascii="Arial" w:cs="Arial" w:eastAsia="Arial" w:hAnsi="Arial"/>
          <w:sz w:val="18"/>
          <w:szCs w:val="18"/>
          <w:color w:val="auto"/>
        </w:rPr>
      </w:pPr>
    </w:p>
    <w:p>
      <w:pPr>
        <w:jc w:val="both"/>
        <w:ind w:left="660" w:hanging="328"/>
        <w:spacing w:after="0" w:line="274"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u w:val="single" w:color="auto"/>
          <w:color w:val="auto"/>
        </w:rPr>
        <w:t>Storage and Terminal Solutions</w:t>
      </w:r>
      <w:r>
        <w:rPr>
          <w:rFonts w:ascii="Arial" w:cs="Arial" w:eastAsia="Arial" w:hAnsi="Arial"/>
          <w:sz w:val="17"/>
          <w:szCs w:val="17"/>
          <w:color w:val="auto"/>
        </w:rPr>
        <w:t>: consists of work related to aboveground crude oil and refined product storage tanks and terminals. We also</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work related to cryogenic and other specialty storage tanks and terminals, including LNG, liquid nitrogen/liquid oxygen, liquid petroleum, hydrogen and other specialty vessels such as spheres in this segment, as well as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Update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Project award volumes continued to improve from the two-year period impacted by the pandemic. We received $318.7 million of project awards during the second quarter of fiscal 2023, which is the highest quarterly award amount since the first quarter of fiscal 2020. However, subsequent to the end of the second quarter of fiscal 2023, we received notice from a client that they would not approve adequate compensation to us for the impact that excessive scope changes had on our ability to progress work on a midstream gas processing project according to forecast, as well as for the impact that global supply chain issues and inflation had on the project. The project is included in the Process and Industrial Facilities segment and reduced gross profit by $9.6 million during the quarter. We have accrued the full expected loss for the project, which we expect to be mechanically complete in the fourth quarter of fiscal 2023.</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of $193.8 million during the second quarter of fiscal 2023 was lower than revenue of $208.4 million during the first quarter of fiscal 2023 as certain projects awarded in prior periods are working off while the newly awarded projects' contribution to revenue is limited as they progress through contract finalization, engineering, and planning stages. Revenue levels were also lower than expected as a large LNG project that was expected to be awarded in the first half of fiscal 2023 has not been awarded and award timing is unknown. Lastly, normal seasonality resulted in lower volumes of work as we moved through the quarter. We are anticipating revenue volumes in the third quarter of fiscal 2023 to be relatively unchanged from the second quarter of fiscal 2023 and to increase meaningfully in the fourth quarter of fiscal 2023 as newly awarded projects enter the revenue stream.</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(loss) was (0.7%) in the second quarter of fiscal 2023 compared to 6.2% in the first quarter of fiscal 2023. Our results of operations were materially impacted by the $9.6 million project adjustment referenced above. Gross margins during the second quarter of fiscal 2023 were also negatively impacted by the under recovery of construction overhead costs due to lower revenue and continued work on previously-booked projects with reduced gross margins awarded in a highly competitive time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order to more clearly depict our core profitability, the following tables present our operating results after certain adjustments: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to Adjusted Net Loss</w:t>
      </w:r>
      <w:r>
        <w:rPr>
          <w:rFonts w:ascii="Arial" w:cs="Arial" w:eastAsia="Arial" w:hAnsi="Arial"/>
          <w:sz w:val="23"/>
          <w:szCs w:val="23"/>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Pr>
          <w:p>
            <w:pPr>
              <w:spacing w:after="0"/>
              <w:rPr>
                <w:sz w:val="16"/>
                <w:szCs w:val="16"/>
                <w:color w:val="auto"/>
              </w:rPr>
            </w:pPr>
          </w:p>
        </w:tc>
      </w:tr>
      <w:tr>
        <w:trPr>
          <w:trHeight w:val="26"/>
        </w:trPr>
        <w:tc>
          <w:tcPr>
            <w:tcW w:w="582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440" w:type="dxa"/>
            <w:vAlign w:val="bottom"/>
            <w:gridSpan w:val="3"/>
          </w:tcPr>
          <w:p>
            <w:pPr>
              <w:spacing w:after="0"/>
              <w:rPr>
                <w:sz w:val="2"/>
                <w:szCs w:val="2"/>
                <w:color w:val="auto"/>
              </w:rPr>
            </w:pPr>
          </w:p>
        </w:tc>
        <w:tc>
          <w:tcPr>
            <w:tcW w:w="1380" w:type="dxa"/>
            <w:vAlign w:val="bottom"/>
            <w:gridSpan w:val="3"/>
          </w:tcPr>
          <w:p>
            <w:pPr>
              <w:spacing w:after="0"/>
              <w:rPr>
                <w:sz w:val="2"/>
                <w:szCs w:val="2"/>
                <w:color w:val="auto"/>
              </w:rPr>
            </w:pPr>
          </w:p>
        </w:tc>
        <w:tc>
          <w:tcPr>
            <w:tcW w:w="1260" w:type="dxa"/>
            <w:vAlign w:val="bottom"/>
            <w:gridSpan w:val="2"/>
          </w:tcPr>
          <w:p>
            <w:pPr>
              <w:spacing w:after="0"/>
              <w:rPr>
                <w:sz w:val="2"/>
                <w:szCs w:val="2"/>
                <w:color w:val="auto"/>
              </w:rPr>
            </w:pPr>
          </w:p>
        </w:tc>
      </w:tr>
      <w:tr>
        <w:trPr>
          <w:trHeight w:val="189"/>
        </w:trPr>
        <w:tc>
          <w:tcPr>
            <w:tcW w:w="5820" w:type="dxa"/>
            <w:vAlign w:val="bottom"/>
          </w:tcPr>
          <w:p>
            <w:pPr>
              <w:spacing w:after="0"/>
              <w:rPr>
                <w:sz w:val="16"/>
                <w:szCs w:val="16"/>
                <w:color w:val="auto"/>
              </w:rPr>
            </w:pPr>
          </w:p>
        </w:tc>
        <w:tc>
          <w:tcPr>
            <w:tcW w:w="134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2022</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160" w:type="dxa"/>
            <w:vAlign w:val="bottom"/>
          </w:tcPr>
          <w:p>
            <w:pPr>
              <w:spacing w:after="0"/>
              <w:rPr>
                <w:sz w:val="16"/>
                <w:szCs w:val="16"/>
                <w:color w:val="auto"/>
              </w:rPr>
            </w:pPr>
          </w:p>
        </w:tc>
        <w:tc>
          <w:tcPr>
            <w:tcW w:w="138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2022</w:t>
            </w: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r>
      <w:tr>
        <w:trPr>
          <w:trHeight w:val="230"/>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as reported</w:t>
            </w: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(32,827)</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(24,919)</w:t>
            </w: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(42,457)</w:t>
            </w: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Goodwill impairment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12,316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costs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30"/>
        </w:trPr>
        <w:tc>
          <w:tcPr>
            <w:tcW w:w="5820" w:type="dxa"/>
            <w:vAlign w:val="bottom"/>
          </w:tcPr>
          <w:p>
            <w:pPr>
              <w:ind w:left="360"/>
              <w:spacing w:after="0" w:line="230" w:lineRule="exact"/>
              <w:rPr>
                <w:sz w:val="20"/>
                <w:szCs w:val="20"/>
                <w:color w:val="auto"/>
              </w:rPr>
            </w:pPr>
            <w:r>
              <w:rPr>
                <w:rFonts w:ascii="Arial" w:cs="Arial" w:eastAsia="Arial" w:hAnsi="Arial"/>
                <w:sz w:val="18"/>
                <w:szCs w:val="18"/>
                <w:color w:val="auto"/>
              </w:rPr>
              <w:t>Accelerated amortization of deferred debt amendment fees</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1,518</w:t>
            </w:r>
          </w:p>
        </w:tc>
      </w:tr>
      <w:tr>
        <w:trPr>
          <w:trHeight w:val="175"/>
        </w:trPr>
        <w:tc>
          <w:tcPr>
            <w:tcW w:w="58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Tax impact of goodwill impairment, restructuring costs and accelerated</w:t>
            </w: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43"/>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amendment fees</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29"/>
        </w:trPr>
        <w:tc>
          <w:tcPr>
            <w:tcW w:w="582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Deferred tax asset valuation allowance</w:t>
            </w:r>
            <w:r>
              <w:rPr>
                <w:rFonts w:ascii="Arial" w:cs="Arial" w:eastAsia="Arial" w:hAnsi="Arial"/>
                <w:sz w:val="23"/>
                <w:szCs w:val="23"/>
                <w:color w:val="auto"/>
                <w:vertAlign w:val="superscript"/>
              </w:rPr>
              <w:t>(3)</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14,198</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14,198</w:t>
            </w: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loss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(10,205)</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(26,166)</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5"/>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share, as reported</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820" w:type="dxa"/>
            <w:vAlign w:val="bottom"/>
          </w:tcPr>
          <w:p>
            <w:pPr>
              <w:ind w:left="20"/>
              <w:spacing w:after="0" w:line="203" w:lineRule="exact"/>
              <w:rPr>
                <w:sz w:val="20"/>
                <w:szCs w:val="20"/>
                <w:color w:val="auto"/>
              </w:rPr>
            </w:pPr>
            <w:r>
              <w:rPr>
                <w:rFonts w:ascii="Arial" w:cs="Arial" w:eastAsia="Arial" w:hAnsi="Arial"/>
                <w:sz w:val="18"/>
                <w:szCs w:val="18"/>
                <w:color w:val="auto"/>
              </w:rPr>
              <w:t>Adjusted loss per share</w:t>
            </w:r>
          </w:p>
        </w:tc>
        <w:tc>
          <w:tcPr>
            <w:tcW w:w="360" w:type="dxa"/>
            <w:vAlign w:val="bottom"/>
            <w:tcBorders>
              <w:bottom w:val="single" w:sz="8" w:color="auto"/>
            </w:tcBorders>
          </w:tcPr>
          <w:p>
            <w:pPr>
              <w:jc w:val="right"/>
              <w:ind w:right="174"/>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(0.53)</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4"/>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(0.38)</w:t>
            </w:r>
          </w:p>
        </w:tc>
        <w:tc>
          <w:tcPr>
            <w:tcW w:w="160" w:type="dxa"/>
            <w:vAlign w:val="bottom"/>
          </w:tcPr>
          <w:p>
            <w:pPr>
              <w:spacing w:after="0"/>
              <w:rPr>
                <w:sz w:val="17"/>
                <w:szCs w:val="17"/>
                <w:color w:val="auto"/>
              </w:rPr>
            </w:pPr>
          </w:p>
        </w:tc>
        <w:tc>
          <w:tcPr>
            <w:tcW w:w="380" w:type="dxa"/>
            <w:vAlign w:val="bottom"/>
            <w:tcBorders>
              <w:bottom w:val="single" w:sz="8" w:color="auto"/>
            </w:tcBorders>
          </w:tcPr>
          <w:p>
            <w:pPr>
              <w:jc w:val="right"/>
              <w:ind w:right="174"/>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(0.69)</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4"/>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(0.98)</w:t>
            </w:r>
          </w:p>
        </w:tc>
      </w:tr>
      <w:tr>
        <w:trPr>
          <w:trHeight w:val="20"/>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111125</wp:posOffset>
            </wp:positionV>
            <wp:extent cx="7969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31" w:lineRule="exact"/>
        <w:rPr>
          <w:sz w:val="20"/>
          <w:szCs w:val="20"/>
          <w:color w:val="auto"/>
        </w:rPr>
      </w:pPr>
    </w:p>
    <w:p>
      <w:pPr>
        <w:jc w:val="both"/>
        <w:ind w:left="580" w:hanging="329"/>
        <w:spacing w:after="0" w:line="281" w:lineRule="auto"/>
        <w:tabs>
          <w:tab w:leader="none" w:pos="572"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This table presents non-GAAP financial measures of our adjusted net loss and adjusted loss per share for the three and six months ended December 31, 2022 and 2021. The most directly comparable financial measures are net loss and loss per share, respectively, presented in the Condensed Consolidated Statements of Income. We have presented these non-GAAP financial measures because we believe they more clearly depict our core operating results during the periods presented and provide a more comparable measure of our operating results to other companies considered to be in similar businesses. Since adjusted net loss and adjusted loss per share are not measures of performance calculated in accordance with GAAP, they should be considered in addition to, rather than as a substitute for, the most directly comparable GAAP financial measures.</w:t>
      </w:r>
    </w:p>
    <w:p>
      <w:pPr>
        <w:ind w:left="560" w:hanging="309"/>
        <w:spacing w:after="0"/>
        <w:tabs>
          <w:tab w:leader="none" w:pos="5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expense in fiscal 2022 included $1.5 million of accelerated amortization of deferred debt amendment fees.</w:t>
      </w:r>
    </w:p>
    <w:p>
      <w:pPr>
        <w:spacing w:after="0" w:line="9" w:lineRule="exact"/>
        <w:rPr>
          <w:rFonts w:ascii="Arial" w:cs="Arial" w:eastAsia="Arial" w:hAnsi="Arial"/>
          <w:sz w:val="14"/>
          <w:szCs w:val="14"/>
          <w:color w:val="auto"/>
        </w:rPr>
      </w:pPr>
    </w:p>
    <w:p>
      <w:pPr>
        <w:ind w:left="560" w:hanging="309"/>
        <w:spacing w:after="0"/>
        <w:tabs>
          <w:tab w:leader="none" w:pos="5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Item 1. Financial Statements, Note 7 - Income Taxes, for more information about the deferred tax asset valuation allowance.</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presented Adjusted EBITDA, which we define as net loss before goodwill impairment, restructuring costs, stock-based compensation, interest expense, income taxes, and depreciation and amortization, because it is used by the financial community as a method of measuring our performance and of evaluating the market value of companies considered to be in similar businesses. We believe that the line item on our Condensed Consolidated Statements of Income entitled “Net loss”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loss,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112" w:lineRule="exact"/>
        <w:rPr>
          <w:sz w:val="20"/>
          <w:szCs w:val="20"/>
          <w:color w:val="auto"/>
        </w:rPr>
      </w:pPr>
    </w:p>
    <w:p>
      <w:pPr>
        <w:jc w:val="both"/>
        <w:ind w:left="980" w:hanging="324"/>
        <w:spacing w:after="0" w:line="311" w:lineRule="auto"/>
        <w:tabs>
          <w:tab w:leader="none" w:pos="9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It does not include impairment to goodwill. While impairment to goodwill is a non-cash expense in the period recognized, cash or other consideration was still transferred in exchange for goodwill in the period of the acquisition. Any measure that excludes impairment to goodwill has material limitations since this expense represents the loss of an asset that was acquired in exchange for cash or other assets.</w:t>
      </w:r>
    </w:p>
    <w:p>
      <w:pPr>
        <w:spacing w:after="0" w:line="94" w:lineRule="exact"/>
        <w:rPr>
          <w:rFonts w:ascii="Arial" w:cs="Arial" w:eastAsia="Arial" w:hAnsi="Arial"/>
          <w:sz w:val="16"/>
          <w:szCs w:val="16"/>
          <w:color w:val="auto"/>
        </w:rPr>
      </w:pPr>
    </w:p>
    <w:p>
      <w:pPr>
        <w:ind w:left="980" w:right="2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does not include restructuring costs. Restructuring costs represent material costs that were incurred and are oftentimes cash expenses. Therefore, any measure that excludes restructuring costs has material limitations.</w:t>
      </w:r>
    </w:p>
    <w:p>
      <w:pPr>
        <w:spacing w:after="0" w:line="116" w:lineRule="exact"/>
        <w:rPr>
          <w:rFonts w:ascii="Arial" w:cs="Arial" w:eastAsia="Arial" w:hAnsi="Arial"/>
          <w:sz w:val="18"/>
          <w:szCs w:val="18"/>
          <w:color w:val="auto"/>
        </w:rPr>
      </w:pPr>
    </w:p>
    <w:p>
      <w:pPr>
        <w:jc w:val="both"/>
        <w:ind w:left="980" w:hanging="324"/>
        <w:spacing w:after="0" w:line="259"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does not include stock-based compensation. Stock-based compensation represents material amounts of equity that are awarded to our employees and directors for services rendered. While the expense is non-cash, we release vested shares out of our treasury stock, which has historically been replenished by using cash to periodically repurchase our stock. Therefore, any measure that excludes stock-based compensation has material limitations.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ind w:left="980" w:hanging="324"/>
        <w:spacing w:after="0" w:line="311" w:lineRule="auto"/>
        <w:tabs>
          <w:tab w:leader="none" w:pos="9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94" w:lineRule="exact"/>
        <w:rPr>
          <w:rFonts w:ascii="Arial" w:cs="Arial" w:eastAsia="Arial" w:hAnsi="Arial"/>
          <w:sz w:val="16"/>
          <w:szCs w:val="16"/>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16"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net loss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4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Six Months Ended</w:t>
            </w:r>
          </w:p>
        </w:tc>
      </w:tr>
      <w:tr>
        <w:trPr>
          <w:trHeight w:val="26"/>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3"/>
        </w:trPr>
        <w:tc>
          <w:tcPr>
            <w:tcW w:w="60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55"/>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December 31,</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34"/>
              <w:spacing w:after="0" w:line="13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6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r>
      <w:tr>
        <w:trPr>
          <w:trHeight w:val="196"/>
        </w:trPr>
        <w:tc>
          <w:tcPr>
            <w:tcW w:w="60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(42,457)</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3,735</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Provision for federal, state and foreign income taxes</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5,711</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7,841</w:t>
            </w: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(21,369)</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3580"/>
        <w:spacing w:after="0" w:line="440" w:lineRule="auto"/>
        <w:rPr>
          <w:sz w:val="20"/>
          <w:szCs w:val="20"/>
          <w:color w:val="auto"/>
        </w:rPr>
      </w:pPr>
      <w:r>
        <w:rPr>
          <w:rFonts w:ascii="Arial" w:cs="Arial" w:eastAsia="Arial" w:hAnsi="Arial"/>
          <w:sz w:val="18"/>
          <w:szCs w:val="18"/>
          <w:b w:val="1"/>
          <w:bCs w:val="1"/>
          <w:color w:val="auto"/>
        </w:rPr>
        <w:t xml:space="preserve">Three Months Ended December 31, 2022 Compared to the Three Months Ended December 31, 2021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revenue was $193.8 million for the three months ended December 31, 2022, compared to $162.0 million in the same period last year. On a segment basis, revenue increased in the Process and Industrial Facilities and Storage and Terminal Solutions segments by $30.5 million and $5.6 million, respectively. The increases were partially offset by a decrease in revenue of $4.2 million in the Utility and Power Infrastructure segment.</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Consolidated gross profit decreased to a loss of $1.3 million in the three months ended December 31, 2022 compared to a gross profit of $3.2 million in the same period last year. Gross margin (loss) decreased to (0.7%) in the three months ended December 31, 2022 compared to 2.0% in the same period last year. Gross margins in the second quarter of fiscal 2023 were negatively impacted by a client not approving adequate compensation to us for the impact that excessive scope changes had on our ability to progress work on a midstream gas processing project according to forecast, as well as for the impact that global supply chain issues and inflation had on the project. The project reduced gross profit by $9.6 million during the three months ended December 31, 2022. We have accrued the full expected loss for the project, which we expect to be mechanically complete in the fourth quarter of fiscal 2023. In addition, gross margins during the second quarter of fiscal 2023 were negatively impacted by the under recovery of construction overhead costs, continued work on previously-booked projects with reduced gross margins awarded in a highly competitive time period, and increased forecasted costs to complete a smaller capital storage project. While we are still not fully recovering construction overhead costs, higher revenue volumes in fiscal 2023 have resulted in improved overhead cost recovery. Gross margins in the second quarter of fiscal 2022 were negatively impacted by low revenue volumes, which led to the under recovery of construction overhead costs, and by a lower than previously forecasted margin on a tank repair and maintenance project in the Storage and Terminal Solutions segment.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Consolidated SG&amp;A expenses were $17.5 million in the three months ended December 31, 2022 compared to $15.9 million in the same period last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attributable to higher project pursuit costs and other costs to support higher revenue volumes.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goodwill impairment of $12.3 million in the three months ended December 31, 2022. See Item 1. Financial Statements, Note 5 - Goodwill and Other Intangible Assets, Goodwill, for more information about the impairment.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recorded restructuring costs of $1.3 million in the three months ended December 31, 2022 compared to $0.7 million in the same period last year. During the second quarter of fiscal 2023, we closed an underperforming office and ceased its associated operations, which resulted in $0.7 million of restructuring costs. See Item 1. Financial Statements, Note 11 - Restructuring Costs, for more information about our business improvement plan.</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was $0.9 million in the three months ended December 31, 2022 compared to $0.5 million in the three months ended December 31, 2021. Interest expense in the three months ended December 31, 2022 consisted primarily of interest on debt outstanding, unused capacity fees, amortization of deferred debt issuance costs, letter of credit fees and other interest.</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effective tax rates for the three months ended December 31, 2022 and December 31, 2021 were zero and (78.7)%, respectively. The effective tax rate during the three months ended December 31, 2022 was impacted by a $8.4 million valuation allowance placed on deferred tax assets. We placed a full valuation allowance on our deferred tax assets in the second quarter of fiscal 2022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 or cumulative losses are no longer present and our future projections for growth or tax planning strategies are demonstrated.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December 31, 2022, we had a net loss of $32.8 million, or $1.22 per fully diluted share, compared to a net loss of $24.9 million, or $0.93 per fully diluted share, in the three months ended December 31,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and Power Infrastructure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for the Utility and Power Infrastructure segment was $50.5 million in the three months ended December 31, 2022 compared to $54.8 million in the same period last year. The decrease is primarily due to lower volumes of LNG peak shaving work, partially offset by higher volumes of power delivery work.</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segment gross margin was 4.8% in the second quarter of fiscal 2023 compared to a loss of (0.9%) in the same period last year. While this was an improvement compared to the prior quarter, gross margin was negatively impacted by previously-booked projects with reduced gross margins awarded in a highly competitive time period. This was partially offset by better than expected outcomes on other recently awarded projects in the segment.</w:t>
      </w:r>
    </w:p>
    <w:p>
      <w:pPr>
        <w:spacing w:after="0" w:line="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segment gross margin (loss) for the three months ended December 31, 2021 was negatively impacted by lower margins on power delivery work bid competitively and revenue recognized on a large capital project at a margin reduced in prior periods. In addition, segment gross margin in the second quarter of fiscal 2022 was also negatively impacted by low volumes, which led to the under recovery of construction overhead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and Industrial Facilities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for the Process and Industrial Facilities segment was $80.8 million in the three months ended December 31, 2022 compared to $50.3 million in the same period last year. The increase was primarily due to higher volumes of midstream gas processing capital work, higher volumes of refinery maintenance and turnaround activity, work on a capital project at a biodiesel facility, and work on a capital project at a small-scale boron facility.</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segment gross margin (loss) was (6.4%) for the three months ended December 31, 2022 compared to 8.4% in the same period last year. The segment gross margin (loss) in the second quarter of fiscal 2023 was negatively impacted by a client not approving adequate compensation to us for the impact that excessive scope changes had on our ability to progress work on a midstream gas processing project according to forecast, as well as for the impact that global supply chain issues and inflation had on the project. The project reduced gross profit by $9.6 million during the three months ended December 31, 2022. We have accrued the full expected loss for the project, which we expect to be mechanically complete in the fourth quarter of fiscal 2023. The segment gross margin (loss) in the second quarter of fiscal 2023 was also negatively impacted by the under recovery of construction overhead costs and continued work on previously-booked projects with reduced gross margins awarded in a highly competitive time period. This was partially offset by better than expected outcomes on other projects in the segment.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Despite generally strong project execution, the lower segment gross margin for the three months ended December 31, 2021 was the result of low volumes, which lead to under recovery of construction overhead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and Terminal Solutions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Storage and Terminal Solutions segment was $62.5 million in the three months ended December 31, 2022 compared to $56.9 million in the same period last year. The increase in segment revenue is primarily a result of higher volumes of specialty vessel capital projects along with higher volumes of tank repair and maintenance work. However, revenue levels were still lower than expected as a large LNG project that was expected to be awarded in the first half of fiscal 2023 has not been awarded and award timing is unknown. Other storage project awards have been strong and are expected to significantly improve revenue in the latter part of the fiscal year.</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segment gross margin was 2.6% for the three months ended December 31, 2022 compared to a loss of (0.3)% in the same period last year. The fiscal 2023 segment gross margin was negatively impacted by the under recovery of construction overhead costs and increased forecasted costs to complete a smaller capital storage project.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segment gross margin (loss) for the three months ended December 31, 2021 was negatively impacted by a lower than previously forecasted margin on a thermal energy storage tank repair and maintenance project due to changes in repair scope, expanded client weld testing and associated schedule delays, which reduced segment gross profit by $2.8 million. The segment gross margin (loss) in the second quarter of fiscal 2022 was also negatively impacted by low volumes, which led to the under recovery of construction overhead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Unallocated corporate expenses were $7.4 million during the three months ended December 31, 2022 compared to $6.6 million in the same period last year. The increase in fiscal 2023 is primarily due to a project that commenced in fiscal 2022 to centralize certain support functions to corporate including accounting, human resources and project support that were previously included in operating segment expenses.</w:t>
      </w:r>
    </w:p>
    <w:p>
      <w:pPr>
        <w:spacing w:after="0" w:line="126" w:lineRule="exact"/>
        <w:rPr>
          <w:sz w:val="20"/>
          <w:szCs w:val="20"/>
          <w:color w:val="auto"/>
        </w:rPr>
      </w:pPr>
    </w:p>
    <w:p>
      <w:pPr>
        <w:ind w:right="4020"/>
        <w:spacing w:after="0" w:line="440" w:lineRule="auto"/>
        <w:rPr>
          <w:sz w:val="20"/>
          <w:szCs w:val="20"/>
          <w:color w:val="auto"/>
        </w:rPr>
      </w:pPr>
      <w:r>
        <w:rPr>
          <w:rFonts w:ascii="Arial" w:cs="Arial" w:eastAsia="Arial" w:hAnsi="Arial"/>
          <w:sz w:val="18"/>
          <w:szCs w:val="18"/>
          <w:b w:val="1"/>
          <w:bCs w:val="1"/>
          <w:color w:val="auto"/>
        </w:rPr>
        <w:t xml:space="preserve">Six Months Ended December 31, 2022 Compared to the Six Months Ended December 31, 2021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revenue was $402.3 million for the six months ended December 31, 2022, compared to $330.1 million in the same period last year. On a segment basis, revenue increased in the Process and Industrial Facilities and Storage and Terminal Solutions segments by $73.2 million and $15.6 million, respectively. The increases were partially offset by a decrease in revenue of $16.6 million in the Utility and Power Infrastructure segment.</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Consolidated gross profit increased to $11.7 million in the six months ended December 31, 2022 compared to a gross loss of $0.3 million in the same period last year. Gross margin increased to 2.9% in the six months ended December 31, 2022 compared to a loss of (0.1)% in the same period last year. Gross margins in the first six months of fiscal 2023 were negatively impacted by a client not approving adequate compensation to us for the impact that excessive scope changes had on our ability to progress work on a midstream gas processing project according to forecast, as well as for the impact that global supply chain issues and inflation had on the project. The project reduced gross profit by $9.4 million during the six months ended December 31, 2022. We have accrued the full expected loss for the project, which we expect to be mechanically complete in the fourth quarter of fiscal 2023. In addition, gross margins during the first six months of fiscal 2023 were negatively impacted by the under recovery of construction overhead costs, continued work on previously-booked projects with reduced gross margins awarded in a highly competitive time period, and increased forecasted costs to complete a smaller capital storage project. While we are still not fully recovering construction overhead costs, higher revenue volumes in fiscal 2023 have resulted in improved overhead cost recovery. Gross margins in the first six months of fiscal 2022 were negatively impacted by a lower than previously forecasted margin on a large capital project and an unfavorable settlement of a claim with a customer, both in the Utility and Power Infrastructure segment, and a lower than previously forecasted margin on a tank repair and maintenance project in the Storage and Terminal Solutions segment. In addition, gross margins were also negatively impacted by lower than forecasted volumes, which led to the under recovery of construction overhead costs.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SG&amp;A expenses were $34.4 million in the six months ended December 31, 2022 compared to $32.6 million in the same period last year. The increase was primarily attributable to higher project pursuit costs and other costs to support higher revenue volumes.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goodwill impairment of $12.3 million in the three months ended December 31, 2022. See Item 1. Financial Statements, Note 5 - Goodwill and Other Intangible Assets, Goodwill, for more information about the impairment.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restructuring costs of $2.6 million in the six months ended December 31, 2022 compared to $1.3 million in the same period last year. During the second quarter of fiscal 2023, we closed an underperforming office and ceased its associated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operations, which resulted in $0.7 million of restructuring costs. See Item 1. Financial Statements, Note 11 - Restructuring Costs, for more information about our business improvement plan.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was $1.3 million in the six months ended December 31, 2022 compared to $2.5 million in the six months ended December 31, 2021. Interest expense in fiscal 2023 consisted primarily of interest on debt outstanding, unused capacity fees, amortization of deferred debt issuance costs, letter of credit fees and other interest. Interest expense in fiscal 2022 included $1.5 million of accelerated amortization of deferred debt amendment fees associated with terminating our prior credit facility along with a similar level of other interest costs.</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effective tax rates for the six months ended December 31, 2022 and December 31, 2021 were zero and (15.5)%, respectively. The effective tax rate during the six months ended December 31, 2022 was impacted by a $9.8 million valuation allowance placed on deferred tax assets. We placed a full valuation allowance on our deferred tax assets in the second quarter of fiscal 2022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 or cumulative losses are no longer present and our future projections for growth or tax planning strategies are demonstrated.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December 31, 2022, we had a net loss of $39.3 million or $1.46 per fully diluted share, compared to a net loss of $42.5 million, or $1.59 per fully diluted share, in the six months ended December 31,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and Power Infrastructure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for the Utility and Power Infrastructure segment was $95.4 million in the six months ended December 31, 2022 compared to $112.0 million in the same period last year. The decrease is primarily due to lower volumes of LNG peak shaving and storm work, partially offset by higher volumes of power delivery work.</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segment gross margin was 4.3% for the six months ended December 31, 2022 compared to a loss of (5.9)% in the same period last year. The segment gross margin for the first six months of fiscal 2023 was negatively impacted by continued work on projects with previously reduced gross margins and projects that were bid competitively.</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segment gross margin for the six months ended December 31, 2021 was negatively impacted by an increase in the forecasted costs to complete a large capital project in the first quarter, which resulted in a decrease in gross profit of $5.9 million. The change in forecasted costs was principally due to unexpected equipment repairs during commissioning that delayed the scheduled completion and increased the estimated costs to complete. In addition, segment gross margin was negatively impacted by an unfavorable settlement of a claim with a customer, and low volumes, which led to the under recovery of construction overhead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and Industrial Facilities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for the Process and Industrial Facilities segment was $167.4 million in the six months ended December 31, 2022 compared to $94.2 million in the same period last year. The increase was primarily due to higher volumes of midstream gas processing capital work, work on a capital project at a biodiesel facility, higher volumes of refinery maintenance and turnaround activity, and work on a capital project at a small-scale boron facility.</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segment gross margin was (0.5)% for the six months ended December 31, 2022 compared to 7.5% in the same period last year. The segment gross margin in the first six months of fiscal 2023 was negatively impacted by a client not approving adequate compensation to us for the impact that excessive scope changes had on our ability to progress work on a midstream gas processing project according to forecast, as well as for the impact that global supply chain issues and inflation had on the project. The project reduced gross profit by $9.4 million during the six months ended December 31, 2022. We have accrued the full expected loss for the project, which we expect to be mechanically complete in the fourth quarter of fiscal 2023. The segment gross margin (loss) in the first six months of fiscal 2023 was also negatively impacted by the under recovery of construction overhead costs and continued work on previously-booked projects with reduced gross margins awarded in a highly competitive time period. This was partially offset by better than expected outcomes on other projects in the segment.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Despite generally strong project execution, the low segment gross margin in the first six months of fiscal 2022 was the result of low volumes, which led to the under recovery of construction overhead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and Terminal Solutions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 for the Storage and Terminal Solutions segment was $139.4 million in the six months ended December 31, 2022 compared to $123.9 million in the same period last year. The increase in segment revenue is primarily a result of higher volumes of specialty vessel and tank and terminal capital projects along with higher volumes of tank repair and maintenance work. However, revenue levels were still lower than expected as a large LNG project that was expected to be awarded in the first half of fiscal 2023 has not been awarded and award timing is unknown. Other storage project awards have been strong and are expected to significantly improve revenue in the latter part of the fiscal year.</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segment gross margin was 6.6% for the six months ended December 31, 2022 compared to 0.2% in the same period last year. The segment gross margin for the six months ended December 31, 2022 was negatively impacted by the under recovery of construction overhead costs and increased forecasted costs to complete a smaller capital storage project.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segment gross margin for the six months ended December 31, 2021 was negatively impacted by a lower than previously forecasted margin on a thermal energy storage tank repair and maintenance project due to changes in repair scope, expanded client weld testing and associated schedule delays, which reduced segment gross profit by $5.5 million. In addition, the fiscal 2022 segment gross margin was also negatively impacted by low volumes, which led to the under recovery of construction overhead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Unallocated corporate expenses were $15.2 million during the six months ended December 31, 2022 compared to $14.3 million in the same period last year. The increase in fiscal 2023 is primarily due to a project that commenced in fiscal 2022 to centralize certain support functions to corporate including accounting, human resources and project support that were previously included in operating segment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limited notice to proceed or other type of assurance that we consider firm. The following arrangements are considered firm:</w:t>
      </w:r>
    </w:p>
    <w:p>
      <w:pPr>
        <w:spacing w:after="0" w:line="17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52"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long-term maintenance contracts with no minimum commitments and other established customer agreements, we include only the amounts that we expect to recognize as revenue over the next 12 months. For arrangements in which we have received a limited notice to proceed ("LNTP"), we include the entire scope of work in our backlog if we conclude that the likelihood of the full project proceeding as high. For all other arrangements, we calculate backlog as the estimated contract amount less revenue recognized as of the reporting date.</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December 31, 2022: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Utility and Power</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Process and</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 and</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Industrial Facilities</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Terminal Solutions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 as of September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250,209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615,657</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98,033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115,466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318,652</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(193,840)</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Backlog as of December 31,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147,305</w:t>
            </w:r>
          </w:p>
        </w:tc>
        <w:tc>
          <w:tcPr>
            <w:tcW w:w="1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303,159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740,469</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Book-to-bill ratio</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146050</wp:posOffset>
            </wp:positionV>
            <wp:extent cx="7969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12" w:lineRule="exact"/>
        <w:rPr>
          <w:sz w:val="20"/>
          <w:szCs w:val="20"/>
          <w:color w:val="auto"/>
        </w:rPr>
      </w:pPr>
    </w:p>
    <w:p>
      <w:pPr>
        <w:ind w:left="560" w:hanging="309"/>
        <w:spacing w:after="0"/>
        <w:tabs>
          <w:tab w:leader="none" w:pos="5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six months ended December 31, 2022: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Utility and Power</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Process and</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 and</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Industrial Facilities</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Terminal Solutions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 as of 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102,059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589,460</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140,651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165,135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247,494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553,280</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(402,271)</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Backlog as of December 31,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147,305</w:t>
            </w:r>
          </w:p>
        </w:tc>
        <w:tc>
          <w:tcPr>
            <w:tcW w:w="1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303,159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740,469</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Book-to-bill ratio</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146050</wp:posOffset>
            </wp:positionV>
            <wp:extent cx="7969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12" w:lineRule="exact"/>
        <w:rPr>
          <w:sz w:val="20"/>
          <w:szCs w:val="20"/>
          <w:color w:val="auto"/>
        </w:rPr>
      </w:pPr>
    </w:p>
    <w:p>
      <w:pPr>
        <w:ind w:left="560" w:hanging="309"/>
        <w:spacing w:after="0"/>
        <w:tabs>
          <w:tab w:leader="none" w:pos="5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Backlog increased $124.8 million or 20.3% in the second quarter of fiscal 2023 on project awards of $318.7 million and a book-to-bill ratio of 1.6.</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Utility and Power Infrastructure segment, backlog increased by 47.6% as we booked $98.0 million of project awards during the second quarter of fiscal 2023. Project awards are primarily comprised of a project for the engineering, procurement, and construction of upgrades being made to an existing LNG peak shaving facility and power delivery work. Our opportunity pipeline for LNG peak shaving projects continues to be promising, however those awards, while significant, can be less frequent. Project opportunities and bidding activity are strong for both the power delivery portion of the business and LNG peak shaving.</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Process and Industrial Facilities segment, backlog increased by 9.2% as we booked $105.2 million of project awards during the second quarter of fiscal 2023. Client spending related to refinery maintenance and turnaround operations has continued to be strong. We continue to see demand for thermal vacuum chambers in the coming quarters, as well as increasing opportunities in mining and minerals, chemicals, and renewables. In addition, we are continuing to pursue opportunities for midstream gas work, including some larger scale projects.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Storage and Terminal Solutions segment, backlog increased by 21.2% as we booked $115.5 million of project awards during the second quarter of fiscal 2023. We were awarded a large-scale specialty vessel project in the second quarter following a similar award in the first quarter. This segment includes significant opportunities for storage infrastructure projects related to natural gas, LNG, ammonia, hydrogen, NGLs and other forms of renewable energy. We believe LNG and hydrogen projects in particular will be key growth drivers for this segment. Bidding activity on LNG projects has been strong and we have been positioning ourselves for growth in hydrogen by entering into key relationships, such as the signing of a memorandum of understanding ("MOU") with Korea Gas Corporation in August 2022 to support South Korea’s development of a hydrogen economy as it transforms itself from natural gas and the signing of a MOU with Chart Industries, Inc. in January of 2021 to support the development of hydrogen solutions.</w:t>
      </w:r>
    </w:p>
    <w:p>
      <w:pPr>
        <w:spacing w:after="0" w:line="1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These same factors also impact the timing of project starts and the associated revenue recognized. Backlog volatility may increase for some segments from time to time when individual project awards are less frequent, but more significant. The level of awards presented above only represents an interim period and may not be indicative of full year awards.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operating results can exhibit seasonal fluctuations, especially in our Process and Industrial Facilities segment, for a variety of reasons. Turnarounds and planned outages at customer facilities are typically scheduled in the spring and the fall when the demand for energy is lower. Within the Utility and Power Infrastructure segment, transmission and distribution work is generally scheduled by the public utilities when the demand for electricity is at its lowest. Therefore, revenue volume in the summer months is typically lower than in other periods throughout the year.</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can also be affected, both positively and negatively, by seasonal factors such as energy demand or weather conditions including hurricanes, snowstorms, wildfires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factors impacting operating results in all segments come from decreased work volume during holidays, work site permitting delays or customers accelerating or postponing work. The differing types, sizes, and durations of our contracts, combined with their geographic diversity and stages of completion, often results in fluctuations in our operating results.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overhead cost structure is generally fixed. Significant fluctuations in revenue usually leads to over or under recovery of fixed overhead costs, which can have a material impact on our gross margin and profitability.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liquidity as the ongoing ability to pay our liabilities as they become due, fund business operations and meet all monetary contractual obligations. Our primary sources of liquidity at December 31, 2022 were unrestricted cash and cash equivalents on hand, capacity under our ABL Facility, and cash generated from operations. Unrestricted cash and cash equivalents at December 31, 2022 totaled $31.5 million and availability under the ABL Facility totaled $49.0 million, resulting in total liquidity of $80.5 million.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trend of cash, cash equivalents and restricted cash in the Condensed Consolidated Balance Sheets during fiscal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0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52,371</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liquidity for the three months ended December 31, 2022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Liquidity at September 30, 2022</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56,616</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Cash provided by operating activities</w:t>
            </w: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17,644</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Increase in availability under ABL Facility</w:t>
            </w: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6,731</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Liquidity at December 31, 2022</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80,469</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46"/>
        </w:trPr>
        <w:tc>
          <w:tcPr>
            <w:tcW w:w="9920" w:type="dxa"/>
            <w:vAlign w:val="bottom"/>
            <w:gridSpan w:val="2"/>
          </w:tcPr>
          <w:p>
            <w:pPr>
              <w:spacing w:after="0"/>
              <w:rPr>
                <w:sz w:val="20"/>
                <w:szCs w:val="20"/>
                <w:color w:val="auto"/>
              </w:rPr>
            </w:pPr>
            <w:r>
              <w:rPr>
                <w:rFonts w:ascii="Arial" w:cs="Arial" w:eastAsia="Arial" w:hAnsi="Arial"/>
                <w:sz w:val="18"/>
                <w:szCs w:val="18"/>
                <w:color w:val="auto"/>
                <w:w w:val="97"/>
              </w:rPr>
              <w:t>The following table provides a summary of changes in our liquidity for the six months ended December 31, 2022 (in thousands):</w:t>
            </w:r>
          </w:p>
        </w:tc>
        <w:tc>
          <w:tcPr>
            <w:tcW w:w="1280" w:type="dxa"/>
            <w:vAlign w:val="bottom"/>
          </w:tcPr>
          <w:p>
            <w:pPr>
              <w:spacing w:after="0"/>
              <w:rPr>
                <w:sz w:val="24"/>
                <w:szCs w:val="24"/>
                <w:color w:val="auto"/>
              </w:rPr>
            </w:pPr>
          </w:p>
        </w:tc>
      </w:tr>
      <w:tr>
        <w:trPr>
          <w:trHeight w:val="189"/>
        </w:trPr>
        <w:tc>
          <w:tcPr>
            <w:tcW w:w="9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Liquidity at June 30, 2022</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94,831</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Cash used by operating activities</w:t>
            </w: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(17,585)</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Increase in availability under ABL Facility</w:t>
            </w: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6,545</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by financing activities</w:t>
            </w: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Liquidity at December 31, 2022</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80,469</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3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a result of rising revenue volumes, especially for cost-reimbursable and maintenance-type work, we invested heavily into working capital during the first quarter of fiscal 2023, which led to a significant decrease in liquidity in that quarter. However, advanced billings on newly awarded capital projects in the second quarter of fiscal 2023 and a larger credit facility borrowing base driven by higher accounts receivable balances have led to an improvement of liquidity since the first quarter. We expect our liquidity position to continue to improve for several reasons, including expected improved operating results in our fourth fiscal quarter, the receipt of approximately $13 million of tax refunds in the third fiscal quarter, and positive cash flow from newly-awarded capital projects.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252" w:lineRule="exact"/>
        <w:rPr>
          <w:sz w:val="20"/>
          <w:szCs w:val="20"/>
          <w:color w:val="auto"/>
        </w:rPr>
      </w:pPr>
    </w:p>
    <w:p>
      <w:pPr>
        <w:ind w:left="660" w:right="2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97" w:lineRule="exact"/>
        <w:rPr>
          <w:rFonts w:ascii="Arial" w:cs="Arial" w:eastAsia="Arial" w:hAnsi="Arial"/>
          <w:sz w:val="18"/>
          <w:szCs w:val="18"/>
          <w:color w:val="auto"/>
        </w:rPr>
      </w:pPr>
    </w:p>
    <w:p>
      <w:pPr>
        <w:ind w:left="1300" w:right="140" w:hanging="320"/>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some cost-plus and fixed-price customer contracts are billed based on milestones which may require us to incur significant expenditures prior to collections from our customers;</w:t>
      </w:r>
    </w:p>
    <w:p>
      <w:pPr>
        <w:spacing w:after="0" w:line="197" w:lineRule="exact"/>
        <w:rPr>
          <w:rFonts w:ascii="Arial" w:cs="Arial" w:eastAsia="Arial" w:hAnsi="Arial"/>
          <w:sz w:val="18"/>
          <w:szCs w:val="18"/>
          <w:color w:val="auto"/>
        </w:rPr>
      </w:pPr>
    </w:p>
    <w:p>
      <w:pPr>
        <w:ind w:left="1300" w:right="480" w:hanging="320"/>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some fixed-price customer contracts allow for significant upfront billings at the beginning of a project, which temporarily increases liquidity near term;</w:t>
      </w:r>
    </w:p>
    <w:p>
      <w:pPr>
        <w:spacing w:after="0" w:line="197" w:lineRule="exact"/>
        <w:rPr>
          <w:rFonts w:ascii="Arial" w:cs="Arial" w:eastAsia="Arial" w:hAnsi="Arial"/>
          <w:sz w:val="18"/>
          <w:szCs w:val="18"/>
          <w:color w:val="auto"/>
        </w:rPr>
      </w:pPr>
    </w:p>
    <w:p>
      <w:pPr>
        <w:ind w:left="1300" w:right="40" w:hanging="320"/>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 and</w:t>
      </w:r>
    </w:p>
    <w:p>
      <w:pPr>
        <w:spacing w:after="0" w:line="197" w:lineRule="exact"/>
        <w:rPr>
          <w:rFonts w:ascii="Arial" w:cs="Arial" w:eastAsia="Arial" w:hAnsi="Arial"/>
          <w:sz w:val="18"/>
          <w:szCs w:val="18"/>
          <w:color w:val="auto"/>
        </w:rPr>
      </w:pPr>
    </w:p>
    <w:p>
      <w:pPr>
        <w:ind w:left="1300" w:right="560" w:hanging="320"/>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security in the form of letters of credit or significant retentions. Retentions are normally held until certain contractual milestones are achieved;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changes in working capital, including the timing of tax payments and refunds;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52"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collection issues, including those caused by weak commodity prices, economic slowdowns or other factors which can lead to credit deterioration of our customers;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issuances of letters of credit;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investments in new operations or divestitures of existing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long-term liquidity include:</w:t>
      </w:r>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borrowing constraints under our ABL Facility and maintaining compliance with all covenants contained in the ABL Facility;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our capital structure;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 and disposals of businesses;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Credit Facility</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9, 2021, the Company and our primary U.S. and Canada operating subsidiaries entered into an asset-based credit agreement, which was amended on October 5, 2022 (as amended, the "ABL Facility"), with Bank of Montreal, as Administrative Agent, Swing Line Lender and a Letter of Credit Issuer, and the lenders named therein. The maximum amount of loans under the ABL Facility is limited to $90.0 million. The ABL Facility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us and substantially all of our U.S. and Canadian subsidiaries and are secured by a first lien on all our assets and the assets of our co-borrowers and guarantors under the ABL Facility.</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ABL Facility matures, and any outstanding amounts become due and payable, on September 9, 2026. At December 31, 2022, our borrowing base was $83.2 million, we had $15.0 million of outstanding borrowings, and we had $19.2 million in letters of credit outstanding, which resulted in availability of $49.0 million under the ABL Facility.</w:t>
      </w:r>
    </w:p>
    <w:p>
      <w:pPr>
        <w:spacing w:after="0" w:line="1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Borrowings under the ABL Facility bear interest through maturity at a variable rate based upon, at our option, an annual rate of either a base rate (“Base Rate”), an Adjusted Term Secured Overnight Financing Rate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 The interest rate in effect for borrowings outstanding at December 31, 2022, including applicable margin, was 8.75%.</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commitments under the ABL Facility then in effect, a consolidated Fixed Charge Coverage Ratio of at least 1.00 to 1.00 must be maintained. We were in compliance with all covenants of the ABL Facility as of December 31,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Six Months Ended December 31,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used by operating activities for the six months ended December 31, 2022 totaled $17.6 million. The various components are as follows: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080" w:type="dxa"/>
            <w:vAlign w:val="bottom"/>
          </w:tcPr>
          <w:p>
            <w:pPr>
              <w:spacing w:after="0"/>
              <w:rPr>
                <w:sz w:val="19"/>
                <w:szCs w:val="19"/>
                <w:color w:val="auto"/>
              </w:rPr>
            </w:pPr>
          </w:p>
        </w:tc>
        <w:tc>
          <w:tcPr>
            <w:tcW w:w="6200" w:type="dxa"/>
            <w:vAlign w:val="bottom"/>
            <w:gridSpan w:val="2"/>
          </w:tcPr>
          <w:p>
            <w:pPr>
              <w:jc w:val="right"/>
              <w:ind w:right="3110"/>
              <w:spacing w:after="0"/>
              <w:rPr>
                <w:sz w:val="20"/>
                <w:szCs w:val="20"/>
                <w:color w:val="auto"/>
              </w:rPr>
            </w:pPr>
            <w:r>
              <w:rPr>
                <w:rFonts w:ascii="Arial" w:cs="Arial" w:eastAsia="Arial" w:hAnsi="Arial"/>
                <w:sz w:val="18"/>
                <w:szCs w:val="18"/>
                <w:b w:val="1"/>
                <w:bCs w:val="1"/>
                <w:color w:val="auto"/>
                <w:w w:val="90"/>
              </w:rPr>
              <w:t>Net Cash Used by Operating Activities</w:t>
            </w:r>
          </w:p>
        </w:tc>
        <w:tc>
          <w:tcPr>
            <w:tcW w:w="920" w:type="dxa"/>
            <w:vAlign w:val="bottom"/>
          </w:tcPr>
          <w:p>
            <w:pPr>
              <w:spacing w:after="0"/>
              <w:rPr>
                <w:sz w:val="19"/>
                <w:szCs w:val="19"/>
                <w:color w:val="auto"/>
              </w:rPr>
            </w:pPr>
          </w:p>
        </w:tc>
      </w:tr>
      <w:tr>
        <w:trPr>
          <w:trHeight w:val="230"/>
        </w:trPr>
        <w:tc>
          <w:tcPr>
            <w:tcW w:w="4080" w:type="dxa"/>
            <w:vAlign w:val="bottom"/>
          </w:tcPr>
          <w:p>
            <w:pPr>
              <w:spacing w:after="0"/>
              <w:rPr>
                <w:sz w:val="20"/>
                <w:szCs w:val="20"/>
                <w:color w:val="auto"/>
              </w:rPr>
            </w:pPr>
          </w:p>
        </w:tc>
        <w:tc>
          <w:tcPr>
            <w:tcW w:w="6200" w:type="dxa"/>
            <w:vAlign w:val="bottom"/>
            <w:gridSpan w:val="2"/>
          </w:tcPr>
          <w:p>
            <w:pPr>
              <w:jc w:val="right"/>
              <w:ind w:right="4070"/>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20"/>
                <w:szCs w:val="20"/>
                <w:color w:val="auto"/>
              </w:rPr>
            </w:pPr>
          </w:p>
        </w:tc>
      </w:tr>
      <w:tr>
        <w:trPr>
          <w:trHeight w:val="216"/>
        </w:trPr>
        <w:tc>
          <w:tcPr>
            <w:tcW w:w="40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6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(39,339)</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5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7,177</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5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12,316</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5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3,747</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non-cash expenses</w:t>
            </w:r>
          </w:p>
        </w:tc>
        <w:tc>
          <w:tcPr>
            <w:tcW w:w="5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Cash effect of changes in operating assets and liabilities</w:t>
            </w:r>
          </w:p>
        </w:tc>
        <w:tc>
          <w:tcPr>
            <w:tcW w:w="58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by operating activities</w:t>
            </w:r>
          </w:p>
        </w:tc>
        <w:tc>
          <w:tcPr>
            <w:tcW w:w="5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(17,585)</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Cash effect of changes in operating assets and liabilities at December 31, 2022 in comparison to June 30, 2022 include the following:</w:t>
      </w:r>
    </w:p>
    <w:p>
      <w:pPr>
        <w:spacing w:after="0" w:line="252" w:lineRule="exact"/>
        <w:rPr>
          <w:sz w:val="20"/>
          <w:szCs w:val="20"/>
          <w:color w:val="auto"/>
        </w:rPr>
      </w:pPr>
    </w:p>
    <w:p>
      <w:pPr>
        <w:jc w:val="both"/>
        <w:ind w:left="980" w:hanging="324"/>
        <w:spacing w:after="0" w:line="263"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Accounts receivable, excluding credit losses recognized during the period, increased by $28.1 million during the six months ended December 31, 2022, which decreased cash flows from operating activities. The variance is primarily attributable to the timing of billing and collections.</w:t>
      </w:r>
    </w:p>
    <w:p>
      <w:pPr>
        <w:spacing w:after="0" w:line="210" w:lineRule="exact"/>
        <w:rPr>
          <w:rFonts w:ascii="Arial" w:cs="Arial" w:eastAsia="Arial" w:hAnsi="Arial"/>
          <w:sz w:val="18"/>
          <w:szCs w:val="18"/>
          <w:color w:val="auto"/>
        </w:rPr>
      </w:pPr>
    </w:p>
    <w:p>
      <w:pPr>
        <w:jc w:val="both"/>
        <w:ind w:left="980" w:hanging="324"/>
        <w:spacing w:after="0" w:line="279" w:lineRule="auto"/>
        <w:tabs>
          <w:tab w:leader="none" w:pos="97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Costs and estimated earnings in excess of billings on uncompleted contracts ("CIE") increased $1.8 million, which decreased cash flows from operating activities. Billings on uncompleted contracts in excess of costs and estimated earnings ("BIE") increased $34.7 million, which increased cash flows from operating activities. CIE and BIE balances can experience significant fluctuations based on business volumes and the timing of when job costs are incurred and the timing of customer billings and payments.</w:t>
      </w:r>
    </w:p>
    <w:p>
      <w:pPr>
        <w:spacing w:after="0" w:line="198" w:lineRule="exact"/>
        <w:rPr>
          <w:rFonts w:ascii="Arial" w:cs="Arial" w:eastAsia="Arial" w:hAnsi="Arial"/>
          <w:sz w:val="17"/>
          <w:szCs w:val="17"/>
          <w:color w:val="auto"/>
        </w:rPr>
      </w:pPr>
    </w:p>
    <w:p>
      <w:pPr>
        <w:jc w:val="both"/>
        <w:ind w:left="980" w:hanging="324"/>
        <w:spacing w:after="0" w:line="25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Inventories, income taxes receivable, prepaid expenses, other current assets, operating right-of-use lease assets and other assets, non-current, increased $4.7 million during the six months ended December 31, 2022, which decreased cash flows from operating activities. These operating assets can fluctuate based on the timing of inventory builds and draw-downs, accrual and receipt of income taxes receivable; prepayments of certain expenses; lease commencement, passage of time, expiration, or termination of operating leases; business volumes; and other timing differences.</w:t>
      </w:r>
    </w:p>
    <w:p>
      <w:pPr>
        <w:spacing w:after="0" w:line="214" w:lineRule="exact"/>
        <w:rPr>
          <w:rFonts w:ascii="Arial" w:cs="Arial" w:eastAsia="Arial" w:hAnsi="Arial"/>
          <w:sz w:val="18"/>
          <w:szCs w:val="18"/>
          <w:color w:val="auto"/>
        </w:rPr>
      </w:pPr>
    </w:p>
    <w:p>
      <w:pPr>
        <w:jc w:val="both"/>
        <w:ind w:left="980" w:hanging="324"/>
        <w:spacing w:after="0" w:line="259"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Accounts payable, accrued wages and benefits, accrued insurance, operating lease liabilities, other accrued expenses, and other liabilities, non-current decreased by $1.1 million during the six months ended December 31, 2022, which decreased cash flows from operating activities. These operating liabilities can fluctuate based on the timing of vendor payments; accruals; lease commencement, lease payments, expiration, or termination of operating leases; business volumes; and other timing differences.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 used $2.8 million of cash in the six months ended December 31, 2022 primarily due to capital expenditures.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Financing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Financing activities used $0.2 million of cash in the six months ended December 31, 2022 primarily due to $0.3 million paid to repurchase our stock for payment of withholding taxes due on equity-based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the six months ended December 31, 2022 and have no current plans to repurchase stock. As of December 31, 2022, there were 1,349,037 shares available for repurchase under the Stock Buyback Program. The terms of our ABL Facility limit share repurchases to $2.5 million per fiscal year provided that we meet certain availability thresholds and do not violate our Fixed Charge Coverage Ratio financial covenant.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Shares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860,894 treasury shares as of December 31, 2022 and intend to utilize these treasury shares in connection with equity awards under the our stock incentive plans and for sales to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2022 Annual Report on Form 10-K filed with the SEC. For more information on our critical accounting policies, see Part II, Item 7 of our fiscal 2022 Annual Report on Form 10-K. The following section provides certain information with respect to our critical accounting policies as of the close of our most recent quarterly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 about our Contracts with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 comes from contracts to provide engineering, procurement, fabrication and construction, repair and maintenance and other services. Our engineering, procurement and fabrication and construction services are usually provided in association with capital projects, which are commonly fixed-price contracts that are billed based on project milestones. Our repair and maintenance services typically are cost reimbursable or time and material-based contracts and are billed monthly or, for projects of short duration, at the conclusion of the project. The elapsed time from award to completion of performance may exceed one year for capital projects.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Contract Identification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collectability is probable. We also evaluate whether a contract should be combined with other contracts and accounted for as a single contract. This evaluation requires judgment and could change the timing of the amount of revenue and profit recorded for a given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Identify Performance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Contract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fixed-price contract, the contract price is a single lump-sum amount. In reimbursable and time and materials-based contracts, the contract price is determined by the agreed upon rates or reimbursements for time and materials expended in completing the performance obligation(s) in the contract.</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Assign Contract Price to Performance Obligations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5: Recognize Revenue as Performance Obligations are Satisfied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revenue for contracts with our customers as we satisfy the contracts' performance obligations. We recognize revenue on performance obligations associated with fixed-price contracts for engineering, procurement, fabrication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over time for reimbursable and time and material-based repair and maintenance contracts since the customer simultaneously receives and consumes the benefit of those services as we perform work under the contract. As a practical expedient allowed under the revenue accounting standards,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We do not sell separate warranties.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Orders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8 - Commitments and Contingencies of the Notes to Condensed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8 - Commitments and Contingencies of the Notes to Financial Statements.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$18.2 million at December 31, 2022 and $8.9 million at June 30, 2022. The amounts ultimately realized may be significantly different than the recorded amounts resulting in a material adjustment to future earnings.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represents the excess of the purchase price of acquisitions over the fair value of the net identifiable tangible and intangible assets acquired at the acquisition date. In accordance with current accounting guidance, goodwill is not amortized, but is tested at least annually for impairment at the reporting unit level, which is a level below our reportable segments.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perform our annual impairment test as of May 31st of each fiscal year, or in between annual tests if impairment indicators are present,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fair values of our reporting units compared to our market capitalization.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1. Financial Statements, Note 5 - Goodwill and Other Intangible Assets, Goodwill, for disclosure information about our goodwill balances the results of impairment tests.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We believe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Various legal actions, claims, and other contingencies arise in the normal course of our business. Contingencies are recorded in the condensed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2022, filed with the Securities and Exchange Commission. For more information on market risk, see Part II, Item 7A in our fiscal 2022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December 31, 2022. Based on the foregoing, our Chief Executive Officer and Chief Financial Officer concluded that our disclosure controls and procedures were effective at the reasonable assurance level at December 31, 2022.</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December 31,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information with respect to purchases we made of our common stock during the second quarter of fiscal year 2023.</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left="188"/>
              <w:spacing w:after="0" w:line="145" w:lineRule="exact"/>
              <w:rPr>
                <w:sz w:val="20"/>
                <w:szCs w:val="20"/>
                <w:color w:val="auto"/>
              </w:rPr>
            </w:pPr>
            <w:r>
              <w:rPr>
                <w:rFonts w:ascii="Arial" w:cs="Arial" w:eastAsia="Arial" w:hAnsi="Arial"/>
                <w:sz w:val="14"/>
                <w:szCs w:val="14"/>
                <w:b w:val="1"/>
                <w:bCs w:val="1"/>
                <w:color w:val="auto"/>
                <w:w w:val="90"/>
              </w:rPr>
              <w:t>of Shares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39"/>
        </w:trPr>
        <w:tc>
          <w:tcPr>
            <w:tcW w:w="4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left="188"/>
              <w:spacing w:after="0" w:line="139" w:lineRule="exact"/>
              <w:rPr>
                <w:sz w:val="20"/>
                <w:szCs w:val="20"/>
                <w:color w:val="auto"/>
              </w:rPr>
            </w:pPr>
            <w:r>
              <w:rPr>
                <w:rFonts w:ascii="Arial" w:cs="Arial" w:eastAsia="Arial" w:hAnsi="Arial"/>
                <w:sz w:val="14"/>
                <w:szCs w:val="14"/>
                <w:b w:val="1"/>
                <w:bCs w:val="1"/>
                <w:color w:val="auto"/>
                <w:w w:val="90"/>
              </w:rPr>
              <w:t>Purchased as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22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5"/>
              </w:rPr>
              <w:t>Total Number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center"/>
              <w:ind w:left="196"/>
              <w:spacing w:after="0"/>
              <w:rPr>
                <w:sz w:val="20"/>
                <w:szCs w:val="20"/>
                <w:color w:val="auto"/>
              </w:rPr>
            </w:pPr>
            <w:r>
              <w:rPr>
                <w:rFonts w:ascii="Arial" w:cs="Arial" w:eastAsia="Arial" w:hAnsi="Arial"/>
                <w:sz w:val="14"/>
                <w:szCs w:val="14"/>
                <w:b w:val="1"/>
                <w:bCs w:val="1"/>
                <w:color w:val="auto"/>
                <w:w w:val="92"/>
              </w:rPr>
              <w:t>Average Price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left="188"/>
              <w:spacing w:after="0" w:line="145" w:lineRule="exact"/>
              <w:rPr>
                <w:sz w:val="20"/>
                <w:szCs w:val="20"/>
                <w:color w:val="auto"/>
              </w:rPr>
            </w:pPr>
            <w:r>
              <w:rPr>
                <w:rFonts w:ascii="Arial" w:cs="Arial" w:eastAsia="Arial" w:hAnsi="Arial"/>
                <w:sz w:val="14"/>
                <w:szCs w:val="14"/>
                <w:b w:val="1"/>
                <w:bCs w:val="1"/>
                <w:color w:val="auto"/>
                <w:w w:val="90"/>
              </w:rPr>
              <w:t>Announced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22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7"/>
              </w:rPr>
              <w:t>of Shares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176"/>
              <w:spacing w:after="0" w:line="149" w:lineRule="exact"/>
              <w:rPr>
                <w:sz w:val="20"/>
                <w:szCs w:val="20"/>
                <w:color w:val="auto"/>
              </w:rPr>
            </w:pPr>
            <w:r>
              <w:rPr>
                <w:rFonts w:ascii="Arial" w:cs="Arial" w:eastAsia="Arial" w:hAnsi="Arial"/>
                <w:sz w:val="14"/>
                <w:szCs w:val="14"/>
                <w:b w:val="1"/>
                <w:bCs w:val="1"/>
                <w:color w:val="auto"/>
                <w:w w:val="94"/>
              </w:rPr>
              <w:t>Paid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Plans 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89"/>
              </w:rPr>
              <w:t>Purchased</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ind w:left="196"/>
              <w:spacing w:after="0"/>
              <w:rPr>
                <w:sz w:val="20"/>
                <w:szCs w:val="20"/>
                <w:color w:val="auto"/>
              </w:rPr>
            </w:pPr>
            <w:r>
              <w:rPr>
                <w:rFonts w:ascii="Arial" w:cs="Arial" w:eastAsia="Arial" w:hAnsi="Arial"/>
                <w:sz w:val="14"/>
                <w:szCs w:val="14"/>
                <w:b w:val="1"/>
                <w:bCs w:val="1"/>
                <w:color w:val="auto"/>
                <w:w w:val="94"/>
              </w:rPr>
              <w:t>Per Share</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4"/>
              </w:rPr>
              <w:t>Programs</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(C)</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October 1 to October 31, 2022</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Stock Buyback Program (A)</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36"/>
              <w:spacing w:after="0"/>
              <w:rPr>
                <w:sz w:val="20"/>
                <w:szCs w:val="20"/>
                <w:color w:val="auto"/>
              </w:rPr>
            </w:pPr>
            <w:r>
              <w:rPr>
                <w:rFonts w:ascii="Arial" w:cs="Arial" w:eastAsia="Arial" w:hAnsi="Arial"/>
                <w:sz w:val="18"/>
                <w:szCs w:val="18"/>
                <w:color w:val="auto"/>
                <w:w w:val="79"/>
              </w:rPr>
              <w:t>$</w:t>
            </w: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Employee Transactions (B)</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1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1 to November 30, 2022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Buyback Program (A)</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1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30"/>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Employee Transactions (B)</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36"/>
              <w:spacing w:after="0"/>
              <w:rPr>
                <w:sz w:val="20"/>
                <w:szCs w:val="20"/>
                <w:color w:val="auto"/>
              </w:rPr>
            </w:pPr>
            <w:r>
              <w:rPr>
                <w:rFonts w:ascii="Arial" w:cs="Arial" w:eastAsia="Arial" w:hAnsi="Arial"/>
                <w:sz w:val="18"/>
                <w:szCs w:val="18"/>
                <w:color w:val="auto"/>
                <w:w w:val="79"/>
              </w:rPr>
              <w:t>$</w:t>
            </w: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1 to December 31, 2022</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Stock Buyback Program (A)</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36"/>
              <w:spacing w:after="0"/>
              <w:rPr>
                <w:sz w:val="20"/>
                <w:szCs w:val="20"/>
                <w:color w:val="auto"/>
              </w:rPr>
            </w:pPr>
            <w:r>
              <w:rPr>
                <w:rFonts w:ascii="Arial" w:cs="Arial" w:eastAsia="Arial" w:hAnsi="Arial"/>
                <w:sz w:val="18"/>
                <w:szCs w:val="18"/>
                <w:color w:val="auto"/>
                <w:w w:val="79"/>
              </w:rPr>
              <w:t>$</w:t>
            </w: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Employee Transactions (B)</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1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60" w:hanging="309"/>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80" w:hanging="329"/>
        <w:spacing w:after="0" w:line="250" w:lineRule="auto"/>
        <w:tabs>
          <w:tab w:leader="none" w:pos="5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our stock incentive plans.</w:t>
      </w:r>
    </w:p>
    <w:p>
      <w:pPr>
        <w:jc w:val="both"/>
        <w:ind w:left="580" w:hanging="329"/>
        <w:spacing w:after="0" w:line="290" w:lineRule="auto"/>
        <w:tabs>
          <w:tab w:leader="none" w:pos="577"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The terms of our ABL Facility also limit share repurchases to $2.5 million per fiscal year provided that we meet certain availability thresholds and we do not violate our Fixed Charge Coverage Ratio financial covenant. We made no repurchases under the program in the second quarter of fiscal 2023 and have no current plans to repurchase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documents are included as exhibits to this Quarterly Report on Form 10-Q. Any exhibits below incorporated by reference herein are indicated as such by the information supplied in the parenthetical hereafter.</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960" w:type="dxa"/>
            <w:vAlign w:val="bottom"/>
            <w:gridSpan w:val="10"/>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80" w:type="dxa"/>
            <w:vAlign w:val="bottom"/>
            <w:gridSpan w:val="3"/>
          </w:tcPr>
          <w:p>
            <w:pPr>
              <w:spacing w:after="0"/>
              <w:rPr>
                <w:sz w:val="20"/>
                <w:szCs w:val="20"/>
                <w:color w:val="auto"/>
              </w:rPr>
            </w:pPr>
            <w:r>
              <w:rPr>
                <w:rFonts w:ascii="Arial" w:cs="Arial" w:eastAsia="Arial" w:hAnsi="Arial"/>
                <w:sz w:val="18"/>
                <w:szCs w:val="18"/>
                <w:color w:val="auto"/>
              </w:rPr>
              <w:t>Exhibit 3.1</w:t>
            </w:r>
          </w:p>
        </w:tc>
        <w:tc>
          <w:tcPr>
            <w:tcW w:w="9060" w:type="dxa"/>
            <w:vAlign w:val="bottom"/>
            <w:gridSpan w:val="13"/>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Amended and Restated Bylaws of Matrix Service Company (Exhibit 3.1 to the Company's Current Report on Form 8-K Filed</w:t>
              </w:r>
            </w:hyperlink>
          </w:p>
        </w:tc>
      </w:tr>
      <w:tr>
        <w:trPr>
          <w:trHeight w:val="156"/>
        </w:trPr>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December 7, 2022).</w:t>
              </w:r>
            </w:hyperlink>
          </w:p>
        </w:tc>
        <w:tc>
          <w:tcPr>
            <w:tcW w:w="76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2080" w:type="dxa"/>
            <w:vAlign w:val="bottom"/>
            <w:gridSpan w:val="3"/>
          </w:tcPr>
          <w:p>
            <w:pPr>
              <w:spacing w:after="0"/>
              <w:rPr>
                <w:sz w:val="20"/>
                <w:szCs w:val="20"/>
                <w:color w:val="auto"/>
              </w:rPr>
            </w:pPr>
            <w:r>
              <w:rPr>
                <w:rFonts w:ascii="Arial" w:cs="Arial" w:eastAsia="Arial" w:hAnsi="Arial"/>
                <w:sz w:val="18"/>
                <w:szCs w:val="18"/>
                <w:color w:val="auto"/>
              </w:rPr>
              <w:t>Exhibit 10.1</w:t>
            </w:r>
          </w:p>
        </w:tc>
        <w:tc>
          <w:tcPr>
            <w:tcW w:w="9060" w:type="dxa"/>
            <w:vAlign w:val="bottom"/>
            <w:gridSpan w:val="13"/>
          </w:tcPr>
          <w:p>
            <w:pPr>
              <w:spacing w:after="0"/>
              <w:rPr>
                <w:rFonts w:ascii="Arial" w:cs="Arial" w:eastAsia="Arial" w:hAnsi="Arial"/>
                <w:sz w:val="18"/>
                <w:szCs w:val="18"/>
                <w:color w:val="0000FF"/>
                <w:w w:val="95"/>
              </w:rPr>
            </w:pPr>
            <w:hyperlink r:id="rId62">
              <w:r>
                <w:rPr>
                  <w:rFonts w:ascii="Arial" w:cs="Arial" w:eastAsia="Arial" w:hAnsi="Arial"/>
                  <w:sz w:val="18"/>
                  <w:szCs w:val="18"/>
                  <w:color w:val="0000FF"/>
                  <w:w w:val="95"/>
                </w:rPr>
                <w:t>First Amendment and Waiver to Credit Agreement Dated October 5, 2022 by and Among Matrix Service Company and</w:t>
              </w:r>
            </w:hyperlink>
          </w:p>
        </w:tc>
      </w:tr>
      <w:tr>
        <w:trPr>
          <w:trHeight w:val="156"/>
        </w:trPr>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20" w:type="dxa"/>
            <w:vAlign w:val="bottom"/>
            <w:tcBorders>
              <w:top w:val="single" w:sz="8" w:color="0000FF"/>
            </w:tcBorders>
            <w:gridSpan w:val="11"/>
          </w:tcPr>
          <w:p>
            <w:pPr>
              <w:spacing w:after="0" w:line="15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Certain Subsidiaries Thereof, Certain Financial Institutions as Lenders, and Bank of Montreal, as Administrative Agent</w:t>
              </w:r>
            </w:hyperlink>
          </w:p>
        </w:tc>
        <w:tc>
          <w:tcPr>
            <w:tcW w:w="440" w:type="dxa"/>
            <w:vAlign w:val="bottom"/>
            <w:gridSpan w:val="2"/>
          </w:tcPr>
          <w:p>
            <w:pPr>
              <w:spacing w:after="0"/>
              <w:rPr>
                <w:sz w:val="13"/>
                <w:szCs w:val="13"/>
                <w:color w:val="auto"/>
              </w:rPr>
            </w:pPr>
          </w:p>
        </w:tc>
      </w:tr>
      <w:tr>
        <w:trPr>
          <w:trHeight w:val="169"/>
        </w:trPr>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10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(Exhibit 10.1 to the Company's Current Report on Form 8-K Filed October 7, 2022).</w:t>
              </w:r>
            </w:hyperlink>
          </w:p>
        </w:tc>
        <w:tc>
          <w:tcPr>
            <w:tcW w:w="2500" w:type="dxa"/>
            <w:vAlign w:val="bottom"/>
            <w:tcBorders>
              <w:top w:val="single" w:sz="8" w:color="0000FF"/>
            </w:tcBorders>
            <w:gridSpan w:val="3"/>
          </w:tcPr>
          <w:p>
            <w:pPr>
              <w:spacing w:after="0"/>
              <w:rPr>
                <w:sz w:val="14"/>
                <w:szCs w:val="14"/>
                <w:color w:val="auto"/>
              </w:rPr>
            </w:pPr>
          </w:p>
        </w:tc>
        <w:tc>
          <w:tcPr>
            <w:tcW w:w="460" w:type="dxa"/>
            <w:vAlign w:val="bottom"/>
            <w:gridSpan w:val="3"/>
          </w:tcPr>
          <w:p>
            <w:pPr>
              <w:spacing w:after="0"/>
              <w:rPr>
                <w:sz w:val="14"/>
                <w:szCs w:val="14"/>
                <w:color w:val="auto"/>
              </w:rPr>
            </w:pPr>
          </w:p>
        </w:tc>
      </w:tr>
      <w:tr>
        <w:trPr>
          <w:trHeight w:val="264"/>
        </w:trPr>
        <w:tc>
          <w:tcPr>
            <w:tcW w:w="2080" w:type="dxa"/>
            <w:vAlign w:val="bottom"/>
            <w:gridSpan w:val="3"/>
          </w:tcPr>
          <w:p>
            <w:pPr>
              <w:spacing w:after="0"/>
              <w:rPr>
                <w:sz w:val="20"/>
                <w:szCs w:val="20"/>
                <w:color w:val="auto"/>
              </w:rPr>
            </w:pPr>
            <w:r>
              <w:rPr>
                <w:rFonts w:ascii="Arial" w:cs="Arial" w:eastAsia="Arial" w:hAnsi="Arial"/>
                <w:sz w:val="18"/>
                <w:szCs w:val="18"/>
                <w:color w:val="auto"/>
              </w:rPr>
              <w:t>Exhibit 31.1:</w:t>
            </w:r>
          </w:p>
        </w:tc>
        <w:tc>
          <w:tcPr>
            <w:tcW w:w="55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Certification Pursuant to Section 302 of Sarbanes-Oxley Act of 2002 – CEO.</w:t>
            </w:r>
          </w:p>
        </w:tc>
        <w:tc>
          <w:tcPr>
            <w:tcW w:w="3500" w:type="dxa"/>
            <w:vAlign w:val="bottom"/>
            <w:gridSpan w:val="7"/>
          </w:tcPr>
          <w:p>
            <w:pPr>
              <w:spacing w:after="0"/>
              <w:rPr>
                <w:sz w:val="22"/>
                <w:szCs w:val="22"/>
                <w:color w:val="auto"/>
              </w:rPr>
            </w:pPr>
          </w:p>
        </w:tc>
      </w:tr>
      <w:tr>
        <w:trPr>
          <w:trHeight w:val="263"/>
        </w:trPr>
        <w:tc>
          <w:tcPr>
            <w:tcW w:w="2080" w:type="dxa"/>
            <w:vAlign w:val="bottom"/>
            <w:gridSpan w:val="3"/>
          </w:tcPr>
          <w:p>
            <w:pPr>
              <w:spacing w:after="0"/>
              <w:rPr>
                <w:sz w:val="20"/>
                <w:szCs w:val="20"/>
                <w:color w:val="auto"/>
              </w:rPr>
            </w:pPr>
            <w:r>
              <w:rPr>
                <w:rFonts w:ascii="Arial" w:cs="Arial" w:eastAsia="Arial" w:hAnsi="Arial"/>
                <w:sz w:val="18"/>
                <w:szCs w:val="18"/>
                <w:color w:val="auto"/>
              </w:rPr>
              <w:t>Exhibit 31.2:</w:t>
            </w:r>
          </w:p>
        </w:tc>
        <w:tc>
          <w:tcPr>
            <w:tcW w:w="9060" w:type="dxa"/>
            <w:vAlign w:val="bottom"/>
            <w:gridSpan w:val="13"/>
          </w:tcPr>
          <w:p>
            <w:pPr>
              <w:spacing w:after="0"/>
              <w:rPr>
                <w:sz w:val="20"/>
                <w:szCs w:val="20"/>
                <w:color w:val="auto"/>
              </w:rPr>
            </w:pPr>
            <w:r>
              <w:rPr>
                <w:rFonts w:ascii="Arial" w:cs="Arial" w:eastAsia="Arial" w:hAnsi="Arial"/>
                <w:sz w:val="18"/>
                <w:szCs w:val="18"/>
                <w:color w:val="0000FF"/>
              </w:rPr>
              <w:t>Certification Pursuant to Section 302 of Sarbanes-Oxley Act of 2002 – CFO.</w:t>
            </w:r>
          </w:p>
        </w:tc>
      </w:tr>
      <w:tr>
        <w:trPr>
          <w:trHeight w:val="20"/>
        </w:trPr>
        <w:tc>
          <w:tcPr>
            <w:tcW w:w="2080" w:type="dxa"/>
            <w:vAlign w:val="bottom"/>
            <w:gridSpan w:val="3"/>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r>
      <w:tr>
        <w:trPr>
          <w:trHeight w:val="263"/>
        </w:trPr>
        <w:tc>
          <w:tcPr>
            <w:tcW w:w="2080" w:type="dxa"/>
            <w:vAlign w:val="bottom"/>
            <w:gridSpan w:val="3"/>
          </w:tcPr>
          <w:p>
            <w:pPr>
              <w:spacing w:after="0"/>
              <w:rPr>
                <w:sz w:val="20"/>
                <w:szCs w:val="20"/>
                <w:color w:val="auto"/>
              </w:rPr>
            </w:pPr>
            <w:r>
              <w:rPr>
                <w:rFonts w:ascii="Arial" w:cs="Arial" w:eastAsia="Arial" w:hAnsi="Arial"/>
                <w:sz w:val="18"/>
                <w:szCs w:val="18"/>
                <w:color w:val="auto"/>
              </w:rPr>
              <w:t>Exhibit 32.1:</w:t>
            </w:r>
          </w:p>
        </w:tc>
        <w:tc>
          <w:tcPr>
            <w:tcW w:w="68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Certification Pursuant to 18 U.S.C. 1350 (section 906 of Sarbanes-Oxley Act of 2002) – CEO.</w:t>
            </w:r>
          </w:p>
        </w:tc>
        <w:tc>
          <w:tcPr>
            <w:tcW w:w="2240" w:type="dxa"/>
            <w:vAlign w:val="bottom"/>
            <w:gridSpan w:val="4"/>
          </w:tcPr>
          <w:p>
            <w:pPr>
              <w:spacing w:after="0"/>
              <w:rPr>
                <w:sz w:val="22"/>
                <w:szCs w:val="22"/>
                <w:color w:val="auto"/>
              </w:rPr>
            </w:pPr>
          </w:p>
        </w:tc>
      </w:tr>
      <w:tr>
        <w:trPr>
          <w:trHeight w:val="264"/>
        </w:trPr>
        <w:tc>
          <w:tcPr>
            <w:tcW w:w="2080" w:type="dxa"/>
            <w:vAlign w:val="bottom"/>
            <w:gridSpan w:val="3"/>
          </w:tcPr>
          <w:p>
            <w:pPr>
              <w:spacing w:after="0"/>
              <w:rPr>
                <w:sz w:val="20"/>
                <w:szCs w:val="20"/>
                <w:color w:val="auto"/>
              </w:rPr>
            </w:pPr>
            <w:r>
              <w:rPr>
                <w:rFonts w:ascii="Arial" w:cs="Arial" w:eastAsia="Arial" w:hAnsi="Arial"/>
                <w:sz w:val="18"/>
                <w:szCs w:val="18"/>
                <w:color w:val="auto"/>
              </w:rPr>
              <w:t>Exhibit 32.2:</w:t>
            </w:r>
          </w:p>
        </w:tc>
        <w:tc>
          <w:tcPr>
            <w:tcW w:w="68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Certification Pursuant to 18 U.S.C. 1350 (section 906 of Sarbanes-Oxley Act of 2002) – CFO.</w:t>
            </w:r>
          </w:p>
        </w:tc>
        <w:tc>
          <w:tcPr>
            <w:tcW w:w="2260" w:type="dxa"/>
            <w:vAlign w:val="bottom"/>
            <w:gridSpan w:val="5"/>
          </w:tcPr>
          <w:p>
            <w:pPr>
              <w:spacing w:after="0"/>
              <w:rPr>
                <w:sz w:val="22"/>
                <w:szCs w:val="22"/>
                <w:color w:val="auto"/>
              </w:rPr>
            </w:pPr>
          </w:p>
        </w:tc>
      </w:tr>
      <w:tr>
        <w:trPr>
          <w:trHeight w:val="263"/>
        </w:trPr>
        <w:tc>
          <w:tcPr>
            <w:tcW w:w="2080" w:type="dxa"/>
            <w:vAlign w:val="bottom"/>
            <w:gridSpan w:val="3"/>
          </w:tcPr>
          <w:p>
            <w:pPr>
              <w:spacing w:after="0"/>
              <w:rPr>
                <w:sz w:val="20"/>
                <w:szCs w:val="20"/>
                <w:color w:val="auto"/>
              </w:rPr>
            </w:pPr>
            <w:r>
              <w:rPr>
                <w:rFonts w:ascii="Arial" w:cs="Arial" w:eastAsia="Arial" w:hAnsi="Arial"/>
                <w:sz w:val="18"/>
                <w:szCs w:val="18"/>
                <w:color w:val="auto"/>
              </w:rPr>
              <w:t>Exhibit 95:</w:t>
            </w:r>
          </w:p>
        </w:tc>
        <w:tc>
          <w:tcPr>
            <w:tcW w:w="9060" w:type="dxa"/>
            <w:vAlign w:val="bottom"/>
            <w:gridSpan w:val="13"/>
          </w:tcPr>
          <w:p>
            <w:pPr>
              <w:spacing w:after="0"/>
              <w:rPr>
                <w:sz w:val="20"/>
                <w:szCs w:val="20"/>
                <w:color w:val="auto"/>
              </w:rPr>
            </w:pPr>
            <w:r>
              <w:rPr>
                <w:rFonts w:ascii="Arial" w:cs="Arial" w:eastAsia="Arial" w:hAnsi="Arial"/>
                <w:sz w:val="18"/>
                <w:szCs w:val="18"/>
                <w:color w:val="0000FF"/>
              </w:rPr>
              <w:t>Mine Safety Disclosure.</w:t>
            </w:r>
          </w:p>
        </w:tc>
      </w:tr>
      <w:tr>
        <w:trPr>
          <w:trHeight w:val="20"/>
        </w:trPr>
        <w:tc>
          <w:tcPr>
            <w:tcW w:w="2080" w:type="dxa"/>
            <w:vAlign w:val="bottom"/>
            <w:gridSpan w:val="3"/>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7320" w:type="dxa"/>
            <w:vAlign w:val="bottom"/>
            <w:gridSpan w:val="11"/>
          </w:tcPr>
          <w:p>
            <w:pPr>
              <w:spacing w:after="0" w:line="20" w:lineRule="exact"/>
              <w:rPr>
                <w:sz w:val="1"/>
                <w:szCs w:val="1"/>
                <w:color w:val="auto"/>
              </w:rPr>
            </w:pPr>
          </w:p>
        </w:tc>
      </w:tr>
      <w:tr>
        <w:trPr>
          <w:trHeight w:val="250"/>
        </w:trPr>
        <w:tc>
          <w:tcPr>
            <w:tcW w:w="2080" w:type="dxa"/>
            <w:vAlign w:val="bottom"/>
            <w:gridSpan w:val="3"/>
          </w:tcPr>
          <w:p>
            <w:pPr>
              <w:spacing w:after="0"/>
              <w:rPr>
                <w:sz w:val="20"/>
                <w:szCs w:val="20"/>
                <w:color w:val="auto"/>
              </w:rPr>
            </w:pPr>
            <w:r>
              <w:rPr>
                <w:rFonts w:ascii="Arial" w:cs="Arial" w:eastAsia="Arial" w:hAnsi="Arial"/>
                <w:sz w:val="18"/>
                <w:szCs w:val="18"/>
                <w:color w:val="auto"/>
              </w:rPr>
              <w:t>Exhibit 101.INS:</w:t>
            </w:r>
          </w:p>
        </w:tc>
        <w:tc>
          <w:tcPr>
            <w:tcW w:w="9060" w:type="dxa"/>
            <w:vAlign w:val="bottom"/>
            <w:gridSpan w:val="13"/>
          </w:tcPr>
          <w:p>
            <w:pPr>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w:t>
            </w:r>
          </w:p>
        </w:tc>
      </w:tr>
      <w:tr>
        <w:trPr>
          <w:trHeight w:val="230"/>
        </w:trPr>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60" w:type="dxa"/>
            <w:vAlign w:val="bottom"/>
            <w:gridSpan w:val="1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96"/>
        </w:trPr>
        <w:tc>
          <w:tcPr>
            <w:tcW w:w="2080" w:type="dxa"/>
            <w:vAlign w:val="bottom"/>
            <w:gridSpan w:val="3"/>
          </w:tcPr>
          <w:p>
            <w:pPr>
              <w:spacing w:after="0"/>
              <w:rPr>
                <w:sz w:val="20"/>
                <w:szCs w:val="20"/>
                <w:color w:val="auto"/>
              </w:rPr>
            </w:pPr>
            <w:r>
              <w:rPr>
                <w:rFonts w:ascii="Arial" w:cs="Arial" w:eastAsia="Arial" w:hAnsi="Arial"/>
                <w:sz w:val="18"/>
                <w:szCs w:val="18"/>
                <w:color w:val="auto"/>
              </w:rPr>
              <w:t>Exhibit 101.SCH:</w:t>
            </w:r>
          </w:p>
        </w:tc>
        <w:tc>
          <w:tcPr>
            <w:tcW w:w="9060" w:type="dxa"/>
            <w:vAlign w:val="bottom"/>
            <w:gridSpan w:val="13"/>
          </w:tcPr>
          <w:p>
            <w:pPr>
              <w:spacing w:after="0"/>
              <w:rPr>
                <w:sz w:val="20"/>
                <w:szCs w:val="20"/>
                <w:color w:val="auto"/>
              </w:rPr>
            </w:pPr>
            <w:r>
              <w:rPr>
                <w:rFonts w:ascii="Arial" w:cs="Arial" w:eastAsia="Arial" w:hAnsi="Arial"/>
                <w:sz w:val="18"/>
                <w:szCs w:val="18"/>
                <w:color w:val="auto"/>
              </w:rPr>
              <w:t>XBRL Taxonomy Schema Document.</w:t>
            </w:r>
          </w:p>
        </w:tc>
      </w:tr>
      <w:tr>
        <w:trPr>
          <w:trHeight w:val="283"/>
        </w:trPr>
        <w:tc>
          <w:tcPr>
            <w:tcW w:w="2080" w:type="dxa"/>
            <w:vAlign w:val="bottom"/>
            <w:gridSpan w:val="3"/>
          </w:tcPr>
          <w:p>
            <w:pPr>
              <w:spacing w:after="0"/>
              <w:rPr>
                <w:sz w:val="20"/>
                <w:szCs w:val="20"/>
                <w:color w:val="auto"/>
              </w:rPr>
            </w:pPr>
            <w:r>
              <w:rPr>
                <w:rFonts w:ascii="Arial" w:cs="Arial" w:eastAsia="Arial" w:hAnsi="Arial"/>
                <w:sz w:val="18"/>
                <w:szCs w:val="18"/>
                <w:color w:val="auto"/>
              </w:rPr>
              <w:t>Exhibit 101.CAL:</w:t>
            </w:r>
          </w:p>
        </w:tc>
        <w:tc>
          <w:tcPr>
            <w:tcW w:w="906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2080" w:type="dxa"/>
            <w:vAlign w:val="bottom"/>
            <w:gridSpan w:val="3"/>
          </w:tcPr>
          <w:p>
            <w:pPr>
              <w:spacing w:after="0"/>
              <w:rPr>
                <w:sz w:val="20"/>
                <w:szCs w:val="20"/>
                <w:color w:val="auto"/>
              </w:rPr>
            </w:pPr>
            <w:r>
              <w:rPr>
                <w:rFonts w:ascii="Arial" w:cs="Arial" w:eastAsia="Arial" w:hAnsi="Arial"/>
                <w:sz w:val="18"/>
                <w:szCs w:val="18"/>
                <w:color w:val="auto"/>
              </w:rPr>
              <w:t>Exhibit 101.DEF:</w:t>
            </w:r>
          </w:p>
        </w:tc>
        <w:tc>
          <w:tcPr>
            <w:tcW w:w="906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2080" w:type="dxa"/>
            <w:vAlign w:val="bottom"/>
            <w:gridSpan w:val="3"/>
          </w:tcPr>
          <w:p>
            <w:pPr>
              <w:spacing w:after="0"/>
              <w:rPr>
                <w:sz w:val="20"/>
                <w:szCs w:val="20"/>
                <w:color w:val="auto"/>
              </w:rPr>
            </w:pPr>
            <w:r>
              <w:rPr>
                <w:rFonts w:ascii="Arial" w:cs="Arial" w:eastAsia="Arial" w:hAnsi="Arial"/>
                <w:sz w:val="18"/>
                <w:szCs w:val="18"/>
                <w:color w:val="auto"/>
              </w:rPr>
              <w:t>Exhibit 101.LAB:</w:t>
            </w:r>
          </w:p>
        </w:tc>
        <w:tc>
          <w:tcPr>
            <w:tcW w:w="9060" w:type="dxa"/>
            <w:vAlign w:val="bottom"/>
            <w:gridSpan w:val="13"/>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83"/>
        </w:trPr>
        <w:tc>
          <w:tcPr>
            <w:tcW w:w="2080" w:type="dxa"/>
            <w:vAlign w:val="bottom"/>
            <w:gridSpan w:val="3"/>
          </w:tcPr>
          <w:p>
            <w:pPr>
              <w:spacing w:after="0"/>
              <w:rPr>
                <w:sz w:val="20"/>
                <w:szCs w:val="20"/>
                <w:color w:val="auto"/>
              </w:rPr>
            </w:pPr>
            <w:r>
              <w:rPr>
                <w:rFonts w:ascii="Arial" w:cs="Arial" w:eastAsia="Arial" w:hAnsi="Arial"/>
                <w:sz w:val="18"/>
                <w:szCs w:val="18"/>
                <w:color w:val="auto"/>
              </w:rPr>
              <w:t>Exhibit 101.PRE:</w:t>
            </w:r>
          </w:p>
        </w:tc>
        <w:tc>
          <w:tcPr>
            <w:tcW w:w="906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4"/>
        </w:trPr>
        <w:tc>
          <w:tcPr>
            <w:tcW w:w="2080" w:type="dxa"/>
            <w:vAlign w:val="bottom"/>
            <w:gridSpan w:val="3"/>
          </w:tcPr>
          <w:p>
            <w:pPr>
              <w:spacing w:after="0"/>
              <w:rPr>
                <w:sz w:val="20"/>
                <w:szCs w:val="20"/>
                <w:color w:val="auto"/>
              </w:rPr>
            </w:pPr>
            <w:r>
              <w:rPr>
                <w:rFonts w:ascii="Arial" w:cs="Arial" w:eastAsia="Arial" w:hAnsi="Arial"/>
                <w:sz w:val="18"/>
                <w:szCs w:val="18"/>
                <w:color w:val="auto"/>
              </w:rPr>
              <w:t>Exhibit 104</w:t>
            </w:r>
          </w:p>
        </w:tc>
        <w:tc>
          <w:tcPr>
            <w:tcW w:w="9060" w:type="dxa"/>
            <w:vAlign w:val="bottom"/>
            <w:gridSpan w:val="1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MATRIX SERVICE COMPANY</w:t>
      </w:r>
    </w:p>
    <w:p>
      <w:pPr>
        <w:spacing w:after="0" w:line="81" w:lineRule="exact"/>
        <w:rPr>
          <w:sz w:val="20"/>
          <w:szCs w:val="20"/>
          <w:color w:val="auto"/>
        </w:rPr>
      </w:pPr>
    </w:p>
    <w:p>
      <w:pPr>
        <w:ind w:left="20"/>
        <w:spacing w:after="0"/>
        <w:tabs>
          <w:tab w:leader="none" w:pos="600" w:val="left"/>
          <w:tab w:leader="none" w:pos="4680" w:val="left"/>
        </w:tabs>
        <w:rPr>
          <w:sz w:val="20"/>
          <w:szCs w:val="20"/>
          <w:color w:val="auto"/>
        </w:rPr>
      </w:pPr>
      <w:r>
        <w:rPr>
          <w:rFonts w:ascii="Arial" w:cs="Arial" w:eastAsia="Arial" w:hAnsi="Arial"/>
          <w:sz w:val="18"/>
          <w:szCs w:val="18"/>
          <w:color w:val="auto"/>
        </w:rPr>
        <w:t>Date:</w:t>
        <w:tab/>
        <w:t>February 9, 2023</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14605</wp:posOffset>
            </wp:positionV>
            <wp:extent cx="41402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6" w:lineRule="exact"/>
        <w:rPr>
          <w:sz w:val="20"/>
          <w:szCs w:val="20"/>
          <w:color w:val="auto"/>
        </w:rPr>
      </w:pPr>
    </w:p>
    <w:p>
      <w:pPr>
        <w:ind w:left="4700" w:right="380"/>
        <w:spacing w:after="0" w:line="246"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6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620" w:right="20" w:hanging="640"/>
        <w:spacing w:after="0" w:line="286" w:lineRule="auto"/>
        <w:tabs>
          <w:tab w:leader="none" w:pos="161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80" w:hanging="640"/>
        <w:spacing w:after="0" w:line="263"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620" w:right="180" w:hanging="640"/>
        <w:spacing w:after="0" w:line="263" w:lineRule="auto"/>
        <w:tabs>
          <w:tab w:leader="none" w:pos="16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620" w:right="280" w:hanging="640"/>
        <w:spacing w:after="0" w:line="286" w:lineRule="auto"/>
        <w:tabs>
          <w:tab w:leader="none" w:pos="16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140" w:hanging="640"/>
        <w:spacing w:after="0" w:line="342" w:lineRule="auto"/>
        <w:tabs>
          <w:tab w:leader="none" w:pos="161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420" w:hanging="640"/>
        <w:spacing w:after="0" w:line="277"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February 9, 2023</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713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 Hewitt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620" w:right="20" w:hanging="640"/>
        <w:spacing w:after="0" w:line="286" w:lineRule="auto"/>
        <w:tabs>
          <w:tab w:leader="none" w:pos="161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80" w:hanging="640"/>
        <w:spacing w:after="0" w:line="263"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620" w:right="180" w:hanging="640"/>
        <w:spacing w:after="0" w:line="263" w:lineRule="auto"/>
        <w:tabs>
          <w:tab w:leader="none" w:pos="16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620" w:right="280" w:hanging="640"/>
        <w:spacing w:after="0" w:line="286" w:lineRule="auto"/>
        <w:tabs>
          <w:tab w:leader="none" w:pos="16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140" w:hanging="640"/>
        <w:spacing w:after="0" w:line="342" w:lineRule="auto"/>
        <w:tabs>
          <w:tab w:leader="none" w:pos="161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420" w:hanging="640"/>
        <w:spacing w:after="0" w:line="277"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February 9, 2023</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2022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92"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644"/>
        <w:spacing w:after="0" w:line="277" w:lineRule="auto"/>
        <w:tabs>
          <w:tab w:leader="none" w:pos="12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February 9, 2023</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713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 Hewitt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Matrix Service Company (the “Company”) on Form 10-Q for the period ending December 31, 2022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76"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644"/>
        <w:spacing w:after="0" w:line="277" w:lineRule="auto"/>
        <w:tabs>
          <w:tab w:leader="none" w:pos="12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February 9, 2023</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95</w:t>
      </w:r>
    </w:p>
    <w:p>
      <w:pPr>
        <w:spacing w:after="0" w:line="200" w:lineRule="exact"/>
        <w:rPr>
          <w:sz w:val="20"/>
          <w:szCs w:val="20"/>
          <w:color w:val="auto"/>
        </w:rPr>
      </w:pP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different than what is provided herein. Any such difference may be attributed to the need to update that information on MSHA’s system and/or other factors.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December 31, 2022:</w:t>
      </w:r>
    </w:p>
    <w:p>
      <w:pPr>
        <w:spacing w:after="0" w:line="219" w:lineRule="exact"/>
        <w:rPr>
          <w:sz w:val="20"/>
          <w:szCs w:val="20"/>
          <w:color w:val="auto"/>
        </w:rPr>
      </w:pPr>
    </w:p>
    <w:tbl>
      <w:tblPr>
        <w:tblLayout w:type="fixed"/>
        <w:tblInd w:w="50" w:type="dxa"/>
        <w:tblCellMar>
          <w:top w:w="0" w:type="dxa"/>
          <w:left w:w="0" w:type="dxa"/>
          <w:bottom w:w="0" w:type="dxa"/>
          <w:right w:w="0" w:type="dxa"/>
        </w:tblCellMar>
      </w:tblPr>
      <w:tr>
        <w:trPr>
          <w:trHeight w:val="179"/>
        </w:trPr>
        <w:tc>
          <w:tcPr>
            <w:tcW w:w="980" w:type="dxa"/>
            <w:vAlign w:val="bottom"/>
            <w:tcBorders>
              <w:top w:val="single" w:sz="8" w:color="auto"/>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76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72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Received Notice</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Received Notice</w:t>
            </w:r>
          </w:p>
        </w:tc>
        <w:tc>
          <w:tcPr>
            <w:tcW w:w="86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980" w:type="dxa"/>
            <w:vAlign w:val="bottom"/>
            <w:tcBorders>
              <w:left w:val="single" w:sz="8" w:color="auto"/>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of Pattern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of Potential to</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Total Number of</w:t>
            </w:r>
          </w:p>
        </w:tc>
        <w:tc>
          <w:tcPr>
            <w:tcW w:w="8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Mine or Operating</w:t>
            </w:r>
          </w:p>
        </w:tc>
        <w:tc>
          <w:tcPr>
            <w:tcW w:w="9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1"/>
                <w:szCs w:val="11"/>
                <w:color w:val="auto"/>
                <w:w w:val="87"/>
              </w:rPr>
              <w:t>Section</w:t>
            </w:r>
          </w:p>
        </w:tc>
        <w:tc>
          <w:tcPr>
            <w:tcW w:w="7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Total Dollar Value</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Total Number</w:t>
            </w:r>
          </w:p>
        </w:tc>
        <w:tc>
          <w:tcPr>
            <w:tcW w:w="84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1"/>
                <w:szCs w:val="11"/>
                <w:color w:val="auto"/>
                <w:w w:val="92"/>
              </w:rPr>
              <w:t>Violations</w:t>
            </w:r>
          </w:p>
        </w:tc>
        <w:tc>
          <w:tcPr>
            <w:tcW w:w="90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1"/>
                <w:szCs w:val="11"/>
                <w:color w:val="auto"/>
                <w:w w:val="88"/>
              </w:rPr>
              <w:t>Have Pattern of</w:t>
            </w:r>
          </w:p>
        </w:tc>
        <w:tc>
          <w:tcPr>
            <w:tcW w:w="86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8"/>
              </w:rPr>
              <w:t>Total Number of</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Total Number of</w:t>
            </w:r>
          </w:p>
        </w:tc>
        <w:tc>
          <w:tcPr>
            <w:tcW w:w="0" w:type="dxa"/>
            <w:vAlign w:val="bottom"/>
          </w:tcPr>
          <w:p>
            <w:pPr>
              <w:spacing w:after="0"/>
              <w:rPr>
                <w:sz w:val="1"/>
                <w:szCs w:val="1"/>
                <w:color w:val="auto"/>
              </w:rPr>
            </w:pPr>
          </w:p>
        </w:tc>
      </w:tr>
      <w:tr>
        <w:trPr>
          <w:trHeight w:val="71"/>
        </w:trPr>
        <w:tc>
          <w:tcPr>
            <w:tcW w:w="980" w:type="dxa"/>
            <w:vAlign w:val="bottom"/>
            <w:tcBorders>
              <w:left w:val="single" w:sz="8" w:color="auto"/>
              <w:right w:val="single" w:sz="8" w:color="auto"/>
            </w:tcBorders>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4"/>
              </w:rPr>
              <w:t>104(d)</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110(b)</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7"/>
              </w:rPr>
              <w:t>Section</w:t>
            </w:r>
          </w:p>
        </w:tc>
        <w:tc>
          <w:tcPr>
            <w:tcW w:w="10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8"/>
              </w:rPr>
              <w:t>Under Section</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Violations Under</w:t>
            </w:r>
          </w:p>
        </w:tc>
        <w:tc>
          <w:tcPr>
            <w:tcW w:w="860" w:type="dxa"/>
            <w:vAlign w:val="bottom"/>
            <w:tcBorders>
              <w:right w:val="single" w:sz="8" w:color="auto"/>
            </w:tcBorders>
          </w:tcPr>
          <w:p>
            <w:pPr>
              <w:jc w:val="center"/>
              <w:spacing w:after="0" w:line="71" w:lineRule="exact"/>
              <w:rPr>
                <w:sz w:val="20"/>
                <w:szCs w:val="20"/>
                <w:color w:val="auto"/>
              </w:rPr>
            </w:pPr>
            <w:r>
              <w:rPr>
                <w:rFonts w:ascii="Arial" w:cs="Arial" w:eastAsia="Arial" w:hAnsi="Arial"/>
                <w:sz w:val="8"/>
                <w:szCs w:val="8"/>
                <w:color w:val="auto"/>
              </w:rPr>
              <w:t>Legal Actions</w:t>
            </w:r>
          </w:p>
        </w:tc>
        <w:tc>
          <w:tcPr>
            <w:tcW w:w="84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980" w:type="dxa"/>
            <w:vAlign w:val="bottom"/>
            <w:tcBorders>
              <w:left w:val="single" w:sz="8" w:color="auto"/>
              <w:right w:val="single" w:sz="8" w:color="auto"/>
            </w:tcBorders>
            <w:vMerge w:val="restart"/>
          </w:tcPr>
          <w:p>
            <w:pPr>
              <w:jc w:val="center"/>
              <w:spacing w:after="0" w:line="108" w:lineRule="exact"/>
              <w:rPr>
                <w:sz w:val="20"/>
                <w:szCs w:val="20"/>
                <w:color w:val="auto"/>
              </w:rPr>
            </w:pPr>
            <w:r>
              <w:rPr>
                <w:rFonts w:ascii="Arial" w:cs="Arial" w:eastAsia="Arial" w:hAnsi="Arial"/>
                <w:sz w:val="11"/>
                <w:szCs w:val="11"/>
                <w:color w:val="auto"/>
                <w:w w:val="93"/>
              </w:rPr>
              <w:t>Name/MSHA</w:t>
            </w:r>
          </w:p>
        </w:tc>
        <w:tc>
          <w:tcPr>
            <w:tcW w:w="92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jc w:val="center"/>
              <w:spacing w:after="0" w:line="108" w:lineRule="exact"/>
              <w:rPr>
                <w:sz w:val="20"/>
                <w:szCs w:val="20"/>
                <w:color w:val="auto"/>
              </w:rPr>
            </w:pPr>
            <w:r>
              <w:rPr>
                <w:rFonts w:ascii="Arial" w:cs="Arial" w:eastAsia="Arial" w:hAnsi="Arial"/>
                <w:sz w:val="11"/>
                <w:szCs w:val="11"/>
                <w:color w:val="auto"/>
                <w:w w:val="99"/>
              </w:rPr>
              <w:t>of MSHA</w:t>
            </w:r>
          </w:p>
        </w:tc>
        <w:tc>
          <w:tcPr>
            <w:tcW w:w="800" w:type="dxa"/>
            <w:vAlign w:val="bottom"/>
            <w:tcBorders>
              <w:right w:val="single" w:sz="8" w:color="auto"/>
            </w:tcBorders>
            <w:vMerge w:val="restart"/>
          </w:tcPr>
          <w:p>
            <w:pPr>
              <w:jc w:val="center"/>
              <w:spacing w:after="0" w:line="108" w:lineRule="exact"/>
              <w:rPr>
                <w:sz w:val="20"/>
                <w:szCs w:val="20"/>
                <w:color w:val="auto"/>
              </w:rPr>
            </w:pPr>
            <w:r>
              <w:rPr>
                <w:rFonts w:ascii="Arial" w:cs="Arial" w:eastAsia="Arial" w:hAnsi="Arial"/>
                <w:sz w:val="11"/>
                <w:szCs w:val="11"/>
                <w:color w:val="auto"/>
                <w:w w:val="94"/>
              </w:rPr>
              <w:t>of Mining</w:t>
            </w:r>
          </w:p>
        </w:tc>
        <w:tc>
          <w:tcPr>
            <w:tcW w:w="84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restart"/>
          </w:tcPr>
          <w:p>
            <w:pPr>
              <w:jc w:val="center"/>
              <w:spacing w:after="0" w:line="108" w:lineRule="exact"/>
              <w:rPr>
                <w:sz w:val="20"/>
                <w:szCs w:val="20"/>
                <w:color w:val="auto"/>
              </w:rPr>
            </w:pPr>
            <w:r>
              <w:rPr>
                <w:rFonts w:ascii="Arial" w:cs="Arial" w:eastAsia="Arial" w:hAnsi="Arial"/>
                <w:sz w:val="11"/>
                <w:szCs w:val="11"/>
                <w:color w:val="auto"/>
                <w:w w:val="89"/>
              </w:rPr>
              <w:t>Pending as of</w:t>
            </w:r>
          </w:p>
        </w:tc>
        <w:tc>
          <w:tcPr>
            <w:tcW w:w="840" w:type="dxa"/>
            <w:vAlign w:val="bottom"/>
            <w:tcBorders>
              <w:right w:val="single" w:sz="8" w:color="auto"/>
            </w:tcBorders>
            <w:vMerge w:val="restart"/>
          </w:tcPr>
          <w:p>
            <w:pPr>
              <w:jc w:val="center"/>
              <w:spacing w:after="0" w:line="108" w:lineRule="exact"/>
              <w:rPr>
                <w:sz w:val="20"/>
                <w:szCs w:val="20"/>
                <w:color w:val="auto"/>
              </w:rPr>
            </w:pPr>
            <w:r>
              <w:rPr>
                <w:rFonts w:ascii="Arial" w:cs="Arial" w:eastAsia="Arial" w:hAnsi="Arial"/>
                <w:sz w:val="11"/>
                <w:szCs w:val="11"/>
                <w:color w:val="auto"/>
                <w:w w:val="93"/>
              </w:rPr>
              <w:t>Legal Actions</w:t>
            </w:r>
          </w:p>
        </w:tc>
        <w:tc>
          <w:tcPr>
            <w:tcW w:w="920" w:type="dxa"/>
            <w:vAlign w:val="bottom"/>
            <w:tcBorders>
              <w:right w:val="single" w:sz="8" w:color="auto"/>
            </w:tcBorders>
            <w:vMerge w:val="restart"/>
          </w:tcPr>
          <w:p>
            <w:pPr>
              <w:jc w:val="center"/>
              <w:spacing w:after="0" w:line="108" w:lineRule="exact"/>
              <w:rPr>
                <w:sz w:val="20"/>
                <w:szCs w:val="20"/>
                <w:color w:val="auto"/>
              </w:rPr>
            </w:pPr>
            <w:r>
              <w:rPr>
                <w:rFonts w:ascii="Arial" w:cs="Arial" w:eastAsia="Arial" w:hAnsi="Arial"/>
                <w:sz w:val="11"/>
                <w:szCs w:val="11"/>
                <w:color w:val="auto"/>
                <w:w w:val="93"/>
              </w:rPr>
              <w:t>Legal Actions</w:t>
            </w:r>
          </w:p>
        </w:tc>
        <w:tc>
          <w:tcPr>
            <w:tcW w:w="0" w:type="dxa"/>
            <w:vAlign w:val="bottom"/>
          </w:tcPr>
          <w:p>
            <w:pPr>
              <w:spacing w:after="0"/>
              <w:rPr>
                <w:sz w:val="1"/>
                <w:szCs w:val="1"/>
                <w:color w:val="auto"/>
              </w:rPr>
            </w:pPr>
          </w:p>
        </w:tc>
      </w:tr>
      <w:tr>
        <w:trPr>
          <w:trHeight w:val="40"/>
        </w:trPr>
        <w:tc>
          <w:tcPr>
            <w:tcW w:w="980" w:type="dxa"/>
            <w:vAlign w:val="bottom"/>
            <w:tcBorders>
              <w:left w:val="single" w:sz="8" w:color="auto"/>
              <w:right w:val="single" w:sz="8" w:color="auto"/>
            </w:tcBorders>
            <w:vMerge w:val="continue"/>
          </w:tcPr>
          <w:p>
            <w:pPr>
              <w:spacing w:after="0"/>
              <w:rPr>
                <w:sz w:val="3"/>
                <w:szCs w:val="3"/>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8"/>
              </w:rPr>
              <w:t>Section 104 S&amp;S</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104(b)</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Citations and</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8"/>
              </w:rPr>
              <w:t>(2)</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7"/>
              </w:rPr>
              <w:t>107(a)</w:t>
            </w:r>
          </w:p>
        </w:tc>
        <w:tc>
          <w:tcPr>
            <w:tcW w:w="102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104(e)</w:t>
            </w:r>
            <w:r>
              <w:rPr>
                <w:rFonts w:ascii="Arial" w:cs="Arial" w:eastAsia="Arial" w:hAnsi="Arial"/>
                <w:sz w:val="7"/>
                <w:szCs w:val="7"/>
                <w:color w:val="auto"/>
                <w:w w:val="89"/>
              </w:rPr>
              <w:t>(6)</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104(e)</w:t>
            </w:r>
            <w:r>
              <w:rPr>
                <w:rFonts w:ascii="Arial" w:cs="Arial" w:eastAsia="Arial" w:hAnsi="Arial"/>
                <w:sz w:val="7"/>
                <w:szCs w:val="7"/>
                <w:color w:val="auto"/>
                <w:w w:val="89"/>
              </w:rPr>
              <w:t>(7)</w:t>
            </w:r>
          </w:p>
        </w:tc>
        <w:tc>
          <w:tcPr>
            <w:tcW w:w="860" w:type="dxa"/>
            <w:vAlign w:val="bottom"/>
            <w:tcBorders>
              <w:righ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92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980" w:type="dxa"/>
            <w:vAlign w:val="bottom"/>
            <w:tcBorders>
              <w:left w:val="single" w:sz="8" w:color="auto"/>
              <w:right w:val="single" w:sz="8" w:color="auto"/>
            </w:tcBorders>
          </w:tcPr>
          <w:p>
            <w:pPr>
              <w:jc w:val="center"/>
              <w:spacing w:after="0" w:line="104" w:lineRule="exact"/>
              <w:rPr>
                <w:sz w:val="20"/>
                <w:szCs w:val="20"/>
                <w:color w:val="auto"/>
              </w:rPr>
            </w:pPr>
            <w:r>
              <w:rPr>
                <w:rFonts w:ascii="Arial" w:cs="Arial" w:eastAsia="Arial" w:hAnsi="Arial"/>
                <w:sz w:val="11"/>
                <w:szCs w:val="11"/>
                <w:color w:val="auto"/>
                <w:w w:val="93"/>
              </w:rPr>
              <w:t>Identification</w:t>
            </w:r>
          </w:p>
        </w:tc>
        <w:tc>
          <w:tcPr>
            <w:tcW w:w="92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1"/>
                <w:szCs w:val="11"/>
                <w:color w:val="auto"/>
                <w:w w:val="85"/>
              </w:rPr>
              <w:t>Assessments</w:t>
            </w:r>
          </w:p>
        </w:tc>
        <w:tc>
          <w:tcPr>
            <w:tcW w:w="80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1"/>
                <w:szCs w:val="11"/>
                <w:color w:val="auto"/>
                <w:w w:val="89"/>
              </w:rPr>
              <w:t>Related</w:t>
            </w:r>
          </w:p>
        </w:tc>
        <w:tc>
          <w:tcPr>
            <w:tcW w:w="8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1"/>
                <w:szCs w:val="11"/>
                <w:color w:val="auto"/>
                <w:w w:val="93"/>
              </w:rPr>
              <w:t>Last Day of</w:t>
            </w:r>
          </w:p>
        </w:tc>
        <w:tc>
          <w:tcPr>
            <w:tcW w:w="84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1"/>
                <w:szCs w:val="11"/>
                <w:color w:val="auto"/>
                <w:w w:val="94"/>
              </w:rPr>
              <w:t>Initiated During</w:t>
            </w:r>
          </w:p>
        </w:tc>
        <w:tc>
          <w:tcPr>
            <w:tcW w:w="92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1"/>
                <w:szCs w:val="11"/>
                <w:color w:val="auto"/>
                <w:w w:val="90"/>
              </w:rPr>
              <w:t>Resolved During</w:t>
            </w:r>
          </w:p>
        </w:tc>
        <w:tc>
          <w:tcPr>
            <w:tcW w:w="0" w:type="dxa"/>
            <w:vAlign w:val="bottom"/>
          </w:tcPr>
          <w:p>
            <w:pPr>
              <w:spacing w:after="0"/>
              <w:rPr>
                <w:sz w:val="1"/>
                <w:szCs w:val="1"/>
                <w:color w:val="auto"/>
              </w:rPr>
            </w:pPr>
          </w:p>
        </w:tc>
      </w:tr>
      <w:tr>
        <w:trPr>
          <w:trHeight w:val="18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6"/>
              </w:rPr>
              <w:t>Number</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4"/>
              </w:rPr>
              <w:t>Citations</w:t>
            </w:r>
            <w:r>
              <w:rPr>
                <w:rFonts w:ascii="Arial" w:cs="Arial" w:eastAsia="Arial" w:hAnsi="Arial"/>
                <w:sz w:val="14"/>
                <w:szCs w:val="14"/>
                <w:color w:val="auto"/>
                <w:w w:val="84"/>
                <w:vertAlign w:val="superscript"/>
              </w:rPr>
              <w:t>(1)</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4"/>
              </w:rPr>
              <w:t>Orders</w:t>
            </w:r>
            <w:r>
              <w:rPr>
                <w:rFonts w:ascii="Arial" w:cs="Arial" w:eastAsia="Arial" w:hAnsi="Arial"/>
                <w:sz w:val="14"/>
                <w:szCs w:val="14"/>
                <w:color w:val="auto"/>
                <w:w w:val="84"/>
                <w:vertAlign w:val="superscript"/>
              </w:rPr>
              <w:t>(2)</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4"/>
              </w:rPr>
              <w:t>Orders</w:t>
            </w:r>
            <w:r>
              <w:rPr>
                <w:rFonts w:ascii="Arial" w:cs="Arial" w:eastAsia="Arial" w:hAnsi="Arial"/>
                <w:sz w:val="14"/>
                <w:szCs w:val="14"/>
                <w:color w:val="auto"/>
                <w:w w:val="84"/>
                <w:vertAlign w:val="superscript"/>
              </w:rPr>
              <w:t>(3)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Violations</w:t>
            </w:r>
            <w:r>
              <w:rPr>
                <w:rFonts w:ascii="Arial" w:cs="Arial" w:eastAsia="Arial" w:hAnsi="Arial"/>
                <w:sz w:val="14"/>
                <w:szCs w:val="14"/>
                <w:color w:val="auto"/>
                <w:w w:val="87"/>
                <w:vertAlign w:val="superscript"/>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4"/>
              </w:rPr>
              <w:t>Orders</w:t>
            </w:r>
            <w:r>
              <w:rPr>
                <w:rFonts w:ascii="Arial" w:cs="Arial" w:eastAsia="Arial" w:hAnsi="Arial"/>
                <w:sz w:val="14"/>
                <w:szCs w:val="14"/>
                <w:color w:val="auto"/>
                <w:w w:val="84"/>
                <w:vertAlign w:val="superscript"/>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Period</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0" w:type="dxa"/>
            <w:vAlign w:val="bottom"/>
          </w:tcPr>
          <w:p>
            <w:pPr>
              <w:spacing w:after="0"/>
              <w:rPr>
                <w:sz w:val="1"/>
                <w:szCs w:val="1"/>
                <w:color w:val="auto"/>
              </w:rPr>
            </w:pPr>
          </w:p>
        </w:tc>
      </w:tr>
      <w:tr>
        <w:trPr>
          <w:trHeight w:val="20"/>
        </w:trPr>
        <w:tc>
          <w:tcPr>
            <w:tcW w:w="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980" w:type="dxa"/>
            <w:vAlign w:val="bottom"/>
            <w:tcBorders>
              <w:left w:val="single" w:sz="8" w:color="auto"/>
              <w:right w:val="single" w:sz="8" w:color="auto"/>
            </w:tcBorders>
          </w:tcPr>
          <w:p>
            <w:pPr>
              <w:jc w:val="center"/>
              <w:spacing w:after="0" w:line="105" w:lineRule="exact"/>
              <w:rPr>
                <w:sz w:val="20"/>
                <w:szCs w:val="20"/>
                <w:color w:val="auto"/>
              </w:rPr>
            </w:pPr>
            <w:r>
              <w:rPr>
                <w:rFonts w:ascii="Arial" w:cs="Arial" w:eastAsia="Arial" w:hAnsi="Arial"/>
                <w:sz w:val="11"/>
                <w:szCs w:val="11"/>
                <w:color w:val="auto"/>
                <w:w w:val="89"/>
              </w:rPr>
              <w:t>Freeport-McMoran</w:t>
            </w:r>
          </w:p>
        </w:tc>
        <w:tc>
          <w:tcPr>
            <w:tcW w:w="92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980" w:type="dxa"/>
            <w:vAlign w:val="bottom"/>
            <w:tcBorders>
              <w:left w:val="single" w:sz="8" w:color="auto"/>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2"/>
              </w:rPr>
              <w:t>Safford Mine, 02-</w:t>
            </w:r>
          </w:p>
        </w:tc>
        <w:tc>
          <w:tcPr>
            <w:tcW w:w="9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8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w:t>
            </w:r>
          </w:p>
        </w:tc>
        <w:tc>
          <w:tcPr>
            <w:tcW w:w="7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7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8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85"/>
              </w:rPr>
              <w:t>No</w:t>
            </w:r>
          </w:p>
        </w:tc>
        <w:tc>
          <w:tcPr>
            <w:tcW w:w="8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36"/>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03131</w:t>
            </w:r>
          </w:p>
        </w:tc>
        <w:tc>
          <w:tcPr>
            <w:tcW w:w="9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980" w:type="dxa"/>
            <w:vAlign w:val="bottom"/>
            <w:tcBorders>
              <w:left w:val="single" w:sz="8" w:color="auto"/>
              <w:right w:val="single" w:sz="8" w:color="auto"/>
            </w:tcBorders>
          </w:tcPr>
          <w:p>
            <w:pPr>
              <w:jc w:val="center"/>
              <w:spacing w:after="0" w:line="105" w:lineRule="exact"/>
              <w:rPr>
                <w:sz w:val="20"/>
                <w:szCs w:val="20"/>
                <w:color w:val="auto"/>
              </w:rPr>
            </w:pPr>
            <w:r>
              <w:rPr>
                <w:rFonts w:ascii="Arial" w:cs="Arial" w:eastAsia="Arial" w:hAnsi="Arial"/>
                <w:sz w:val="11"/>
                <w:szCs w:val="11"/>
                <w:color w:val="auto"/>
                <w:w w:val="89"/>
              </w:rPr>
              <w:t>Freeport-McMoran</w:t>
            </w:r>
          </w:p>
        </w:tc>
        <w:tc>
          <w:tcPr>
            <w:tcW w:w="92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980" w:type="dxa"/>
            <w:vAlign w:val="bottom"/>
            <w:tcBorders>
              <w:left w:val="single" w:sz="8" w:color="auto"/>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89"/>
              </w:rPr>
              <w:t>Bagdad Mine, 02-</w:t>
            </w:r>
          </w:p>
        </w:tc>
        <w:tc>
          <w:tcPr>
            <w:tcW w:w="9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8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w:t>
            </w:r>
          </w:p>
        </w:tc>
        <w:tc>
          <w:tcPr>
            <w:tcW w:w="7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7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8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85"/>
              </w:rPr>
              <w:t>No</w:t>
            </w:r>
          </w:p>
        </w:tc>
        <w:tc>
          <w:tcPr>
            <w:tcW w:w="8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36"/>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00137</w:t>
            </w:r>
          </w:p>
        </w:tc>
        <w:tc>
          <w:tcPr>
            <w:tcW w:w="9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260" w:right="120" w:hanging="212"/>
        <w:spacing w:after="0" w:line="332" w:lineRule="auto"/>
        <w:tabs>
          <w:tab w:leader="none" w:pos="261" w:val="left"/>
        </w:tabs>
        <w:numPr>
          <w:ilvl w:val="1"/>
          <w:numId w:val="25"/>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60" w:hanging="212"/>
        <w:spacing w:after="0"/>
        <w:tabs>
          <w:tab w:leader="none" w:pos="260" w:val="left"/>
        </w:tabs>
        <w:numPr>
          <w:ilvl w:val="1"/>
          <w:numId w:val="25"/>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93" w:lineRule="exact"/>
        <w:rPr>
          <w:rFonts w:ascii="Arial" w:cs="Arial" w:eastAsia="Arial" w:hAnsi="Arial"/>
          <w:sz w:val="13"/>
          <w:szCs w:val="13"/>
          <w:color w:val="auto"/>
        </w:rPr>
      </w:pPr>
    </w:p>
    <w:p>
      <w:pPr>
        <w:ind w:left="260" w:hanging="212"/>
        <w:spacing w:after="0"/>
        <w:tabs>
          <w:tab w:leader="none" w:pos="260" w:val="left"/>
        </w:tabs>
        <w:numPr>
          <w:ilvl w:val="1"/>
          <w:numId w:val="25"/>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82"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82"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82"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82"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lvl w:ilvl="1">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upperLetter"/>
      <w:start w:val="1"/>
    </w:lvl>
  </w:abstractNum>
  <w:abstractNum w:abstractNumId="20">
    <w:nsid w:val="6763845E"/>
    <w:multiLevelType w:val="hybridMultilevel"/>
    <w:lvl w:ilvl="0">
      <w:lvlJc w:val="left"/>
      <w:lvlText w:val="%1."/>
      <w:numFmt w:val="decimal"/>
      <w:start w:val="1"/>
    </w:lvl>
    <w:lvl w:ilvl="1">
      <w:lvlJc w:val="left"/>
      <w:lvlText w:val="%2."/>
      <w:numFmt w:val="lowerLetter"/>
      <w:start w:val="1"/>
    </w:lvl>
  </w:abstractNum>
  <w:abstractNum w:abstractNumId="21">
    <w:nsid w:val="75A2A8D4"/>
    <w:multiLevelType w:val="hybridMultilevel"/>
    <w:lvl w:ilvl="0">
      <w:lvlJc w:val="left"/>
      <w:lvlText w:val="%1."/>
      <w:numFmt w:val="decimal"/>
      <w:start w:val="1"/>
    </w:lvl>
    <w:lvl w:ilvl="1">
      <w:lvlJc w:val="left"/>
      <w:lvlText w:val="%2."/>
      <w:numFmt w:val="lowerLetter"/>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lvl w:ilvl="1">
      <w:lvlJc w:val="left"/>
      <w:lvlText w:val="(%2)"/>
      <w:numFmt w:val="decimal"/>
      <w:start w:val="1"/>
    </w:lvl>
  </w:abstractNum>
  <w:abstractNum w:abstractNumId="25">
    <w:nsid w:val="B03E0C6"/>
    <w:multiLevelType w:val="hybridMultilevel"/>
    <w:lvl w:ilvl="0">
      <w:lvlJc w:val="left"/>
      <w:lvlText w:val="(%1)"/>
      <w:numFmt w:val="decimal"/>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1" Type="http://schemas.openxmlformats.org/officeDocument/2006/relationships/hyperlink" Target="http://www.sec.gov/Archives/edgar/data/866273/000086627322000137/exhibit31amendedandrestate.htm" TargetMode="External"/><Relationship Id="rId62" Type="http://schemas.openxmlformats.org/officeDocument/2006/relationships/hyperlink" Target="http://www.sec.gov/Archives/edgar/data/866273/000086627322000101/a101firstamendmentandwaiv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2023-02-09T16:37:36Z</dcterms:created>
  <dcterms:modified xsi:type="dcterms:W3CDTF">2023-02-09T16:37:36Z</dcterms:modified>
</cp:coreProperties>
</file>