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1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1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78"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40" w:right="7540" w:hanging="432"/>
        <w:spacing w:after="0" w:line="252"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14a-(e)(2)</w:t>
      </w:r>
    </w:p>
    <w:p>
      <w:pPr>
        <w:spacing w:after="0" w:line="9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4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8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80" w:hanging="440"/>
        <w:spacing w:after="0" w:line="250"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or transaction computed pursuant to Exchange Act Rule 0-11 (set forth the amount on which the filing fee is calculated and state how it was determined):</w:t>
      </w: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0"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right="580" w:hanging="432"/>
        <w:spacing w:after="0" w:line="332" w:lineRule="auto"/>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80"/>
          </w:cols>
          <w:pgMar w:left="240" w:top="233" w:right="37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64"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will be held at Matrix’s Regional Office, 1105 West Main Parkway, Catoosa, Oklahoma, on the 21st day of October 2003, at 10:30 a.m., Central Standard time, for the following purposes:</w:t>
      </w:r>
    </w:p>
    <w:p>
      <w:pPr>
        <w:spacing w:after="0" w:line="46" w:lineRule="exact"/>
        <w:rPr>
          <w:sz w:val="20"/>
          <w:szCs w:val="20"/>
          <w:color w:val="auto"/>
        </w:rPr>
      </w:pPr>
    </w:p>
    <w:p>
      <w:pPr>
        <w:ind w:left="1360" w:right="240" w:hanging="447"/>
        <w:spacing w:after="0" w:line="268"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2004 or until their successors have been elected and qualified;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and approve the adoption of the Matrix Service Company 2003 Stock Option Plan;</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auditors for fiscal 2004; and</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5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Only stockholders of record on the close of business on September 9, 2003 (the “Record Date”) are entitled to notice of and to vote at the meeting and any adjournment thereof.</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246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19, 2003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Tulsa, Oklahoma</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00"/>
          </w:cols>
          <w:pgMar w:left="240" w:top="274"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19, 2003</w:t>
      </w:r>
    </w:p>
    <w:p>
      <w:pPr>
        <w:spacing w:after="0" w:line="151"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accompanying proxy is solicited by the Board of Directors of Matrix Service Company (the “Company”) for use at the Annual Meeting of Stockholders to be held on October 21, 2003, and at any adjournments thereof. The Annual Meeting will be held at 10:30 a.m., Central Standard time, at Matrix’s Regional Office, 1105 West Main Parkway, Catoosa, Oklahoma. If the accompanying proxy is properly executed and returned, the shares it represents will be voted at the meeting in accordance with the directions noted thereon or, if no direction is indicated, it will be voted in favor of the proposals described in this proxy statement. In addition, the proxy confers authority in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sent to Michael J. Hall, Secretary, Matrix Service Company, 10701 East Ute Street, Tulsa, Oklahoma, 74116. The proxy also may be revoked if the stockholder is present at the meeting and elects to vote in person.</w:t>
      </w:r>
    </w:p>
    <w:p>
      <w:pPr>
        <w:spacing w:after="0" w:line="9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The approximate date on which this Proxy Statement and the accompanying proxy will first be sent to stockholders is September 19, 2003. The annual report of the Company on Form 10-K for the fiscal year ended May 31, 2003 accompanies this Proxy Statement.</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SECURITIES</w:t>
      </w:r>
    </w:p>
    <w:p>
      <w:pPr>
        <w:spacing w:after="0" w:line="16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At the close of business on the Record Date there were 8,165,678 shares of the Company’s common stock, par value $0.01 per share (the “Common Stock”), outstanding. Each outstanding share of Common Stock is entitled to one vote upon each of the matters to be voted on at the meeting. The presence, in person or by proxy, of at least a majority of the outstanding shares of Common Stock is required for a quorum. Abstentions and broker non-votes will be counted for purposes of determining the presence or absence of a quorum. Abstentions and broker non-votes will not be counted as having voted either for or against any proposal.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following table sets forth, as of September 9, 2003, certain information with respect to the shares of Common Stock beneficially owned by (i) each person known by the Company to own beneficially five percent or more of its outstanding shares of Common Stock, (ii) each director and director nominee of the Company, (iii) each executive officer of the Company named in the Summary Compensation Table herein and (iv) all directors, director nominees and executive officers of the Company as a group. Except as described below, each of the persons listed below has sole voting and investment power with respect to the shares listed.</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Identity of Beneficial Owner</w:t>
            </w:r>
          </w:p>
        </w:tc>
        <w:tc>
          <w:tcPr>
            <w:tcW w:w="40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Van Den Berg Management </w:t>
            </w:r>
            <w:r>
              <w:rPr>
                <w:rFonts w:ascii="Arial" w:cs="Arial" w:eastAsia="Arial" w:hAnsi="Arial"/>
                <w:sz w:val="22"/>
                <w:szCs w:val="22"/>
                <w:color w:val="auto"/>
                <w:vertAlign w:val="superscript"/>
              </w:rPr>
              <w:t>(1)</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1,122,612</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1301 Capital of Texas Highway, Suite B228</w:t>
            </w:r>
          </w:p>
        </w:tc>
        <w:tc>
          <w:tcPr>
            <w:tcW w:w="3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3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line="208" w:lineRule="exact"/>
              <w:rPr>
                <w:sz w:val="20"/>
                <w:szCs w:val="20"/>
                <w:color w:val="auto"/>
              </w:rPr>
            </w:pPr>
            <w:r>
              <w:rPr>
                <w:rFonts w:ascii="Arial" w:cs="Arial" w:eastAsia="Arial" w:hAnsi="Arial"/>
                <w:sz w:val="18"/>
                <w:szCs w:val="18"/>
                <w:color w:val="auto"/>
              </w:rPr>
              <w:t xml:space="preserve">Strong Capital Management, Inc. </w:t>
            </w:r>
            <w:r>
              <w:rPr>
                <w:rFonts w:ascii="Arial" w:cs="Arial" w:eastAsia="Arial" w:hAnsi="Arial"/>
                <w:sz w:val="22"/>
                <w:szCs w:val="22"/>
                <w:color w:val="auto"/>
                <w:vertAlign w:val="superscript"/>
              </w:rPr>
              <w:t>(2)</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798,410</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100 Heritage Reserve</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3"/>
          </w:tcPr>
          <w:p>
            <w:pPr>
              <w:spacing w:after="0"/>
              <w:rPr>
                <w:sz w:val="20"/>
                <w:szCs w:val="20"/>
                <w:color w:val="auto"/>
              </w:rPr>
            </w:pPr>
            <w:r>
              <w:rPr>
                <w:rFonts w:ascii="Arial" w:cs="Arial" w:eastAsia="Arial" w:hAnsi="Arial"/>
                <w:sz w:val="18"/>
                <w:szCs w:val="18"/>
                <w:color w:val="auto"/>
              </w:rPr>
              <w:t>Menomonee Falls, WI 53051</w:t>
            </w:r>
          </w:p>
        </w:tc>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jc w:val="right"/>
              <w:ind w:right="1977"/>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174"/>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Identity of Beneficial Owner</w:t>
            </w:r>
          </w:p>
        </w:tc>
        <w:tc>
          <w:tcPr>
            <w:tcW w:w="2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David L. Babson &amp; Company, Inc. </w:t>
            </w:r>
            <w:r>
              <w:rPr>
                <w:rFonts w:ascii="Arial" w:cs="Arial" w:eastAsia="Arial" w:hAnsi="Arial"/>
                <w:sz w:val="22"/>
                <w:szCs w:val="22"/>
                <w:color w:val="auto"/>
                <w:vertAlign w:val="superscript"/>
              </w:rPr>
              <w:t>(3)</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681,100</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Memorial Drive</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Cambridge, MA 02142</w:t>
            </w:r>
          </w:p>
        </w:tc>
        <w:tc>
          <w:tcPr>
            <w:tcW w:w="1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line="208" w:lineRule="exact"/>
              <w:rPr>
                <w:sz w:val="20"/>
                <w:szCs w:val="20"/>
                <w:color w:val="auto"/>
              </w:rPr>
            </w:pPr>
            <w:r>
              <w:rPr>
                <w:rFonts w:ascii="Arial" w:cs="Arial" w:eastAsia="Arial" w:hAnsi="Arial"/>
                <w:sz w:val="18"/>
                <w:szCs w:val="18"/>
                <w:color w:val="auto"/>
              </w:rPr>
              <w:t xml:space="preserve">Dimensional Fund Advisors, Inc. </w:t>
            </w:r>
            <w:r>
              <w:rPr>
                <w:rFonts w:ascii="Arial" w:cs="Arial" w:eastAsia="Arial" w:hAnsi="Arial"/>
                <w:sz w:val="22"/>
                <w:szCs w:val="22"/>
                <w:color w:val="auto"/>
                <w:vertAlign w:val="superscript"/>
              </w:rPr>
              <w:t>(4)</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677,500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line="217" w:lineRule="exact"/>
              <w:rPr>
                <w:sz w:val="20"/>
                <w:szCs w:val="20"/>
                <w:color w:val="auto"/>
              </w:rPr>
            </w:pPr>
            <w:r>
              <w:rPr>
                <w:rFonts w:ascii="Arial" w:cs="Arial" w:eastAsia="Arial" w:hAnsi="Arial"/>
                <w:sz w:val="18"/>
                <w:szCs w:val="18"/>
                <w:color w:val="auto"/>
              </w:rPr>
              <w:t>1299 Ocean Avenue,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3"/>
          </w:tcPr>
          <w:p>
            <w:pPr>
              <w:spacing w:after="0"/>
              <w:rPr>
                <w:sz w:val="20"/>
                <w:szCs w:val="20"/>
                <w:color w:val="auto"/>
              </w:rPr>
            </w:pPr>
            <w:r>
              <w:rPr>
                <w:rFonts w:ascii="Arial" w:cs="Arial" w:eastAsia="Arial" w:hAnsi="Arial"/>
                <w:sz w:val="18"/>
                <w:szCs w:val="18"/>
                <w:color w:val="auto"/>
              </w:rPr>
              <w:t>Santa Monica, CA 90401</w:t>
            </w:r>
          </w:p>
        </w:tc>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 xml:space="preserve">Hugh E. Bradley </w:t>
            </w:r>
            <w:r>
              <w:rPr>
                <w:rFonts w:ascii="Arial" w:cs="Arial" w:eastAsia="Arial" w:hAnsi="Arial"/>
                <w:sz w:val="22"/>
                <w:szCs w:val="22"/>
                <w:color w:val="auto"/>
                <w:vertAlign w:val="superscript"/>
              </w:rPr>
              <w:t>(5)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Michael J. Hall </w:t>
            </w:r>
            <w:r>
              <w:rPr>
                <w:rFonts w:ascii="Arial" w:cs="Arial" w:eastAsia="Arial" w:hAnsi="Arial"/>
                <w:sz w:val="22"/>
                <w:szCs w:val="22"/>
                <w:color w:val="auto"/>
                <w:vertAlign w:val="superscript"/>
              </w:rPr>
              <w:t>(5)</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I. Edgar Hendrix </w:t>
            </w:r>
            <w:r>
              <w:rPr>
                <w:rFonts w:ascii="Arial" w:cs="Arial" w:eastAsia="Arial" w:hAnsi="Arial"/>
                <w:sz w:val="22"/>
                <w:szCs w:val="22"/>
                <w:color w:val="auto"/>
                <w:vertAlign w:val="superscript"/>
              </w:rPr>
              <w:t>(5)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Paul K. Lackey </w:t>
            </w:r>
            <w:r>
              <w:rPr>
                <w:rFonts w:ascii="Arial" w:cs="Arial" w:eastAsia="Arial" w:hAnsi="Arial"/>
                <w:sz w:val="22"/>
                <w:szCs w:val="22"/>
                <w:color w:val="auto"/>
                <w:vertAlign w:val="superscript"/>
              </w:rPr>
              <w:t>(5)</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Tommy E. Maxwell </w:t>
            </w:r>
            <w:r>
              <w:rPr>
                <w:rFonts w:ascii="Arial" w:cs="Arial" w:eastAsia="Arial" w:hAnsi="Arial"/>
                <w:sz w:val="22"/>
                <w:szCs w:val="22"/>
                <w:color w:val="auto"/>
                <w:vertAlign w:val="superscript"/>
              </w:rPr>
              <w:t>(5)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Bradley S. Vetal </w:t>
            </w:r>
            <w:r>
              <w:rPr>
                <w:rFonts w:ascii="Arial" w:cs="Arial" w:eastAsia="Arial" w:hAnsi="Arial"/>
                <w:sz w:val="22"/>
                <w:szCs w:val="22"/>
                <w:color w:val="auto"/>
                <w:vertAlign w:val="superscript"/>
              </w:rPr>
              <w:t>(5)</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237,818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Vance R. Davis </w:t>
            </w:r>
            <w:r>
              <w:rPr>
                <w:rFonts w:ascii="Arial" w:cs="Arial" w:eastAsia="Arial" w:hAnsi="Arial"/>
                <w:sz w:val="22"/>
                <w:szCs w:val="22"/>
                <w:color w:val="auto"/>
                <w:vertAlign w:val="superscript"/>
              </w:rPr>
              <w:t>(5)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John S. Newmeister </w:t>
            </w:r>
            <w:r>
              <w:rPr>
                <w:rFonts w:ascii="Arial" w:cs="Arial" w:eastAsia="Arial" w:hAnsi="Arial"/>
                <w:sz w:val="22"/>
                <w:szCs w:val="22"/>
                <w:color w:val="auto"/>
                <w:vertAlign w:val="superscript"/>
              </w:rPr>
              <w:t>(5)</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21,900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James P. Ryan </w:t>
            </w:r>
            <w:r>
              <w:rPr>
                <w:rFonts w:ascii="Arial" w:cs="Arial" w:eastAsia="Arial" w:hAnsi="Arial"/>
                <w:sz w:val="22"/>
                <w:szCs w:val="22"/>
                <w:color w:val="auto"/>
                <w:vertAlign w:val="superscript"/>
              </w:rPr>
              <w:t>(5)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514,468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99"/>
        </w:trPr>
        <w:tc>
          <w:tcPr>
            <w:tcW w:w="5040" w:type="dxa"/>
            <w:vAlign w:val="bottom"/>
            <w:gridSpan w:val="3"/>
          </w:tcPr>
          <w:p>
            <w:pPr>
              <w:spacing w:after="0"/>
              <w:rPr>
                <w:sz w:val="20"/>
                <w:szCs w:val="20"/>
                <w:color w:val="auto"/>
              </w:rPr>
            </w:pPr>
            <w:r>
              <w:rPr>
                <w:rFonts w:ascii="Arial" w:cs="Arial" w:eastAsia="Arial" w:hAnsi="Arial"/>
                <w:sz w:val="18"/>
                <w:szCs w:val="18"/>
                <w:color w:val="auto"/>
              </w:rPr>
              <w:t xml:space="preserve">(15 persons) </w:t>
            </w:r>
            <w:r>
              <w:rPr>
                <w:rFonts w:ascii="Arial" w:cs="Arial" w:eastAsia="Arial" w:hAnsi="Arial"/>
                <w:sz w:val="22"/>
                <w:szCs w:val="22"/>
                <w:color w:val="auto"/>
                <w:vertAlign w:val="superscript"/>
              </w:rPr>
              <w:t>(5)</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Schedule 13G dated June 11,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Schedule 13G dated February 10,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Schedule 13G dated February 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Schedule 13G dated February 13, 2003.</w:t>
      </w:r>
    </w:p>
    <w:p>
      <w:pPr>
        <w:spacing w:after="0" w:line="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September 9, 2003: Mr. Bradley – 22,500 shares; Mr. Hall – 25,228 shares; Mr. Lackey – 12,500 shares; Mr. Vetal – 211,000 shares; Mr. Hendrix – 12,500 shares; Mr. Newmeister – 15,800 shares; Mr. Davis – 5,000 shares; Mr. Ryan – 21,000 shares; 15 Directors and Executive Officers as a group – 386,427 shares.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NUMBER 1: Election of Directors</w:t>
      </w:r>
    </w:p>
    <w:p>
      <w:pPr>
        <w:spacing w:after="0" w:line="16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5" w:right="299" w:bottom="1440" w:gutter="0" w:footer="0" w:header="0"/>
        </w:sectPr>
      </w:pPr>
    </w:p>
    <w:bookmarkStart w:id="4" w:name="page5"/>
    <w:bookmarkEnd w:id="4"/>
    <w:p>
      <w:pPr>
        <w:jc w:val="both"/>
        <w:ind w:right="3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the time of the 2003 Annual Meeting of Stockholders, any of the nominees should be unable or decline to serve, the discretionary authority provided in the proxy may be used to vote for a substitute or substitutes designated by the Board of Directors. The Board of Directors has no reason to believe that any substitute nominee or nominees will be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52"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Hugh E. Bradley</w:t>
      </w:r>
      <w:r>
        <w:rPr>
          <w:rFonts w:ascii="Arial" w:cs="Arial" w:eastAsia="Arial" w:hAnsi="Arial"/>
          <w:sz w:val="18"/>
          <w:szCs w:val="18"/>
          <w:color w:val="auto"/>
        </w:rPr>
        <w:t>, age 74, was elected as a Director of the Company effective on April 20, 1993. Mr. Bradley retired in October 1993. Previously he</w:t>
      </w:r>
      <w:r>
        <w:rPr>
          <w:rFonts w:ascii="Arial" w:cs="Arial" w:eastAsia="Arial" w:hAnsi="Arial"/>
          <w:sz w:val="18"/>
          <w:szCs w:val="18"/>
          <w:b w:val="1"/>
          <w:bCs w:val="1"/>
          <w:color w:val="auto"/>
        </w:rPr>
        <w:t xml:space="preserve"> </w:t>
      </w:r>
      <w:r>
        <w:rPr>
          <w:rFonts w:ascii="Arial" w:cs="Arial" w:eastAsia="Arial" w:hAnsi="Arial"/>
          <w:sz w:val="18"/>
          <w:szCs w:val="18"/>
          <w:color w:val="auto"/>
        </w:rPr>
        <w:t>had served as the Division Manager for Texaco Trading &amp; Transportation, Inc., Mid-Continent Region from 1988 to 1993. Mr. Bradley is a graduate Petroleum Engineer from the Colorado School of Mines.</w:t>
      </w:r>
    </w:p>
    <w:p>
      <w:pPr>
        <w:spacing w:after="0" w:line="119" w:lineRule="exact"/>
        <w:rPr>
          <w:sz w:val="20"/>
          <w:szCs w:val="20"/>
          <w:color w:val="auto"/>
        </w:rPr>
      </w:pPr>
    </w:p>
    <w:p>
      <w:pPr>
        <w:jc w:val="both"/>
        <w:ind w:right="140" w:firstLine="913"/>
        <w:spacing w:after="0" w:line="287"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59, has served as Vice President Finance and Chief Financial Officer of the Company since November 1998. Prior to working</w:t>
      </w:r>
      <w:r>
        <w:rPr>
          <w:rFonts w:ascii="Arial" w:cs="Arial" w:eastAsia="Arial" w:hAnsi="Arial"/>
          <w:sz w:val="16"/>
          <w:szCs w:val="16"/>
          <w:b w:val="1"/>
          <w:bCs w:val="1"/>
          <w:color w:val="auto"/>
        </w:rPr>
        <w:t xml:space="preserve"> </w:t>
      </w:r>
      <w:r>
        <w:rPr>
          <w:rFonts w:ascii="Arial" w:cs="Arial" w:eastAsia="Arial" w:hAnsi="Arial"/>
          <w:sz w:val="16"/>
          <w:szCs w:val="16"/>
          <w:color w:val="auto"/>
        </w:rPr>
        <w:t>for Matrix, Mr. Hall was Vice President and Chief Financial Officer for Pexco Holdings, Inc. from 1994 to 1997 and Vice President Finance and Chief Financial Officer for Worldwide Sports &amp; Recreation, Inc., a company affiliated with Pexco Holdings, from 1996 to 1997. From 1984 to 1994, Mr. Hall worked for T.D.</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Williamson, Inc., as Senior Vice President, Chief Financial and Administrative Officer, and Director of Operations, Europe, Africa and Middle East Region. Mr. Hall graduated Summa Cum Laude from Boston College with a degree in Accounting and earned his MBA with honors from Stanford Graduate School of Business. Mr. Hall is a Member of the Board of Trustees for American Performance Funds and a Member of the Board of Alliance Resource Partners, L. P.</w:t>
      </w:r>
    </w:p>
    <w:p>
      <w:pPr>
        <w:spacing w:after="0" w:line="90"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I. E. (Ed) Hendrix</w:t>
      </w:r>
      <w:r>
        <w:rPr>
          <w:rFonts w:ascii="Arial" w:cs="Arial" w:eastAsia="Arial" w:hAnsi="Arial"/>
          <w:sz w:val="16"/>
          <w:szCs w:val="16"/>
          <w:color w:val="auto"/>
        </w:rPr>
        <w:t>, age 59, has served as Executive Vice President and Chief Financial Officer of Spectrum Field Services, Inc., subsequent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inception in July 2000. Mr. Hendrix previously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also has a Masters of Business Administration from the University of Oklahoma. Mr. Hendrix is a Member of the Board of Trustees for American Performance Mutual Funds and formerly served as a Board Member of Whitmar Exploration Inc., Houston, TX.</w:t>
      </w:r>
    </w:p>
    <w:p>
      <w:pPr>
        <w:spacing w:after="0" w:line="94"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60, is President &amp; Chief Executive Officer of The NORDAM Group, an aircraft component manufacturing and repair firm.</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joining NORDAM in July 2001, Mr. Lackey was President of The University of Oklahoma – Tulsa and Senior Vice President of the OU system. Prior to joining OU in August 1999, Mr. Lackey was a key member of Governor Frank Keating’s administration. He was the Governor’s Chief of Staff from February 1997 to July 1999. From 1995 to 1997, he served as the Oklahoma Cabinet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He is a past Chairman of the Metropolitan Tulsa Chamber of Commerce. A graduate of the University of Mississippi with a B.S. in Mathematics, Mr. Lackey earned his Master’s Degree in Business Administration from the University of Texas. He served in the U.S. Army as an artillery officer.</w:t>
      </w:r>
    </w:p>
    <w:p>
      <w:pPr>
        <w:spacing w:after="0" w:line="99" w:lineRule="exact"/>
        <w:rPr>
          <w:sz w:val="20"/>
          <w:szCs w:val="20"/>
          <w:color w:val="auto"/>
        </w:rPr>
      </w:pPr>
    </w:p>
    <w:p>
      <w:pPr>
        <w:ind w:right="180" w:firstLine="913"/>
        <w:spacing w:after="0" w:line="262" w:lineRule="auto"/>
        <w:rPr>
          <w:sz w:val="20"/>
          <w:szCs w:val="20"/>
          <w:color w:val="auto"/>
        </w:rPr>
      </w:pPr>
      <w:r>
        <w:rPr>
          <w:rFonts w:ascii="Arial" w:cs="Arial" w:eastAsia="Arial" w:hAnsi="Arial"/>
          <w:sz w:val="18"/>
          <w:szCs w:val="18"/>
          <w:b w:val="1"/>
          <w:bCs w:val="1"/>
          <w:color w:val="auto"/>
        </w:rPr>
        <w:t>Tom E. Maxwell</w:t>
      </w:r>
      <w:r>
        <w:rPr>
          <w:rFonts w:ascii="Arial" w:cs="Arial" w:eastAsia="Arial" w:hAnsi="Arial"/>
          <w:sz w:val="18"/>
          <w:szCs w:val="18"/>
          <w:color w:val="auto"/>
        </w:rPr>
        <w:t>, age 58, is the President and Chief Executive Officer of The Flintco Companies, Inc., a position he has held for 15 years.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his election to President and Chief Executive Officer of Flintco, Mr. Maxwell was the Chief Financial Officer of Flintco for five years. Mr. Maxwell earned Undergraduate and Master’s Degrees in Accounting at the University of Oklahoma.</w:t>
      </w:r>
    </w:p>
    <w:p>
      <w:pPr>
        <w:spacing w:after="0" w:line="119"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Bradley S. Vetal</w:t>
      </w:r>
      <w:r>
        <w:rPr>
          <w:rFonts w:ascii="Arial" w:cs="Arial" w:eastAsia="Arial" w:hAnsi="Arial"/>
          <w:sz w:val="18"/>
          <w:szCs w:val="18"/>
          <w:color w:val="auto"/>
        </w:rPr>
        <w:t>, age 47, has served as President, Chief Executive Officer and Director of the Company since March 1999. Mr. Vetal has been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since January 1987 and has served as President of Matrix Service, Inc. since June 1, 1992. From June 1996 to March 1999 Mr. Vetal was Vice President-Tank Division of Matrix Service Company and responsible for all AST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June 1991 through May 1992, Mr. Vetal served as Vice President of Eastern Operations of Matrix Service Mid-Continent, Inc. Mr. Vetal graduated Cum Laude from the University of Michigan with a degree in Mechanical Engineering. Mr. Vetal is a Member of the Board of Directors of Webco Industries, Inc.</w:t>
      </w:r>
    </w:p>
    <w:p>
      <w:pPr>
        <w:spacing w:after="0" w:line="72" w:lineRule="exact"/>
        <w:rPr>
          <w:sz w:val="20"/>
          <w:szCs w:val="20"/>
          <w:color w:val="auto"/>
        </w:rPr>
      </w:pPr>
    </w:p>
    <w:p>
      <w:pPr>
        <w:ind w:right="1760" w:firstLine="913"/>
        <w:spacing w:after="0" w:line="375" w:lineRule="auto"/>
        <w:rPr>
          <w:sz w:val="20"/>
          <w:szCs w:val="20"/>
          <w:color w:val="auto"/>
        </w:rPr>
      </w:pPr>
      <w:r>
        <w:rPr>
          <w:rFonts w:ascii="Arial" w:cs="Arial" w:eastAsia="Arial" w:hAnsi="Arial"/>
          <w:sz w:val="18"/>
          <w:szCs w:val="18"/>
          <w:b w:val="1"/>
          <w:bCs w:val="1"/>
          <w:i w:val="1"/>
          <w:iCs w:val="1"/>
          <w:color w:val="auto"/>
        </w:rPr>
        <w:t xml:space="preserve">The Board of Directors recommends that the stockholders vote “For” the election of each of the above named nominees. </w:t>
      </w:r>
      <w:r>
        <w:rPr>
          <w:rFonts w:ascii="Arial" w:cs="Arial" w:eastAsia="Arial" w:hAnsi="Arial"/>
          <w:sz w:val="18"/>
          <w:szCs w:val="18"/>
          <w:b w:val="1"/>
          <w:bCs w:val="1"/>
          <w:color w:val="auto"/>
        </w:rPr>
        <w:t>The Board of Directors and its Committees</w:t>
      </w:r>
    </w:p>
    <w:p>
      <w:pPr>
        <w:spacing w:after="0" w:line="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Corporate Governance Committee and a majority vote by the remaining directors. The Company’s Board of Directors met six times during fiscal year 2003. During fiscal year 2003, each member of the Board of Directors attended 100% of the meetings of the Board of Directors and the committees of which he was a member with the exception of Mr. Zink who attended 90% of the meetings of the Board of Directors and the Committees of which he was a member.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Board has three standing committees: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Corporate</w:t>
            </w:r>
          </w:p>
        </w:tc>
      </w:tr>
      <w:tr>
        <w:trPr>
          <w:trHeight w:val="174"/>
        </w:trPr>
        <w:tc>
          <w:tcPr>
            <w:tcW w:w="2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r>
      <w:tr>
        <w:trPr>
          <w:trHeight w:val="95"/>
        </w:trPr>
        <w:tc>
          <w:tcPr>
            <w:tcW w:w="216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r>
      <w:tr>
        <w:trPr>
          <w:trHeight w:val="309"/>
        </w:trPr>
        <w:tc>
          <w:tcPr>
            <w:tcW w:w="2160" w:type="dxa"/>
            <w:vAlign w:val="bottom"/>
          </w:tcPr>
          <w:p>
            <w:pPr>
              <w:spacing w:after="0"/>
              <w:rPr>
                <w:sz w:val="20"/>
                <w:szCs w:val="20"/>
                <w:color w:val="auto"/>
              </w:rPr>
            </w:pPr>
            <w:r>
              <w:rPr>
                <w:rFonts w:ascii="Arial" w:cs="Arial" w:eastAsia="Arial" w:hAnsi="Arial"/>
                <w:sz w:val="18"/>
                <w:szCs w:val="18"/>
                <w:color w:val="auto"/>
              </w:rPr>
              <w:t>Members:</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Bradley</w:t>
            </w:r>
          </w:p>
        </w:tc>
        <w:tc>
          <w:tcPr>
            <w:tcW w:w="1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Bradley</w:t>
            </w:r>
          </w:p>
        </w:tc>
        <w:tc>
          <w:tcPr>
            <w:tcW w:w="16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Bradley</w:t>
            </w:r>
          </w:p>
        </w:tc>
      </w:tr>
      <w:tr>
        <w:trPr>
          <w:trHeight w:val="216"/>
        </w:trPr>
        <w:tc>
          <w:tcPr>
            <w:tcW w:w="2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Hendrix*</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Hendrix</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Hendrix</w:t>
            </w:r>
          </w:p>
        </w:tc>
      </w:tr>
      <w:tr>
        <w:trPr>
          <w:trHeight w:val="216"/>
        </w:trPr>
        <w:tc>
          <w:tcPr>
            <w:tcW w:w="2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Maxwell</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Lackey*</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Lackey</w:t>
            </w:r>
          </w:p>
        </w:tc>
      </w:tr>
      <w:tr>
        <w:trPr>
          <w:trHeight w:val="222"/>
        </w:trPr>
        <w:tc>
          <w:tcPr>
            <w:tcW w:w="2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7"/>
              </w:rPr>
              <w:t>Maxwell*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Prior to the July 30, 2002, adoption of the Sarbannes-Oxley Act, the functions of the Audit Committee included making recommendations concerning the engagement of independent auditors, reviewing with the independent auditors the plan and results of the auditing engagement, reviewing professional services provided by the independent auditors, reviewing the independence of the independent auditors, considering the range of audit and nonaudit fees and reviewing the adequacy of the Company’s internal accounting controls. Effective upon the adoption of the Sarbannes-Oxley Act, the Audit Committee was granted sole power and authority to engage and retain the Company’s outside auditor, to determine and pre-approve the type and scope of all audit and non-audit services provided by the outside auditor and to approve the compensation of the auditor. The outside auditor reports directly to the Audit Committee and the Audit Committee has full oversight over all services performed by the auditor. The Audit Committee held four meetings during fiscal 2003.</w:t>
      </w:r>
    </w:p>
    <w:p>
      <w:pPr>
        <w:spacing w:after="0" w:line="10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Compensation Committee’s functions include reviewing executive salary and bonus structure, approving salary and bonus awards to key executives and administering the Company’s stock option plans and making grants thereunder. The Compensation Committee held four meetings during fiscal 2003.</w:t>
      </w:r>
    </w:p>
    <w:p>
      <w:pPr>
        <w:spacing w:after="0" w:line="12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Corporate Governance Committee was established to make nominations and recommendations to the Board of Directors for individuals to be presented to the stockholders for election to the Board of Directors and to make recommendations to the Board of Directors of individuals to fill any vacancies that may occur on the Board during the year. The Corporate Governance Committee nominated Tom E. Maxwell to serve as Director by unanimous consent at a regularly scheduled board meeting on April 15, 2003, which, in turn, was unanimously approved by the Board of Directors. The Corporate Governance Committee approved the six director nominations by unanimous consent at a committee meeting on August 19, 2003, which, in turn, were unanimously approved by the Board of Directors. The Corporate Governance Committee held no meetings during fiscal 2003.</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6" w:name="page7"/>
    <w:bookmarkEnd w:id="6"/>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Common Stock wishing to recommend a person for consideration as a nominee for election to the Board can do so in accordance with the Company’s Bylaws by giving timely written notice to the Secretary of the Company at 10701 East Ute Street, Tulsa, Oklahoma 74116. The written notice should give each such nominee’s name, address, appropriate biographical information, a description of all arrangements or understandings between the stockholder and each such nominee and any other person or persons (naming such person or person),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320" w:firstLine="913"/>
        <w:spacing w:after="0" w:line="255" w:lineRule="auto"/>
        <w:rPr>
          <w:sz w:val="20"/>
          <w:szCs w:val="20"/>
          <w:color w:val="auto"/>
        </w:rPr>
      </w:pPr>
      <w:r>
        <w:rPr>
          <w:rFonts w:ascii="Arial" w:cs="Arial" w:eastAsia="Arial" w:hAnsi="Arial"/>
          <w:sz w:val="18"/>
          <w:szCs w:val="18"/>
          <w:color w:val="auto"/>
        </w:rPr>
        <w:t>Directors of the Company are reimbursed for out-of-pocket expenses incurred in attending the Board of Directors and committee meetings. In addition, each Director who is not an employee of the Company receives $16,000 plus $1,000 for each meeting attended in person and $500 for each teleconference Board of Directors meeting attended and $500 for each committee meeting attended either in person or by telephone. In addition, each outside Director is annually granted options to purchase 5,000 shares of the Company’s Common Stock under the Matrix Service Company 1995 Nonemployee Directors’ Stock Option Plan.</w:t>
      </w:r>
    </w:p>
    <w:p>
      <w:pPr>
        <w:spacing w:after="0" w:line="129"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Effective October 18, 2000, the Deferred Fee Plan for Members of the Board of Directors of Matrix Service Company was adopted. The purpose of this Plan is to permit members of the Board of Directors of the Company to elect to take their fees presently, in the form of cash, or to defer any right to payment of the Director fees until a future date. For those members of the Board of Directors that choose to defer their fees, and thus place the fees at substantial risk of forfeiture, the Plan permits such members to have an opportunity to earn interest on the deferred fees, or to participate in the performance and growth of the Company through an award of Phantom Stock (SARs).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Company engaged The Flintco Companies, Inc. to provide construction management services for the construction of our new facilities in Catoosa, Oklahoma. The project began in June 2001 and was completed in May 2003. The Company believes the fees of $480,245 paid to Flintco for the services provided were at market rates. Mr. Maxwell, a Director of Matrix, is the Chief Executive Officer of The Flintco Companies, Inc.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77"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George L. Austin</w:t>
      </w:r>
      <w:r>
        <w:rPr>
          <w:rFonts w:ascii="Arial" w:cs="Arial" w:eastAsia="Arial" w:hAnsi="Arial"/>
          <w:sz w:val="16"/>
          <w:szCs w:val="16"/>
          <w:color w:val="auto"/>
        </w:rPr>
        <w:t>, age 37, has served as Vice President, Accounting &amp; Administration, East Coast since March 2003. Mr. Austin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Financial Reporting &amp; Technology for the Company from June 2002 to March 2003 and as Vice President of Financial Planning and Reporting for the Company from April 1999 to May 2002. Mr. Austin previously served as Vice President of Finance for Flint Energy Construction Company from February 1994 to March 1999. Mr. Austin was an Audit Manager with Ernst &amp; Young LLP. Mr. Austin has a Bachelor of Science Degree from Oklahoma State University. Mr. Austin is a Certified Public Accountant, a member of the American Institute of Certified Public Accountants and the Financial Executives Institute.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7" w:name="page8"/>
    <w:bookmarkEnd w:id="7"/>
    <w:p>
      <w:pPr>
        <w:ind w:right="2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Vance R. Davis</w:t>
      </w:r>
      <w:r>
        <w:rPr>
          <w:rFonts w:ascii="Arial" w:cs="Arial" w:eastAsia="Arial" w:hAnsi="Arial"/>
          <w:sz w:val="18"/>
          <w:szCs w:val="18"/>
          <w:color w:val="auto"/>
        </w:rPr>
        <w:t>, age 43, has served as Vice President of Eastern Operations for the Company since June 1997. Mr. Davis served as Regional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from June 1994 to June 1997. Mr. Davis has served 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123"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James M. Harris Sr.</w:t>
      </w:r>
      <w:r>
        <w:rPr>
          <w:rFonts w:ascii="Arial" w:cs="Arial" w:eastAsia="Arial" w:hAnsi="Arial"/>
          <w:sz w:val="16"/>
          <w:szCs w:val="16"/>
          <w:color w:val="auto"/>
        </w:rPr>
        <w:t>, age 55, has served as Senior Vice President, Business Development, Hake Group for the Company since March 2003.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Matrix, Mr. Harris worked for The Hake Group of Companies for 33 years holding numerous positions, including serving as the Vice President, Sales and Marketing for Frank W. Hake, Inc. and The Hake Group of Companies since 1989. Mr. Harris holds a Bachelor of Science Degree in Civil Engineering from Drexel University and a Bachelor of Science Degree in Mathematics from Penn State University.</w:t>
      </w:r>
    </w:p>
    <w:p>
      <w:pPr>
        <w:spacing w:after="0" w:line="90" w:lineRule="exact"/>
        <w:rPr>
          <w:sz w:val="20"/>
          <w:szCs w:val="20"/>
          <w:color w:val="auto"/>
        </w:rPr>
      </w:pPr>
    </w:p>
    <w:p>
      <w:pPr>
        <w:ind w:right="380" w:firstLine="913"/>
        <w:spacing w:after="0" w:line="310" w:lineRule="auto"/>
        <w:rPr>
          <w:sz w:val="20"/>
          <w:szCs w:val="20"/>
          <w:color w:val="auto"/>
        </w:rPr>
      </w:pPr>
      <w:r>
        <w:rPr>
          <w:rFonts w:ascii="Arial" w:cs="Arial" w:eastAsia="Arial" w:hAnsi="Arial"/>
          <w:sz w:val="16"/>
          <w:szCs w:val="16"/>
          <w:b w:val="1"/>
          <w:bCs w:val="1"/>
          <w:color w:val="auto"/>
        </w:rPr>
        <w:t>Sidney Laytin</w:t>
      </w:r>
      <w:r>
        <w:rPr>
          <w:rFonts w:ascii="Arial" w:cs="Arial" w:eastAsia="Arial" w:hAnsi="Arial"/>
          <w:sz w:val="16"/>
          <w:szCs w:val="16"/>
          <w:color w:val="auto"/>
        </w:rPr>
        <w:t>, age 52, has served as Co-Chief Operating Officer, Hake Group for the Company since March 2003. Prior to joining Matrix, Mr.</w:t>
      </w:r>
      <w:r>
        <w:rPr>
          <w:rFonts w:ascii="Arial" w:cs="Arial" w:eastAsia="Arial" w:hAnsi="Arial"/>
          <w:sz w:val="16"/>
          <w:szCs w:val="16"/>
          <w:b w:val="1"/>
          <w:bCs w:val="1"/>
          <w:color w:val="auto"/>
        </w:rPr>
        <w:t xml:space="preserve"> </w:t>
      </w:r>
      <w:r>
        <w:rPr>
          <w:rFonts w:ascii="Arial" w:cs="Arial" w:eastAsia="Arial" w:hAnsi="Arial"/>
          <w:sz w:val="16"/>
          <w:szCs w:val="16"/>
          <w:color w:val="auto"/>
        </w:rPr>
        <w:t>Laytin served as the Co-Chief Operating Officer for The Hake Group of Companies from 1998 to 2003. Mr. Laytin holds a Bachelor of Science Degree in Accounting from the University of Maryland and earned a Masters of Business Administration from Columbia University.</w:t>
      </w:r>
    </w:p>
    <w:p>
      <w:pPr>
        <w:spacing w:after="0" w:line="84"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b w:val="1"/>
          <w:bCs w:val="1"/>
          <w:color w:val="auto"/>
        </w:rPr>
        <w:t>Walter G. MacFarland IV</w:t>
      </w:r>
      <w:r>
        <w:rPr>
          <w:rFonts w:ascii="Arial" w:cs="Arial" w:eastAsia="Arial" w:hAnsi="Arial"/>
          <w:sz w:val="18"/>
          <w:szCs w:val="18"/>
          <w:color w:val="auto"/>
        </w:rPr>
        <w:t>, age 54, has served as Co-Chief Operating Officer, Hake Group for the Company since March 2003.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Matrix, Mr. MacFarland served as the Co-Chief Operating Officer for The Hake Group of Companies since 2000. Prior to that, Mr. MacFarland worked as consultant from 1999 to 2000 providing services in the engineering, construction and IT industries. From 1998 to 1999, Mr. MacFarland was the Senior Vice President – Operations for Illinois Power Company. Mr. MacFarland holds a Bachelor of Science Degree in Engineering and a Masters of Business Administration from Widener University.</w:t>
      </w:r>
    </w:p>
    <w:p>
      <w:pPr>
        <w:spacing w:after="0" w:line="12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55, has served as Vice President of Marketing and Business Development for the Company since May 2000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as Vice President of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w:t>
      </w:r>
    </w:p>
    <w:p>
      <w:pPr>
        <w:spacing w:after="0" w:line="123" w:lineRule="exact"/>
        <w:rPr>
          <w:sz w:val="20"/>
          <w:szCs w:val="20"/>
          <w:color w:val="auto"/>
        </w:rPr>
      </w:pPr>
    </w:p>
    <w:p>
      <w:pPr>
        <w:jc w:val="both"/>
        <w:ind w:right="560" w:firstLine="913"/>
        <w:spacing w:after="0" w:line="258"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39, has served as Vice President of Midwestern Operations for the Company since May 1997; Regional Manager –</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Region from April 1991 to April 1997; Operations Manager – Michigan Region from January 1990 to March 1991; and as a Project Manager – Michigan Region from January 1988 to December 1989. Mr. Rinehart holds a Bachelor of Science Degree in Construction Science from the University of Oklahoma.</w:t>
      </w:r>
    </w:p>
    <w:p>
      <w:pPr>
        <w:spacing w:after="0" w:line="12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b w:val="1"/>
          <w:bCs w:val="1"/>
          <w:color w:val="auto"/>
        </w:rPr>
        <w:t>Glen W. Rogers</w:t>
      </w:r>
      <w:r>
        <w:rPr>
          <w:rFonts w:ascii="Arial" w:cs="Arial" w:eastAsia="Arial" w:hAnsi="Arial"/>
          <w:sz w:val="16"/>
          <w:szCs w:val="16"/>
          <w:color w:val="auto"/>
        </w:rPr>
        <w:t>, age 53, has served as Vice President of Products, Technical &amp; Support Services for the Company since June 1997. Mr. Rogers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of Operations for the Company from October 1993 to May 1997. From March 1992 to October 1993, Mr. Rogers served as Vice President of Construction managing a $23 million dollar grass roots terminal project in Cushing, Oklahoma for Matrix Service, Inc. Prior to working for the Company, Mr. Rogers was an Engineering Manager for Williams Pipeline Company from October 1984 to March 1992. Mr. Rogers worked for Edeco, Inc. from March 1979 to October 1984 serving as Senior Project Engineer. Mr. Rogers holds a Bachelor of Science Degree in Civil Engineering from Kansas State University. Mr. Rogers is a member of the American Society of Civil Engineering and the National Society of Professional Engineers.</w:t>
      </w:r>
    </w:p>
    <w:p>
      <w:pPr>
        <w:spacing w:after="0" w:line="97"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48, has served as Vice President of Western Operations since first joining the Company in October 1999. Prior to joining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Matrix, Mr. Ryan worked for Gibraltar Construction Company from January 1993 to September 1999 providing construction management services. Mr. Ryan is responsible for West Coast AST Operations, Turnarounds and Plant Maintenance operations. Mr. Ryan has 22 years of construction related experience in the area of heavy industrial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 w:name="page9"/>
    <w:bookmarkEnd w:id="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Mr. Ryan was a 1979 graduate from Purdue University in Civil Engineering. Previous employers include MW Kellogg, Kiewit Industrial Co. and Hoffman Construction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The following table summarizes certain information regarding compensation paid or accrued during each of the Company’s last three fiscal years to the Chief Executive Officer and each of the Company’s four other most highly compensated executive officers (the “Named Officers”):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Long-Term Compensation</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8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0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Annual Compensation</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Annual</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4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Fiscal</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Principal Position</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Bonus ($)</w:t>
            </w:r>
          </w:p>
        </w:tc>
        <w:tc>
          <w:tcPr>
            <w:tcW w:w="128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7"/>
              </w:rPr>
              <w:t>($)(1)</w:t>
            </w:r>
          </w:p>
        </w:tc>
        <w:tc>
          <w:tcPr>
            <w:tcW w:w="4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4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Options/SARs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313,116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Chairman of Board, President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279,935</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157,042</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Chief Executive Officer</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228,190</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Michael J. Hall</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2003</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211,393</w:t>
            </w:r>
          </w:p>
        </w:tc>
        <w:tc>
          <w:tcPr>
            <w:tcW w:w="720" w:type="dxa"/>
            <w:vAlign w:val="bottom"/>
          </w:tcPr>
          <w:p>
            <w:pPr>
              <w:jc w:val="right"/>
              <w:spacing w:after="0"/>
              <w:rPr>
                <w:sz w:val="20"/>
                <w:szCs w:val="20"/>
                <w:color w:val="auto"/>
              </w:rPr>
            </w:pPr>
            <w:r>
              <w:rPr>
                <w:rFonts w:ascii="Arial" w:cs="Arial" w:eastAsia="Arial" w:hAnsi="Arial"/>
                <w:sz w:val="18"/>
                <w:szCs w:val="18"/>
                <w:color w:val="auto"/>
              </w:rPr>
              <w:t>115,668</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4"/>
          </w:tcPr>
          <w:p>
            <w:pPr>
              <w:spacing w:after="0"/>
              <w:rPr>
                <w:sz w:val="20"/>
                <w:szCs w:val="20"/>
                <w:color w:val="auto"/>
              </w:rPr>
            </w:pPr>
            <w:r>
              <w:rPr>
                <w:rFonts w:ascii="Arial" w:cs="Arial" w:eastAsia="Arial" w:hAnsi="Arial"/>
                <w:sz w:val="18"/>
                <w:szCs w:val="18"/>
                <w:color w:val="auto"/>
              </w:rPr>
              <w:t>Vice President Finance and</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194,888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78,856</w:t>
            </w:r>
          </w:p>
        </w:tc>
        <w:tc>
          <w:tcPr>
            <w:tcW w:w="4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172,371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33,320</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P. Ryan</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164,086</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Western</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155,951</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145,000</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Vance R. Davis</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2003</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155,883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4"/>
          </w:tcPr>
          <w:p>
            <w:pPr>
              <w:spacing w:after="0"/>
              <w:rPr>
                <w:sz w:val="20"/>
                <w:szCs w:val="20"/>
                <w:color w:val="auto"/>
              </w:rPr>
            </w:pPr>
            <w:r>
              <w:rPr>
                <w:rFonts w:ascii="Arial" w:cs="Arial" w:eastAsia="Arial" w:hAnsi="Arial"/>
                <w:sz w:val="18"/>
                <w:szCs w:val="18"/>
                <w:color w:val="auto"/>
              </w:rPr>
              <w:t>Vice President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146,510</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10,236</w:t>
            </w:r>
          </w:p>
        </w:tc>
        <w:tc>
          <w:tcPr>
            <w:tcW w:w="4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2660" w:type="dxa"/>
            <w:vAlign w:val="bottom"/>
            <w:gridSpan w:val="4"/>
          </w:tcPr>
          <w:p>
            <w:pPr>
              <w:spacing w:after="0"/>
              <w:rPr>
                <w:sz w:val="20"/>
                <w:szCs w:val="20"/>
                <w:color w:val="auto"/>
              </w:rPr>
            </w:pPr>
            <w:r>
              <w:rPr>
                <w:rFonts w:ascii="Arial" w:cs="Arial" w:eastAsia="Arial" w:hAnsi="Arial"/>
                <w:sz w:val="18"/>
                <w:szCs w:val="18"/>
                <w:color w:val="auto"/>
              </w:rPr>
              <w:t>Eastern Operations</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131,592</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26,182</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158,313</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Marketing</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151,026</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26,887</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140,085</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each of the three years ended May 31, 2003, 2002 and 2001, perquisites for each individual named in the Summary Compensation Table aggregated less than 10% of the total annual salary and bonus reported for such individual in the Summary Compensation Table, or $50,000, if lower. Accordingly, no such amounts are included in the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During Fiscal 2003</w:t>
      </w:r>
    </w:p>
    <w:p>
      <w:pPr>
        <w:spacing w:after="0" w:line="8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following table sets forth information with respect to grants of stock options to purchase Common Stock pursuant to the Company’s 1990 and 1991 Stock Option Plans to the Named Officers identified in the Summary Compensation Table above. No stock appreciation rights (“SARs)” were granted during fiscal 2003 or were outstanding at May 31, 2003.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 IN FISCAL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Potential/Realizable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Assumed Annual Rates of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Individual Grants (1)</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Price Appreciation of Option Term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Total Options</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Granted</w:t>
            </w: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to Employees</w:t>
            </w: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Expiration</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Granted (#)</w:t>
            </w: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In Fiscal 2003</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($/Share)</w:t>
            </w: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right"/>
              <w:ind w:right="121"/>
              <w:spacing w:after="0"/>
              <w:rPr>
                <w:sz w:val="20"/>
                <w:szCs w:val="20"/>
                <w:color w:val="auto"/>
              </w:rPr>
            </w:pPr>
            <w:r>
              <w:rPr>
                <w:rFonts w:ascii="Arial" w:cs="Arial" w:eastAsia="Arial" w:hAnsi="Arial"/>
                <w:sz w:val="14"/>
                <w:szCs w:val="14"/>
                <w:b w:val="1"/>
                <w:bCs w:val="1"/>
                <w:color w:val="auto"/>
              </w:rPr>
              <w:t>5% ($)</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21.90%</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10/22/12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14.60%</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7.40</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10/22/12</w:t>
            </w:r>
          </w:p>
        </w:tc>
        <w:tc>
          <w:tcPr>
            <w:tcW w:w="780" w:type="dxa"/>
            <w:vAlign w:val="bottom"/>
          </w:tcPr>
          <w:p>
            <w:pPr>
              <w:jc w:val="right"/>
              <w:spacing w:after="0"/>
              <w:rPr>
                <w:sz w:val="20"/>
                <w:szCs w:val="20"/>
                <w:color w:val="auto"/>
              </w:rPr>
            </w:pPr>
            <w:r>
              <w:rPr>
                <w:rFonts w:ascii="Arial" w:cs="Arial" w:eastAsia="Arial" w:hAnsi="Arial"/>
                <w:sz w:val="18"/>
                <w:szCs w:val="18"/>
                <w:color w:val="auto"/>
              </w:rPr>
              <w:t>93,076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235,874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3.65%</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10/22/12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Vance R. Davis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5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3.65%</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7.40</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10/22/12</w:t>
            </w:r>
          </w:p>
        </w:tc>
        <w:tc>
          <w:tcPr>
            <w:tcW w:w="780" w:type="dxa"/>
            <w:vAlign w:val="bottom"/>
          </w:tcPr>
          <w:p>
            <w:pPr>
              <w:jc w:val="right"/>
              <w:spacing w:after="0"/>
              <w:rPr>
                <w:sz w:val="20"/>
                <w:szCs w:val="20"/>
                <w:color w:val="auto"/>
              </w:rPr>
            </w:pPr>
            <w:r>
              <w:rPr>
                <w:rFonts w:ascii="Arial" w:cs="Arial" w:eastAsia="Arial" w:hAnsi="Arial"/>
                <w:sz w:val="18"/>
                <w:szCs w:val="18"/>
                <w:color w:val="auto"/>
              </w:rPr>
              <w:t>23,269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3.65%</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10/22/12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granted during the year ended May 31, 2003 vest equally over five years of service and expire ten years from the date of grant.</w:t>
      </w:r>
    </w:p>
    <w:p>
      <w:pPr>
        <w:spacing w:after="0" w:line="15" w:lineRule="exact"/>
        <w:rPr>
          <w:rFonts w:ascii="Arial" w:cs="Arial" w:eastAsia="Arial" w:hAnsi="Arial"/>
          <w:sz w:val="18"/>
          <w:szCs w:val="18"/>
          <w:color w:val="auto"/>
        </w:rPr>
      </w:pPr>
    </w:p>
    <w:p>
      <w:pPr>
        <w:ind w:left="460" w:right="320" w:hanging="452"/>
        <w:spacing w:after="0" w:line="29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appreciation in stock price is required for optionees to receive any gain. A stock price appreciation of zero percent would render the options without value to the optionees. The Securities and Exchange Commission requires disclosures of the potential realizable value or present value of each grant. In calculating potential realizable value, it is assumed that the options are exercised on the day prior to their expiration using the Treasury Stock Method, where the exercised price of the option is subtracted from the potential market price at the 5% and 10% appreciation rates.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During Fiscal 2003 and Fiscal Year End Option Values</w:t>
      </w:r>
    </w:p>
    <w:p>
      <w:pPr>
        <w:spacing w:after="0" w:line="8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following table sets forth information with respect to the exercise of stock options during fiscal 2003 by the Named Officers and the unexercised stock options held as of the end of fiscal year 2003 by the Named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AGGREGATED STOCK OPTION EXERCISES IN YEAR ENDING MAY 31, 2003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OPTION VALUES AT MAY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520" w:type="dxa"/>
            <w:vAlign w:val="bottom"/>
          </w:tcPr>
          <w:p>
            <w:pPr>
              <w:spacing w:after="0"/>
              <w:rPr>
                <w:sz w:val="14"/>
                <w:szCs w:val="14"/>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 Options at</w:t>
            </w:r>
          </w:p>
        </w:tc>
        <w:tc>
          <w:tcPr>
            <w:tcW w:w="520" w:type="dxa"/>
            <w:vAlign w:val="bottom"/>
          </w:tcPr>
          <w:p>
            <w:pPr>
              <w:spacing w:after="0"/>
              <w:rPr>
                <w:sz w:val="12"/>
                <w:szCs w:val="12"/>
                <w:color w:val="auto"/>
              </w:rPr>
            </w:pPr>
          </w:p>
        </w:tc>
        <w:tc>
          <w:tcPr>
            <w:tcW w:w="24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In-the-Money Stock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52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May 31, 2003 (#)</w:t>
            </w:r>
          </w:p>
        </w:tc>
        <w:tc>
          <w:tcPr>
            <w:tcW w:w="520" w:type="dxa"/>
            <w:vAlign w:val="bottom"/>
          </w:tcPr>
          <w:p>
            <w:pPr>
              <w:spacing w:after="0"/>
              <w:rPr>
                <w:sz w:val="15"/>
                <w:szCs w:val="15"/>
                <w:color w:val="auto"/>
              </w:rPr>
            </w:pPr>
          </w:p>
        </w:tc>
        <w:tc>
          <w:tcPr>
            <w:tcW w:w="2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at May 31, 2003 (1) ($)</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20" w:type="dxa"/>
            <w:vAlign w:val="bottom"/>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5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ind w:left="26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w:t>
            </w:r>
          </w:p>
        </w:tc>
        <w:tc>
          <w:tcPr>
            <w:tcW w:w="128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Exercisable</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520" w:type="dxa"/>
            <w:vAlign w:val="bottom"/>
          </w:tcPr>
          <w:p>
            <w:pPr>
              <w:spacing w:after="0"/>
              <w:rPr>
                <w:sz w:val="15"/>
                <w:szCs w:val="15"/>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Exercisable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2,013,980(2)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1,047,245(2)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105,094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13,228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146,529(3)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177,630(4)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Vance R. Davis</w:t>
            </w:r>
          </w:p>
        </w:tc>
        <w:tc>
          <w:tcPr>
            <w:tcW w:w="5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20,600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217,522(5)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218,983(5)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125,572(6)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206,233(6)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Value was calculated by subtracting the applicable per share exercise price from the fair market value of a share of the Company’s Common Stock on May 31, 2003, which was $15.00 (last trading day of fiscal year) based on the closing sales price of the Common Stock on May 31, 2003 on the Nasdaq National Market, multiplied by the number of shares underlying the unexercised options.</w:t>
      </w:r>
    </w:p>
    <w:p>
      <w:pPr>
        <w:ind w:left="460" w:right="2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Vetal holds options to purchase 120,000 shares at an exercise price of $3.78, 12,000 shares at an exercise price of $4.25, 28,000 shares at an exercise price of $4.38 and 6,000 shares at an exercise price of $6.05 that were exercisable in fiscal 2003. Mr. Vetal also holds options to purchase 30,000 shares at an exercise price of $3.78, 18,000 shares at an exercise price of $4.25, 7,000 shares at an exercise price of $4.38, 24,000 shares at an exercise price of $6.05 and 30,000 shares at an exercise price of $7.40 at May 31,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ind w:left="460" w:right="22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Hall holds options to purchase 9,228 shares at an exercise price of $3.78 and 4,000 shares at an exercise price of $4.25 that were exercisable in fiscal 2003. Mr. Hall also holds options to purchase 6,000 shares at an exercise price of $3.78, 12,000 shares at an exercise price of $4.25, 16,000 shares at an exercise price of $6.05 and 20,000 shares at an exercise price of $7.40 at May 31, 2003.</w:t>
      </w:r>
    </w:p>
    <w:p>
      <w:pPr>
        <w:jc w:val="both"/>
        <w:ind w:left="460" w:right="18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Ryan holds options to purchase 2,000 shares at an exercise price of $4.25, 15,000 shares at an exercise price of $5.19 and 1,000 shares at an exercise price of $6.05 that were exercisable in fiscal 2003. Mr. Ryan also holds options to purchase 3,000 shares at an exercise price of $4.25, 10,000 shares at an exercise price of $5.19, 4,000 shares at an exercise price of $6.05 and 5,000 shares at an exercise price of $7.40 at May 31, 2003.</w:t>
      </w:r>
    </w:p>
    <w:p>
      <w:pPr>
        <w:spacing w:after="0" w:line="2"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Davis holds options to purchase 3,600 shares at an exercise price of $3.63, 2,000 shares at an exercise price of $4.25, 8,000 shares at an exercise price of $4.38, 6,000 shares at an exercise price of $4.81 and 1,000 shares at an exercise price of $6.05 that were exercisable in fiscal 2003. Mr. Davis also holds options to purchase 3,000 shares at an exercise price of $4.25, 2,000 shares at an exercise price of $4.38, 9,000 shares at an exercise price of $4.81, 4,000 shares at an exercise price of $6.05 and 5,000 shares at an exercise price of $7.40 at May 31, 2003.</w:t>
      </w:r>
    </w:p>
    <w:p>
      <w:pPr>
        <w:spacing w:after="0" w:line="2"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Newmeister holds options to purchase 2,000 shares at an exercise price of $4.25, 3,200 shares of an exercise price of $4.38, 6,000 shares at an exercise price of $4.81 and 1,000 shares at an exercise price of $6.05 that were exercisable in fiscal 2003. Mr. Newmeister also holds options to purchase 3,000 shares at an exercise price of $4.25, 800 shares at an exercise price of $4.38, 9,000 shares at an exercise price of $4.81, 4,000 shares at an exercise price of $6.05 and 5,000 shares at an exercise price of $7.40 at May 31,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8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Compensation Committee (“Committee”) of the Board of Directors of the Company currently consists of Hugh E. Bradley, I. Edgar Hendrix and Paul K. Lackey, all of whom are independent directors who are not employees and who qualify as non-employee directors for purposes of Rule 16b-3 adopted under the Securities Exchange Act of 1934. The Committee is responsible for evaluating the performance of the Chief Executive Officer and the Chief Financial Officer (“Named Executive Officers”), determining the compensation of the Named Executive Officers and administering the Company’s stock option plan under which grants may be made to employees of the Company. The Committee has furnished the following report on executive compensation for the fiscal year ending May 31, 2003.</w:t>
      </w:r>
    </w:p>
    <w:p>
      <w:pPr>
        <w:spacing w:after="0" w:line="131"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annual compensation package of the Named Executive Officers primarily consists of (i) a cash salary which reflects the responsibilities relating to the position and individual performance, (ii) variable performance bonus awards payable in cash and tied to the individual’s and the Company’s performance against pre-established financial measures and (iii) long-term stock-based incentive awards which the Committee believes strengthens the relationship between the interests of the Named Executive Officers and the interests of the Company’s stockholders.</w:t>
      </w:r>
    </w:p>
    <w:p>
      <w:pPr>
        <w:spacing w:after="0" w:line="99" w:lineRule="exact"/>
        <w:rPr>
          <w:sz w:val="20"/>
          <w:szCs w:val="20"/>
          <w:color w:val="auto"/>
        </w:rPr>
      </w:pPr>
    </w:p>
    <w:p>
      <w:pPr>
        <w:ind w:right="60" w:firstLine="913"/>
        <w:spacing w:after="0" w:line="309" w:lineRule="auto"/>
        <w:rPr>
          <w:sz w:val="20"/>
          <w:szCs w:val="20"/>
          <w:color w:val="auto"/>
        </w:rPr>
      </w:pPr>
      <w:r>
        <w:rPr>
          <w:rFonts w:ascii="Arial" w:cs="Arial" w:eastAsia="Arial" w:hAnsi="Arial"/>
          <w:sz w:val="15"/>
          <w:szCs w:val="15"/>
          <w:color w:val="auto"/>
        </w:rPr>
        <w:t>In determining the level and composition of compensation for each Named Executive Officer, the Committee takes into account various qualitative and quantitative indicators of each officer’s performance. The Committee’s objectives in determining compensation are to allow the Company to attract, motivate and retain the executive personnel necessary for the Company’s success and to provide an executive compensation program comparable to that offered by the companies with which the Company competes for such management personnel. Although no specific target has been established, the Committee generally seeks to set salaries at approximately the average of a range in comparison to a peer group companies based upon the experience of the Named Executive Officers. In setting salaries, the Compensation Committee considers its peer group to be certain companies with market capitalizations similar to that of the Company. This peer group does not necessarily include the companies comprising the Standard and Poor’s Engineering and Construction Index reflected in the performance graph in this Proxy Statement, which is the industry categorization the Company has been placed. In evaluating the performance of the Named Executive Officers, the Committee takes into consideration such factors as total operating income based on a fiscal budget plan which is reviewed by the Committee.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compensation is initially established through negotiation between the Company and the Named Executive Officer at the time the executive is hired, or named to the executive position. Thereafter such officer’s base compensation is subject to review or reconsideration, generally on an annual basis after review of the officer’s performance. In establishing or reviewing base compensation levels for each Named Executive Officer, the Committee, in accordance with its general compensation policy, considers numerous factors, including the responsibilities relating to the position, the qualifications of the executive and the relevant experience the individual brings to the Company, strategic goals for which the executive has responsibility, and compensation levels of other companies at a comparable stage of development that compete with the Company for business and executive talents. No predetermined weights are given to any such factors. The salaries for each of the Named Executive Officers in fiscal year 2003 were set taking into account these factors in accordance with the Company’s general compensation policy discussed above.</w:t>
      </w:r>
    </w:p>
    <w:p>
      <w:pPr>
        <w:spacing w:after="0" w:line="10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addition to each Named Executive Officer’s base compensation, the Committee may award cash bonuses and/or grant awards under the Company’s Stock Option Plan depending on the extent to which certain pre-determined personal and corporate performance goals are achieved. Such corporate performance goals generally include revenue and earnings targets of the Company, as discussed above.</w:t>
      </w:r>
    </w:p>
    <w:p>
      <w:pPr>
        <w:spacing w:after="0" w:line="127"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The Chief Executive Officer’s compensation is the responsibility of the Compensation Committee. Based upon the Compensation Committee’s assessment of Mr. Vetal’s ability to effectively lead the Company into the future as determined by his past performance and experience with the Company’s business and markets, the Compensation Committee determined that Mr. Vetal’s compensation package would consist of the following: (i) annual base salary of $293,041, (ii) annual vehicle allowance of $20,075, and (ii) annual bonus target of 75% of annual salary based upon the Company achieving specific total operating income targets as discussed above. As a result of the acquisition of The Hake Group (“Hake”), the Compensation Committee determined the goals originally established for fiscal 2003 were no longer applicable. Therefore, the Compensation Committee modified the goals for fiscal 2003 and the Chief Executive Officer’s bonus was 75% of salary.</w:t>
      </w:r>
    </w:p>
    <w:p>
      <w:pPr>
        <w:spacing w:after="0" w:line="105"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The Chief Financial Officer’s compensation is the responsibility of the Compensation Committee. Based upon the Compensation Committee’s assessment of Mr. Hall’s ability to effectively lead the Company into the future as determined by his past performance and experience with the Company’s business and markets, the Compensation Committee determined that Mr. Hall’s compensation package would consist of the following: (i) annual base salary of $196,943, (ii) annual vehicle allowance of $14,450, and (ii) annual bonus target of 60% of annual salary based upon the Company achieving specific total operating income targets as discussed above. As a result of the acquisition of Hake, the Compensation Committee determined the goals originally established for fiscal 2003 were no longer applicable. Therefore, the Compensation Committee modified the goals for fiscal 2003 and the Chief Financial Officer’s bonus was 60% of salary.</w:t>
      </w:r>
    </w:p>
    <w:p>
      <w:pPr>
        <w:spacing w:after="0" w:line="13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Equity incentives are not limited to executive officers. Grants of stock options are made to management and staff of the Company in amounts determined by the Compensation Committee. The amounts of such grants are determined based on the individual employee’s position with the Company and his or her potential ability to beneficially impact the performance of the Company. By giving management and staff a stake in the financial performance of the Company, the Compensation Committee’s goal is to provide incentives to these employees of the Company to enhance the financial performance of the Company and, thus, stockholder value.</w:t>
      </w:r>
    </w:p>
    <w:p>
      <w:pPr>
        <w:spacing w:after="0" w:line="129"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Salaried employees of the Company with grade levels of 27 or greater, including the Named Executive Officers, are eligible to receive long-term stock based incentive awards under the Company’s Stock Option Plan as a means of providing such individuals with a continuing proprietary interest in the Company. Such grants further the mutual interests of the Company’s employees and its stockholders by providing significant incentives for such employees to achieve and maintain high levels of performance. The Company’s Stock Option Plan enhances the Company’s ability to attract and retain the services of qualified individuals. Factors considered in determining whether such awards are granted includes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position in the Company, his or her performance and responsibilities, the number of options, if any, currently held, and the vesting schedule of any such options. The Committee has adopted an established schedule for the issuance of options, with designated option grants for specific salary grades over a three-year period.</w:t>
      </w:r>
    </w:p>
    <w:p>
      <w:pPr>
        <w:spacing w:after="0" w:line="12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This report of the Compensation Committee shall not be deemed incorporated by reference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Compensation Committee:</w:t>
      </w:r>
    </w:p>
    <w:p>
      <w:pPr>
        <w:spacing w:after="0" w:line="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Hugh E. Bradley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 Edgar Hendrix</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Paul K. Lackey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Change of Control Agreements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entered into severance/change of control agreements with the Chief Executive Officer and the Chief Financial Officer on January 3, 2000 that are effective in the event of a change of control in the ownership of Matrix or certain other adverse personnel actions including involuntary termination, significant reduction in compensation and benefits, or material reduction in position and responsibility. The severance agreements are applicable for a period of two years following a change of control.</w:t>
      </w:r>
    </w:p>
    <w:p>
      <w:pPr>
        <w:spacing w:after="0" w:line="13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benefits are two years of severance pay for the Chief Executive Officer and one year of severance pay for the Chief Financial Officer. Annual severance pay is calculated as the current annual salary plus the average bonus payment for the three previous years or the number of full fiscal years in the respective position. In addition, all outstanding stock options will vest immediately in the event of a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The following table provides information concerning Matrix’s common stock that may be issued upon the exercise of options, warrants and rights under all of Matrix’s existing approved equity compensation plans as of May 31, 2003, including the Company’s 1990 Stock Option Plan, 1991 Stock Option Plan, and 1995 Nonemployee Directors’ Stock Option Plan. In addition, the table provides information concerning Matrix’s common stock that may be issued upon the exercise of options under the proposed 2003 Stock Option Plan, which is subject to shareholder approval (see Proposal 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(b)</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 of securities to be</w:t>
            </w:r>
          </w:p>
        </w:tc>
        <w:tc>
          <w:tcPr>
            <w:tcW w:w="1180" w:type="dxa"/>
            <w:vAlign w:val="bottom"/>
          </w:tcPr>
          <w:p>
            <w:pPr>
              <w:spacing w:after="0"/>
              <w:rPr>
                <w:sz w:val="12"/>
                <w:szCs w:val="12"/>
                <w:color w:val="auto"/>
              </w:rPr>
            </w:pPr>
          </w:p>
        </w:tc>
        <w:tc>
          <w:tcPr>
            <w:tcW w:w="2360" w:type="dxa"/>
            <w:vAlign w:val="bottom"/>
            <w:gridSpan w:val="4"/>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issued upon exercise</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180" w:type="dxa"/>
            <w:vAlign w:val="bottom"/>
          </w:tcPr>
          <w:p>
            <w:pPr>
              <w:spacing w:after="0"/>
              <w:rPr>
                <w:sz w:val="12"/>
                <w:szCs w:val="12"/>
                <w:color w:val="auto"/>
              </w:rPr>
            </w:pPr>
          </w:p>
        </w:tc>
        <w:tc>
          <w:tcPr>
            <w:tcW w:w="2360" w:type="dxa"/>
            <w:vAlign w:val="bottom"/>
            <w:gridSpan w:val="4"/>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c>
          <w:tcPr>
            <w:tcW w:w="0" w:type="dxa"/>
            <w:vAlign w:val="bottom"/>
          </w:tcPr>
          <w:p>
            <w:pPr>
              <w:spacing w:after="0"/>
              <w:rPr>
                <w:sz w:val="1"/>
                <w:szCs w:val="1"/>
                <w:color w:val="auto"/>
              </w:rPr>
            </w:pPr>
          </w:p>
        </w:tc>
      </w:t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tcPr>
          <w:p>
            <w:pPr>
              <w:spacing w:after="0"/>
              <w:rPr>
                <w:sz w:val="15"/>
                <w:szCs w:val="15"/>
                <w:color w:val="auto"/>
              </w:rPr>
            </w:pPr>
          </w:p>
        </w:tc>
        <w:tc>
          <w:tcPr>
            <w:tcW w:w="23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w w:val="87"/>
              </w:rPr>
              <w:t>warrants and rights</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Equity compensation plan for which approval is</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sought at this meeting</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3"/>
          </w:tcPr>
          <w:p>
            <w:pPr>
              <w:jc w:val="right"/>
              <w:ind w:right="120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jc w:val="right"/>
              <w:ind w:right="182"/>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-325755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NUMBER 2: Approval of the Matrix Service Company 2003 Stock Option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8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Company adopted the 1990 Stock Option Plan, and subsequently the 1991 Stock Option Plan, to enhance the Company’s ability to attract and retain skilled employees necessary for the Company’s continued growth and profitability. The Board of Directors believes that the 1990 and 1991 Stock Option Plans have succeeded in accomplishing these objectives and that the Company should be in a position to continue to provide incentives to officers and other key employees. Due to the Hake acquisition, which brought with it many valuable employees and increased the opportunities, the Companies needs to attract and retain senior management talent have increased. There are only 323,071 options left under the 1990 and 1991 Plans available for future grants. Therefore, on August 19, 2003, the Board of Directors of Matrix approved the Matrix Service Company 2003 Stock Option Plan (the “Plan”), subject to stockholder approval. The Plan is a continuation of the 1990 and 1991 Stock Option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2003 Plan</w:t>
      </w:r>
    </w:p>
    <w:p>
      <w:pPr>
        <w:spacing w:after="0" w:line="8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Set forth below is a summary of the material terms of the 2003 Plan. The summary is qualified in its entirety by reference to the full text of the 2003 Plan, which is attached as Exhibit A to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2003 Plan is administered by the Compensation Committee of the Board of Directors. The Compensation Committee selects officers, key employees, directors and consultants to whom options are granted, the time at which options are granted and expire, and the number of shares of Common Stock which may be purchased upon the exercise of options.</w:t>
      </w:r>
    </w:p>
    <w:p>
      <w:pPr>
        <w:spacing w:after="0" w:line="12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2003 Plan permits the grant of both Incentive Stock Options (ISOs) and Non-Qualified Stock Options (NQOs). ISOs and NQOs enable optionees to purchase shares of Common Stock at the option price. The option price per share may not be less than the fair market value of the Common Stock at the time the option is granted. In order to purchase the shares, a participant must pay the full option price to the Company in any combination of cash or common stock of the Company valued at its then fair market value. ISOs granted under the 2003 Plan are intended to qualify under Section 422 of the Internal Revenue Code (the “Code”).</w:t>
      </w:r>
    </w:p>
    <w:p>
      <w:pPr>
        <w:spacing w:after="0" w:line="1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Options may be granted under the 2003 Plan with durations of no more than ten years from the date of grant, but, in any event, may expire sooner if, in the case of employee optionees, the optionee’s employment terminates. Any shares as to which an option expires, lapses unexercised, or is terminated or cancelled will revert to the 2003 Plan and may be subject to the grant of a new option.</w:t>
      </w:r>
    </w:p>
    <w:p>
      <w:pPr>
        <w:spacing w:after="0" w:line="12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Options granted under the 2003 Plan are not transferable except by will or the laws of intestate succession. Upon the optionee’s death, options are exercisable by the optionee’s legal representative or beneficiary for up to three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8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Under current federal tax law, a participant who is granted an ISO does not recognize any taxable income at the time of grant or at the time of exercise. Likewise, the Company is not entitled to any deduction for compensation expense at the time of grant or at the time of exercise. When an ISO is exercised, the difference between the fair market value of the shares on the exercise date and the exercise price is an item of tax adjustment which may cause the participant to be subject to the alternative minimum tax. When the shares of Common Stock acquired upon exercise of an ISO are sold, the participant will recognize a capital gain or loss equal to the difference between the sale price and the exercise price, provided the participant has held the stock for the longer of two years from the date of</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4" w:name="page15"/>
    <w:bookmarkEnd w:id="1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or one year from the date of exercise. If an optionee makes a “disposition” of the stock received upon exercise of an ISO prior to meeting the holding periods described above, the gain on the disposition will be treated as ordinary income to the extent of the excess of the fair market value on the date of exercise over the exercise price. The balance of the gain, if any, realized upon such disposition generally will be treated as capital gain. The Company will be entitled to a deduction for compensation expense in the year of disposition only to the extent of the amount of gain, if any, that is taxable to the optionee as ordinary income. If the amount realized at the time of the disposition is less than the option price, the optionee will not be required to treat any amount as ordinary income provided the disposition is of a type that would give rise to a recognizable loss, and in such event the loss will be treated as a long-term or short-term capital loss depending on the holding period of the shares.</w:t>
      </w:r>
    </w:p>
    <w:p>
      <w:pPr>
        <w:spacing w:after="0" w:line="10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A participant who is granted a NQO does not recognize taxable income at the time of grant, but does recognize taxable income at the time the option is exercised equal to the difference between the fair market value of the shares on the exercise date and the exercise price of the shares, and the Company is entitled to a corresponding compensation expense deduction. When the shares acquired upon exercise of a NQO are sold, the participant will recognize a capital gain or loss equal to the difference between the sales price and the fair market value at the time of exercise; and in such event the gain, if any, will be treated as long-term or short-term capital gain, depending on the holding period of the shares subsequent to the date of exercise. Any loss will be treated as long-term or short-term capital loss, depending also on the holding period of the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8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The Board of Directors may amend the 2003 Plan at any time but may not, without stockholder approval, adopt any amendment which would materially increase the maximum number of options which may be granted under the 2003 Plan, unless the increase results from a stock dividend, stock split or other change in the capital stock of the Company, or materially modify the eligibility requirements of the 2003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8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affirmative vote of holders of a majority of the shares of Common Stock present or represented at the Annual Meeting is required to approve the 2003 Stock Option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approval of the 2003 Stock Option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Audit Committee has:</w:t>
      </w:r>
    </w:p>
    <w:p>
      <w:pPr>
        <w:spacing w:after="0" w:line="77" w:lineRule="exact"/>
        <w:rPr>
          <w:sz w:val="20"/>
          <w:szCs w:val="20"/>
          <w:color w:val="auto"/>
        </w:rPr>
      </w:pPr>
    </w:p>
    <w:p>
      <w:pPr>
        <w:ind w:left="1460" w:hanging="31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w:t>
      </w:r>
    </w:p>
    <w:p>
      <w:pPr>
        <w:spacing w:after="0" w:line="103" w:lineRule="exact"/>
        <w:rPr>
          <w:rFonts w:ascii="Arial" w:cs="Arial" w:eastAsia="Arial" w:hAnsi="Arial"/>
          <w:sz w:val="18"/>
          <w:szCs w:val="18"/>
          <w:color w:val="auto"/>
        </w:rPr>
      </w:pPr>
    </w:p>
    <w:p>
      <w:pPr>
        <w:ind w:left="1460" w:hanging="31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required to be discussed by SAS 61.</w:t>
      </w:r>
    </w:p>
    <w:p>
      <w:pPr>
        <w:spacing w:after="0" w:line="103" w:lineRule="exact"/>
        <w:rPr>
          <w:rFonts w:ascii="Arial" w:cs="Arial" w:eastAsia="Arial" w:hAnsi="Arial"/>
          <w:sz w:val="18"/>
          <w:szCs w:val="18"/>
          <w:color w:val="auto"/>
        </w:rPr>
      </w:pPr>
    </w:p>
    <w:p>
      <w:pPr>
        <w:ind w:left="1460" w:right="40" w:hanging="318"/>
        <w:spacing w:after="0" w:line="268"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auditors required by Independence Standards Board Standard No. 1, and has discussed with the independent auditors the auditors’ independence.</w:t>
      </w:r>
    </w:p>
    <w:p>
      <w:pPr>
        <w:spacing w:after="0" w:line="37" w:lineRule="exact"/>
        <w:rPr>
          <w:rFonts w:ascii="Arial" w:cs="Arial" w:eastAsia="Arial" w:hAnsi="Arial"/>
          <w:sz w:val="18"/>
          <w:szCs w:val="18"/>
          <w:color w:val="auto"/>
        </w:rPr>
      </w:pPr>
    </w:p>
    <w:p>
      <w:pPr>
        <w:ind w:left="1460" w:right="160" w:hanging="318"/>
        <w:spacing w:after="0" w:line="259"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review and discussions above, the Audit Committee has recommended to the Board of Directors that the audited financial statements be included in the Company’s Annual Report on Form 10-K for the fiscal year ended May 31, 2003 for filing with the Securities and Exchange Commission.</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of Directors has determined that the members of the Audit Committee are independent. The Audit Committee has adopted a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 of the Audit Committee:</w:t>
      </w:r>
    </w:p>
    <w:p>
      <w:pPr>
        <w:spacing w:after="0" w:line="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Hugh E. Bradley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 Edgar Hendrix</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Tom E. Maxwell</w:t>
      </w:r>
    </w:p>
    <w:p>
      <w:pPr>
        <w:spacing w:after="0" w:line="15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Fees for audit services paid by the Company to Ernst &amp; Young LLP totaled $194,884 for the year ended May 31, 2003, including $179,884 for fees associated with the annual audit and $15,000 for quarterly reviews. Fees for audit services totaled $112,500 for the year ended May 31, 2002, including $99,000 for fees associated with the annual audit and $13,500 for quarterly reviews.</w:t>
      </w:r>
    </w:p>
    <w:p>
      <w:pPr>
        <w:spacing w:after="0" w:line="12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Fees for audit-related services paid by the Company to Ernst &amp; Young LLP totaled $95,759 for the year ended May 31, 2003, including $83,407 for due diligence and other assistance in connection with the acquisition of Hake and $9352 for accounting consultations. No fees for audit-related services were paid during the year ended May 31, 2002.</w:t>
      </w:r>
    </w:p>
    <w:p>
      <w:pPr>
        <w:spacing w:after="0" w:line="127"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This report of the Audit Committee shall not be deemed incorporated by reference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w:t>
      </w:r>
    </w:p>
    <w:p>
      <w:pPr>
        <w:spacing w:after="0" w:line="83"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Section 16(a) of the Securities Exchange Act of 1934, as amended, requires the Company’s directors and officers, and persons who own more than 10 percent of the Common Stock, to file initial reports of ownership and reports of changes in ownership (Forms 3, 4 and 5) of the Common Stock with the Securities and Exchange Commission (the “SEC”) and the NASDAQ Stock Market. Officers, directors and greater than 10 percent stockholders are required by SEC regulations to furnish the Company with copies of all such forms that they file.</w:t>
      </w:r>
    </w:p>
    <w:p>
      <w:pPr>
        <w:spacing w:after="0" w:line="13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the Section 16(a) filing requirements were satisfied on a timely basis by the Company’s directors, officers and 10 percent stockholders.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3: Selection of Auditors</w:t>
      </w:r>
    </w:p>
    <w:p>
      <w:pPr>
        <w:spacing w:after="0" w:line="16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Pursuant to the Sarbannes-Oxley Act of 2002, the Audit Committee of the Board of Directors of the Company has been charged with the exclusive power and authority to engage or terminate the independent public accountants. The Audit Committee of the Board of Directors has reappointed the firm of Ernst</w:t>
      </w:r>
    </w:p>
    <w:p>
      <w:pPr>
        <w:ind w:right="60" w:firstLine="8"/>
        <w:spacing w:after="0" w:line="302" w:lineRule="auto"/>
        <w:tabs>
          <w:tab w:leader="none" w:pos="1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Young LLP as the Company’s independent public accountants for the fiscal year ending May 31, 2004. Representatives of Ernst &amp; Young LLP are expected to be present at the Annual Meeting of Stockholders and will have an opportunity to make a statement, if they desire to do so, and to respond to appropriate questions from those attending the meeting. Ernst &amp; Young LLP has served as auditors for the Company since 1984.</w:t>
      </w:r>
    </w:p>
    <w:p>
      <w:pPr>
        <w:spacing w:after="0" w:line="96"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affirmative vote of holders of a majority of the shares of Common Stock present in person or represented by proxy at the Annual Meeting is required to ratify the appointment of Ernst &amp; Young LLP as the independent accountants for fiscal 2004.</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Although the appointment of the Company’s independent auditors rests solely with the Audit Committee, both your Board of Directors and Audit Committee are interested in hearing your voice on this matter. </w:t>
      </w:r>
      <w:r>
        <w:rPr>
          <w:rFonts w:ascii="Arial" w:cs="Arial" w:eastAsia="Arial" w:hAnsi="Arial"/>
          <w:sz w:val="16"/>
          <w:szCs w:val="16"/>
          <w:b w:val="1"/>
          <w:bCs w:val="1"/>
          <w:i w:val="1"/>
          <w:iCs w:val="1"/>
          <w:color w:val="auto"/>
        </w:rPr>
        <w:t>Therefore, the Board of Directors recommends a vote “For” ratification of Ernst &amp; Young’s appointment.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Proposals of Stockholders</w:t>
      </w:r>
    </w:p>
    <w:p>
      <w:pPr>
        <w:spacing w:after="0" w:line="164" w:lineRule="exact"/>
        <w:rPr>
          <w:sz w:val="20"/>
          <w:szCs w:val="20"/>
          <w:color w:val="auto"/>
        </w:rPr>
      </w:pPr>
    </w:p>
    <w:p>
      <w:pPr>
        <w:ind w:right="600" w:firstLine="913"/>
        <w:spacing w:after="0" w:line="370" w:lineRule="auto"/>
        <w:rPr>
          <w:sz w:val="20"/>
          <w:szCs w:val="20"/>
          <w:color w:val="auto"/>
        </w:rPr>
      </w:pPr>
      <w:r>
        <w:rPr>
          <w:rFonts w:ascii="Arial" w:cs="Arial" w:eastAsia="Arial" w:hAnsi="Arial"/>
          <w:sz w:val="15"/>
          <w:szCs w:val="15"/>
          <w:color w:val="auto"/>
        </w:rPr>
        <w:t>A proposal of a stockholder intended to be presented at the next annual meeting of stockholders must be received at the Company’s principal executive offices no later than May 31, 2004, if the proposal is to be considered for inclusion in the Company’s proxy statement for such meeting.</w:t>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PERFORMANCE GRAPH</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(U.S.)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S &amp; P ENGINEERING &amp; CONSTRUCTION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101600</wp:posOffset>
            </wp:positionV>
            <wp:extent cx="3987800" cy="307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8780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 complete through last fiscal year.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S&amp;P Index returns are calculated by Media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1" w:lineRule="exact"/>
        <w:rPr>
          <w:sz w:val="20"/>
          <w:szCs w:val="20"/>
          <w:color w:val="auto"/>
        </w:rPr>
      </w:pPr>
    </w:p>
    <w:p>
      <w:pPr>
        <w:ind w:left="460" w:right="3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May 31, 1998 in the Company's Common Stock. Includes reinvesting of dividends, where applicable. The Company's fiscal year ends May 31.</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performance graph shall not be deemed incorporated by reference into any filing by the Company under the Securities Act of 1933, as amended, or under the Securities Exchange Act of 1934, as amended, except to the extent that the Company specifically and expressly incorporates this graph by reference into any such filing, and shall not otherwise be deemed filed under such acts.</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There can be no assurance that the Company's stock performance will continue into the future with the same or similar trends depicted in the graph above. The Company will not make or endorse any predictions as to future stock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Information</w:t>
      </w:r>
    </w:p>
    <w:p>
      <w:pPr>
        <w:spacing w:after="0" w:line="158"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A copy of the Company’s Annual Report on Form 10-K, including any financial statements and schedules and exhibits thereto, may be obtained without charge by written request to Michael J. Hall, Vice President Finance, Matrix Service Company, 10701 East Ute Street, Tulsa, Oklahoma 74116.</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cost of solicitation of these proxies will be borne by the Company. In addition to solicitation by mail, certain directors, officers, and regular employees of the Company may solicit proxies by telecopy, telephone, and personal interview.</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2466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Hall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19, 2003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Tulsa, Oklahoma</w:t>
      </w:r>
    </w:p>
    <w:p>
      <w:pPr>
        <w:spacing w:after="0" w:line="30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274" w:right="6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purpose of the Matrix Service Company 2003 Stock Option Plan (the “Plan”), is to enable Matrix Service Company (the “Company”) and its Subsidiaries to attract and retain highly qualified personnel who will contribute to the Company’s success by their ability, ingenuity and industry and to provide incentives to the participating officers, employees, directors, consultants and advisors that are linked directly to increases in stockholder value and will therefore inure to the benefit of all stockholders of the Company (the “</w:t>
      </w:r>
      <w:r>
        <w:rPr>
          <w:rFonts w:ascii="Arial" w:cs="Arial" w:eastAsia="Arial" w:hAnsi="Arial"/>
          <w:sz w:val="16"/>
          <w:szCs w:val="16"/>
          <w:u w:val="single" w:color="auto"/>
          <w:color w:val="auto"/>
        </w:rPr>
        <w:t>Eligible Participants</w:t>
      </w:r>
      <w:r>
        <w:rPr>
          <w:rFonts w:ascii="Arial" w:cs="Arial" w:eastAsia="Arial" w:hAnsi="Arial"/>
          <w:sz w:val="16"/>
          <w:szCs w:val="16"/>
          <w:color w:val="auto"/>
        </w:rPr>
        <w:t>”). Accordingly, under the Plan the Company may grant to Eligible Participants options (“Options”) to purchase shares of the Company’s common stock, par value $.01 per share (“Common Stock”). Options granted under the Plan may be either (i) incentive stock options (“ISOs”) which are qualified under Section 422 of the Internal Revenue Code of 1986, as amended (the “Code”), with respect to grants to participating employees, or (ii) nonqualified stock options (“Nonqualified Options”), with respect to grants to participating employees and other Eligible Participants.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purposes of the Plan, a “Subsidiary” shall be any corporation in which the Company has a direct or indirect ownership interest of 50% or more of the total combined voting power of all classes of stock in such corporation.</w:t>
      </w:r>
    </w:p>
    <w:p>
      <w:pPr>
        <w:spacing w:after="0" w:line="112"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and Interpretation</w:t>
      </w:r>
    </w:p>
    <w:p>
      <w:pPr>
        <w:spacing w:after="0" w:line="76" w:lineRule="exact"/>
        <w:rPr>
          <w:rFonts w:ascii="Arial" w:cs="Arial" w:eastAsia="Arial" w:hAnsi="Arial"/>
          <w:sz w:val="18"/>
          <w:szCs w:val="18"/>
          <w:b w:val="1"/>
          <w:bCs w:val="1"/>
          <w:color w:val="auto"/>
        </w:rPr>
      </w:pPr>
    </w:p>
    <w:p>
      <w:pPr>
        <w:ind w:left="660" w:right="80" w:hanging="436"/>
        <w:spacing w:after="0" w:line="258" w:lineRule="auto"/>
        <w:tabs>
          <w:tab w:leader="none" w:pos="66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Plan shall be administered by the Compensation Committee (the “Committee”) of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Committee may prescribe, amend and rescind rules and regulations for administration of the Plan and shall have full power and authority to construe and interpret the Plan. The Committee may correct any defect or any omission or reconcile any inconsistency in the Plan or in any grant made under the Plan in the manner and to the extent it shall deem desirable.</w:t>
      </w:r>
    </w:p>
    <w:p>
      <w:pPr>
        <w:spacing w:after="0" w:line="48"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color w:val="auto"/>
        </w:rPr>
        <w:t>Committee members shall be appointed by and shall serve at the pleasure of the Board. All members of the Committee shall be “Non-Employee Directors” within the meaning of Rule 16b-3 of the General Rules and Regulations of the Securities Exchange Act of 1934 (the “1934 Act”). The Board may from time to time appoint members of the Committee in substitution for or in addition to members previously appointed and may fill vacancies, however caused, in the Committee. A majority of the members of the Committee shall constitute a quorum, and the acts of a majority of the members present at a meeting, or the acts of a majority of the members evidenced in writing, shall be the acts of the Committee. Members of the Committee may, in the discretion of the Board, receive compensation for their services as members, and all expenses and liabilities they incur in connection with the administration of the Plan shall be borne by the Company.</w:t>
      </w:r>
    </w:p>
    <w:p>
      <w:pPr>
        <w:spacing w:after="0" w:line="24" w:lineRule="exact"/>
        <w:rPr>
          <w:sz w:val="20"/>
          <w:szCs w:val="20"/>
          <w:color w:val="auto"/>
        </w:rPr>
      </w:pPr>
    </w:p>
    <w:p>
      <w:pPr>
        <w:ind w:left="700" w:right="140"/>
        <w:spacing w:after="0" w:line="256" w:lineRule="auto"/>
        <w:rPr>
          <w:sz w:val="20"/>
          <w:szCs w:val="20"/>
          <w:color w:val="auto"/>
        </w:rPr>
      </w:pPr>
      <w:r>
        <w:rPr>
          <w:rFonts w:ascii="Arial" w:cs="Arial" w:eastAsia="Arial" w:hAnsi="Arial"/>
          <w:sz w:val="18"/>
          <w:szCs w:val="18"/>
          <w:color w:val="auto"/>
        </w:rPr>
        <w:t>The day-to-day administration of the Plan may be carried out by such officers and employees of the Company or its Subsidiaries as shall be designated from time to time by the Committee. The Committee may employ attorneys, consultants, accountants, appraisers, brokers or other persons, and the Committee, the Company and the officers and employees of the Company shall be entitled to rely upon the advice, opinions or valuations of any such persons.</w:t>
      </w:r>
    </w:p>
    <w:p>
      <w:pPr>
        <w:spacing w:after="0" w:line="49" w:lineRule="exact"/>
        <w:rPr>
          <w:sz w:val="20"/>
          <w:szCs w:val="20"/>
          <w:color w:val="auto"/>
        </w:rPr>
      </w:pPr>
    </w:p>
    <w:p>
      <w:pPr>
        <w:ind w:left="700" w:right="60"/>
        <w:spacing w:after="0" w:line="294" w:lineRule="auto"/>
        <w:rPr>
          <w:sz w:val="20"/>
          <w:szCs w:val="20"/>
          <w:color w:val="auto"/>
        </w:rPr>
      </w:pPr>
      <w:r>
        <w:rPr>
          <w:rFonts w:ascii="Arial" w:cs="Arial" w:eastAsia="Arial" w:hAnsi="Arial"/>
          <w:sz w:val="16"/>
          <w:szCs w:val="16"/>
          <w:color w:val="auto"/>
        </w:rPr>
        <w:t>The Committee shall have the authority to make all decisions concerning Options granted under the Plan, including without limitation the selection of the persons to whom Options are granted, the number of shares of Common Stock subject to each Option and the terms and conditions of each Option, to construe the terms and provisions of the Plan and the option agreements (“Agreements”) under which Options are granted, and to adopt, from time to time, such rules and regulations, not inconsistent with the terms of the Plan, as it may deem advisable to carry out the Plan. All decisions by the Committee shall be final. The effective date of an Option, as determined by the Committee, is referred to herein as the “Grant Date.”</w:t>
      </w:r>
    </w:p>
    <w:p>
      <w:pPr>
        <w:sectPr>
          <w:pgSz w:w="11900" w:h="16838" w:orient="portrait"/>
          <w:cols w:equalWidth="0" w:num="1">
            <w:col w:w="11420"/>
          </w:cols>
          <w:pgMar w:left="240" w:top="274" w:right="239" w:bottom="1440" w:gutter="0" w:footer="0" w:header="0"/>
        </w:sectPr>
      </w:pPr>
    </w:p>
    <w:bookmarkStart w:id="19" w:name="page20"/>
    <w:bookmarkEnd w:id="19"/>
    <w:p>
      <w:pPr>
        <w:ind w:left="660" w:right="1020" w:hanging="436"/>
        <w:spacing w:after="0" w:line="325" w:lineRule="auto"/>
        <w:tabs>
          <w:tab w:leader="none" w:pos="660"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w:t>
      </w:r>
      <w:r>
        <w:rPr>
          <w:rFonts w:ascii="Arial" w:cs="Arial" w:eastAsia="Arial" w:hAnsi="Arial"/>
          <w:sz w:val="16"/>
          <w:szCs w:val="16"/>
          <w:color w:val="auto"/>
        </w:rPr>
        <w:t>. The interpretation and construction by the Committee of any provisions of the Plan or of any grant under the Plan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by the Committee under any provision of the Plan or any such grant shall be final and conclusive for all purposes.</w:t>
      </w:r>
    </w:p>
    <w:p>
      <w:pPr>
        <w:spacing w:after="0" w:line="1" w:lineRule="exact"/>
        <w:rPr>
          <w:rFonts w:ascii="Arial" w:cs="Arial" w:eastAsia="Arial" w:hAnsi="Arial"/>
          <w:sz w:val="16"/>
          <w:szCs w:val="16"/>
          <w:b w:val="1"/>
          <w:bCs w:val="1"/>
          <w:color w:val="auto"/>
        </w:rPr>
      </w:pPr>
    </w:p>
    <w:p>
      <w:pPr>
        <w:ind w:left="660" w:right="100" w:hanging="436"/>
        <w:spacing w:after="0" w:line="296" w:lineRule="auto"/>
        <w:tabs>
          <w:tab w:leader="none" w:pos="660"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Liability</w:t>
      </w:r>
      <w:r>
        <w:rPr>
          <w:rFonts w:ascii="Arial" w:cs="Arial" w:eastAsia="Arial" w:hAnsi="Arial"/>
          <w:sz w:val="16"/>
          <w:szCs w:val="16"/>
          <w:color w:val="auto"/>
        </w:rPr>
        <w:t>. Neither the Committee nor any member thereof shall be liable for any act, omission, interpretation, construction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made in connection with the Plan in good faith, and the members of the Committee shall be entitled to indemnification and reimbursement by the Company in respect of any claim, loss, damage or expense (including counsel fees) arising therefrom to the full extent permitted by applicable law and the articles of incorporation of the Company. The members of the Committee, if appointed, shall be named as insureds under any directors and officers liability insurance coverage that may be in effect from time to time.</w:t>
      </w:r>
    </w:p>
    <w:p>
      <w:pPr>
        <w:spacing w:after="0" w:line="94" w:lineRule="exact"/>
        <w:rPr>
          <w:rFonts w:ascii="Arial" w:cs="Arial" w:eastAsia="Arial" w:hAnsi="Arial"/>
          <w:sz w:val="16"/>
          <w:szCs w:val="16"/>
          <w:b w:val="1"/>
          <w:bCs w:val="1"/>
          <w:color w:val="auto"/>
        </w:rPr>
      </w:pPr>
    </w:p>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Grants Under the Plan</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aggregate number of shares which may be issued under Options granted under the Plan, and the total number of shares that may be granted as Incentive Stock Options, shall not exceed 950,000 shares of Common Stock. Such shares may consist of authorized but unissued shares of Common Stock or previously issued shares of Common Stock reacquired by the Company. Any of such shares which remain unissued and which are not subject to outstanding Options at the termination of the Plan shall cease to be subject to the Plan, but until termination of the Plan, the Company shall at all times make available a sufficient number of shares to meet the requirements of the Plan and the outstanding Options. The number of shares of Common Stock which are available for Options under the Plan shall be decreased to the extent an Option is exercised. If any Option, in whole or in part, expires or terminates unexercised or is canceled or forfeited, the shares theretofore subject to such Option may be subject to another Option granted under the Plan. The aggregate number of shares which may be issued under Options granted under the Plan shall be subject to adjustment as provided in Section 6 hereof.</w:t>
      </w:r>
    </w:p>
    <w:p>
      <w:pPr>
        <w:spacing w:after="0" w:line="99"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64"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individuals who shall be eligible to receive Options under the Plan shall be such Eligible Participants as the Committee from time to time shall determine. In granting Options, the Committee shall take into consideration the contribution an individual has made or may make to the success of the Company or its Subsidiaries and such other factors as the Committee shall determine. The Committee shall also have the authority to consult with and receive recommendations from officers and other employees of the Company and its Subsidiaries with regard to these matters. In no event shall any individual or his legal representatives, heirs, legatees, distributees or successors have any right to participate in the Plan except to such extent, if any, as the Committee shall determine.</w:t>
      </w:r>
    </w:p>
    <w:p>
      <w:pPr>
        <w:spacing w:after="0" w:line="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Options may be granted under the Plan from time to time in substitution for stock options, restricted stock or other stock-based compensation granted by other corporations where, as a result of a merger or consolidation of such other corporation with the Company or a Subsidiary, or the acquisition by the Company or a Subsidiary of the assets of such other corporation, or the acquisition by the Company or a subsidiary of stock of, or other beneficial ownership interest in, such other corporation, the individuals who held such other stock options, restricted stock or other stock-based compensation shall become eligible to receive Options under the Plan.</w:t>
      </w:r>
    </w:p>
    <w:p>
      <w:pPr>
        <w:spacing w:after="0" w:line="123"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Grants and Terms of Options</w:t>
      </w:r>
    </w:p>
    <w:p>
      <w:pPr>
        <w:spacing w:after="0" w:line="76" w:lineRule="exact"/>
        <w:rPr>
          <w:rFonts w:ascii="Arial" w:cs="Arial" w:eastAsia="Arial" w:hAnsi="Arial"/>
          <w:sz w:val="18"/>
          <w:szCs w:val="18"/>
          <w:b w:val="1"/>
          <w:bCs w:val="1"/>
          <w:color w:val="auto"/>
        </w:rPr>
      </w:pPr>
    </w:p>
    <w:p>
      <w:pPr>
        <w:ind w:left="660" w:right="500" w:hanging="436"/>
        <w:spacing w:after="0" w:line="275" w:lineRule="auto"/>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Options</w:t>
      </w:r>
      <w:r>
        <w:rPr>
          <w:rFonts w:ascii="Arial" w:cs="Arial" w:eastAsia="Arial" w:hAnsi="Arial"/>
          <w:sz w:val="18"/>
          <w:szCs w:val="18"/>
          <w:color w:val="auto"/>
        </w:rPr>
        <w:t>. Grants of Options under the Plan shall be for such number of shares of Common Stock and shall be subject to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Committee shall designate.</w:t>
      </w:r>
    </w:p>
    <w:p>
      <w:pPr>
        <w:spacing w:after="0" w:line="25" w:lineRule="exact"/>
        <w:rPr>
          <w:rFonts w:ascii="Arial" w:cs="Arial" w:eastAsia="Arial" w:hAnsi="Arial"/>
          <w:sz w:val="18"/>
          <w:szCs w:val="18"/>
          <w:b w:val="1"/>
          <w:bCs w:val="1"/>
          <w:color w:val="auto"/>
        </w:rPr>
      </w:pPr>
    </w:p>
    <w:p>
      <w:pPr>
        <w:ind w:left="660" w:right="240" w:hanging="436"/>
        <w:spacing w:after="0" w:line="256" w:lineRule="auto"/>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r>
        <w:rPr>
          <w:rFonts w:ascii="Arial" w:cs="Arial" w:eastAsia="Arial" w:hAnsi="Arial"/>
          <w:sz w:val="18"/>
          <w:szCs w:val="18"/>
          <w:color w:val="auto"/>
        </w:rPr>
        <w:t>. Each grant of an Option shall be evidenced by an Agreement executed by the recipient of the Option (the “Optionee”) and an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Company. Each Agreement shall be in a form approved by the Committee, shall comply with and be subject to the terms and conditions of the Plan and may contain such other provisions, consistent with the terms and conditions of the Plan, as the Committee shall deem advisable. References herein to an Agreement shall include, to the extent applicable, any amendment to the Agreement and any interpretation or construction thereof by the Committee pursuant to this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 w:name="page21"/>
    <w:bookmarkEnd w:id="20"/>
    <w:p>
      <w:pPr>
        <w:ind w:left="437" w:right="100" w:hanging="437"/>
        <w:spacing w:after="0" w:line="290" w:lineRule="auto"/>
        <w:tabs>
          <w:tab w:leader="none" w:pos="437"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Options</w:t>
      </w:r>
      <w:r>
        <w:rPr>
          <w:rFonts w:ascii="Arial" w:cs="Arial" w:eastAsia="Arial" w:hAnsi="Arial"/>
          <w:sz w:val="16"/>
          <w:szCs w:val="16"/>
          <w:color w:val="auto"/>
        </w:rPr>
        <w:t>. Options shall not be exercisable prior to the date six months following the Grant Date. In addition,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in each Agreement a provision stating that the Option granted therein may not be exercised in whole or in part for an additional period of time specified in such Agreement, and may further limit the exercisability of the Option in such manner as the Committee deems appropriate. Except as provided herein or as so specified in the Agreement or in a resolution of the Committee, any Option may be exercised in whole at any time or in part from time to time during its term. The Committee may, in its discretion, at any time and from time to time accelerate the exercisability of all or part of any Option. An Optionee may exercise an Option by providing written notice to the Company at any time or from time to time during the period such Option is exercisable and by satisfying such other conditions as are set forth in the Agreement relating to the Option including, without limitation, satisfying the requirements for tax withholding with respect to such exercise.</w:t>
      </w:r>
    </w:p>
    <w:p>
      <w:pPr>
        <w:spacing w:after="0" w:line="17" w:lineRule="exact"/>
        <w:rPr>
          <w:rFonts w:ascii="Arial" w:cs="Arial" w:eastAsia="Arial" w:hAnsi="Arial"/>
          <w:sz w:val="16"/>
          <w:szCs w:val="16"/>
          <w:b w:val="1"/>
          <w:bCs w:val="1"/>
          <w:color w:val="auto"/>
        </w:rPr>
      </w:pPr>
    </w:p>
    <w:p>
      <w:pPr>
        <w:ind w:left="437" w:right="60" w:hanging="437"/>
        <w:spacing w:after="0" w:line="304" w:lineRule="auto"/>
        <w:tabs>
          <w:tab w:leader="none" w:pos="437"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Payment of Option Exercise Price</w:t>
      </w:r>
      <w:r>
        <w:rPr>
          <w:rFonts w:ascii="Arial" w:cs="Arial" w:eastAsia="Arial" w:hAnsi="Arial"/>
          <w:sz w:val="15"/>
          <w:szCs w:val="15"/>
          <w:color w:val="auto"/>
        </w:rPr>
        <w:t>. Upon exercise of an Option, the full price per share (the “Exercise Price”) for the shares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 Option is being exercised shall be payable to the Company (i) in cash or by check payable and acceptable to the Company or (ii) subject to the approval of the Committee given on the Grant Date, (a) by tendering to the Company shares of Common Stock owned by the Optionee having an aggregate market Value Per Share (as defined below) as of the date of exercise and tender that is not greater than the Exercise Price for the shares with respect to which the Option is being exercised and by paying any remaining amount of the Exercise Price as provided in</w:t>
      </w:r>
    </w:p>
    <w:p>
      <w:pPr>
        <w:ind w:left="437" w:firstLine="9"/>
        <w:spacing w:after="0" w:line="287" w:lineRule="auto"/>
        <w:tabs>
          <w:tab w:leader="none" w:pos="6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above; provided, however, that the Committee may, upon confirming that the Optionee owns the number of additional shares being tendered, authorize the issuance of a new certificate for the number of shares being acquired pursuant to the exercise of the Option less the number of shares being tendered upon the exercise, and return to the Optionee (or not require surrender of) the certificate for the shares being tendered upon the exercise; or (b)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as provided in (ii)(b) above,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23" w:lineRule="exact"/>
        <w:rPr>
          <w:rFonts w:ascii="Arial" w:cs="Arial" w:eastAsia="Arial" w:hAnsi="Arial"/>
          <w:sz w:val="16"/>
          <w:szCs w:val="16"/>
          <w:color w:val="auto"/>
        </w:rPr>
      </w:pPr>
    </w:p>
    <w:p>
      <w:pPr>
        <w:ind w:left="437" w:right="60" w:hanging="437"/>
        <w:spacing w:after="0" w:line="275" w:lineRule="auto"/>
        <w:tabs>
          <w:tab w:leader="none" w:pos="43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Each Agreement shall state the total number of shares of Common Stock that is subject to the Option, which number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adjustment pursuant to Section 6.</w:t>
      </w:r>
    </w:p>
    <w:p>
      <w:pPr>
        <w:spacing w:after="0" w:line="25" w:lineRule="exact"/>
        <w:rPr>
          <w:rFonts w:ascii="Arial" w:cs="Arial" w:eastAsia="Arial" w:hAnsi="Arial"/>
          <w:sz w:val="18"/>
          <w:szCs w:val="18"/>
          <w:b w:val="1"/>
          <w:bCs w:val="1"/>
          <w:color w:val="auto"/>
        </w:rPr>
      </w:pPr>
    </w:p>
    <w:p>
      <w:pPr>
        <w:ind w:left="437" w:right="20" w:hanging="437"/>
        <w:spacing w:after="0" w:line="262" w:lineRule="auto"/>
        <w:tabs>
          <w:tab w:leader="none" w:pos="43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for each option shall be fixed by the Committee on the Grant Date. The Exercise Price shall be the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per Share on the Grant Date, but in no event less than the par value of the Common Stock. The Exercise Price shall be subject to adjustment pursuant to Section 6.</w:t>
      </w:r>
    </w:p>
    <w:p>
      <w:pPr>
        <w:spacing w:after="0" w:line="37" w:lineRule="exact"/>
        <w:rPr>
          <w:rFonts w:ascii="Arial" w:cs="Arial" w:eastAsia="Arial" w:hAnsi="Arial"/>
          <w:sz w:val="18"/>
          <w:szCs w:val="18"/>
          <w:b w:val="1"/>
          <w:bCs w:val="1"/>
          <w:color w:val="auto"/>
        </w:rPr>
      </w:pPr>
    </w:p>
    <w:p>
      <w:pPr>
        <w:ind w:left="437" w:right="20" w:hanging="437"/>
        <w:spacing w:after="0" w:line="262" w:lineRule="auto"/>
        <w:tabs>
          <w:tab w:leader="none" w:pos="43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each Option shall be determined by the Committee at the Grant Date; provided, however, that each Option shall expire no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ten years from the Grant Date (such date, as determined by the Committee or provided for herein, being referred to hereafter as the “Expiration Time”).</w:t>
      </w:r>
    </w:p>
    <w:p>
      <w:pPr>
        <w:spacing w:after="0" w:line="37" w:lineRule="exact"/>
        <w:rPr>
          <w:rFonts w:ascii="Arial" w:cs="Arial" w:eastAsia="Arial" w:hAnsi="Arial"/>
          <w:sz w:val="18"/>
          <w:szCs w:val="18"/>
          <w:b w:val="1"/>
          <w:bCs w:val="1"/>
          <w:color w:val="auto"/>
        </w:rPr>
      </w:pPr>
    </w:p>
    <w:p>
      <w:pPr>
        <w:ind w:left="437" w:right="180" w:hanging="437"/>
        <w:spacing w:after="0" w:line="275" w:lineRule="auto"/>
        <w:tabs>
          <w:tab w:leader="none" w:pos="43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Market Value Per Share</w:t>
      </w:r>
      <w:r>
        <w:rPr>
          <w:rFonts w:ascii="Arial" w:cs="Arial" w:eastAsia="Arial" w:hAnsi="Arial"/>
          <w:sz w:val="18"/>
          <w:szCs w:val="18"/>
          <w:color w:val="auto"/>
        </w:rPr>
        <w:t>. “Market Value Per Share” shall be determined as of any particular date by any fair and reasonable means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w:t>
      </w:r>
    </w:p>
    <w:p>
      <w:pPr>
        <w:spacing w:after="0" w:line="25" w:lineRule="exact"/>
        <w:rPr>
          <w:rFonts w:ascii="Arial" w:cs="Arial" w:eastAsia="Arial" w:hAnsi="Arial"/>
          <w:sz w:val="18"/>
          <w:szCs w:val="18"/>
          <w:b w:val="1"/>
          <w:bCs w:val="1"/>
          <w:color w:val="auto"/>
        </w:rPr>
      </w:pPr>
    </w:p>
    <w:p>
      <w:pPr>
        <w:ind w:left="437" w:hanging="437"/>
        <w:spacing w:after="0"/>
        <w:tabs>
          <w:tab w:leader="none" w:pos="43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Death of an Outside Director</w:t>
      </w:r>
      <w:r>
        <w:rPr>
          <w:rFonts w:ascii="Arial" w:cs="Arial" w:eastAsia="Arial" w:hAnsi="Arial"/>
          <w:sz w:val="18"/>
          <w:szCs w:val="18"/>
          <w:color w:val="auto"/>
        </w:rPr>
        <w:t>.</w:t>
      </w:r>
    </w:p>
    <w:p>
      <w:pPr>
        <w:spacing w:after="0" w:line="82" w:lineRule="exact"/>
        <w:rPr>
          <w:rFonts w:ascii="Arial" w:cs="Arial" w:eastAsia="Arial" w:hAnsi="Arial"/>
          <w:sz w:val="18"/>
          <w:szCs w:val="18"/>
          <w:b w:val="1"/>
          <w:bCs w:val="1"/>
          <w:color w:val="auto"/>
        </w:rPr>
      </w:pPr>
    </w:p>
    <w:p>
      <w:pPr>
        <w:ind w:left="897" w:right="240" w:hanging="438"/>
        <w:spacing w:after="0" w:line="294" w:lineRule="auto"/>
        <w:tabs>
          <w:tab w:leader="none" w:pos="897"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the employment of an employee Optionee is terminated for any reason other than a Qualified Termination (defined below), the Option granted to such Optionee shall automatically expire simultaneously with such termination. In the event of termination of an employee Optionee s employment due to death, retirement on or after reaching age 65 (or if prior to age 65, with the consent of the Committee), permanent disability (as determined under the standards of the Company’s long-term disability program) or termination by the Company for any reason other than “cause” (each of such four events being a “Qualified</w:t>
      </w:r>
    </w:p>
    <w:p>
      <w:pPr>
        <w:spacing w:after="0" w:line="102" w:lineRule="exact"/>
        <w:rPr>
          <w:sz w:val="20"/>
          <w:szCs w:val="20"/>
          <w:color w:val="auto"/>
        </w:rPr>
      </w:pPr>
    </w:p>
    <w:p>
      <w:pPr>
        <w:ind w:left="499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37"/>
          </w:cols>
          <w:pgMar w:left="923" w:top="274" w:right="239" w:bottom="1440" w:gutter="0" w:footer="0" w:header="0"/>
        </w:sectPr>
      </w:pPr>
    </w:p>
    <w:bookmarkStart w:id="21" w:name="page22"/>
    <w:bookmarkEnd w:id="21"/>
    <w:p>
      <w:pPr>
        <w:ind w:left="1712"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the Option may be exercised by the Optionee (or his estate, personal representative or beneficiary at any time within the three-month period commencing on the day next following such Qualified Termination (or within the next succeeding three months if the Optionee dies or becomes disabled within the three-month period following a Qualified Termination relating to other than the Optionee’s death or disability) to the full extent that the Optionee was entitled to exercise the same on the day immediately prior to such Qualified Termination. For purposes of this clause, “cause” shall mean:</w:t>
      </w:r>
    </w:p>
    <w:p>
      <w:pPr>
        <w:spacing w:after="0" w:line="21" w:lineRule="exact"/>
        <w:rPr>
          <w:sz w:val="20"/>
          <w:szCs w:val="20"/>
          <w:color w:val="auto"/>
        </w:rPr>
      </w:pPr>
    </w:p>
    <w:p>
      <w:pPr>
        <w:ind w:left="2152" w:hanging="450"/>
        <w:spacing w:after="0" w:line="325" w:lineRule="auto"/>
        <w:tabs>
          <w:tab w:leader="none" w:pos="2152" w:val="left"/>
        </w:tabs>
        <w:numPr>
          <w:ilvl w:val="2"/>
          <w:numId w:val="23"/>
        </w:numPr>
        <w:rPr>
          <w:rFonts w:ascii="Arial" w:cs="Arial" w:eastAsia="Arial" w:hAnsi="Arial"/>
          <w:sz w:val="16"/>
          <w:szCs w:val="16"/>
          <w:color w:val="auto"/>
        </w:rPr>
      </w:pPr>
      <w:r>
        <w:rPr>
          <w:rFonts w:ascii="Arial" w:cs="Arial" w:eastAsia="Arial" w:hAnsi="Arial"/>
          <w:sz w:val="16"/>
          <w:szCs w:val="16"/>
          <w:color w:val="auto"/>
        </w:rPr>
        <w:t>final conviction of the Optionee of a felony under the laws of the United States or any state thereof which results or was intended to result directly or indirectly in gain or personal enrichment by the Optionee at the expense of the Company.</w:t>
      </w:r>
    </w:p>
    <w:p>
      <w:pPr>
        <w:spacing w:after="0" w:line="1" w:lineRule="exact"/>
        <w:rPr>
          <w:rFonts w:ascii="Arial" w:cs="Arial" w:eastAsia="Arial" w:hAnsi="Arial"/>
          <w:sz w:val="16"/>
          <w:szCs w:val="16"/>
          <w:color w:val="auto"/>
        </w:rPr>
      </w:pPr>
    </w:p>
    <w:p>
      <w:pPr>
        <w:ind w:left="2152" w:right="580" w:hanging="450"/>
        <w:spacing w:after="0" w:line="268" w:lineRule="auto"/>
        <w:tabs>
          <w:tab w:leader="none" w:pos="2152" w:val="left"/>
        </w:tabs>
        <w:numPr>
          <w:ilvl w:val="2"/>
          <w:numId w:val="23"/>
        </w:numPr>
        <w:rPr>
          <w:rFonts w:ascii="Arial" w:cs="Arial" w:eastAsia="Arial" w:hAnsi="Arial"/>
          <w:sz w:val="18"/>
          <w:szCs w:val="18"/>
          <w:color w:val="auto"/>
        </w:rPr>
      </w:pPr>
      <w:r>
        <w:rPr>
          <w:rFonts w:ascii="Arial" w:cs="Arial" w:eastAsia="Arial" w:hAnsi="Arial"/>
          <w:sz w:val="18"/>
          <w:szCs w:val="18"/>
          <w:color w:val="auto"/>
        </w:rPr>
        <w:t>participation by the Optionee as an employee, officer or principal shareholder in any business engaged in activities in direct competition with the Company without the consent of the Company; or</w:t>
      </w:r>
    </w:p>
    <w:p>
      <w:pPr>
        <w:spacing w:after="0" w:line="37" w:lineRule="exact"/>
        <w:rPr>
          <w:rFonts w:ascii="Arial" w:cs="Arial" w:eastAsia="Arial" w:hAnsi="Arial"/>
          <w:sz w:val="18"/>
          <w:szCs w:val="18"/>
          <w:color w:val="auto"/>
        </w:rPr>
      </w:pPr>
    </w:p>
    <w:p>
      <w:pPr>
        <w:ind w:left="2152" w:right="260" w:hanging="450"/>
        <w:spacing w:after="0" w:line="259" w:lineRule="auto"/>
        <w:tabs>
          <w:tab w:leader="none" w:pos="2152" w:val="left"/>
        </w:tabs>
        <w:numPr>
          <w:ilvl w:val="2"/>
          <w:numId w:val="23"/>
        </w:numPr>
        <w:rPr>
          <w:rFonts w:ascii="Arial" w:cs="Arial" w:eastAsia="Arial" w:hAnsi="Arial"/>
          <w:sz w:val="18"/>
          <w:szCs w:val="18"/>
          <w:color w:val="auto"/>
        </w:rPr>
      </w:pPr>
      <w:r>
        <w:rPr>
          <w:rFonts w:ascii="Arial" w:cs="Arial" w:eastAsia="Arial" w:hAnsi="Arial"/>
          <w:sz w:val="18"/>
          <w:szCs w:val="18"/>
          <w:color w:val="auto"/>
        </w:rPr>
        <w:t>gross and willful inattention to Optionee’s duties as an employee, director, consultant or advisor for a continuous period of three months other than due to Optionee’s total physical disability, or other cause reasonably beyond the control of Employee, which inattention to duty has a material adverse effect on the Company.</w:t>
      </w:r>
    </w:p>
    <w:p>
      <w:pPr>
        <w:spacing w:after="0" w:line="45" w:lineRule="exact"/>
        <w:rPr>
          <w:rFonts w:ascii="Arial" w:cs="Arial" w:eastAsia="Arial" w:hAnsi="Arial"/>
          <w:sz w:val="18"/>
          <w:szCs w:val="18"/>
          <w:color w:val="auto"/>
        </w:rPr>
      </w:pPr>
    </w:p>
    <w:p>
      <w:pPr>
        <w:ind w:left="1572" w:right="20" w:hanging="438"/>
        <w:spacing w:after="0" w:line="306" w:lineRule="auto"/>
        <w:tabs>
          <w:tab w:leader="none" w:pos="157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of the death of an Optionee that is an outside director, the Option may be exercised by the Optionee’s estate, personal representative or beneficiary at any time within the three-month period commencing on the day next following such Optionee’s death to the full extent that the Optionee was entitled to exercise the same on the day immediately prior to his death.</w:t>
      </w:r>
    </w:p>
    <w:p>
      <w:pPr>
        <w:spacing w:after="0" w:line="12" w:lineRule="exact"/>
        <w:rPr>
          <w:rFonts w:ascii="Arial" w:cs="Arial" w:eastAsia="Arial" w:hAnsi="Arial"/>
          <w:sz w:val="16"/>
          <w:szCs w:val="16"/>
          <w:color w:val="auto"/>
        </w:rPr>
      </w:pPr>
    </w:p>
    <w:p>
      <w:pPr>
        <w:ind w:left="1572" w:right="180" w:hanging="438"/>
        <w:spacing w:after="0" w:line="306" w:lineRule="auto"/>
        <w:tabs>
          <w:tab w:leader="none" w:pos="157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Committee may, in its discretion, (i) accelerate the exercisability of all or a part of an Option that is not otherwise exercisable or (ii) provide that an Option shall remain outstanding and be exercisable following termination of employment (or other specified events in the case of nonemployees) on such other terms and conditions as the Committee shall approve.</w:t>
      </w:r>
    </w:p>
    <w:p>
      <w:pPr>
        <w:spacing w:after="0" w:line="6" w:lineRule="exact"/>
        <w:rPr>
          <w:rFonts w:ascii="Arial" w:cs="Arial" w:eastAsia="Arial" w:hAnsi="Arial"/>
          <w:sz w:val="16"/>
          <w:szCs w:val="16"/>
          <w:color w:val="auto"/>
        </w:rPr>
      </w:pPr>
    </w:p>
    <w:p>
      <w:pPr>
        <w:ind w:left="1112" w:right="80" w:hanging="437"/>
        <w:spacing w:after="0" w:line="262" w:lineRule="auto"/>
        <w:tabs>
          <w:tab w:leader="none" w:pos="11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Applicable to Incentive Stock Options</w:t>
      </w:r>
      <w:r>
        <w:rPr>
          <w:rFonts w:ascii="Arial" w:cs="Arial" w:eastAsia="Arial" w:hAnsi="Arial"/>
          <w:sz w:val="18"/>
          <w:szCs w:val="18"/>
          <w:color w:val="auto"/>
        </w:rPr>
        <w:t>. ISOs may be granted only to individuals who are employees of the Company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the ISO is granted. ISOs may be granted to the same individual on more than one occasion, but in no event shall an ISO be granted after the date this Plan is approved by the shareholders of the Company.</w:t>
      </w:r>
    </w:p>
    <w:p>
      <w:pPr>
        <w:spacing w:after="0" w:line="44" w:lineRule="exact"/>
        <w:rPr>
          <w:sz w:val="20"/>
          <w:szCs w:val="20"/>
          <w:color w:val="auto"/>
        </w:rPr>
      </w:pPr>
    </w:p>
    <w:p>
      <w:pPr>
        <w:ind w:left="1132" w:right="100"/>
        <w:spacing w:after="0" w:line="259" w:lineRule="auto"/>
        <w:rPr>
          <w:sz w:val="20"/>
          <w:szCs w:val="20"/>
          <w:color w:val="auto"/>
        </w:rPr>
      </w:pPr>
      <w:r>
        <w:rPr>
          <w:rFonts w:ascii="Arial" w:cs="Arial" w:eastAsia="Arial" w:hAnsi="Arial"/>
          <w:sz w:val="18"/>
          <w:szCs w:val="18"/>
          <w:color w:val="auto"/>
        </w:rPr>
        <w:t>No employee shall be eligible to receive an ISO if, on the Grant Date, such employee owns (including ownership through the attribution provisions of Section 424 of the code) in excess of 10% of the outstanding voting stock of the Company (or of its parent or subsidiary as defined in Section 424 of the code) unless the following two conditions are met:</w:t>
      </w:r>
    </w:p>
    <w:p>
      <w:pPr>
        <w:spacing w:after="0" w:line="46" w:lineRule="exact"/>
        <w:rPr>
          <w:sz w:val="20"/>
          <w:szCs w:val="20"/>
          <w:color w:val="auto"/>
        </w:rPr>
      </w:pPr>
    </w:p>
    <w:p>
      <w:pPr>
        <w:ind w:left="1572" w:hanging="438"/>
        <w:spacing w:after="0" w:line="268" w:lineRule="auto"/>
        <w:tabs>
          <w:tab w:leader="none" w:pos="1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option price for the shares of Common Stock subject to the ISO is at least 110% of the fair market value of the shares of Common Stock on the Grant Date; and</w:t>
      </w:r>
    </w:p>
    <w:p>
      <w:pPr>
        <w:spacing w:after="0" w:line="37" w:lineRule="exact"/>
        <w:rPr>
          <w:rFonts w:ascii="Arial" w:cs="Arial" w:eastAsia="Arial" w:hAnsi="Arial"/>
          <w:sz w:val="18"/>
          <w:szCs w:val="18"/>
          <w:color w:val="auto"/>
        </w:rPr>
      </w:pPr>
    </w:p>
    <w:p>
      <w:pPr>
        <w:ind w:left="1572" w:hanging="438"/>
        <w:spacing w:after="0"/>
        <w:tabs>
          <w:tab w:leader="none" w:pos="1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Agreement provides that the term of the ISO does not exceed five years.</w:t>
      </w:r>
    </w:p>
    <w:p>
      <w:pPr>
        <w:spacing w:after="0" w:line="77" w:lineRule="exact"/>
        <w:rPr>
          <w:sz w:val="20"/>
          <w:szCs w:val="20"/>
          <w:color w:val="auto"/>
        </w:rPr>
      </w:pPr>
    </w:p>
    <w:p>
      <w:pPr>
        <w:ind w:left="1132" w:right="40"/>
        <w:spacing w:after="0" w:line="291" w:lineRule="auto"/>
        <w:rPr>
          <w:sz w:val="20"/>
          <w:szCs w:val="20"/>
          <w:color w:val="auto"/>
        </w:rPr>
      </w:pPr>
      <w:r>
        <w:rPr>
          <w:rFonts w:ascii="Arial" w:cs="Arial" w:eastAsia="Arial" w:hAnsi="Arial"/>
          <w:sz w:val="16"/>
          <w:szCs w:val="16"/>
          <w:color w:val="auto"/>
        </w:rPr>
        <w:t>No employee shall be eligible to receive ISOs (under this Plan and all other option Plans of the Company, its parent and subsidiary corporations) that are exercisable for the first time in any calendar year with respect to stock with an aggregate fair market value (determined at the Grant Date) in excess of $100,000. Notwithstanding any provision to the contrary in any Agreement pursuant to which Options are granted, options which are intended to be ISOs and would otherwise qualify as ISOs but for the requirement set forth in the preceding sentence, shall be treated as ISOs to the extent allowed under such requirement and the balance of such Options shall be traded as Nonqualified Options and their validity shall not be affected in any way whatsoever.</w:t>
      </w:r>
    </w:p>
    <w:p>
      <w:pPr>
        <w:spacing w:after="0" w:line="101" w:lineRule="exact"/>
        <w:rPr>
          <w:sz w:val="20"/>
          <w:szCs w:val="20"/>
          <w:color w:val="auto"/>
        </w:rPr>
      </w:pPr>
    </w:p>
    <w:p>
      <w:pPr>
        <w:ind w:left="672" w:hanging="672"/>
        <w:spacing w:after="0"/>
        <w:tabs>
          <w:tab w:leader="none" w:pos="6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 or Reorganization</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22" w:name="page23"/>
    <w:bookmarkEnd w:id="22"/>
    <w:p>
      <w:pPr>
        <w:ind w:left="440" w:right="140" w:hanging="436"/>
        <w:spacing w:after="0" w:line="255" w:lineRule="auto"/>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existence of the Plan and the Options granted hereunder shall not affect in any way the right or power of the Board or the shareholders of the Company to make or authorize any adjustment, recapitalization, reorganization or other change in the Company’s capital structure or its business, any merger or consolidation of the Company, any issue of bonds, debentures, or shares of preferred stock ahead of or affecting Common Stock or the rights thereof, the dissolution or liquidation of the Company or any sale or transfer of all or any part of its assets or business, or any other corporate act or proceeding.</w:t>
      </w:r>
    </w:p>
    <w:p>
      <w:pPr>
        <w:spacing w:after="0" w:line="48" w:lineRule="exact"/>
        <w:rPr>
          <w:rFonts w:ascii="Arial" w:cs="Arial" w:eastAsia="Arial" w:hAnsi="Arial"/>
          <w:sz w:val="18"/>
          <w:szCs w:val="18"/>
          <w:b w:val="1"/>
          <w:bCs w:val="1"/>
          <w:color w:val="auto"/>
        </w:rPr>
      </w:pPr>
    </w:p>
    <w:p>
      <w:pPr>
        <w:ind w:left="440" w:right="20" w:hanging="436"/>
        <w:spacing w:after="0" w:line="289" w:lineRule="auto"/>
        <w:tabs>
          <w:tab w:leader="none" w:pos="4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The shares with respect to which Options may be granted are shares of Common Stock as presently constituted. If, and whenever, prior to the termination of the Plan or the expiration of an outstanding Option, the Company shall effect a subdivision of shares of Common Stock or the payment of a stock dividend on Common Stock without receipt of consideration by the Company, the remaining shares of Common Stock available under the Plan and the number of shares of Common Stock with respect to which outstanding Options may thereafter be exercised shall be proportionately increased, and the Exercise price under outstanding Options shall be proportionately reduced. If and whenever, prior to the termination of the Plan or the expiration of an outstanding Option, the Company shall effect a consolidation of shares of Common Stock, the remaining shares of Common Stock available under the Plan and the number of shares of Common Stock with respect to which any outstanding Option may thereafter be exercised shall be proportionately reduced, and the Exercise price under the outstanding Options shall be proportionately increased.</w:t>
      </w:r>
    </w:p>
    <w:p>
      <w:pPr>
        <w:spacing w:after="0" w:line="23" w:lineRule="exact"/>
        <w:rPr>
          <w:rFonts w:ascii="Arial" w:cs="Arial" w:eastAsia="Arial" w:hAnsi="Arial"/>
          <w:sz w:val="16"/>
          <w:szCs w:val="16"/>
          <w:b w:val="1"/>
          <w:bCs w:val="1"/>
          <w:color w:val="auto"/>
        </w:rPr>
      </w:pPr>
    </w:p>
    <w:p>
      <w:pPr>
        <w:ind w:left="440" w:hanging="436"/>
        <w:spacing w:after="0" w:line="294" w:lineRule="auto"/>
        <w:tabs>
          <w:tab w:leader="none" w:pos="4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Except as may otherwise be expressly provided in the Plan,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available under the Plan or subject to Options theretofore granted or the Exercise Price per share.</w:t>
      </w:r>
    </w:p>
    <w:p>
      <w:pPr>
        <w:spacing w:after="0" w:line="21" w:lineRule="exact"/>
        <w:rPr>
          <w:rFonts w:ascii="Arial" w:cs="Arial" w:eastAsia="Arial" w:hAnsi="Arial"/>
          <w:sz w:val="16"/>
          <w:szCs w:val="16"/>
          <w:b w:val="1"/>
          <w:bCs w:val="1"/>
          <w:color w:val="auto"/>
        </w:rPr>
      </w:pPr>
    </w:p>
    <w:p>
      <w:pPr>
        <w:ind w:left="440" w:right="100" w:hanging="436"/>
        <w:spacing w:after="0" w:line="294" w:lineRule="auto"/>
        <w:tabs>
          <w:tab w:leader="none" w:pos="4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If the Company effects a recapitalization or otherwise materially changes its capital structure (both of the foregoing are herein referred to as a “Fundamental Change”), then thereafter upon any exercise of an Option theretofore granted, the holder shall be entitled to purchase under such Option, in lieu of the number of shares of Common Stock that would have been received the number and class of shares of stock and securities to which the holder would have been entitled pursuant to the terms of the Fundamental Change if, immediately prior to such Fundamental Change, the Optionee had been the holder of record of the number of shares of Common Stock.</w:t>
      </w:r>
    </w:p>
    <w:p>
      <w:pPr>
        <w:spacing w:after="0" w:line="1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460" w:top="280" w:right="239" w:bottom="1440" w:gutter="0" w:footer="0" w:header="0"/>
        </w:sectPr>
      </w:pPr>
    </w:p>
    <w:bookmarkStart w:id="23" w:name="page24"/>
    <w:bookmarkEnd w:id="23"/>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Recipient’s Agreement</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If, in the opinion of counsel for the Company, at the time of the exercise of any Option it is necessary or desirable, in order to comply with any then applicable laws or regulations relating to the sale of securities, for the individual exercising the option to agree to hold any shares issued to the individual for investment and without intention to resell or distribute the same and for the individual to agree to dispose of such shares only in compliance with such laws and regulations, the individual shall be required, upon the request of the Company, to execute and deliver to the Company a further agreement to such effect.</w:t>
      </w:r>
    </w:p>
    <w:p>
      <w:pPr>
        <w:spacing w:after="0" w:line="93"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76" w:lineRule="exact"/>
        <w:rPr>
          <w:rFonts w:ascii="Arial" w:cs="Arial" w:eastAsia="Arial" w:hAnsi="Arial"/>
          <w:sz w:val="18"/>
          <w:szCs w:val="18"/>
          <w:b w:val="1"/>
          <w:bCs w:val="1"/>
          <w:color w:val="auto"/>
        </w:rPr>
      </w:pPr>
    </w:p>
    <w:p>
      <w:pPr>
        <w:ind w:left="660" w:hanging="436"/>
        <w:spacing w:after="0" w:line="275" w:lineRule="auto"/>
        <w:tabs>
          <w:tab w:leader="none" w:pos="6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Contract</w:t>
      </w:r>
      <w:r>
        <w:rPr>
          <w:rFonts w:ascii="Arial" w:cs="Arial" w:eastAsia="Arial" w:hAnsi="Arial"/>
          <w:sz w:val="18"/>
          <w:szCs w:val="18"/>
          <w:color w:val="auto"/>
        </w:rPr>
        <w:t>. Nothing contained in the Plan shall be construed as conferring upon any employee the right to continue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Subsidiary.</w:t>
      </w:r>
    </w:p>
    <w:p>
      <w:pPr>
        <w:spacing w:after="0" w:line="25" w:lineRule="exact"/>
        <w:rPr>
          <w:rFonts w:ascii="Arial" w:cs="Arial" w:eastAsia="Arial" w:hAnsi="Arial"/>
          <w:sz w:val="18"/>
          <w:szCs w:val="18"/>
          <w:b w:val="1"/>
          <w:bCs w:val="1"/>
          <w:color w:val="auto"/>
        </w:rPr>
      </w:pPr>
    </w:p>
    <w:p>
      <w:pPr>
        <w:ind w:left="660" w:right="80" w:hanging="436"/>
        <w:spacing w:after="0" w:line="275" w:lineRule="auto"/>
        <w:tabs>
          <w:tab w:leader="none" w:pos="6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Subsidiaries</w:t>
      </w:r>
      <w:r>
        <w:rPr>
          <w:rFonts w:ascii="Arial" w:cs="Arial" w:eastAsia="Arial" w:hAnsi="Arial"/>
          <w:sz w:val="18"/>
          <w:szCs w:val="18"/>
          <w:color w:val="auto"/>
        </w:rPr>
        <w:t>. Employment by the Company for the purpose of this Plan shall be deemed to include employment by, and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any period in which an employee is in the employment of, any Subsidiary.</w:t>
      </w:r>
    </w:p>
    <w:p>
      <w:pPr>
        <w:spacing w:after="0" w:line="25" w:lineRule="exact"/>
        <w:rPr>
          <w:rFonts w:ascii="Arial" w:cs="Arial" w:eastAsia="Arial" w:hAnsi="Arial"/>
          <w:sz w:val="18"/>
          <w:szCs w:val="18"/>
          <w:b w:val="1"/>
          <w:bCs w:val="1"/>
          <w:color w:val="auto"/>
        </w:rPr>
      </w:pPr>
    </w:p>
    <w:p>
      <w:pPr>
        <w:ind w:left="660" w:right="80" w:hanging="436"/>
        <w:spacing w:after="0" w:line="262" w:lineRule="auto"/>
        <w:tabs>
          <w:tab w:leader="none" w:pos="6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 Shareholder</w:t>
      </w:r>
      <w:r>
        <w:rPr>
          <w:rFonts w:ascii="Arial" w:cs="Arial" w:eastAsia="Arial" w:hAnsi="Arial"/>
          <w:sz w:val="18"/>
          <w:szCs w:val="18"/>
          <w:color w:val="auto"/>
        </w:rPr>
        <w:t>. A person granted an Option under the Plan shall have no rights as a shareholder with respect to shares covered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Option until the date of the issuance of shares to the person upon the exercise of the Option. No adjustment will be made for dividends or other distributions or rights for which the record date is prior to the date of such issuance.</w:t>
      </w:r>
    </w:p>
    <w:p>
      <w:pPr>
        <w:spacing w:after="0" w:line="37" w:lineRule="exact"/>
        <w:rPr>
          <w:rFonts w:ascii="Arial" w:cs="Arial" w:eastAsia="Arial" w:hAnsi="Arial"/>
          <w:sz w:val="18"/>
          <w:szCs w:val="18"/>
          <w:b w:val="1"/>
          <w:bCs w:val="1"/>
          <w:color w:val="auto"/>
        </w:rPr>
      </w:pPr>
    </w:p>
    <w:p>
      <w:pPr>
        <w:ind w:left="660" w:right="280" w:hanging="436"/>
        <w:spacing w:after="0" w:line="301" w:lineRule="auto"/>
        <w:tabs>
          <w:tab w:leader="none" w:pos="660"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No Restriction on Corporate Action</w:t>
      </w:r>
      <w:r>
        <w:rPr>
          <w:rFonts w:ascii="Arial" w:cs="Arial" w:eastAsia="Arial" w:hAnsi="Arial"/>
          <w:sz w:val="16"/>
          <w:szCs w:val="16"/>
          <w:color w:val="auto"/>
        </w:rPr>
        <w:t>. Nothing contained in the Plan shall be construed to prevent the Company or any Subsidiary from taking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action that is deemed by the Company or such Subsidiary to be appropriate or in its best interest, whether or not such action would have an adverse effect the Plan or any option granted under the Plan. No person that receives, or is eligible to receive, Options under the Plan shall have any claim against the Company or any Subsidiary as a result of any such action.</w:t>
      </w:r>
    </w:p>
    <w:p>
      <w:pPr>
        <w:spacing w:after="0" w:line="8" w:lineRule="exact"/>
        <w:rPr>
          <w:rFonts w:ascii="Arial" w:cs="Arial" w:eastAsia="Arial" w:hAnsi="Arial"/>
          <w:sz w:val="16"/>
          <w:szCs w:val="16"/>
          <w:b w:val="1"/>
          <w:bCs w:val="1"/>
          <w:color w:val="auto"/>
        </w:rPr>
      </w:pPr>
    </w:p>
    <w:p>
      <w:pPr>
        <w:ind w:left="660" w:hanging="436"/>
        <w:spacing w:after="0" w:line="324" w:lineRule="auto"/>
        <w:tabs>
          <w:tab w:leader="none" w:pos="660" w:val="left"/>
        </w:tabs>
        <w:numPr>
          <w:ilvl w:val="1"/>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Non-assignability</w:t>
      </w:r>
      <w:r>
        <w:rPr>
          <w:rFonts w:ascii="Arial" w:cs="Arial" w:eastAsia="Arial" w:hAnsi="Arial"/>
          <w:sz w:val="15"/>
          <w:szCs w:val="15"/>
          <w:color w:val="auto"/>
        </w:rPr>
        <w:t>. Neither a person that receives Options under the Plan nor such person’s beneficiary shall have the power or right to sell,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pledge, transfer, assign or otherwise encumber or dispose of such person’ s or beneficiary’s Options received under the Plan except by will or the laws of intestate succession; and to the extent any such option received under the Plan is awarded to a spouse pursuant to any divorce proceeding, such interest shall be deemed to be terminated and forfeited notwithstanding any vesting provisions or other terms herein or in the Agreement evidencing such option.</w:t>
      </w:r>
    </w:p>
    <w:p>
      <w:pPr>
        <w:ind w:left="660" w:right="120" w:hanging="436"/>
        <w:spacing w:after="0" w:line="310" w:lineRule="auto"/>
        <w:tabs>
          <w:tab w:leader="none" w:pos="660"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Construction</w:t>
      </w:r>
      <w:r>
        <w:rPr>
          <w:rFonts w:ascii="Arial" w:cs="Arial" w:eastAsia="Arial" w:hAnsi="Arial"/>
          <w:sz w:val="16"/>
          <w:szCs w:val="16"/>
          <w:color w:val="auto"/>
        </w:rPr>
        <w:t>. All rights and obligations under the Plan shall be governed by, and the Plan shall be construed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Delaware without regard to the principles of conflicts of laws. Titles and headings to Sections herein are for purposes of reference only, and shall in no way limit, define or otherwise affect the meaning or interpretation of any provision of the Plan.</w:t>
      </w:r>
    </w:p>
    <w:p>
      <w:pPr>
        <w:spacing w:after="0" w:line="2" w:lineRule="exact"/>
        <w:rPr>
          <w:rFonts w:ascii="Arial" w:cs="Arial" w:eastAsia="Arial" w:hAnsi="Arial"/>
          <w:sz w:val="16"/>
          <w:szCs w:val="16"/>
          <w:b w:val="1"/>
          <w:bCs w:val="1"/>
          <w:color w:val="auto"/>
        </w:rPr>
      </w:pPr>
    </w:p>
    <w:p>
      <w:pPr>
        <w:ind w:left="660" w:hanging="436"/>
        <w:spacing w:after="0" w:line="293" w:lineRule="auto"/>
        <w:tabs>
          <w:tab w:leader="none" w:pos="660"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w:t>
      </w:r>
      <w:r>
        <w:rPr>
          <w:rFonts w:ascii="Arial" w:cs="Arial" w:eastAsia="Arial" w:hAnsi="Arial"/>
          <w:sz w:val="16"/>
          <w:szCs w:val="16"/>
          <w:color w:val="auto"/>
        </w:rPr>
        <w:t>. The Committee may from time to time and at any time alter, amend, suspend, discontinue or terminate this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grants of Options hereunder; provided, however, that no such action of the Committee may, without the approval of the shareholders of the Company, alter the provisions of the Plan so as to (A) materially increase the maximum number of shares of Common Stock that may be issued upon the exercise of Options granted under the Plan (except as provided in Section 6) or (B) materially modify the requirements relating to eligibility to receive Options under the Plan. The Plan shall terminate on the tenth anniversary of the date this Plan is approved by a vote of the shareholders of the Company, and no options shall be awarded after such date.</w:t>
      </w:r>
    </w:p>
    <w:p>
      <w:pPr>
        <w:spacing w:after="0" w:line="16" w:lineRule="exact"/>
        <w:rPr>
          <w:rFonts w:ascii="Arial" w:cs="Arial" w:eastAsia="Arial" w:hAnsi="Arial"/>
          <w:sz w:val="16"/>
          <w:szCs w:val="16"/>
          <w:b w:val="1"/>
          <w:bCs w:val="1"/>
          <w:color w:val="auto"/>
        </w:rPr>
      </w:pPr>
    </w:p>
    <w:p>
      <w:pPr>
        <w:ind w:left="660" w:right="200" w:hanging="436"/>
        <w:spacing w:after="0" w:line="262" w:lineRule="auto"/>
        <w:tabs>
          <w:tab w:leader="none" w:pos="6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Preemption by Applicable Laws and Regulations</w:t>
      </w:r>
      <w:r>
        <w:rPr>
          <w:rFonts w:ascii="Arial" w:cs="Arial" w:eastAsia="Arial" w:hAnsi="Arial"/>
          <w:sz w:val="18"/>
          <w:szCs w:val="18"/>
          <w:color w:val="auto"/>
        </w:rPr>
        <w:t>. Anything in the Plan or any Agreement to the Contrary notwithstanding, if, at any time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or therein for the making of any determination or the taking of any action, any law, regulation or requirement of any governmental authority having jurisdiction in the premises shall require the Company to take any additional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 w:name="page25"/>
    <w:bookmarkEnd w:id="24"/>
    <w:p>
      <w:pPr>
        <w:ind w:lef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not otherwise required by the Plan or an Agreement in connection with any such determination or action, the making of such determination or the taking of such action, as the case may be, shall be deferred until such additional action shall have been taken.</w:t>
      </w:r>
    </w:p>
    <w:p>
      <w:pPr>
        <w:spacing w:after="0" w:line="31" w:lineRule="exact"/>
        <w:rPr>
          <w:sz w:val="20"/>
          <w:szCs w:val="20"/>
          <w:color w:val="auto"/>
        </w:rPr>
      </w:pPr>
    </w:p>
    <w:p>
      <w:pPr>
        <w:ind w:left="440" w:right="340" w:hanging="436"/>
        <w:spacing w:after="0" w:line="275" w:lineRule="auto"/>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Plan was initially adopted by the Board of Directors of the Company on August 19, 2003, and was approved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October 21, 2003.</w:t>
      </w:r>
    </w:p>
    <w:p>
      <w:pPr>
        <w:spacing w:after="0" w:line="25" w:lineRule="exact"/>
        <w:rPr>
          <w:rFonts w:ascii="Arial" w:cs="Arial" w:eastAsia="Arial" w:hAnsi="Arial"/>
          <w:sz w:val="18"/>
          <w:szCs w:val="18"/>
          <w:b w:val="1"/>
          <w:bCs w:val="1"/>
          <w:color w:val="auto"/>
        </w:rPr>
      </w:pPr>
    </w:p>
    <w:p>
      <w:pPr>
        <w:ind w:left="440" w:right="120" w:hanging="436"/>
        <w:spacing w:after="0" w:line="262" w:lineRule="auto"/>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Unfunded Status of the Plan. </w:t>
      </w:r>
      <w:r>
        <w:rPr>
          <w:rFonts w:ascii="Arial" w:cs="Arial" w:eastAsia="Arial" w:hAnsi="Arial"/>
          <w:sz w:val="18"/>
          <w:szCs w:val="18"/>
          <w:color w:val="auto"/>
        </w:rPr>
        <w:t>The Plan is intended to constitute an “unfunded” plan for incentive compensation. With respect to any payments not yet</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a Participant by the Company, nothing contained herein shall give any such Participant any rights that are greater than those of a general creditor of the Company.</w:t>
      </w:r>
    </w:p>
    <w:p>
      <w:pPr>
        <w:spacing w:after="0" w:line="37" w:lineRule="exact"/>
        <w:rPr>
          <w:rFonts w:ascii="Arial" w:cs="Arial" w:eastAsia="Arial" w:hAnsi="Arial"/>
          <w:sz w:val="18"/>
          <w:szCs w:val="18"/>
          <w:b w:val="1"/>
          <w:bCs w:val="1"/>
          <w:color w:val="auto"/>
        </w:rPr>
      </w:pPr>
    </w:p>
    <w:p>
      <w:pPr>
        <w:ind w:left="440" w:right="60" w:hanging="436"/>
        <w:spacing w:after="0" w:line="296" w:lineRule="auto"/>
        <w:tabs>
          <w:tab w:leader="none" w:pos="4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Relationship of Plan to other Stock Option Plans of the Company. </w:t>
      </w:r>
      <w:r>
        <w:rPr>
          <w:rFonts w:ascii="Arial" w:cs="Arial" w:eastAsia="Arial" w:hAnsi="Arial"/>
          <w:sz w:val="16"/>
          <w:szCs w:val="16"/>
          <w:color w:val="auto"/>
        </w:rPr>
        <w:t>This Plan shall be in addition to and not in lieu of or in substitution for,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based plan of the Company in effect on the effective date of this Plan as provided in paragraph 7.I. above. Accordingly, any shares of Common Stock that remain eligible for the grant of stock based compensation as of such effective date or thereafter under any such existing plan shall remain eligible for future grants notwithstanding the adoption of this Plan. The Company may issue grants under this Plan without first accessing the shares available under such existing plans or may grant shares under any one or more of the existing plans before accessing the shares available under this Plan.</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460" w:top="280"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MATRIX SERVICE COMPANY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10701 East Ute Street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Tulsa, Oklahoma 74116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(918) 838-8822</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2003 ANNUAL MEETING OF SHAREHOLDERS OCTOBER 21, 2003</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shareholder(s) of Matrix Service Company, a Delaware corporation, hereby acknowledges receipt of the Notice of Annual Meeting of Shareholders and Proxy Statement, each dated September 19, 2003, and hereby appoints Bradley S. Vetal and Michael J. Hall, and each of them, Proxies and Attorneys-in-Fact, with full power to each of substitution, on behalf and in the name of the undersigned, to represent the undersigned at the 2003 Annual Meeting of Shareholders of Matrix Service Company to be held on October 21, 2003 at 10:30 a.m., Central Standard time, at Matrix’s Regional Offices, located at 1105 West Main Parkway, Catoosa, Oklahoma, and at any adjournment or postponement thereof, and to vote all shares of Common Stock which the undersigned would be entitled to vote if personally present on any of the following matters and with discretionary authority as to any and all other matters that may properly come before the meeting.</w:t>
      </w:r>
    </w:p>
    <w:p>
      <w:pPr>
        <w:spacing w:after="0" w:line="53"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32"/>
        </w:numPr>
        <w:rPr>
          <w:rFonts w:ascii="MS PGothic" w:cs="MS PGothic" w:eastAsia="MS PGothic" w:hAnsi="MS PGothic"/>
          <w:sz w:val="18"/>
          <w:szCs w:val="18"/>
          <w:color w:val="auto"/>
        </w:rPr>
      </w:pPr>
      <w:r>
        <w:rPr>
          <w:rFonts w:ascii="Arial" w:cs="Arial" w:eastAsia="Arial" w:hAnsi="Arial"/>
          <w:sz w:val="18"/>
          <w:szCs w:val="18"/>
          <w:color w:val="auto"/>
        </w:rPr>
        <w:t>FOR all the nominees listed below (except as indicated).</w:t>
      </w:r>
    </w:p>
    <w:p>
      <w:pPr>
        <w:spacing w:after="0" w:line="76"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2"/>
        </w:numPr>
        <w:rPr>
          <w:rFonts w:ascii="MS PGothic" w:cs="MS PGothic" w:eastAsia="MS PGothic" w:hAnsi="MS PGothic"/>
          <w:sz w:val="18"/>
          <w:szCs w:val="18"/>
          <w:color w:val="auto"/>
        </w:rPr>
      </w:pPr>
      <w:r>
        <w:rPr>
          <w:rFonts w:ascii="Arial" w:cs="Arial" w:eastAsia="Arial" w:hAnsi="Arial"/>
          <w:sz w:val="18"/>
          <w:szCs w:val="18"/>
          <w:color w:val="auto"/>
        </w:rPr>
        <w:t>WITHHOLD authority to vote for all nominees listed below.</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Hugh E. Bradley, Michael J. Hall, I. E. (Ed) Hendrix, Paul K. Lackey, Tom E. Maxwell and Bradley S. Vetal.</w:t>
      </w:r>
    </w:p>
    <w:p>
      <w:pPr>
        <w:spacing w:after="0" w:line="158"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ratify and approve the adoption of the 2003 Stock Option Plan.</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76"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76"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44" w:lineRule="exact"/>
        <w:rPr>
          <w:rFonts w:ascii="MS PGothic" w:cs="MS PGothic" w:eastAsia="MS PGothic" w:hAnsi="MS PGothic"/>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independent public accountants of the Company for the fiscal year ending May 31, 2004.</w:t>
      </w:r>
    </w:p>
    <w:p>
      <w:pPr>
        <w:spacing w:after="0" w:line="99" w:lineRule="exact"/>
        <w:rPr>
          <w:rFonts w:ascii="Arial" w:cs="Arial" w:eastAsia="Arial" w:hAnsi="Arial"/>
          <w:sz w:val="16"/>
          <w:szCs w:val="16"/>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76"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76"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44" w:lineRule="exact"/>
        <w:rPr>
          <w:rFonts w:ascii="MS PGothic" w:cs="MS PGothic" w:eastAsia="MS PGothic" w:hAnsi="MS PGothic"/>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DEEM ADVISABLE.</w:t>
      </w:r>
    </w:p>
    <w:p>
      <w:pPr>
        <w:spacing w:after="0" w:line="130" w:lineRule="exact"/>
        <w:rPr>
          <w:sz w:val="20"/>
          <w:szCs w:val="20"/>
          <w:color w:val="auto"/>
        </w:rPr>
      </w:pPr>
    </w:p>
    <w:p>
      <w:pPr>
        <w:spacing w:after="0"/>
        <w:tabs>
          <w:tab w:leader="none" w:pos="2820" w:val="left"/>
          <w:tab w:leader="none" w:pos="8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2003</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1477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701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-13970</wp:posOffset>
            </wp:positionV>
            <wp:extent cx="1588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105" w:lineRule="exact"/>
        <w:rPr>
          <w:sz w:val="20"/>
          <w:szCs w:val="20"/>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I plan to attend the meeting:</w:t>
      </w:r>
      <w:r>
        <w:rPr>
          <w:sz w:val="20"/>
          <w:szCs w:val="20"/>
          <w:color w:val="auto"/>
        </w:rPr>
        <w:tab/>
      </w:r>
      <w:r>
        <w:rPr>
          <w:rFonts w:ascii="MS PGothic" w:cs="MS PGothic" w:eastAsia="MS PGothic" w:hAnsi="MS PGothic"/>
          <w:sz w:val="16"/>
          <w:szCs w:val="16"/>
          <w:color w:val="auto"/>
        </w:rPr>
        <w:t>☐</w:t>
      </w:r>
    </w:p>
    <w:p>
      <w:pPr>
        <w:spacing w:after="0" w:line="1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name by its president or other authorized officer, with the office held designated. If shares are held by joint tenants or as community property, both holders should sign.)</w:t>
      </w:r>
    </w:p>
    <w:p>
      <w:pPr>
        <w:spacing w:after="0" w:line="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AS PROMPTLY AS POSSIBLE.</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amp;"/>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lvl w:ilvl="1">
      <w:lvlJc w:val="left"/>
      <w:lvlText w:val="%2."/>
      <w:numFmt w:val="upperLetter"/>
      <w:start w:val="1"/>
    </w:lvl>
  </w:abstractNum>
  <w:abstractNum w:abstractNumId="17">
    <w:nsid w:val="4353D0CD"/>
    <w:multiLevelType w:val="hybridMultilevel"/>
    <w:lvl w:ilvl="0">
      <w:lvlJc w:val="left"/>
      <w:lvlText w:val="%1"/>
      <w:numFmt w:val="decimal"/>
      <w:start w:val="1"/>
    </w:lvl>
    <w:lvl w:ilvl="1">
      <w:lvlJc w:val="left"/>
      <w:lvlText w:val="%2."/>
      <w:numFmt w:val="upperLetter"/>
      <w:start w:val="2"/>
    </w:lvl>
  </w:abstractNum>
  <w:abstractNum w:abstractNumId="18">
    <w:nsid w:val="B03E0C6"/>
    <w:multiLevelType w:val="hybridMultilevel"/>
    <w:lvl w:ilvl="0">
      <w:lvlJc w:val="left"/>
      <w:lvlText w:val="%1."/>
      <w:numFmt w:val="decimal"/>
      <w:start w:val="2"/>
    </w:lvl>
    <w:lvl w:ilvl="1">
      <w:lvlJc w:val="left"/>
      <w:lvlText w:val="%2"/>
      <w:numFmt w:val="upperLetter"/>
      <w:start w:val="1"/>
    </w:lvl>
  </w:abstractNum>
  <w:abstractNum w:abstractNumId="19">
    <w:nsid w:val="189A769B"/>
    <w:multiLevelType w:val="hybridMultilevel"/>
    <w:lvl w:ilvl="0">
      <w:lvlJc w:val="left"/>
      <w:lvlText w:val="%1."/>
      <w:numFmt w:val="decimal"/>
      <w:start w:val="3"/>
    </w:lvl>
  </w:abstractNum>
  <w:abstractNum w:abstractNumId="20">
    <w:nsid w:val="54E49EB4"/>
    <w:multiLevelType w:val="hybridMultilevel"/>
    <w:lvl w:ilvl="0">
      <w:lvlJc w:val="left"/>
      <w:lvlText w:val="%1."/>
      <w:numFmt w:val="decimal"/>
      <w:start w:val="4"/>
    </w:lvl>
    <w:lvl w:ilvl="1">
      <w:lvlJc w:val="left"/>
      <w:lvlText w:val="%2."/>
      <w:numFmt w:val="upperLetter"/>
      <w:start w:val="1"/>
    </w:lvl>
  </w:abstractNum>
  <w:abstractNum w:abstractNumId="21">
    <w:nsid w:val="71F3245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2901D8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upperLetter"/>
      <w:start w:val="1"/>
    </w:lvl>
  </w:abstractNum>
  <w:abstractNum w:abstractNumId="28">
    <w:nsid w:val="7C3DBD3D"/>
    <w:multiLevelType w:val="hybridMultilevel"/>
    <w:lvl w:ilvl="0">
      <w:lvlJc w:val="left"/>
      <w:lvlText w:val="%1."/>
      <w:numFmt w:val="decimal"/>
      <w:start w:val="6"/>
    </w:lvl>
  </w:abstractNum>
  <w:abstractNum w:abstractNumId="29">
    <w:nsid w:val="737B8DDC"/>
    <w:multiLevelType w:val="hybridMultilevel"/>
    <w:lvl w:ilvl="0">
      <w:lvlJc w:val="left"/>
      <w:lvlText w:val="%1."/>
      <w:numFmt w:val="decimal"/>
      <w:start w:val="7"/>
    </w:lvl>
    <w:lvl w:ilvl="1">
      <w:lvlJc w:val="left"/>
      <w:lvlText w:val="%2."/>
      <w:numFmt w:val="upperLetter"/>
      <w:start w:val="1"/>
    </w:lvl>
  </w:abstractNum>
  <w:abstractNum w:abstractNumId="30">
    <w:nsid w:val="6CEAF087"/>
    <w:multiLevelType w:val="hybridMultilevel"/>
    <w:lvl w:ilvl="0">
      <w:lvlJc w:val="left"/>
      <w:lvlText w:val="%1."/>
      <w:numFmt w:val="upperLetter"/>
      <w:start w:val="9"/>
    </w:lvl>
  </w:abstractNum>
  <w:abstractNum w:abstractNumId="31">
    <w:nsid w:val="22221A70"/>
    <w:multiLevelType w:val="hybridMultilevel"/>
    <w:lvl w:ilvl="0">
      <w:lvlJc w:val="left"/>
      <w:lvlText w:val="%1."/>
      <w:numFmt w:val="decimal"/>
      <w:start w:val="1"/>
    </w:lvl>
    <w:lvl w:ilvl="1">
      <w:lvlJc w:val="left"/>
      <w:lvlText w:val="☐"/>
      <w:numFmt w:val="bullet"/>
      <w:start w:val="1"/>
    </w:lvl>
  </w:abstractNum>
  <w:abstractNum w:abstractNumId="32">
    <w:nsid w:val="4516DDE9"/>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2019-12-13T19:41:45Z</dcterms:created>
  <dcterms:modified xsi:type="dcterms:W3CDTF">2019-12-13T19:41:45Z</dcterms:modified>
</cp:coreProperties>
</file>