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96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96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96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2014 there were 27,888,217 shares of the Company’s common stock, $0.01 par value per share, issued and 26,533,988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0" w:type="dxa"/>
            <w:vAlign w:val="bottom"/>
            <w:gridSpan w:val="9"/>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for the Three Months Ended September 30, 2014 and 2013</w:t>
              </w:r>
            </w:hyperlink>
          </w:p>
        </w:tc>
        <w:tc>
          <w:tcPr>
            <w:tcW w:w="580" w:type="dxa"/>
            <w:vAlign w:val="bottom"/>
            <w:vMerge w:val="restart"/>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20" w:type="dxa"/>
            <w:vAlign w:val="bottom"/>
            <w:gridSpan w:val="16"/>
            <w:vMerge w:val="restart"/>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Comprehensive Income for the Three Months Ended September 30, 2014 and 2013</w:t>
              </w:r>
            </w:hyperlink>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vMerge w:val="continue"/>
          </w:tcPr>
          <w:p>
            <w:pPr>
              <w:spacing w:after="0"/>
              <w:rPr>
                <w:sz w:val="24"/>
                <w:szCs w:val="24"/>
                <w:color w:val="auto"/>
              </w:rPr>
            </w:pPr>
          </w:p>
        </w:tc>
        <w:tc>
          <w:tcPr>
            <w:tcW w:w="580" w:type="dxa"/>
            <w:vAlign w:val="bottom"/>
            <w:vMerge w:val="restart"/>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2014 and June 30, 2014</w:t>
              </w:r>
            </w:hyperlink>
          </w:p>
        </w:tc>
        <w:tc>
          <w:tcPr>
            <w:tcW w:w="3240" w:type="dxa"/>
            <w:vAlign w:val="bottom"/>
            <w:gridSpan w:val="6"/>
          </w:tcPr>
          <w:p>
            <w:pPr>
              <w:spacing w:after="0"/>
              <w:rPr>
                <w:sz w:val="24"/>
                <w:szCs w:val="24"/>
                <w:color w:val="auto"/>
              </w:rPr>
            </w:pPr>
          </w:p>
        </w:tc>
        <w:tc>
          <w:tcPr>
            <w:tcW w:w="580" w:type="dxa"/>
            <w:vAlign w:val="bottom"/>
          </w:tcPr>
          <w:p>
            <w:pPr>
              <w:jc w:val="center"/>
              <w:ind w:left="29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September 30, 2014 and 2013</w:t>
              </w:r>
            </w:hyperlink>
          </w:p>
        </w:tc>
        <w:tc>
          <w:tcPr>
            <w:tcW w:w="580" w:type="dxa"/>
            <w:vAlign w:val="bottom"/>
          </w:tcPr>
          <w:p>
            <w:pPr>
              <w:jc w:val="center"/>
              <w:ind w:left="29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Changes in Stockholders’ Equity for the Three Months Ended September 30, 2014 and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2013</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restart"/>
          </w:tcPr>
          <w:p>
            <w:pPr>
              <w:jc w:val="center"/>
              <w:ind w:left="291"/>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420" w:type="dxa"/>
            <w:vAlign w:val="bottom"/>
            <w:gridSpan w:val="8"/>
          </w:tcPr>
          <w:p>
            <w:pPr>
              <w:spacing w:after="0"/>
              <w:rPr>
                <w:sz w:val="24"/>
                <w:szCs w:val="24"/>
                <w:color w:val="auto"/>
              </w:rPr>
            </w:pPr>
          </w:p>
        </w:tc>
        <w:tc>
          <w:tcPr>
            <w:tcW w:w="580" w:type="dxa"/>
            <w:vAlign w:val="bottom"/>
          </w:tcPr>
          <w:p>
            <w:pPr>
              <w:jc w:val="center"/>
              <w:ind w:left="29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center"/>
              <w:ind w:left="31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Legal Proceedings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left="311"/>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80" w:top="58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226,217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293,304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200,741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14,714</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10,456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6,552</w:t>
            </w:r>
          </w:p>
        </w:tc>
      </w:tr>
      <w:tr>
        <w:trPr>
          <w:trHeight w:val="67"/>
        </w:trPr>
        <w:tc>
          <w:tcPr>
            <w:tcW w:w="8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8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26,647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 of ($168) and $99,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6,854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6,854</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2014— $585 and June 30, 2014—$204)</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175,506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204,692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355,823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375,548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31,737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42,087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9,892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(103,315)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72,065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69,837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5,699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108,440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8,605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4,727</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269,861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5,167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261,675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286,649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89"/>
              </w:rPr>
              <w:t>Common stock—$.01 par value; 60,000,000 shares authorized; 27,888,217 shares issued as of September 30, 2014,</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and June 30, 2014</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119,777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183,151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177,237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301,607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297,111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Treasury stock, at cost— 1,372,446 shares as of September 30, 2014, and 1,453,770 shares as of June 30,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286,115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280,516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286,639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282,283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4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(Note 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credit agreement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8,975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received for treasury shares sold to Employee Stock Purchase Plan</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shares purchased from employees to satisfy tax withholding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16,012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72,754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79,762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(received) during the period for:</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282,283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5,914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(23,100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(89,738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Plan (1,790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(33,304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120,129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183,151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286,639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6,552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6,552</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(31,800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(644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Plan (1,127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(237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119,063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147,979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246,476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2014, included in the Company’s Annual Report on Form 10-K for the year then ended.</w:t>
      </w:r>
    </w:p>
    <w:p>
      <w:pPr>
        <w:spacing w:after="0" w:line="11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23"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the contract(s) with a customer (step 1).</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the performance obligations in the contract (step 2).</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(step 3).</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Allocates the transaction price to the performance obligations in the contract (step 4).</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Recognizes revenue when (or as) the entity satisfies a performance obligation (step 5).</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661" w:right="239" w:bottom="1440" w:gutter="0" w:footer="0" w:header="0"/>
        </w:sectPr>
      </w:pPr>
    </w:p>
    <w:bookmarkStart w:id="10" w:name="page11"/>
    <w:bookmarkEnd w:id="10"/>
    <w:p>
      <w:pPr>
        <w:ind w:right="40"/>
        <w:spacing w:after="0" w:line="273" w:lineRule="auto"/>
        <w:rPr>
          <w:sz w:val="20"/>
          <w:szCs w:val="20"/>
          <w:color w:val="auto"/>
        </w:rPr>
      </w:pPr>
      <w:r>
        <w:rPr>
          <w:rFonts w:ascii="Arial" w:cs="Arial" w:eastAsia="Arial" w:hAnsi="Arial"/>
          <w:sz w:val="17"/>
          <w:szCs w:val="17"/>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more decision-useful information and to make it more difficult for a 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spacing w:after="0" w:line="43"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component “has been disposed of or is classified as held for sale.”</w:t>
      </w:r>
    </w:p>
    <w:p>
      <w:pPr>
        <w:spacing w:after="0" w:line="23" w:lineRule="exact"/>
        <w:rPr>
          <w:rFonts w:ascii="Arial" w:cs="Arial" w:eastAsia="Arial" w:hAnsi="Arial"/>
          <w:sz w:val="18"/>
          <w:szCs w:val="18"/>
          <w:color w:val="auto"/>
        </w:rPr>
      </w:pPr>
    </w:p>
    <w:p>
      <w:pPr>
        <w:ind w:right="2280" w:firstLine="8"/>
        <w:spacing w:after="0" w:line="250" w:lineRule="auto"/>
        <w:tabs>
          <w:tab w:leader="none" w:pos="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operations and cash flows of the component have been (or will be) eliminated from the ongoing operations of the entity as a result of the disposal transaction.”</w:t>
      </w:r>
    </w:p>
    <w:p>
      <w:pPr>
        <w:ind w:right="2800" w:firstLine="8"/>
        <w:spacing w:after="0" w:line="261" w:lineRule="auto"/>
        <w:tabs>
          <w:tab w:leader="none" w:pos="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 will not have any significant continuing involvement in the operations of the component after the disposal transaction.”</w:t>
      </w:r>
    </w:p>
    <w:p>
      <w:pPr>
        <w:spacing w:after="0" w:line="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Early adoption is permitted. We expect to adopt this standard in fiscal 2015 and do not expect the adoption of this standard to have a material impact on our consolidated financial statements.</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early adoption is permitted. We expect to adopt this standard in fiscal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with an office in Bakersfield, California provides construction, fabrication and turnaround services to energy companies throughout California’s central valley. The acquisition advances a strategic goal of the Company to expand into the upstream energy market. The acquisition purchase price was $5.25 million and was funded with cash on hand. Commencing on August 22, 2014, HDB's operating results are included in the Oil Gas &amp; Chemical Segment.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00"/>
          </w:cols>
          <w:pgMar w:left="240" w:top="665" w:right="259" w:bottom="1440" w:gutter="0" w:footer="0" w:header="0"/>
        </w:sectPr>
      </w:pPr>
    </w:p>
    <w:bookmarkStart w:id="11" w:name="page12"/>
    <w:bookmarkEnd w:id="11"/>
    <w:p>
      <w:pPr>
        <w:jc w:val="both"/>
        <w:ind w:right="60"/>
        <w:spacing w:after="0" w:line="264"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purchase price is expected to be finalized and settled following a final true-up of working capital accounts that is expected to conclude during the second fiscal quarter. The following table summarizes the preliminary purchase price allocation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40"/>
        <w:spacing w:after="0" w:line="391" w:lineRule="auto"/>
        <w:rPr>
          <w:sz w:val="20"/>
          <w:szCs w:val="20"/>
          <w:color w:val="auto"/>
        </w:rPr>
      </w:pPr>
      <w:r>
        <w:rPr>
          <w:rFonts w:ascii="Arial" w:cs="Arial" w:eastAsia="Arial" w:hAnsi="Arial"/>
          <w:sz w:val="18"/>
          <w:szCs w:val="18"/>
          <w:color w:val="auto"/>
        </w:rPr>
        <w:t xml:space="preserve">All of the recorded goodwill from the HDB acquisition is tax deductible. The operating data related to this acquisition was not material. </w:t>
      </w:r>
      <w:r>
        <w:rPr>
          <w:rFonts w:ascii="Arial" w:cs="Arial" w:eastAsia="Arial" w:hAnsi="Arial"/>
          <w:sz w:val="18"/>
          <w:szCs w:val="18"/>
          <w:i w:val="1"/>
          <w:iCs w:val="1"/>
          <w:color w:val="auto"/>
        </w:rPr>
        <w:t>Purchase of Kvaerner North American Construction</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Effective as of December 21, 2013, the Company acquired 100% of the stock and voting rights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expands the Company's presence in the Electrical Infrastructure and Industrial Segments, and to a lesser extent, the Oil Gas and Chemical segment.</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preliminary purchase price allocation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158,193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68,115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$39.2 million of goodwill, of which $28.5 million is tax deductible.</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equity in consolidated joint venture represents the acquired equity in KVPB Power Partners. KV Power Partners was subsequently renamed to MXPB Power Partners (the "Joint Venture"). The Joint Venture was formed by Kvaerner North American Construction Inc. and an engineering firm to engineer and construct a combined cycle power plant in Dover, Delaware. The Company holds a 65% voting and economic interest in the Joint Venture. The total acquired equity of the Joint Venture was $2.0 million of which the Company's portion was approximately $1.3 million and the other party owns a non-controlling interest of $0.7 million. At September 30, 2014, the noncontrolling interest holder's share of the equity of the Joint Venture totaled $0.5 million. The Company's share at September 30, 2014 was $1.0 million.</w:t>
      </w:r>
    </w:p>
    <w:p>
      <w:pPr>
        <w:spacing w:after="0" w:line="13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of Matrix Service Company and Matrix NAC for the three months ended September 30, 2014, which is also presented in the unaudited Condensed Consolidated Statement of Income for the three months ended September 30,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746" w:right="23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t>The unaudited financial information in the table below for the three months ended September 30, 2013 is presented on a pro forma basis, as though Matrix Service Company and Matrix NAC had been combined as of July 1, 2013. The pro forma earnings for the three months ended September 30, 2013 were adjusted to include incremental amortization expense of $1.0 million and depreciation expense of $0.3 million. The pro forma financial information for the three months ended September 30, 2013 is presented for informational purposes only.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56"/>
        </w:trPr>
        <w:tc>
          <w:tcPr>
            <w:tcW w:w="8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80" w:type="dxa"/>
            <w:vAlign w:val="bottom"/>
            <w:gridSpan w:val="3"/>
            <w:shd w:val="clear" w:color="auto" w:fill="CCEEFF"/>
          </w:tcPr>
          <w:p>
            <w:pPr>
              <w:jc w:val="right"/>
              <w:ind w:right="276"/>
              <w:spacing w:after="0"/>
              <w:rPr>
                <w:sz w:val="20"/>
                <w:szCs w:val="20"/>
                <w:color w:val="auto"/>
              </w:rPr>
            </w:pPr>
            <w:r>
              <w:rPr>
                <w:rFonts w:ascii="Arial" w:cs="Arial" w:eastAsia="Arial" w:hAnsi="Arial"/>
                <w:sz w:val="14"/>
                <w:szCs w:val="14"/>
                <w:color w:val="auto"/>
                <w:w w:val="98"/>
              </w:rPr>
              <w:t>(In thousands, except per share data)</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321,683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275,666</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0.22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0.28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0.28</w:t>
            </w: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1,659,874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1,435,242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1,673,763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1,470,674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89,819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103,708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108,440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Progress billings in accounts receivable at September 30, 2014 and June 30, 2014 included retentions to be collected within one year of $29.7 million and $30.0 million, respectively. Contract retentions collectible beyond one year are included in Other Assets on the Condensed Consolidated Balance Sheet and totaled $2.3 million at September 30, 2014 and $4.3 million at June 30,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September 30, 2014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three months ended September 30, 2014, our results of operations were materially impacted by a charge resulting from a change in estimate related to a power generation facility project associated with our Joint Venture, as described in Note 2 - Acquisitions. The charge resulted in a reduction to operating income of $3.3 million and a reduction of $1.3 million to net income attributable to Matrix Service Company. The charge reflects management's best estimate of the total contract revenues to be recognized and total costs at completion.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74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related adjustment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HDB (2)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(3)</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September 30,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43,062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9,910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72,065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represents goodwill in connection with the Company's acquisition of HDB. The acquisition is discussed further in Note 2 - Acquisitions.</w:t>
      </w:r>
    </w:p>
    <w:p>
      <w:pPr>
        <w:spacing w:after="0" w:line="20" w:lineRule="exact"/>
        <w:rPr>
          <w:rFonts w:ascii="Arial" w:cs="Arial" w:eastAsia="Arial" w:hAnsi="Arial"/>
          <w:sz w:val="17"/>
          <w:szCs w:val="17"/>
          <w:color w:val="auto"/>
        </w:rPr>
      </w:pPr>
    </w:p>
    <w:p>
      <w:pPr>
        <w:ind w:left="540" w:right="8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translation adjustments relate to the periodic translation of Canadian Dollar denominated goodwill recorded as a part of a prior Canadian acquisition as well as the periodic translation of the Canadian entity acquired with the purchase of KNAC. The KNAC is discussed further in Note 2 -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September 30,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24,318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vMerge w:val="restart"/>
          </w:tcPr>
          <w:p>
            <w:pPr>
              <w:jc w:val="right"/>
              <w:ind w:right="674"/>
              <w:spacing w:after="0"/>
              <w:rPr>
                <w:sz w:val="20"/>
                <w:szCs w:val="20"/>
                <w:color w:val="auto"/>
              </w:rPr>
            </w:pPr>
            <w:r>
              <w:rPr>
                <w:rFonts w:ascii="Arial" w:cs="Arial" w:eastAsia="Arial" w:hAnsi="Arial"/>
                <w:sz w:val="18"/>
                <w:szCs w:val="18"/>
                <w:color w:val="auto"/>
              </w:rPr>
              <w:t>- 12-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the gross carrying amount of other intangible assets at September 30, 2014 compared to June 30, 2014 is due to the August 22, 2014 acquisition of HDB. The HDB intangible asset consists of amortizing customer-based intangibles with a fair value of $0.9 million and useful life of 10 years. Please refer to Note 2 - Acquisitions for additional information.</w:t>
      </w:r>
    </w:p>
    <w:p>
      <w:pPr>
        <w:spacing w:after="0" w:line="12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Amortization expense totaled $1.2 million in the three months ended September 30, 2014 and $0.2 million in the three months ended September 30, 2013. Amortization expense is expected to be $4.7 million in fiscal year 2015, $2.8 million in fiscal year 2016, $2.7 million in fiscal year 2017, $2.6 million in fiscal year 2018, $2.5 million in fiscal year 2019 and $12.5 million, thereafter.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2014, Consolidated EBITDA, as defined in the Credit Agreement, was $86.7 million. Accordingly, at September 30, 2014, there were no restrictions on our ability to access the full amount of the credit facility. Consolidated Funded Indebtedness at September 30, 2014 was $27.9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164,024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Outstanding borrowings at September 30, 2014 under our Credit Agreement were used primarily for Canadian dollar advances required for short term working capital, including cross-border purchases of materials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Deferred income taxes are computed using the liability method whereby deferred tax assets and liabilities are recognized based on temporary differences between the financial and tax basis of assets and liabilities using presently enacted tax rates. Deferred tax assets are reduced by a valuation allowance when a determination is made that it is more likely than not that some, or all, of the deferred tax assets will not be realized based on the weight of all available evidence. Evidence which is objectively verifiable carries a higher weight in the analysis. The ultimate realization of deferred tax assets is dependent upon the existence of sufficient taxable income of the appropriate character within the carryback and carryforward period available under the tax law. Sources of taxable income include future reversals of existing taxable temporary differences, future earnings and available tax planning strategies.</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$10.8 million at September 30, 2014 and $13.1 million at June 30, 2014.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6"/>
          </w:tcPr>
          <w:p>
            <w:pPr>
              <w:jc w:val="right"/>
              <w:ind w:right="476"/>
              <w:spacing w:after="0"/>
              <w:rPr>
                <w:sz w:val="20"/>
                <w:szCs w:val="20"/>
                <w:color w:val="auto"/>
              </w:rPr>
            </w:pPr>
            <w:r>
              <w:rPr>
                <w:rFonts w:ascii="Arial" w:cs="Arial" w:eastAsia="Arial" w:hAnsi="Arial"/>
                <w:sz w:val="13"/>
                <w:szCs w:val="13"/>
                <w:color w:val="auto"/>
                <w:w w:val="96"/>
              </w:rPr>
              <w:t>(In thousands, except per share data)</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5,914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26,470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26,470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27,134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jc w:val="right"/>
              <w:ind w:right="976"/>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5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9"/>
        </w:trPr>
        <w:tc>
          <w:tcPr>
            <w:tcW w:w="8580" w:type="dxa"/>
            <w:vAlign w:val="bottom"/>
          </w:tcPr>
          <w:p>
            <w:pPr>
              <w:ind w:left="5540"/>
              <w:spacing w:after="0"/>
              <w:rPr>
                <w:sz w:val="20"/>
                <w:szCs w:val="20"/>
                <w:color w:val="auto"/>
              </w:rPr>
            </w:pPr>
            <w:r>
              <w:rPr>
                <w:rFonts w:ascii="Arial" w:cs="Arial" w:eastAsia="Arial" w:hAnsi="Arial"/>
                <w:sz w:val="18"/>
                <w:szCs w:val="18"/>
                <w:color w:val="auto"/>
              </w:rPr>
              <w:t>- 15-</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We also offer AST products including floating roof seals. Finally, the Storage Solutions segment includes balance of plant work in storage terminals and tank farms.</w:t>
      </w:r>
    </w:p>
    <w:p>
      <w:pPr>
        <w:spacing w:after="0" w:line="1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2014. Intersegment sales and transfers are recorded at cost; therefore, no intercompany profit or loss recognized.</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55,673</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446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322,582</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226,906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4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446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4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55,673</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133,291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446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226,217</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4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446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28,379</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(3,656)</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44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116,255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81,071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72,406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100,734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105,049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70,258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70,720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44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548,314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568,932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20" w:type="dxa"/>
            <w:vAlign w:val="bottom"/>
            <w:vMerge w:val="restart"/>
          </w:tcPr>
          <w:p>
            <w:pPr>
              <w:jc w:val="right"/>
              <w:ind w:right="2690"/>
              <w:spacing w:after="0"/>
              <w:rPr>
                <w:sz w:val="20"/>
                <w:szCs w:val="20"/>
                <w:color w:val="auto"/>
              </w:rPr>
            </w:pPr>
            <w:r>
              <w:rPr>
                <w:rFonts w:ascii="Arial" w:cs="Arial" w:eastAsia="Arial" w:hAnsi="Arial"/>
                <w:sz w:val="18"/>
                <w:szCs w:val="18"/>
                <w:color w:val="auto"/>
              </w:rPr>
              <w:t>- 17-</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2014 Annual Report on Form 10-K filed with the SEC. For more information on our critical accounting policies, see Part II, Item 7 of our fiscal 2014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five significant reporting units with goodwill representing 60%, 12%, 8%, 8% and 6% of the total goodwill balance. Our most recent annual goodwill impairment test, performed in the fourth quarter of fiscal 2014, indicated that the fair value of these reporting units exceeded their respective carrying values by 94%, 182%, 165%, 124% and 193%, respectively. The remaining 6% of total goodwill is spread between two other reporting units. Based on the excess of estimated fair value over carrying value and the absence of any indicators of impairment at September 30, 2014, the Company does not currently anticipate recording a goodwill impairment charge for any of its operating units.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1.5 to 15 years. Intangible assets that have indefinite useful lives are not amortized but are tested at least annually for impairment. Annually,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the Company has determined that the indefinite lives assigned to its indefinite lived intangible assets are appropriate and no impairment indicators exist at September 30, 2014.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$10.8 million at September 30, 2014 and $13.1 million at June 30, 2014.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September 30, 2014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00"/>
          </w:cols>
          <w:pgMar w:left="240" w:top="580" w:right="259" w:bottom="1440" w:gutter="0" w:footer="0" w:header="0"/>
        </w:sectPr>
      </w:pPr>
    </w:p>
    <w:bookmarkStart w:id="20" w:name="page21"/>
    <w:bookmarkEnd w:id="20"/>
    <w:p>
      <w:pPr>
        <w:ind w:right="420"/>
        <w:spacing w:after="0" w:line="277" w:lineRule="auto"/>
        <w:rPr>
          <w:sz w:val="20"/>
          <w:szCs w:val="20"/>
          <w:color w:val="auto"/>
        </w:rPr>
      </w:pPr>
      <w:r>
        <w:rPr>
          <w:rFonts w:ascii="Arial" w:cs="Arial" w:eastAsia="Arial" w:hAnsi="Arial"/>
          <w:sz w:val="18"/>
          <w:szCs w:val="18"/>
          <w:color w:val="auto"/>
        </w:rPr>
        <w:t>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35"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the contract(s) with a customer (step 1).</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the performance obligations in the contract (step 2).</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transaction price (step 3).</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Allocates the transaction price to the performance obligations in the contract (step 4).</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revenue when (or as) the entity satisfies a performance obligation (step 5).</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more decision-useful information and to make it more difficult for a 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spacing w:after="0" w:line="43" w:lineRule="exact"/>
        <w:rPr>
          <w:sz w:val="20"/>
          <w:szCs w:val="20"/>
          <w:color w:val="auto"/>
        </w:rPr>
      </w:pPr>
    </w:p>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component “has been disposed of or is classified as held for sale.”</w:t>
      </w:r>
    </w:p>
    <w:p>
      <w:pPr>
        <w:spacing w:after="0" w:line="23" w:lineRule="exact"/>
        <w:rPr>
          <w:rFonts w:ascii="Arial" w:cs="Arial" w:eastAsia="Arial" w:hAnsi="Arial"/>
          <w:sz w:val="18"/>
          <w:szCs w:val="18"/>
          <w:color w:val="auto"/>
        </w:rPr>
      </w:pPr>
    </w:p>
    <w:p>
      <w:pPr>
        <w:ind w:right="2300" w:firstLine="8"/>
        <w:spacing w:after="0" w:line="250" w:lineRule="auto"/>
        <w:tabs>
          <w:tab w:leader="none" w:pos="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operations and cash flows of the component have been (or will be) eliminated from the ongoing operations of the entity as a result of the disposal transaction.”</w:t>
      </w:r>
    </w:p>
    <w:p>
      <w:pPr>
        <w:ind w:right="2820" w:firstLine="8"/>
        <w:spacing w:after="0" w:line="261" w:lineRule="auto"/>
        <w:tabs>
          <w:tab w:leader="none" w:pos="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entity will not have any significant continuing involvement in the operations of the component after the disposal transaction.”</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Early adoption is permitted. We expect to adopt this standard in fiscal 2015 and do not expect the adoption of this standard to have a material impact on our consolidated financial statements.</w:t>
      </w:r>
    </w:p>
    <w:p>
      <w:pPr>
        <w:spacing w:after="0" w:line="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early adoption is permitted. We expect to adopt this standard in fiscal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ASTs, as well as planned and emergency maintenance services. Also included in the Storage Solutions segment is work related to specialty storage tanks including LNG, LIN/LOX, LPG tanks and other specialty vessels including spheres. We also offer AST products including floating roof seals. Finally, the Storage Solutions segment includes balance of plant work in storage terminals and tank farms.</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2014 Compared to the Three Months Ended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Consolidated revenues were $321.7 million for the three months ended September 30, 2014, an increase of $95.5 million, or 42.2%, from consolidated revenues of $226.2 million in the same period in the prior fiscal year. As discussed in Note 2 - Acquisitions, the Company acquired Kvaerner North American Construction, which we refer to as Matrix NAC, in the second quarter of fiscal 2014. Accordingly, first quarter results of fiscal 2015 included $84.6 million of Matrix NAC revenues. Revenues related to this acquisition were not included in the the three months ended September 30, 2013. On a segment basis, consolidated revenues increased in the Industrial, Storage Solutions and Electrical Infrastructure segments by $56.7 million, $25.2 million and $22.8 million respectively, partially offset by a decrease in the Oil Gas &amp; Chemical segment of $9.2 million.</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Consolidated gross profit increased from $25.5 million in the three months ended September 30, 2013 to $28.4 million in the three months ended September 30, 2014. Fiscal 2015 gross margins were reduced by 1.8% to 8.8% due to under recovery of construction overhead costs caused primarily by lower than expected revenue. Fiscal 2014 gross margins were 11.3%.</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Consolidated SG&amp;A expenses were $19.8 million in the three months ended September 30, 2014 compared to $14.7 million in the same period a year earlier, an increase of $5.1 million, or 34.7%. The increase is primarily attributable to the inclusion of Matrix NAC expenses. SG&amp;A expense as a percentage of revenue decreased to 6.2% in the three months ended September 30, 2014 compared to 6.5% for the three months ended September 30,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$0.3 million in the three months ended September 30, 2014 and $0.2 million in the same period a year earlier.</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income tax provision was 43.7% of operating income for the three months ended September 30, 2014 and 37.3% for the three months ended September 30, 2013. Fiscal 2015 results were negatively impacted by a project charge of $3.3 million related to a power generation construction project included in a joint venture ("project charge") in which the Company has a 65% interest. The Company consolidates the joint venture and reports a noncontrolling interest. Accordingly, the Company's operating income includes the noncontrolling interest holder's share of the project loss of $1.2 million for which the Company does not receive a tax benefit. The project charge is discussed further in Note 3 - Uncompleted Contracts.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months ended September 30, 2014, net income attributable to Matrix Service Company and the related fully diluted earnings per share were $5.9 million and $0.22 compared to $6.6 million and $0.25 in the same period a year earlier.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823" w:right="239" w:bottom="1440" w:gutter="0" w:footer="0" w:header="0"/>
        </w:sectPr>
      </w:pPr>
    </w:p>
    <w:bookmarkStart w:id="22" w:name="page23"/>
    <w:bookmarkEnd w:id="22"/>
    <w:p>
      <w:pPr>
        <w:ind w:right="40"/>
        <w:spacing w:after="0" w:line="273" w:lineRule="auto"/>
        <w:rPr>
          <w:sz w:val="20"/>
          <w:szCs w:val="20"/>
          <w:color w:val="auto"/>
        </w:rPr>
      </w:pPr>
      <w:r>
        <w:rPr>
          <w:rFonts w:ascii="Arial" w:cs="Arial" w:eastAsia="Arial" w:hAnsi="Arial"/>
          <w:sz w:val="17"/>
          <w:szCs w:val="17"/>
          <w:color w:val="auto"/>
        </w:rPr>
        <w:t>Revenues for the Electrical Infrastructure segment increased $22.8 million to $55.7 million in the three months ended September 30, 2014 compared to $32.9 million in the same period a year earlier. The increased revenue volume in the three months ended September 30, 2014 was due to the inclusion of Matrix NAC activity, which was not included in the same period a year earlier, partially offset by lower business volumes in the legacy transmission and distribution business. The project charge reduced gross margins by 10.3% to (0.9%) in the three months ended September 30, 2014. Gross margins were 10.1% in the same period a year earlier. Fiscal 2015 margins were negatively affected by under recovered construction overhead costs primarily due to lower business volumes in the legacy transmission and distribution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for the Oil Gas &amp; Chemical segment decreased to $53.3 million in the three months ended September 30, 2014 compared to $62.5 million in the same period a year earlier. The decrease of $9.2 million, or 14.7%, was primarily due to lower levels of turnaround work. Gross margins decreased to 8.2% in fiscal 2015 from 12.1% in the three months ended September 30, 2013. In fiscal 2015 project execution remained strong, the decline in margins is primarily due to under recovered construction overhead costs. We expect higher margins in this segment for the remainder of fiscal 2015 as work volumes increase leading to a more efficient utilization of construction overhead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for the Storage Solutions segment increased to $133.3 million in the three months ended September 30, 2014 compared to $108.1 million in the same period a year earlier. The increase of $25.2 million, or 23.3%, was primarily due to higher levels of work in our domestic AST business and increased terminal work. The fiscal 2015 gross margin decreased to 10.9% compared to 11.9% in the same period in the prior year. Fiscal 2015 margins were negatively affected by the under recovered construction overhead costs in certain parts of the business due to short-term delays in project start 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the Industrial segment increased to $79.4 million in the three months ended September 30, 2014 compared to $22.7 million in the same period a year earlier. The increase of $56.7 million was primarily due to the inclusion of Matrix NAC activity, which was not included in the same period a year earlier. Gross margins were 12.6% in the three months ended September 30, 2014 compared to 7.8% in the same period a year earlier. The gross margins were higher than expected and primarily due to profit recognized on favorable project completions.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revenues recognized as of the reporting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162,136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110,217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482,631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915,826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43,560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88,641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188,698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69,618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390,517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(321,683)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September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150,023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145,499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538,038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151,100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984,660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187"/>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(In thousands)</w:t>
            </w:r>
          </w:p>
        </w:tc>
      </w:tr>
      <w:tr>
        <w:trPr>
          <w:trHeight w:val="25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3,720</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14,399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three months ended September 30, 2014 were cash on hand at the beginning of the fiscal year, capacity under our senior revolving credit facility and cash generated from operations. Cash on hand at September 30, 2014 totaled $72.8 million and availability under the senior revolving credit facility totaled $164.0 million resulting in available liquidity of $236.8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HDB acquisition discussed in Note 2 of the Notes to Condensed Consolidated Financial Statements included in Part 1, Item 1 of this Quarterly Report on Form 10-Q was funded with cash on hand.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registration statement gives us additional flexibility, when capital market conditions are favorable, to grow our business, finance acquisitions or to optimize our balance sheet in order to improve or maintain our financial flexibility.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flows provided by operating activities for the three months ended September 30, 2014 totaled $5.1 million. The various components of cash flows from operating activities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6460" w:type="dxa"/>
            <w:vAlign w:val="bottom"/>
            <w:gridSpan w:val="2"/>
          </w:tcPr>
          <w:p>
            <w:pPr>
              <w:jc w:val="center"/>
              <w:ind w:right="3050"/>
              <w:spacing w:after="0"/>
              <w:rPr>
                <w:sz w:val="20"/>
                <w:szCs w:val="20"/>
                <w:color w:val="auto"/>
              </w:rPr>
            </w:pPr>
            <w:r>
              <w:rPr>
                <w:rFonts w:ascii="Arial" w:cs="Arial" w:eastAsia="Arial" w:hAnsi="Arial"/>
                <w:sz w:val="18"/>
                <w:szCs w:val="18"/>
                <w:b w:val="1"/>
                <w:bCs w:val="1"/>
                <w:color w:val="auto"/>
                <w:w w:val="90"/>
              </w:rPr>
              <w:t>Net Cash Provided by Operating Activities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6460" w:type="dxa"/>
            <w:vAlign w:val="bottom"/>
            <w:gridSpan w:val="2"/>
          </w:tcPr>
          <w:p>
            <w:pPr>
              <w:jc w:val="center"/>
              <w:ind w:right="3050"/>
              <w:spacing w:after="0"/>
              <w:rPr>
                <w:sz w:val="20"/>
                <w:szCs w:val="20"/>
                <w:color w:val="auto"/>
              </w:rPr>
            </w:pPr>
            <w:r>
              <w:rPr>
                <w:rFonts w:ascii="Arial" w:cs="Arial" w:eastAsia="Arial" w:hAnsi="Arial"/>
                <w:sz w:val="18"/>
                <w:szCs w:val="18"/>
                <w:color w:val="auto"/>
                <w:w w:val="90"/>
              </w:rPr>
              <w:t>(In thousands)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89"/>
              </w:rPr>
              <w:t>Cash effect of changes in operating assets and liabilities</w:t>
            </w:r>
          </w:p>
        </w:tc>
        <w:tc>
          <w:tcPr>
            <w:tcW w:w="6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0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000" w:type="dxa"/>
            <w:vAlign w:val="bottom"/>
            <w:vMerge w:val="restart"/>
          </w:tcPr>
          <w:p>
            <w:pPr>
              <w:jc w:val="center"/>
              <w:ind w:right="2610"/>
              <w:spacing w:after="0"/>
              <w:rPr>
                <w:sz w:val="20"/>
                <w:szCs w:val="20"/>
                <w:color w:val="auto"/>
              </w:rPr>
            </w:pPr>
            <w:r>
              <w:rPr>
                <w:rFonts w:ascii="Arial" w:cs="Arial" w:eastAsia="Arial" w:hAnsi="Arial"/>
                <w:sz w:val="18"/>
                <w:szCs w:val="18"/>
                <w:color w:val="auto"/>
                <w:w w:val="91"/>
              </w:rPr>
              <w:t>- 23-</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6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cash effect of significant changes in operating assets and liabilities net of the effects from acquisitions include the following:</w:t>
      </w:r>
    </w:p>
    <w:p>
      <w:pPr>
        <w:spacing w:after="0" w:line="225" w:lineRule="exact"/>
        <w:rPr>
          <w:sz w:val="20"/>
          <w:szCs w:val="20"/>
          <w:color w:val="auto"/>
        </w:rPr>
      </w:pPr>
    </w:p>
    <w:p>
      <w:pPr>
        <w:ind w:left="980" w:right="3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accounts receivable caused a increase in cash of $30.4 million. The positive variance is primarily due to the timing of project billings and collections.</w:t>
      </w:r>
    </w:p>
    <w:p>
      <w:pPr>
        <w:spacing w:after="0" w:line="170"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change in the combined balance of costs and estimated earnings in excess of billings on uncompleted contracts and billings on uncompleted contracts in excess of costs and estimated earnings caused a decrease to cash of $21.5 million at September 30, 2014. The unfavorable variance is primarily attributable to an increase in costs and estimated earnings in excess of billings due to significant cost plus and time and material projects that are billed in arrears.</w:t>
      </w:r>
    </w:p>
    <w:p>
      <w:pPr>
        <w:spacing w:after="0" w:line="186"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accounts payable resulted in a decrease to cash of $17.5 million. The unfavorable variance is primarily due to lower business volumes and the timing of vendor payments.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accrued liabilities resulted in a decrease to cash of $6.6 million. The unfavorable variance is primarily attributable to the payment of short term incentives accrued at June 30, 2014 but paid out during the first quarter ended September 30,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Investing activities used $8.8 million of cash in the first three months of fiscal 2015. This was primarily due to the purchase of HDB in the amount of $5.3 million. The HDB acquisition is discussed in Note 2 of the Notes to Condensed Consolidated Financial Statements included in Part 1, Item 1 of this Quarterly Report on Form 10-Q. Capital expenditures used $3.7 million of cash and proceeds from asset dispositions generated cash of $0.1 million. Capital expenditures consisted primarily of $1.6 million for the purchase of construction equipment, $0.3 million for transportation and fabrication equipment, and $1.8 million for office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Financing activities used $0.3 million of cash in the first three months of fiscal 2015 primarily due to net repayments of $0.3 million from credit facility borrowings and treasury share purchases of $0.9 million, partially offset with $0.2 million of cash received for issuance of stock options and $0.1 million in cash received from employees participating in the Company's employee stock purchase program. The excess tax benefit of exercised stock options and vesting of deferred shares provided $0.7 million of cash. Cash borrowings and repayments for the first three months of fiscal 2015 were $5.8 million and $6.1 million, respectively. Cash borrowings were used for Canadian dollar advances to fund our existing Canadian operations including amounts to settle intercompany cross currency billings and other borrowings to finance our short-term working capital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September 30, 2014 and June 30, 2014 was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164,024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Outstanding borrowings at September 30, 2014 included advances used for Canadian dollar advances to fund our existing Canadian operations including amounts to settle intercompany cross currency billings and other borrowings to finance our short-term working capital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November 4, 2014 the Board of Directors approved a stock buyback program that replaces the program that had been in place since November 2012. The new program, which expires on December 31, 2016, allows the Company to purchase up to $25.0 million of common shares annually if sufficient liquidity exists and management believes the shares are undervalued relative to the Company's peers. The annual share limitation is applied on a calendar year basis. The cumulative shares repurchased cannot exceed 2,653,399, which represents ten percent of the shares outstanding at the approval date.</w:t>
      </w:r>
    </w:p>
    <w:p>
      <w:pPr>
        <w:spacing w:after="0" w:line="10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33,304 shares in the first three months of fiscal 2015 to satisfy these obligations. These shares were returned to the Company’s pool of treasury shares.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1,372,446 treasury shares as of September 30, 2014 and intends to utilize these treasury shares solely in connection with equity awards under the Company’s stock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2014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52" w:lineRule="exact"/>
        <w:rPr>
          <w:rFonts w:ascii="Arial" w:cs="Arial" w:eastAsia="Arial" w:hAnsi="Arial"/>
          <w:sz w:val="18"/>
          <w:szCs w:val="18"/>
          <w:color w:val="auto"/>
        </w:rPr>
      </w:pPr>
    </w:p>
    <w:p>
      <w:pPr>
        <w:ind w:left="5640" w:hanging="98"/>
        <w:spacing w:after="0"/>
        <w:tabs>
          <w:tab w:leader="none" w:pos="5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360"/>
          </w:cols>
          <w:pgMar w:left="240" w:top="746" w:right="299" w:bottom="1440" w:gutter="0" w:footer="0" w:header="0"/>
        </w:sectPr>
      </w:pPr>
    </w:p>
    <w:bookmarkStart w:id="27" w:name="page28"/>
    <w:bookmarkEnd w:id="27"/>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340"/>
          </w:cols>
          <w:pgMar w:left="240" w:top="800"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2014, filed with the Securities and Exchange Commission. For more information on market risk, see Part II, Item 7A in our fiscal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2014. Based on the foregoing, our Chief Executive Officer and Chief Financial Officer concluded that our disclosure controls and procedures were effective at the reasonable assurance level at September 30, 2014.</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September 30, 2014.</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823"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2015.</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2014</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2014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33,304</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$27.42</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2014</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100" w:hanging="316"/>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hanging="316"/>
        <w:spacing w:after="0" w:line="25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4, 2014 the Board of Directors approved a stock buyback program that replaces the program that had been in place since November 2012. The new program, which expires on December 31, 2016, allows the Company to purchase up to $25.0 million annually of common shares if sufficient liquidity exist and management believes the shares are undervalued relative the Company's peers. The annual share limitation is applied on a calendar year basis. The shares included in this column represent the maximum number of shares that were available to be purchased under the plan that existed at September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340"/>
          </w:cols>
          <w:pgMar w:left="240" w:top="580" w:right="319" w:bottom="1440" w:gutter="0" w:footer="0" w:header="0"/>
        </w:sect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Separation Agreement between Matthew J. Petrizzo and the Company (Exhibit 10.23 to the Company's Annual Report on Form 10-K (File No. 1-15461) filed September 8, 2014, is hereby incorporated by reference).</w:t>
      </w:r>
    </w:p>
    <w:p>
      <w:pPr>
        <w:spacing w:after="0" w:line="106"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CEO.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CFO.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(section 906 of Sarbanes-Oxley Act of 2002) – CFO.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Mine Safety Disclosure.</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1260" w:space="68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Schema Document.</w:t>
      </w:r>
    </w:p>
    <w:p>
      <w:pPr>
        <w:spacing w:after="0" w:line="200" w:lineRule="exact"/>
        <w:rPr>
          <w:sz w:val="20"/>
          <w:szCs w:val="20"/>
          <w:color w:val="auto"/>
        </w:rPr>
      </w:pPr>
    </w:p>
    <w:p>
      <w:pPr>
        <w:sectPr>
          <w:pgSz w:w="11900" w:h="16838" w:orient="portrait"/>
          <w:cols w:equalWidth="0" w:num="2">
            <w:col w:w="1320" w:space="620"/>
            <w:col w:w="9400"/>
          </w:cols>
          <w:pgMar w:left="240" w:top="580" w:right="31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340" w:space="60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320" w:space="6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207" w:lineRule="exact"/>
        <w:rPr>
          <w:sz w:val="20"/>
          <w:szCs w:val="20"/>
          <w:color w:val="auto"/>
        </w:rPr>
      </w:pPr>
    </w:p>
    <w:p>
      <w:pPr>
        <w:sectPr>
          <w:pgSz w:w="11900" w:h="16838" w:orient="portrait"/>
          <w:cols w:equalWidth="0" w:num="2">
            <w:col w:w="1340" w:space="60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00" w:space="640"/>
            <w:col w:w="9400"/>
          </w:cols>
          <w:pgMar w:left="240" w:top="580" w:right="319" w:bottom="1440" w:gutter="0" w:footer="0" w:header="0"/>
          <w:type w:val="continuous"/>
        </w:sectPr>
      </w:pP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340"/>
          </w:cols>
          <w:pgMar w:left="240" w:top="580" w:right="31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760" w:type="dxa"/>
            <w:vAlign w:val="bottom"/>
          </w:tcPr>
          <w:p>
            <w:pPr>
              <w:spacing w:after="0"/>
              <w:rPr>
                <w:sz w:val="17"/>
                <w:szCs w:val="17"/>
                <w:color w:val="auto"/>
              </w:rPr>
            </w:pPr>
          </w:p>
        </w:tc>
      </w:tr>
      <w:tr>
        <w:trPr>
          <w:trHeight w:val="695"/>
        </w:trPr>
        <w:tc>
          <w:tcPr>
            <w:tcW w:w="1620" w:type="dxa"/>
            <w:vAlign w:val="bottom"/>
          </w:tcPr>
          <w:p>
            <w:pPr>
              <w:spacing w:after="0"/>
              <w:rPr>
                <w:sz w:val="20"/>
                <w:szCs w:val="20"/>
                <w:color w:val="auto"/>
              </w:rPr>
            </w:pPr>
            <w:r>
              <w:rPr>
                <w:rFonts w:ascii="Arial" w:cs="Arial" w:eastAsia="Arial" w:hAnsi="Arial"/>
                <w:sz w:val="18"/>
                <w:szCs w:val="18"/>
                <w:color w:val="auto"/>
              </w:rPr>
              <w:t>Exhibit 10.1</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w w:val="90"/>
              </w:rPr>
              <w:t>Separation Agreement between Matthew J. Petrizzo and the Company (Exhibit 10.23 to the Company's Annual Report on Form</w:t>
            </w:r>
          </w:p>
        </w:tc>
      </w:tr>
      <w:tr>
        <w:trPr>
          <w:trHeight w:val="230"/>
        </w:trPr>
        <w:tc>
          <w:tcPr>
            <w:tcW w:w="1620" w:type="dxa"/>
            <w:vAlign w:val="bottom"/>
          </w:tcPr>
          <w:p>
            <w:pPr>
              <w:spacing w:after="0"/>
              <w:rPr>
                <w:sz w:val="20"/>
                <w:szCs w:val="20"/>
                <w:color w:val="auto"/>
              </w:rPr>
            </w:pP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10-K (File No. 1-15461) filed September 8, 2014, is hereby incorporated by reference).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95:</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95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62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- 30-</w:t>
            </w:r>
          </w:p>
        </w:tc>
        <w:tc>
          <w:tcPr>
            <w:tcW w:w="4760" w:type="dxa"/>
            <w:vAlign w:val="bottom"/>
          </w:tcPr>
          <w:p>
            <w:pPr>
              <w:spacing w:after="0"/>
              <w:rPr>
                <w:sz w:val="24"/>
                <w:szCs w:val="24"/>
                <w:color w:val="auto"/>
              </w:rPr>
            </w:pPr>
          </w:p>
        </w:tc>
      </w:tr>
    </w:tbl>
    <w:p>
      <w:pPr>
        <w:sectPr>
          <w:pgSz w:w="11900" w:h="16838" w:orient="portrait"/>
          <w:cols w:equalWidth="0" w:num="1">
            <w:col w:w="11140"/>
          </w:cols>
          <w:pgMar w:left="280" w:top="567" w:right="4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6,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6,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6" w:name="page37"/>
    <w:bookmarkEnd w:id="36"/>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972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97231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2</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3"/>
              </w:rPr>
              <w:t>$2,484</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8</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1</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03131</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Solvay</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Chemicals Inc.</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48-01295</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60" w:right="360" w:hanging="252"/>
        <w:spacing w:after="0" w:line="261" w:lineRule="auto"/>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upp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2019-12-06T03:29:45Z</dcterms:created>
  <dcterms:modified xsi:type="dcterms:W3CDTF">2019-12-06T03:29:45Z</dcterms:modified>
</cp:coreProperties>
</file>