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spacing w:after="0" w:line="14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w:t>
      </w:r>
    </w:p>
    <w:p>
      <w:pPr>
        <w:jc w:val="center"/>
        <w:ind w:right="-119"/>
        <w:spacing w:after="0"/>
        <w:rPr>
          <w:sz w:val="20"/>
          <w:szCs w:val="20"/>
          <w:color w:val="auto"/>
        </w:rPr>
      </w:pPr>
      <w:r>
        <w:rPr>
          <w:rFonts w:ascii="Times New Roman" w:cs="Times New Roman" w:eastAsia="Times New Roman" w:hAnsi="Times New Roman"/>
          <w:sz w:val="14"/>
          <w:szCs w:val="14"/>
          <w:color w:val="auto"/>
        </w:rPr>
        <w:t>(Mark One)</w:t>
      </w:r>
    </w:p>
    <w:p>
      <w:pPr>
        <w:spacing w:after="0" w:line="30" w:lineRule="exact"/>
        <w:rPr>
          <w:sz w:val="24"/>
          <w:szCs w:val="24"/>
          <w:color w:val="auto"/>
        </w:rPr>
      </w:pPr>
    </w:p>
    <w:p>
      <w:pPr>
        <w:ind w:left="1820" w:hanging="449"/>
        <w:spacing w:after="0"/>
        <w:tabs>
          <w:tab w:leader="none" w:pos="1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1820" w:hanging="449"/>
        <w:spacing w:after="0"/>
        <w:tabs>
          <w:tab w:leader="none" w:pos="1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 (d) of the Securities Exchange Act of 1934</w:t>
      </w:r>
    </w:p>
    <w:p>
      <w:pPr>
        <w:spacing w:after="0" w:line="132"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3933190</wp:posOffset>
            </wp:positionH>
            <wp:positionV relativeFrom="paragraph">
              <wp:posOffset>-5080</wp:posOffset>
            </wp:positionV>
            <wp:extent cx="7804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No. 1-15461</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pacing w:after="0" w:line="1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MATRIX SERVICE COMPANY</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w:t>
      </w:r>
    </w:p>
    <w:p>
      <w:pPr>
        <w:sectPr>
          <w:pgSz w:w="11900" w:h="16838" w:orient="portrait"/>
          <w:cols w:equalWidth="0" w:num="1">
            <w:col w:w="11120"/>
          </w:cols>
          <w:pgMar w:left="320" w:top="472" w:right="459" w:bottom="1440" w:gutter="0" w:footer="0" w:header="0"/>
        </w:sectPr>
      </w:pPr>
    </w:p>
    <w:p>
      <w:pPr>
        <w:spacing w:after="0" w:line="14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73-1352174</w:t>
      </w:r>
    </w:p>
    <w:p>
      <w:pPr>
        <w:spacing w:after="0" w:line="31" w:lineRule="exact"/>
        <w:rPr>
          <w:sz w:val="24"/>
          <w:szCs w:val="24"/>
          <w:color w:val="auto"/>
        </w:rPr>
      </w:pPr>
    </w:p>
    <w:p>
      <w:pPr>
        <w:sectPr>
          <w:pgSz w:w="11900" w:h="16838" w:orient="portrait"/>
          <w:cols w:equalWidth="0" w:num="2">
            <w:col w:w="7260" w:space="720"/>
            <w:col w:w="3140"/>
          </w:cols>
          <w:pgMar w:left="320" w:top="472" w:right="45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00" w:space="720"/>
            <w:col w:w="3800"/>
          </w:cols>
          <w:pgMar w:left="320" w:top="47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15 East 5th Street, Suite 1100, Tulsa, Oklahoma 74103</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838-8822</w:t>
      </w:r>
    </w:p>
    <w:p>
      <w:pPr>
        <w:spacing w:after="0" w:line="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8"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5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36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MTRX</w:t>
            </w:r>
          </w:p>
        </w:tc>
        <w:tc>
          <w:tcPr>
            <w:tcW w:w="6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44" w:lineRule="exact"/>
        <w:rPr>
          <w:sz w:val="24"/>
          <w:szCs w:val="24"/>
          <w:color w:val="auto"/>
        </w:rPr>
      </w:pPr>
    </w:p>
    <w:p>
      <w:pPr>
        <w:ind w:right="18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3" w:lineRule="exact"/>
        <w:rPr>
          <w:sz w:val="24"/>
          <w:szCs w:val="24"/>
          <w:color w:val="auto"/>
        </w:rPr>
      </w:pPr>
    </w:p>
    <w:p>
      <w:pPr>
        <w:ind w:right="24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420"/>
              <w:spacing w:after="0" w:line="221" w:lineRule="exact"/>
              <w:rPr>
                <w:sz w:val="20"/>
                <w:szCs w:val="20"/>
                <w:color w:val="auto"/>
              </w:rPr>
            </w:pPr>
            <w:r>
              <w:rPr>
                <w:rFonts w:ascii="MS PGothic" w:cs="MS PGothic" w:eastAsia="MS PGothic" w:hAnsi="MS PGothic"/>
                <w:sz w:val="22"/>
                <w:szCs w:val="22"/>
                <w:color w:val="auto"/>
              </w:rPr>
              <w:t>☐</w:t>
            </w:r>
          </w:p>
        </w:tc>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23" w:lineRule="exact"/>
        <w:rPr>
          <w:sz w:val="24"/>
          <w:szCs w:val="24"/>
          <w:color w:val="auto"/>
        </w:rPr>
      </w:pPr>
    </w:p>
    <w:p>
      <w:pPr>
        <w:ind w:right="4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5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May 8, 2023 there were 27,047,318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980" w:type="dxa"/>
            <w:vAlign w:val="bottom"/>
            <w:gridSpan w:val="9"/>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March 31, 2023 and 2022</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March 31, 2023 and 2022</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2</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2023 and June 30, 2022</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31, 2023 and 2022</w:t>
            </w:r>
          </w:p>
        </w:tc>
        <w:tc>
          <w:tcPr>
            <w:tcW w:w="380" w:type="dxa"/>
            <w:vAlign w:val="bottom"/>
            <w:gridSpan w:val="2"/>
          </w:tcPr>
          <w:p>
            <w:pPr>
              <w:jc w:val="center"/>
              <w:ind w:left="191"/>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March 31, 2023</w:t>
            </w:r>
          </w:p>
        </w:tc>
        <w:tc>
          <w:tcPr>
            <w:tcW w:w="280" w:type="dxa"/>
            <w:vAlign w:val="bottom"/>
            <w:vMerge w:val="restart"/>
          </w:tcPr>
          <w:p>
            <w:pPr>
              <w:spacing w:after="0"/>
              <w:rPr>
                <w:sz w:val="22"/>
                <w:szCs w:val="22"/>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2022</w:t>
            </w:r>
          </w:p>
        </w:tc>
        <w:tc>
          <w:tcPr>
            <w:tcW w:w="8320" w:type="dxa"/>
            <w:vAlign w:val="bottom"/>
            <w:tcBorders>
              <w:top w:val="single" w:sz="8" w:color="0000FF"/>
            </w:tcBorders>
            <w:gridSpan w:val="11"/>
          </w:tcPr>
          <w:p>
            <w:pPr>
              <w:spacing w:after="0"/>
              <w:rPr>
                <w:sz w:val="14"/>
                <w:szCs w:val="14"/>
                <w:color w:val="auto"/>
              </w:rPr>
            </w:pPr>
          </w:p>
        </w:tc>
        <w:tc>
          <w:tcPr>
            <w:tcW w:w="180" w:type="dxa"/>
            <w:vAlign w:val="bottom"/>
            <w:gridSpan w:val="2"/>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400" w:type="dxa"/>
            <w:vAlign w:val="bottom"/>
            <w:gridSpan w:val="8"/>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18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20" w:type="dxa"/>
            <w:vAlign w:val="bottom"/>
            <w:gridSpan w:val="2"/>
          </w:tcPr>
          <w:p>
            <w:pPr>
              <w:spacing w:after="0"/>
              <w:rPr>
                <w:sz w:val="22"/>
                <w:szCs w:val="22"/>
                <w:color w:val="auto"/>
              </w:rPr>
            </w:pPr>
          </w:p>
        </w:tc>
        <w:tc>
          <w:tcPr>
            <w:tcW w:w="2940" w:type="dxa"/>
            <w:vAlign w:val="bottom"/>
            <w:gridSpan w:val="5"/>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80" w:type="dxa"/>
            <w:vAlign w:val="bottom"/>
            <w:gridSpan w:val="9"/>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0" w:type="dxa"/>
            <w:vAlign w:val="bottom"/>
            <w:gridSpan w:val="2"/>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7"/>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80" w:type="dxa"/>
            <w:vAlign w:val="bottom"/>
            <w:gridSpan w:val="10"/>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2"/>
                <w:szCs w:val="22"/>
                <w:color w:val="auto"/>
              </w:rPr>
            </w:pPr>
          </w:p>
        </w:tc>
        <w:tc>
          <w:tcPr>
            <w:tcW w:w="7640" w:type="dxa"/>
            <w:vAlign w:val="bottom"/>
            <w:gridSpan w:val="11"/>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2"/>
                <w:szCs w:val="22"/>
                <w:color w:val="auto"/>
              </w:rPr>
            </w:pPr>
          </w:p>
        </w:tc>
        <w:tc>
          <w:tcPr>
            <w:tcW w:w="8080" w:type="dxa"/>
            <w:vAlign w:val="bottom"/>
            <w:gridSpan w:val="12"/>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28"/>
        </w:trPr>
        <w:tc>
          <w:tcPr>
            <w:tcW w:w="54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509,125</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49,592</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29"/>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 (benefit)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(71,792)</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w:t>
            </w:r>
          </w:p>
        </w:tc>
      </w:tr>
      <w:tr>
        <w:trPr>
          <w:trHeight w:val="234"/>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26,714</w:t>
            </w: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0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Foreign currency translation loss (net of tax expense (benefit) of $0 for</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the three and nine months ended March 31, 2023 and ($16) and $30 for</w:t>
            </w: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three and nine months ended March 31, 2022,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8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less allowances (March 31, 2023—$1,100 and June 30, 2022—$1,320)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153,879</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53,869</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440,793</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4"/>
        </w:trPr>
        <w:tc>
          <w:tcPr>
            <w:tcW w:w="8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1"/>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74,886</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65,106</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insurance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asset-backed credit facility</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213,087</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85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stock—$.01 par value; 60,000,000 shares authorized; 27,888,217 shares issued as of March 31, 2023</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4"/>
        </w:trPr>
        <w:tc>
          <w:tcPr>
            <w:tcW w:w="8560" w:type="dxa"/>
            <w:vAlign w:val="bottom"/>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June 30, 2022; 27,037,556 and 26,790,514 shares outstanding as of March 31, 2023 and June 30, 2022,</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111,278</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r>
      <w:tr>
        <w:trPr>
          <w:trHeight w:val="223"/>
        </w:trPr>
        <w:tc>
          <w:tcPr>
            <w:tcW w:w="8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243,236</w:t>
            </w:r>
          </w:p>
        </w:tc>
      </w:tr>
      <w:tr>
        <w:trPr>
          <w:trHeight w:val="229"/>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Treasury stock, at cost — 850,661 shares as of March 31, 2023, and 1,097,703 shares as of June 30, 2022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227,706</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440,793</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(used) by operating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uncollectible accounts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Accelerated amortization of deferred debt amendment fees</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increasing (decreasing)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w:t>
            </w:r>
          </w:p>
        </w:tc>
      </w:tr>
      <w:tr>
        <w:trPr>
          <w:trHeight w:val="229"/>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9"/>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20,036</w:t>
            </w:r>
          </w:p>
        </w:tc>
      </w:tr>
      <w:tr>
        <w:trPr>
          <w:trHeight w:val="230"/>
        </w:trPr>
        <w:tc>
          <w:tcPr>
            <w:tcW w:w="8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(22,517)</w:t>
            </w: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asset sales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8"/>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1"/>
                <w:szCs w:val="11"/>
                <w:color w:val="auto"/>
              </w:rPr>
            </w:pPr>
          </w:p>
        </w:tc>
        <w:tc>
          <w:tcPr>
            <w:tcW w:w="106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Advances under asset-backed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advances under asset-backed credit facility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amendment fees</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of common stock</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 for payment of statutory taxes due on equity-based compensation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Interest, including payment of debt amendment fees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364" w:right="35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026"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137,989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71,939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191,452</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(10,233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139,257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59,253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135,913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132,721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245,610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(34,899)</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(9,290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221"/>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212,836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June 30,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139,854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111,278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227,706</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(52,025)</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deferred shares (259,529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(40,377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Treasury shares purchased to satisfy tax withholding obligations (52,864</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0" w:type="dxa"/>
            <w:vAlign w:val="bottom"/>
          </w:tcPr>
          <w:p>
            <w:pPr>
              <w:spacing w:after="0"/>
              <w:rPr>
                <w:sz w:val="1"/>
                <w:szCs w:val="1"/>
                <w:color w:val="auto"/>
              </w:rPr>
            </w:pPr>
          </w:p>
        </w:tc>
      </w:tr>
      <w:tr>
        <w:trPr>
          <w:trHeight w:val="19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139,257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59,253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180,003</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June 30,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137,575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175,178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285,539</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(77,356)</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(19,550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deferred shares (268,403 shares)</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shares sold to Employee Stock Purchase Plan (22,577 shares)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35"/>
        </w:trPr>
        <w:tc>
          <w:tcPr>
            <w:tcW w:w="46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Treasury shares purchased to satisfy tax withholding obligations (76,703</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March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137,886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97,822</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(15,674)</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212,836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2022, included in our Annual Report on Form 10-K for the year then ended. The results of operations for the three and nine month periods ended March 31, 2023 may not necessarily be indicative of the results of operations for the full year ending June 30,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detailed in “Note 1 - Summary of Significant Accounting Policies” of our Annual Report on Form 10-K for the year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$542.7 million of remaining performance obligations yet to be satisfied as of March 31, 2023. We expect to recognize $432.7 million of our remaining performance obligations as revenue within the next twelve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0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8"/>
                <w:szCs w:val="18"/>
                <w:color w:val="auto"/>
              </w:rPr>
              <w:t>44,752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rPr>
              <w:t>(65,106)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beginning and ending balances of our CIE and BIE primarily results from the timing of revenue recognized relative to the billings on the associated contract. The amount of revenue recognized during the nine months ended March 31, 2023 that was included in the June 30, 2022 BIE balance was $57.0 million. This revenue consists primarily of work performed during the period on contracts with customers that had advance billings.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billings in accounts receivable at March 31, 2023 and June 30, 2022 included retentions to be collected within one year of $18.9 million and $16.1 million, respectively. Contract retentions collectible beyond one year are included in other assets, non-current in the Condensed Consolidated Balance Sheets and totaled $7.8 million as of March 31, 2023 and $4.0 million as of June 30,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disaggregated by reportable segment is presented in Note 9 - Segment Information. The following tables presents revenue disaggregated by geographic area where the work was performed and by contract type: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Disaggregation: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3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7"/>
          </w:tcPr>
          <w:p>
            <w:pPr>
              <w:ind w:left="68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459,654</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Contract Type Disaggregation:</w:t>
            </w: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5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4"/>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7"/>
          </w:tcPr>
          <w:p>
            <w:pPr>
              <w:ind w:left="7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contracts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96,755</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303,508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and materials and other cost reimbursable contracts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90,140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203,553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186,895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Typically, we assume more risk with fixed-price contracts since increases in costs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2023, unfavorable changes in the estimated recovery of change orders and increased forecasted costs to complete certain midstream gas processing capital projects in the Process and Industrial Facilities segment resulted in the projects reducing gross profit by $3.3 million. Together with prior unfavorable changes in the estimated recovery of change orders and increased costs, the projects reduced gross profit by $12.7 million during the nine months ended March 31, 2023. These charges were primarily the result of the client not approving adequate compensation to us for the impact that excessive scope changes had on our ability to progress work on the project according to forecast and for the impact that global supply chain issues and inflation had on the projects. We have accrued the full expected loss for these projects, which we expect to be mechanically complete in July 2023.</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March 31, 2022, our results of operations were materially impacted by an increase in the forecasted costs to complete a midstream gas processing project in the Process and Industrial Facilities segment, which resulted in a decrease in gross profit of $4.8 million. The increase in forecasted costs was primarily due to performance of a now-terminated subcontractor, which required rework in order to meet our client's expectations.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2022, our results of operations were materially impacted by changes in the forecasted costs to complete a large capital project in the Utility and Power Infrastructure segment. Improved project execution resulted in an increase in gross profit of $0.8 million during the three months ended March 31, 2022. However, increases in the forecasted costs to complete the project during the first half of fiscal 2022 resulted in the project reducing gross profit by $5.1 million during the nine months ended March 31, 2022. The increase in forecasted costs during the first half of the fiscal year was principally due to unexpected equipment repairs during commissioning that delayed the scheduled completion and increased the estimated costs to complete. The project was completed in fiscal 2022.</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our results of operations were materially impacted by an increase in the costs required to complete a thermal energy storage tank repair and maintenance project in the Storage and Terminal Solutions segment, which resulted in a decrease in gross profit of $5.5 million in the first half of fiscal 2022. The increase in costs was primarily due to changes in repair scope, expanded client weld testing and associated schedule delays. We completed these repairs in the first quarter of fiscal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property, plant and equipment - net at March 31, 2023 and June 30, 2022:</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r>
      <w:tr>
        <w:trPr>
          <w:trHeight w:val="242"/>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 at cost:</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 and buildings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34,788</w:t>
            </w: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equipment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93,036</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w:t>
            </w: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43,823</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plant and equipment - at cost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222,292</w:t>
            </w: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(168,423)</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53,869</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value of goodwill by segment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and Industrial</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Storage and Terminal</w:t>
            </w: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Translation adjustment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 at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322" w:lineRule="exact"/>
        <w:rPr>
          <w:sz w:val="20"/>
          <w:szCs w:val="20"/>
          <w:color w:val="auto"/>
        </w:rPr>
      </w:pPr>
    </w:p>
    <w:p>
      <w:pPr>
        <w:ind w:left="580" w:hanging="329"/>
        <w:spacing w:after="0" w:line="302" w:lineRule="auto"/>
        <w:tabs>
          <w:tab w:leader="none" w:pos="57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our annual goodwill impairment test as of May 31, 2022, which resulted in no impairment. The fiscal 2022 test indicated that four reporting units with a combined total of $33.8 million of goodwill as of June 30, 2022 were at higher risk of future impairment. Operating results during the second quarter of fiscal 2023 of one of our reporting units at higher risk of impairment indicated that it was more likely than not that its goodwill was impaired. This reporting unit is in the Process and Industrial Facilities segment and includes the midstream gas processing projects referenced in Note 2 - Revenue, Revisions in Estimates, which experienced a material adverse change in gross profit during the second quarter of fiscal 2023. Based on the indicated outcome of this project and our near-term outlook for the reporting unit, we performed an interim impairment test for the unit and concluded that its $12.3 million of goodwill was fully impaired. The impairment was recognized in operating loss during the second quarter of fiscal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totality of both positive and negative factors, no impairment indicators related to the other reporting units existed at March 31, 2023. However, if our view of project opportunities or gross margins deteriorates, particularly for the remaining higher risk reporting units, then we may need to perform an interim goodwill impairment test, which could result in an impairment.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31, 2022, we concluded that goodwill impairment indicators existed based on the decline in the price of our stock and operating results that had underperformed during the year. As such, we performed an interim impairment test and concluded $18.3 million of goodwill was impaired.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the carrying value of other intangible assets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 to 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Customer-based</w:t>
            </w:r>
            <w:r>
              <w:rPr>
                <w:rFonts w:ascii="Times New Roman" w:cs="Times New Roman" w:eastAsia="Times New Roman" w:hAnsi="Times New Roman"/>
                <w:sz w:val="23"/>
                <w:szCs w:val="23"/>
                <w:color w:val="auto"/>
                <w:vertAlign w:val="superscript"/>
              </w:rPr>
              <w:t>(1)</w:t>
            </w:r>
          </w:p>
        </w:tc>
        <w:tc>
          <w:tcPr>
            <w:tcW w:w="15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96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22" w:lineRule="exact"/>
        <w:rPr>
          <w:sz w:val="20"/>
          <w:szCs w:val="20"/>
          <w:color w:val="auto"/>
        </w:rPr>
      </w:pPr>
    </w:p>
    <w:p>
      <w:pPr>
        <w:ind w:left="560" w:hanging="309"/>
        <w:spacing w:after="0"/>
        <w:tabs>
          <w:tab w:leader="none" w:pos="5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Customer-based intangible assets have been adjusted in fiscal 2023 to remove $4.2 million of customer relationships that have been fully amortized.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June 30, 2022</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1220" w:type="dxa"/>
            <w:vAlign w:val="bottom"/>
          </w:tcPr>
          <w:p>
            <w:pPr>
              <w:jc w:val="right"/>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 to 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Customer-based</w:t>
            </w:r>
          </w:p>
        </w:tc>
        <w:tc>
          <w:tcPr>
            <w:tcW w:w="15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6 to 15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$0.4 million and $1.3 million during the three and nine months ended March 31, 2023 and $0.4 million and $1.4 million during the three and nine months ended March 31, 2022,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remaining amortization expense related to March 31, 2023 amortizing intangible assets will be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4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49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4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4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remaining amortization expense at March 31, 2023</w:t>
            </w:r>
          </w:p>
        </w:tc>
        <w:tc>
          <w:tcPr>
            <w:tcW w:w="4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March 31, 2023, our borrowing base was $78.5 million, we had $15.0 million of outstanding borrowings, and we had $19.3 million in letters of credit outstanding, which resulted in availability of $44.2 million under the ABL Facility.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March 31, 2023, including applicable margin, was approximately 7.17%.</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March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Tax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were 2.8% and 0.7% for the three and nine months ended March 31, 2023, compared to 0.4% and (7.8%) during the three and nine months ended March 31, 2022, respectively. The effective tax rates during fiscal 2023 were impacted by valuation allowances of $3.6 million and $13.3 million placed on deferred tax assets during the three and nine months ended March 31, 2023,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placed a valuation allowance on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Carryback Refund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provisions in the Coronavirus Aid, Relief, and Economic Security (CARES) Act (the "CARES Act"), we had an income tax benefit from the ability to carryback the fiscal 2021 federal net operating loss to a period with a higher statutory federal income tax rate. During the third quarter of fiscal 2023, we received a $13.3 million tax refund in connection with this carryback, which was included in income taxes receivable in the Condensed Consolidated Balance Sheet as of June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Payroll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fiscal 2023, we repaid the remaining $5.6 million of U.S. payroll taxes we deferred through provisions of the CARES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deferred payroll taxes was included within accrued wages and benefits in the Condensed Consolidated Balance Sheet as of June 30,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Reserves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coverage for various aspects of our operations. However, we retain exposure to potential losses through the use of deductibles, self-insured retentions and coverage limits.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Unpriced Change Orders and 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$14.7 million at March 31, 2023 and $8.9 million at June 30, 2022. The amounts ultimately realized may be significantly different than the recorded amounts resulting in a material adjustment to future earnings. The determination of our legal basis for a claim requires significant judgment.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2020, we commenced litigation in an effort to collect accounts receivable from an iron and steel customer following the deterioration of the relationship in the second quarter of fiscal 2020. The unpaid account receivable balance at March 31, 2023 was $17.0 million. Litigation is unpredictable; however, based on the terms of the contract with this customer, we believe we are entitled to collect the full amount owed under the contract.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participants in various legal actions. It is the opinion of management that none of the other known legal actions will have a material impact on our financial position, results of operations or liquidity.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Common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(“Basic EPS”) is calculated based on the weighted average shares outstanding during the period. Diluted earnings per share (“Diluted EPS”) includes the dilutive effect of stock options and nonvested deferred shares. In the event we report a loss, stock options and nonvested deferred shares are not included since they are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is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28"/>
        </w:trPr>
        <w:tc>
          <w:tcPr>
            <w:tcW w:w="55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6"/>
        </w:trPr>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1"/>
        </w:trPr>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(In thousands, except per share data)</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EPS: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(12,686)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(34,899)</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(77,356)</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26,969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(2.90)</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securities are considered antidilutive and have been excluded from the calculation of Diluted EPS:</w:t>
      </w: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420" w:type="dxa"/>
            <w:vAlign w:val="bottom"/>
            <w:gridSpan w:val="2"/>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2"/>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5580" w:type="dxa"/>
            <w:vAlign w:val="bottom"/>
          </w:tcPr>
          <w:p>
            <w:pPr>
              <w:spacing w:after="0"/>
              <w:rPr>
                <w:sz w:val="11"/>
                <w:szCs w:val="11"/>
                <w:color w:val="auto"/>
              </w:rPr>
            </w:pPr>
          </w:p>
        </w:tc>
        <w:tc>
          <w:tcPr>
            <w:tcW w:w="960" w:type="dxa"/>
            <w:vAlign w:val="bottom"/>
          </w:tcPr>
          <w:p>
            <w:pPr>
              <w:jc w:val="center"/>
              <w:ind w:left="268"/>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tcPr>
          <w:p>
            <w:pPr>
              <w:jc w:val="center"/>
              <w:ind w:left="68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jc w:val="center"/>
              <w:ind w:right="42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65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9"/>
        </w:trPr>
        <w:tc>
          <w:tcPr>
            <w:tcW w:w="55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w w:val="98"/>
              </w:rPr>
              <w:t>(In thousands)</w:t>
            </w:r>
          </w:p>
        </w:tc>
        <w:tc>
          <w:tcPr>
            <w:tcW w:w="1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38"/>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deferred shares</w:t>
            </w:r>
          </w:p>
        </w:tc>
        <w:tc>
          <w:tcPr>
            <w:tcW w:w="1460" w:type="dxa"/>
            <w:vAlign w:val="bottom"/>
            <w:shd w:val="clear" w:color="auto" w:fill="CCEEFF"/>
          </w:tcPr>
          <w:p>
            <w:pPr>
              <w:jc w:val="right"/>
              <w:ind w:right="1102"/>
              <w:spacing w:after="0"/>
              <w:rPr>
                <w:sz w:val="20"/>
                <w:szCs w:val="20"/>
                <w:color w:val="auto"/>
              </w:rPr>
            </w:pPr>
            <w:r>
              <w:rPr>
                <w:rFonts w:ascii="Times New Roman" w:cs="Times New Roman" w:eastAsia="Times New Roman" w:hAnsi="Times New Roman"/>
                <w:sz w:val="18"/>
                <w:szCs w:val="18"/>
                <w:color w:val="auto"/>
                <w:w w:val="96"/>
              </w:rPr>
              <w:t>133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through three reportable segments: Utility and Power Infrastructure, Process and Industrial Facilities, and Storage and Terminal Solutions.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consists of power delivery services provided to investor-owned utilities, including construction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serves customers in the downstream and midstream petroleum industries who are engaged in refining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consists of work related to aboveground crude oil and refined product storage tanks and terminals.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performance and allocate resources based on operating income. We eliminate intersegment sales; therefore, no intercompany profit or loss is recognized. Corporate selling, general and administrative expenses are excluded from our three reportable segments in order to align controllable costs with the responsibility of segment management, and to be consistent with how our chief operating decision-maker assesses segment performance and allocates resources. In fiscal year 2022, we commenced a project to centralize and standardize certain support functions including accounting, human resources and project support. These centralized support functions are now included in corporate selling, general and administrative expense, but were previously included in our operating segment selling, general and administrative expense. Segment assets consist primarily of accounts receivable, costs and estimated earnings in excess of billings on uncompleted contracts, property, plant and equipment, right-of-use lease assets, goodwill and other intangible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251"/>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revenue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revenue</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Less: Inter-segment revenue</w:t>
            </w: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inter-segment revenue</w:t>
            </w:r>
          </w:p>
        </w:tc>
        <w:tc>
          <w:tcPr>
            <w:tcW w:w="8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revenue</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 (loss)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impairment and restructuring costs</w:t>
            </w: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goodwill impairment and restructuring costs</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7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loss</w:t>
            </w: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segment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and Power Infrastructure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94,059</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 and Industrial Facilities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104,078</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and Terminal Solutions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141,084</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101,572</w:t>
            </w:r>
          </w:p>
        </w:tc>
      </w:tr>
      <w:tr>
        <w:trPr>
          <w:trHeight w:val="248"/>
        </w:trPr>
        <w:tc>
          <w:tcPr>
            <w:tcW w:w="8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Restructuring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fiscal 2020, we initiated a business improvement plan to increase profitability and reduce our cost structure in order to help us become more competitive and deliver higher quality service. As a result of specific events, including the effects of the COVID-19 pandemic and related market disruptions, the Company expanded its business improvement plan.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improvement plan consists of an initial phase of discretionary cost reductions, workforce reductions, reduction of capital expenditures and the reduction in size or closure of certain offices in order to increase the utilization of our staff and bring the cost structure of the business in line with revenue volumes. In fiscal 2022, we commenced a second phase of our plan to focus on centralization of support functions, including business development, accounting, human resources, procurement and project services into shared service centers. During the second quarter of fiscal 2023, we closed an underperforming office and ceased its associated operations, which resulted in $0.7 million of restructuring costs. We expect to complete these restructuring efforts in fiscal 2023 or early fiscal 2024. The restructuring costs consist primarily of severance costs, facility closure costs, consulting fees and other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costs under our business improvement plan are classified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6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122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Since Inception of</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2"/>
                <w:szCs w:val="12"/>
                <w:color w:val="auto"/>
              </w:rPr>
            </w:pPr>
          </w:p>
        </w:tc>
        <w:tc>
          <w:tcPr>
            <w:tcW w:w="122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Improvement Plan</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 by Type:</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other personnel-related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3"/>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right="3820"/>
        <w:spacing w:after="0" w:line="44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others, such things as:</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project awards, revenue and margins from each of our segments;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from operations, access our credit facility, or raise cash in order to meet our short and long-term capital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credit agreement;</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economic, market or business conditions in general and in the oil, natural gas, power, petrochemical, agricultural and mining industries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expenses and our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impact of new or existing regulations or market forces on the demand for our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from disruptions to supply chains, inflation and availability of materials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likelihood of a future impairment;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other trends of the industries we serve.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207" w:lineRule="exact"/>
        <w:rPr>
          <w:sz w:val="20"/>
          <w:szCs w:val="20"/>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risk factors discussed in this Form 10-Q, Form 10-K for the fiscal year ended June 30, 2022, and in our other filings with the Securities and Exchange Commission;</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or business conditions in general and in the oil, natural gas, power, petrochemical, agricultural and mining industries in particular;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to renewable energy sources and its impact on our current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 or over-utilization of our work force;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or progression of major projects, whether due to permitting issues or other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creditworthiness of our customer base and the higher risk of non-payment of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inherently uncertain outcome of current and future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reserves for claims and contingencies;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the imposition, cancellation or delay of tariffs on imported goods.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report our results of operations through three reportable segments: Utility and Power Infrastructure, Process and Industrial Facilities, and Storage and Terminal Solutions.</w:t>
      </w:r>
    </w:p>
    <w:p>
      <w:pPr>
        <w:spacing w:after="0" w:line="104" w:lineRule="exact"/>
        <w:rPr>
          <w:sz w:val="20"/>
          <w:szCs w:val="20"/>
          <w:color w:val="auto"/>
        </w:rPr>
      </w:pPr>
    </w:p>
    <w:p>
      <w:pPr>
        <w:jc w:val="both"/>
        <w:ind w:left="660" w:hanging="328"/>
        <w:spacing w:after="0" w:line="25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Utility and Power Infrastructure</w:t>
      </w:r>
      <w:r>
        <w:rPr>
          <w:rFonts w:ascii="Times New Roman" w:cs="Times New Roman" w:eastAsia="Times New Roman" w:hAnsi="Times New Roman"/>
          <w:sz w:val="18"/>
          <w:szCs w:val="18"/>
          <w:color w:val="auto"/>
        </w:rPr>
        <w:t>: consists of power delivery services provided to investor-owned utilities, including construction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substations, upgrades of existing substations, transmission and distribution line installations, upgrades and maintenance, as well as emergency and storm restoration services. We also provide engineering, fabrication, and construction services for LNG utility peak shaving facilities, and provide construction and maintenance services to a variety of power generation facilities, including natural gas fired facilities in simple or combined cycle configuration.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Process and Industrial Facilities</w:t>
      </w:r>
      <w:r>
        <w:rPr>
          <w:rFonts w:ascii="Times New Roman" w:cs="Times New Roman" w:eastAsia="Times New Roman" w:hAnsi="Times New Roman"/>
          <w:sz w:val="18"/>
          <w:szCs w:val="18"/>
          <w:color w:val="auto"/>
        </w:rPr>
        <w:t>: primarily serves customers in the downstream and midstream petroleum industries who are engaged in refining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crude oil and processing, fractionating, and marketing of natural gas and natural gas liquids. We also serve customers in various other industries such as petrochemical, sulfur, mining and minerals companies engaged primarily in the extraction of non-ferrous metals, aerospace and defense, cement, agriculture, and other industrial customers. Our services include plant maintenance, turnarounds, industrial cleaning services, engineering, fabrication, and capital construction.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Storage and Terminal Solutions</w:t>
      </w:r>
      <w:r>
        <w:rPr>
          <w:rFonts w:ascii="Times New Roman" w:cs="Times New Roman" w:eastAsia="Times New Roman" w:hAnsi="Times New Roman"/>
          <w:sz w:val="18"/>
          <w:szCs w:val="18"/>
          <w:color w:val="auto"/>
        </w:rPr>
        <w:t>: consists of work related to aboveground crude oil and refined product storage tanks and terminals. We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work related to cryogenic and other specialty storage tanks and terminals, including LNG, liquid nitrogen/liquid oxygen, liquid petroleum, hydrogen and other specialty vessels such as spheres in this segment, as well as work related to marine structures and truck and rail loading/offloading facilities. Our services include engineering, fabrication, construction, and maintenance and repair, which includes planned and emergency services for both tanks and full terminals. Finally, we offer tank products, including geodesic domes, aluminum internal floating roofs, floating suction and skimmer systems, roof drain systems and floating roof seals.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Update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received $308.7 million of project awards during the third quarter of fiscal 2023, which resulted in a book-to-bill ratio of 1.7 for the quarter. These awards are a continuation of the growth trend that began last fiscal year and the third quarter of fiscal 2023 marks the seventh consecutive quarter with a book-to-bill ratio at or above 1.0. We have now received $862.0 million of project awards so far during fiscal 2023 and expect that amount to be over $1.0 billion at the conclusion of the fiscal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of $186.9 million during the third quarter of fiscal 2023 was lower than revenue of $193.8 million during the second quarter of fiscal 2023 as certain projects awarded in prior periods continue to work off while the contribution to revenue of newly awarded projects is still limited as they progress through engineering and planning stages.</w:t>
      </w:r>
    </w:p>
    <w:p>
      <w:pPr>
        <w:spacing w:after="0" w:line="1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Gross margin was 2.4% in the third quarter of fiscal 2023 compared to a negative gross margin of (0.7%) in the second quarter of fiscal 2023. The primary driver of our low gross margin during the third quarter of fiscal 2023 was low revenue volumes, which led to under-recovery of construction overhead</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 addition, our results were impacted by increased forecasted costs to complete and close out certain midstream gas processing work, which was partly offset by the net positive impact of strong performance of other projects.</w:t>
      </w:r>
    </w:p>
    <w:p>
      <w:pPr>
        <w:spacing w:after="0" w:line="104" w:lineRule="exact"/>
        <w:rPr>
          <w:sz w:val="20"/>
          <w:szCs w:val="20"/>
          <w:color w:val="auto"/>
        </w:rPr>
      </w:pPr>
    </w:p>
    <w:p>
      <w:pPr>
        <w:ind w:right="41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Three Months Ended March 31, 2023 Compared to the Three Months Ended March 31, 2022 </w:t>
      </w:r>
      <w:r>
        <w:rPr>
          <w:rFonts w:ascii="Times New Roman" w:cs="Times New Roman" w:eastAsia="Times New Roman" w:hAnsi="Times New Roman"/>
          <w:sz w:val="18"/>
          <w:szCs w:val="18"/>
          <w:b w:val="1"/>
          <w:bCs w:val="1"/>
          <w:i w:val="1"/>
          <w:iCs w:val="1"/>
          <w:color w:val="auto"/>
        </w:rPr>
        <w:t>Consolidated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revenue was $186.9 million for the three months ended March 31, 2023, compared to $177.0 million in the same period last year. On a segment basis, revenue increased in the Process and Industrial Facilities and Storage and Terminal Solutions segments by $30.7 million and $3.5 million, respectively. The increases were partially offset by a decrease in revenue of $24.3 million in the Utility and Power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gross profit increased to $4.4 million in the three months ended March 31, 2023 compared to a gross loss of $1.8 million in the same period last year. Gross margin increased to 2.4% in the three months ended March 31, 2023 compared to a negative gross margin of (1.0%) in the same period last year. Gross margins in the third quarter of fiscal 2023 were negatively impacted by the under recovery of construction overhead costs, continued work on previously-booked projects with reduced gross margins awarded in a highly competitive time period, unfavorable changes in the estimated recovery of change orders and increased forecasted costs to complete certain midstream gas processing projects, and other increases in forecasted costs to complete a limited number of projects. Gross margins in the third quarter of fiscal 2022 were negatively impacted by low revenue volume, which led to the under recovery of construction overhead costs and an increase in forecasted costs on a midstream gas processing project in the Process and Industrial Facilities segment.</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Selling, General and Administrative ("SG&amp;A") expenses were $16.9 million in the three months ended March 31, 2023 compared to $17.0 million in the same period last year.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2022, we recorded a goodwill impairment of $18.3 million. See Item 1. Financial Statements, Note 4 - Goodwill and Other Intangible Assets, Goodwill, for more information about the impairment.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restructuring costs of $0.3 million in the three months ended March 31, 2023 compared to a credit of $1.6 million to restructuring costs in the same period last year. The credit was due to a favorable settlement of a restructuring obligation related to our exit from the domestic iron and steel industry in fiscal 2020. See Item 1. Financial Statements, Note 10 - Restructuring Costs, for more information about our business improvement plan.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$0.3 million in the three months ended March 31, 2023 compared to $0.2 million in the three months ended March 31, 2022. Interest expense in the three months ended March 31, 2023 consisted primarily of interest on debt outstanding, unused capacity fees, amortization of deferred debt issuance costs, letter of credit fees and other interest.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rates for the three months ended March 31, 2023 and March 31, 2022 were 2.8% and 0.4%, respectively. The effective tax rates for both periods were impacted by valuation allowances of $3.6 million and $7.7 million, respectively, placed on deferred tax assets. We placed a valuation allowance on all of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we had a net loss of $12.7 million, or $0.47 per fully diluted share, compared to a net loss of $34.9 million, or $1.30 per fully diluted share, in the three months ended March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for the Utility and Power Infrastructure segment was $35.0 million in the three months ended March 31, 2023 compared to $59.3 million in the same period last year. The decrease is due to lower volumes of LNG peak shaving work.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 gross margin was 8.0% in the third quarter of fiscal 2023 compared to a negative gross margin of (0.8%) in the same period last year. This margin was driven by good execution on of a mix of work that that was primarily comprised of lower margin cost reimbursable power delivery work.</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negative segment gross margin for the third quarter of fiscal 2022 was negatively impacted by low revenue volume, which led to the under recovery of construction overhead costs, an increase in forecasted cost on a capital project, and lower margins on capital work bid competitively.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Process and Industrial Facilities segment was $99.7 million in the three months ended March 31, 2023 compared to $69.0 million in the same period last year. The increase was primarily due to higher volumes of refinery maintenance and turnaround activity, work on a capital project at a small-scale boron facility, work on a capital project at a biodiesel facility, and midstream gas processing capital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segment gross margin was 3.2% for the three months ended March 31, 2023 compared to a negative gross margin of (0.6%) in the same period last year. The segment gross margin in the third quarter of fiscal 2023 was negatively impacted by unfavorable changes in the estimated recovery of change orders and increased forecasted costs to complete certain midstream gas processing capital projects, which resulted in the projects reducing gross profit by $3.3 million for the quarter. These charges were primarily the result of the client not approving adequate compensation to us for the impact that excessive scope changes had on our ability to progress work on the projects according to forecast and for the impact that global supply chain issues and inflation had on the projects. We have accrued the full expected loss for the projects, which we expect to be mechanically complete in July 2023. Finally, segment gross margin was also negatively impacted by the under recovery of construction overhead costs. Outside of work on midstream gas processing projects, project execution was strong for the remainder of the segment.</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segment gross margin in the third quarter of fiscal 2022 was negatively impacted by an increase in forecasted costs to complete a midstream gas processing project, which resulted in a $4.8 million reduction to gross profit. The increase in forecasted costs was primarily due to performance of a now-terminated subcontractor, which required rework in order to meet our client's expectations. In addition, the mix of work, which was impacted by increased reimbursable maintenance activity, also contributed to lower margins. The segment gross margin was also negatively impacted by the under recovery of construction overhead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Storage and Terminal Solutions segment was $52.2 million in the three months ended March 31, 2023 compared to $48.7 million in the same period last year. Project awards, which have been strong with a year-to-date book-to-bill of 1.6, will begin to substantially impact revenue in the fourth quarter.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had a negative gross margin of (1.6%) for the three months ended March 31, 2023 compared to a negative gross margin of (0.9)% in the same period last year. The primary driver of the negative fiscal 2023 segment gross margin was the under recovery of construction overhead costs due to low revenue volumes. Revenue volumes during the quarter were low as the strong storage project awards received in the first nine months of fiscal 2023 are not expected to positively impact revenue until the fourth quarter of fiscal 2023.</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segment gross margin for the three months ended March 31, 2022 was negatively impacted by low revenue volume, which led to the under recovery of construction overhead costs, and smaller competitively priced capital projects.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expenses were $6.6 million during the three months ended March 31, 2023 compared to $7.2 million in the same period last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March 31, 2023 Compared to the Nine Months Ended March 31,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Consolidated revenue was $589.2 million for the nine months ended March 31, 2023, compared to $507.1 million in the same period last year. On a segment basis, revenue increased in the Process and Industrial Facilities and Storage and Terminal Solutions segments by $103.9 million and $19.0 million, respectively. The increases were partially offset by a decrease in revenue of $40.9 million in the Utility and Power Infrastructure segment.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gross profit increased to $16.1 million in the nine months ended March 31, 2023 compared to a gross loss of $2.1 million in the same period last year. Gross margin increased to 2.7% in the nine months ended March 31, 2023 compared to a negative gross margin of (0.4%) in the same period last year. Gross margins in the first nine months of fiscal 2023 were negatively impacted by unfavorable changes in the estimated recovery of change orders and increased forecasted costs to complete certain midstream gas processing projects, the under recovery of construction overhead costs, continued work on previously-booked projects with reduced gross margins awarded in a highly competitive time period, and other increases in forecasted costs to complete a limited number of projects. Gross margins in the nine months ended March 31, 2022 were negatively impacted by low revenue volume, which led to the under recovery of construction overhead costs. In addition, the competitive environment and project adjustments negatively impacted gross margins.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SG&amp;A expenses were $51.2 million in the nine months ended March 31, 2023 compared to $49.6 million in the same period last year. The increase was primarily attributable to higher project pursuit costs and other costs to support higher revenue volumes.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goodwill impairment of $12.3 million in the second quarter of fiscal 2023. During the third quarter of fiscal 2022, we recorded a goodwill impairment of $18.3 million. See Item 1. Financial Statements, Note 4 - Goodwill and Other Intangible Assets, Goodwill, for more information about the impairments.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restructuring costs of $2.9 million in the nine months ended March 31, 2023 compared to ($0.3) million in the same period last year. See Item 1. Financial Statements, Note 10 - Restructuring Costs, for more information about our business improvement plan.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was $1.6 million in the nine months ended March 31, 2023 compared to $2.7 million in the nine months ended March 31, 2022. Interest expense in fiscal 2023 consisted primarily of interest on debt outstanding, unused capacity fees, amortization of deferred debt issuance costs, letter of credit fees and other interest. Interest expense in fiscal 2022 included $1.5 million of accelerated amortization of deferred debt amendment fees associated with terminating our prior credit facility along with a similar level of other interest costs.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rates for the nine months ended March 31, 2023 and March 31, 2022 were 0.7% and (7.8%), respectively. The effective tax rates for both periods were impacted by valuation allowances of $13.3 million and $21.9 million, respectively, placed on deferred tax assets. We placed a valuation allowance on all of our deferred tax assets in the second quarter of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or cumulative losses are no longer present and our future projections for growth or tax planning strategies are demonstrated.</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2023, we had a net loss of $52.0 million or $1.93 per fully diluted share, compared to a net loss of $77.4 million, or $2.90 per fully diluted share, in the nine months ended March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and Power Infrastructure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Utility and Power Infrastructure segment was $130.4 million in the nine months ended March 31, 2023 compared to $171.3 million in the same period last year. The decrease is primarily due to lower volumes of LNG peak shaving and partially offset by higher volumes of power delivery work.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gross margin was 5.3% for the nine months ended March 31, 2023 compared to a negative gross margin of (4.1%) in the same period last year. The segment gross margin for the first nine months of fiscal 2023 was negatively impacted by continued work on projects with previously reduced gross margins, projects that were bid competitively, and the under recovery of construction overhead costs due to lower revenue volumes. These negative impacts were partially offset by strong execution of cost reimbursable power delivery work.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gross margin for the nine months ended March 31, 2022 was negatively impacted by low revenue volume, which led to the under recovery of construction overhead costs. In addition, the fiscal 2022 segment gross margin was materially impacted by changes in the forecasted costs to complete a large capital project, which resulted in the project reducing gross profit by $5.1 million during the nine months ended March 31, 2022. Segment gross margin was also negatively impacted by an unfavorable settlement of a claim with a customer.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Process and Industrial Facilities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Process and Industrial Facilities segment was $267.1 million in the nine months ended March 31, 2023 compared to $163.2 million in the same period last year. The increase was primarily due to higher volumes of refinery maintenance and turnaround activity, midstream gas processing capital work, work on a capital project at a biodiesel facility, and work on a capital project at a small-scale boron facility.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segment gross margin was 0.9% for the nine months ended March 31, 2023 compared to 4.1% in the same period last year. The segment gross margin in the first nine months of fiscal 2023 was negatively impacted by unfavorable changes in the estimated recovery of change orders and increased forecasted costs to complete certain midstream gas processing capital projects, which resulted in the projects reducing gross profit by $12.7 million for the period. These charges were primarily the result of the client not approving adequate compensation to us for the impact that excessive scope changes had on our ability to progress work on the projects according to forecast and for the impact that global supply chain issues and inflation had on the projects. We have accrued the full expected loss for the projects, which we expect to be mechanically complete in July 2023. Finally, segment gross margin was also negatively impacted by the under recovery construction overhead costs. Outside of work on midstream gas processing projects, project execution was strong for the remainder of the segment.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generally strong project execution, the segment gross margin in the nine months ended March 31, 2022 was negatively impacted by under recovered construction overhead costs and a $4.8 million increase in forecasted costs to complete a midstream gas processing project. The increase in forecasted costs was primarily due to performance of a now-terminated subcontractor, which required rework in order to meet our client's expectations.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Storage and Terminal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Storage and Terminal Solutions segment was $191.6 million in the nine months ended March 31, 2023 compared to $172.6 million in the same period last year. The increase in segment revenue is primarily a result of higher volumes of specialty vessel and tank and terminal capital projects along with higher volumes of tank repair and maintenance work.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segment gross margin was 4.4% for the nine months ended March 31, 2023 compared to a negative gross margin of (0.1%) in the same period last year. The fiscal 2023 segment gross margin was negatively impacted by the under recovery of construction overhead costs due to low revenue volumes. Project awards, which have been strong with a year-to-date book-to-bill of 1.6, will begin to substantially impact revenue in the fourth quarter.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gross margin for the nine months ended March 31, 2022 was negatively impacted by low revenue volume, which led to under recovery of construction overhead costs and a lower than previously forecasted margin on a thermal energy storage tank repair and maintenance project due to changes in repair scope, expanded client weld testing and associated schedule delays, which reduced segment gross profit by $5.5 million. In addition, segment gross margin was negatively impacted by smaller competitively priced capital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expenses were $21.8 million during the nine months ended March 31, 2023 compared to $21.5 million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more clearly depict our core profitability, the following tables present our operating results after certain adjustments: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Net Loss</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5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0"/>
        </w:trPr>
        <w:tc>
          <w:tcPr>
            <w:tcW w:w="58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2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30"/>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29"/>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58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Accelerated amortization of deferred debt amendment fees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176"/>
        </w:trPr>
        <w:tc>
          <w:tcPr>
            <w:tcW w:w="5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Tax impact of goodwill impairment, restructuring costs and accelerated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8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amortization of debt amendment fees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29"/>
        </w:trPr>
        <w:tc>
          <w:tcPr>
            <w:tcW w:w="58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Deferred tax asset valuation allowance</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as reported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loss per share</w:t>
            </w: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796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27" w:lineRule="exact"/>
        <w:rPr>
          <w:sz w:val="20"/>
          <w:szCs w:val="20"/>
          <w:color w:val="auto"/>
        </w:rPr>
      </w:pPr>
    </w:p>
    <w:p>
      <w:pPr>
        <w:jc w:val="both"/>
        <w:ind w:left="580" w:hanging="329"/>
        <w:spacing w:after="0" w:line="262" w:lineRule="auto"/>
        <w:tabs>
          <w:tab w:leader="none" w:pos="5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presents non-GAAP financial measures of our adjusted net loss and adjusted loss per share for the three and nine months ended March 31, 2023 and 2022. The most directly comparable financial measures are net loss and loss per share, respectively, presented in the Condensed Consolidated Statements of Income. We have presented these non-GAAP financial measures because we believe they more clearly depict our core operating results during the periods presented and provide a more comparable measure of our operating results to other companies considered to be in similar businesses. Since adjusted net loss and adjusted loss per share are not measures of performance calculated in accordance with GAAP, they should be considered in addition to, rather than as a substitute for, the most directly comparable GAAP financial measures.</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in fiscal 2022 included $1.5 million of accelerated amortization of deferred debt amendment fees.</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an estimated blended tax rate of approximately 26%, adjusted for the impact of nondeductible goodwill that was impaired.</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1. Financial Statements, Note 6 - Income Taxes, for more information about the deferred tax asset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presented Adjusted EBITDA, which we define as net loss before goodwill impairment, restructuring costs, stock-based compensation, interest expense, income taxes, and depreciation and amortization, because it is used by the financial community as a method of measuring our performance and of evaluating the market value of companies considered to be in similar businesses. We believe that the line item on our Condensed Consolidated Statements of Income entitled “Net loss” is the most directly comparable GAAP measure to Adjusted EBITDA. Since Adjusted EBITDA is not a measure of performance calculated in accordance with GAAP, it should not be considered in isolation of, or as a substitute for, net earnings as an indicator of operating performance. Adjusted EBITDA, as we calculate it, may not be comparable to similarly titled measures employed by other companies. In addition, this measure is not a measure of our ability to fund our cash needs. As Adjusted EBITDA excludes certain financial information compared with net loss, the most directly comparable GAAP financial measure, users of this financial information should consider the type of events and transactions that are excluded. Our non-GAAP performance measure, Adjusted EBITDA, has certain material limitations as follows:</w:t>
      </w:r>
    </w:p>
    <w:p>
      <w:pPr>
        <w:spacing w:after="0" w:line="134" w:lineRule="exact"/>
        <w:rPr>
          <w:sz w:val="20"/>
          <w:szCs w:val="20"/>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impairment to goodwill. While impairment to goodwill is a non-cash expense in the period recognized, cash or other consideration was still transferred in exchange for goodwill in the period of the acquisition. Any measure that excludes impairment to goodwill has material limitations since this expense represents the loss of an asset that was acquired in exchange for cash or other assets.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restructuring costs. Restructuring costs represent material costs that were incurred and are oftentimes cash expenses. Therefore, any measure that excludes restructuring costs has material limitations.</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stock-based compensation. Stock-based compensation represents material amounts of equity that are awarded to our employees and directors for services rendered. While the expense is non-cash, we release vested shares out of our treasury stock, which has historically been replenished by using cash to periodically repurchase our stock. Therefore, any measure that excludes stock-based compensation has material limitations.</w:t>
      </w:r>
    </w:p>
    <w:p>
      <w:pPr>
        <w:spacing w:after="0" w:line="1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income taxes. Because the payment of income taxes is a necessary and ongoing part of our operations, any measure that excludes income taxes has material limitations.</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net loss follows: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236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6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6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6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(77,356)</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federal, state and foreign income taxes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(33,673)</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189"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awards;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customer commitments on cost plus arrangements; and</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time and material arrangements in which the estimated value is firm or can be estimated with a reasonable amount of certainty in both timing and amounts.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as high. For all other arrangements, we calculate backlog as the estimated contract amount less revenue recognized as of the reporting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three months ended March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303,159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740,469</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308,746</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832,357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102235</wp:posOffset>
            </wp:positionV>
            <wp:extent cx="7969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40" w:lineRule="exact"/>
        <w:rPr>
          <w:sz w:val="20"/>
          <w:szCs w:val="20"/>
          <w:color w:val="auto"/>
        </w:rPr>
      </w:pPr>
    </w:p>
    <w:p>
      <w:pPr>
        <w:ind w:left="560" w:hanging="309"/>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was reduced by $30.0 million to account for a reduction of work available to us in an existing facility upgrade and service program.</w:t>
      </w:r>
    </w:p>
    <w:p>
      <w:pPr>
        <w:spacing w:after="0" w:line="3"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 during the period.</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backlog for the nine months ended March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Utility and Power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Process and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 and</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Industrial Facilities</w:t>
            </w: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Terminal Solutions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589,460</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awards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862,026</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adjustment</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(589,166)</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Backlog as of March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832,357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Book-to-bill ratio</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59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7969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26" w:lineRule="exact"/>
        <w:rPr>
          <w:sz w:val="20"/>
          <w:szCs w:val="20"/>
          <w:color w:val="auto"/>
        </w:rPr>
      </w:pPr>
    </w:p>
    <w:p>
      <w:pPr>
        <w:ind w:left="560" w:hanging="309"/>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Backlog was reduced by $30.0 million to account for a reduction of work available to us in an existing facility upgrade and service program.</w:t>
      </w:r>
    </w:p>
    <w:p>
      <w:pPr>
        <w:spacing w:after="0" w:line="27"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by dividing project awards by revenue recognized during the period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$91.9 million or 12.4% in the third quarter of fiscal 2023 on project awards of $308.7 million and a book-to-bill ratio of 1.7.</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Utility and Power Infrastructure segment, backlog decreased by 6.4% as we booked $25.6 million of project awards during the third quarter of fiscal 2023. Project awards are primarily comprised of power delivery work and smaller capital projects. Our opportunity pipeline for LNG peak shaving projects continues to be promising, however those awards, while significant, can be less frequent. Project opportunities and bidding activity are strong for both the power delivery portion of the business and LNG peak shaving.</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Process and Industrial Facilities segment, backlog increased by 38.3% as we booked $217.5 million of project awards during the third quarter of fiscal 2023. Included in project awards is a significant capital project to upgrade a natural gas compressor station. Client spending related to refinery maintenance and turnaround operations has continued to be strong. We continue to see demand for thermal vacuum chambers in the coming quarters, as well as increasing opportunities in mining and minerals, chemicals, and renewables. In addition, we are continuing to pursue opportunities for midstream gas work, including some larger scale projects.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Storage and Terminal Solutions segment, backlog decreased by 3.2% as we booked $65.7 million of project awards during the third quarter of fiscal 2023. This segment includes significant opportunities for storage infrastructure projects related to natural gas, LNG, ammonia, hydrogen, NGLs and other forms of renewable energy. We believe LNG and hydrogen projects in particular will be key growth drivers for this segment. Bidding activity on LNG projects has been strong.</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These same factors also impact the timing of project starts and the associated revenue recognized.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Other Factors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can exhibit seasonal fluctuations, especially in our Process and Industrial Facilities segment, for a variety of reasons. Turnarounds and planned outages at customer facilities are typically scheduled in the spring and the fall when the demand for energy is lower. Within the Utility and Power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both positively and negatively, by seasonal factors such as energy demand or weather conditions including hurricanes, snowstorms, wildfires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results in fluctuations in our operating results.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overhead cost structure is generally fixed. Significant fluctuations in revenue usually leads to over or under recovery of fixed overhead costs, which can have a material impact on our gross margin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liquidity as the ongoing ability to pay our liabilities as they become due, fund business operations and meet all monetary contractual obligations. Our primary sources of liquidity at March 31, 2023 were unrestricted cash and cash equivalents on hand, capacity under our ABL Facility, and cash generated from operations. Unrestricted cash and cash equivalents at March 31, 2023 totaled $48.2 million and availability under the ABL Facility totaled $44.2 million, resulting in total liquidity of $92.4 million.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trend of cash, cash equivalents and restricted cash in the Condensed Consolidated Balance Sheets during fiscal 2023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5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52,371</w:t>
            </w:r>
          </w:p>
        </w:tc>
        <w:tc>
          <w:tcPr>
            <w:tcW w:w="40" w:type="dxa"/>
            <w:vAlign w:val="bottom"/>
            <w:shd w:val="clear" w:color="auto" w:fill="CCEEFF"/>
          </w:tcPr>
          <w:p>
            <w:pPr>
              <w:spacing w:after="0"/>
              <w:rPr>
                <w:sz w:val="19"/>
                <w:szCs w:val="19"/>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Borders>
              <w:bottom w:val="single" w:sz="8" w:color="auto"/>
            </w:tcBorders>
          </w:tcPr>
          <w:p>
            <w:pPr>
              <w:spacing w:after="0"/>
              <w:rPr>
                <w:sz w:val="19"/>
                <w:szCs w:val="19"/>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77,371</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three months ended March 31, 2023 (in thousands):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December 31, 2022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80,469</w:t>
            </w:r>
          </w:p>
        </w:tc>
        <w:tc>
          <w:tcPr>
            <w:tcW w:w="40" w:type="dxa"/>
            <w:vAlign w:val="bottom"/>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19,988</w:t>
            </w: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40" w:type="dxa"/>
            <w:vAlign w:val="bottom"/>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availability under ABL Facility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4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9"/>
                <w:szCs w:val="19"/>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19"/>
                <w:szCs w:val="19"/>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March 31, 2023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92,435</w:t>
            </w:r>
          </w:p>
        </w:tc>
        <w:tc>
          <w:tcPr>
            <w:tcW w:w="40" w:type="dxa"/>
            <w:vAlign w:val="bottom"/>
          </w:tcPr>
          <w:p>
            <w:pPr>
              <w:spacing w:after="0"/>
              <w:rPr>
                <w:sz w:val="21"/>
                <w:szCs w:val="21"/>
                <w:color w:val="auto"/>
              </w:rPr>
            </w:pPr>
          </w:p>
        </w:tc>
      </w:tr>
      <w:tr>
        <w:trPr>
          <w:trHeight w:val="20"/>
        </w:trPr>
        <w:tc>
          <w:tcPr>
            <w:tcW w:w="9020" w:type="dxa"/>
            <w:vAlign w:val="bottom"/>
            <w:tcBorders>
              <w:top w:val="single" w:sz="8" w:color="CCEEFF"/>
            </w:tcBorders>
            <w:gridSpan w:val="9"/>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3"/>
        </w:trPr>
        <w:tc>
          <w:tcPr>
            <w:tcW w:w="9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our liquidity for the nine months ended March 31, 2023 (in thousands):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June 30, 2022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94,831</w:t>
            </w:r>
          </w:p>
        </w:tc>
        <w:tc>
          <w:tcPr>
            <w:tcW w:w="40" w:type="dxa"/>
            <w:vAlign w:val="bottom"/>
          </w:tcPr>
          <w:p>
            <w:pPr>
              <w:spacing w:after="0"/>
              <w:rPr>
                <w:sz w:val="19"/>
                <w:szCs w:val="19"/>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40" w:type="dxa"/>
            <w:vAlign w:val="bottom"/>
          </w:tcPr>
          <w:p>
            <w:pPr>
              <w:spacing w:after="0"/>
              <w:rPr>
                <w:sz w:val="19"/>
                <w:szCs w:val="19"/>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availability under ABL Facility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 w:type="dxa"/>
            <w:vAlign w:val="bottom"/>
          </w:tcPr>
          <w:p>
            <w:pPr>
              <w:spacing w:after="0"/>
              <w:rPr>
                <w:sz w:val="19"/>
                <w:szCs w:val="19"/>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by financing activities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19"/>
                <w:szCs w:val="19"/>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 w:type="dxa"/>
            <w:vAlign w:val="bottom"/>
          </w:tcPr>
          <w:p>
            <w:pPr>
              <w:spacing w:after="0"/>
              <w:rPr>
                <w:sz w:val="19"/>
                <w:szCs w:val="19"/>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Liquidity at March 31, 2023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92,435</w:t>
            </w:r>
          </w:p>
        </w:tc>
        <w:tc>
          <w:tcPr>
            <w:tcW w:w="40" w:type="dxa"/>
            <w:vAlign w:val="bottom"/>
          </w:tcPr>
          <w:p>
            <w:pPr>
              <w:spacing w:after="0"/>
              <w:rPr>
                <w:sz w:val="21"/>
                <w:szCs w:val="2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routinely impact our short-term liquidity and may impact our long-term liquidity include, but are not limited to:</w:t>
      </w:r>
    </w:p>
    <w:p>
      <w:pPr>
        <w:spacing w:after="0" w:line="252" w:lineRule="exact"/>
        <w:rPr>
          <w:sz w:val="20"/>
          <w:szCs w:val="20"/>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cost-plus and fixed-price customer contracts are billed based on milestones which may require us to incur significant expenditures prior to collections from our customers;</w:t>
      </w:r>
    </w:p>
    <w:p>
      <w:pPr>
        <w:spacing w:after="0" w:line="188"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fixed-price customer contracts allow for significant upfront billings at the beginning of a project, which temporarily increases liquidity near term;</w:t>
      </w:r>
    </w:p>
    <w:p>
      <w:pPr>
        <w:spacing w:after="0" w:line="188"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material contracts are normally billed in arrears. Therefore, we are routinely required to carry these costs until they can be billed and collected; and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300" w:right="560" w:hanging="320"/>
        <w:spacing w:after="0" w:line="282" w:lineRule="auto"/>
        <w:tabs>
          <w:tab w:leader="none" w:pos="129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large construction projects may require security in the form of letters of credit or significant retentions. Retentions are normally held until certain contractual milestones are achieved;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 including the timing of tax payments and refunds;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both short and long-term liquidity include:</w:t>
      </w:r>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disputes, which can be significant;</w:t>
      </w:r>
    </w:p>
    <w:p>
      <w:pPr>
        <w:spacing w:after="0" w:line="25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issues, including those caused by weak commodity prices, economic slowdowns or other factors which can lead to credit deterioration of our customers;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letters of credit;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new operations or divestitures of existing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impact long-term liquidity include:</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constraints under our ABL Facility and maintaining compliance with all covenants contained in the ABL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capital structure;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disposals of businesses or assets;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under our stock buyback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Credit Facility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2021, the Company and our primary U.S. and Canada operating subsidiaries entered into an asset-based credit agreement, which was amended on October 5, 2022 (as amended, the "ABL Facility"), with Bank of Montreal, as Administrative Agent, Swing Line Lender and a Letter of Credit Issuer, and the lenders named therein.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and the assets of our co-borrowers and guarantors under the ABL Facility.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ABL Facility matures, and any outstanding amounts become due and payable, on September 9, 2026. At March 31, 2023, our borrowing base was $78.5 million, we had $15.0 million of outstanding borrowings, and we had $19.3 million in letters of credit outstanding, which resulted in availability of $44.2 million under the ABL Facility.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The interest rate in effect for borrowings outstanding at March 31, 2023, including applicable margin, was approximately 7.17%.</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Facility contains customary conditions to borrowings, events of default and covenants, including, but not limited to, covenants that restrict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March 31,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for the Nine Months Ended March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for the nine months ended March 31, 2023 totaled $2.4 million. The various components are as follows: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988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98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9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(52,025)</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expenses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effect of changes in operating assets and liabilities at March 31, 2023 in comparison to June 30, 2022 include the following:</w:t>
      </w:r>
    </w:p>
    <w:p>
      <w:pPr>
        <w:spacing w:after="0" w:line="252" w:lineRule="exact"/>
        <w:rPr>
          <w:sz w:val="20"/>
          <w:szCs w:val="20"/>
          <w:color w:val="auto"/>
        </w:rPr>
      </w:pPr>
    </w:p>
    <w:p>
      <w:pPr>
        <w:ind w:left="980" w:right="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excluding credit losses recognized during the period, increased by $9.5 million during the nine months ended March 31, 2023, which decreased cash flows from operating activities. The variance is primarily attributable to the timing of billing and collections.</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estimated earnings in excess of billings on uncompleted contracts ("CIE") increased $8.6 million, which decreased cash flows from operating activities. Billings on uncompleted contracts in excess of costs and estimated earnings ("BIE") increased $49.6 million, which increased cash flows from operating activities. CIE and BIE balances can experience significant fluctuations based on business volumes and the timing of when job costs are incurred and the timing of customer billings and payments. The significant increase in BIE is related to the receipt of upfront billings on several large capital projects recently awarded.</w:t>
      </w:r>
    </w:p>
    <w:p>
      <w:pPr>
        <w:spacing w:after="0" w:line="210"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income taxes receivable, prepaid expenses, other current assets, operating right-of-use lease assets and other assets, non-current, decreased $11.8 million during the nine months ended March 31, 2023, which increased cash flows from operating activities. The primary driver of the decrease was the receipt of a $13.3 million income tax refund during the third quarter of fiscal 2023. These operating assets can fluctuate based on the timing of inventory builds and draw-downs, accrual and receipt of income taxes receivable; prepayments of certain expenses; lease commencement, passage of time, expiration, or termination of operating leases; business volumes; and other timing differences.</w:t>
      </w:r>
    </w:p>
    <w:p>
      <w:pPr>
        <w:spacing w:after="0" w:line="214"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accrued wages and benefits, accrued insurance, operating lease liabilities, other accrued expenses, and other liabilities, non-current decreased by $16.8 million during the nine months ended March 31, 2023, which decreased cash flows from operating activities. These operating liabilities can fluctuate based on the timing of vendor payments; accruals; lease commencement, lease payments, expiration, or termination of operating leases; business volumes; and other timing differences.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Investing Activities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Investing activities used $6.1 million of cash in the nine months ended March 31, 2023 primarily due to capital expenditures. Those capital expenditures were comprised of $2.3 million for construction and transportation equipment, $2.1 million for buildings and leasehold improvements, and $1.7 million for office equipment.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by Financing Activities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Financing activities used $0.1 million of cash in the nine months ended March 31, 2023 primarily due to $0.3 million paid to repurchase our stock for payment of withholding taxes due on equity-based compensation, partially offset by the receipt of $0.2 million in proceeds from issuance of common stock under our Employee Stock Purchase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nine months ended March 31, 2023 and have no current plans to repurchase stock. As of March 31, 2023,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Shares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850,661 treasury shares as of March 31, 2023 and intend to utilize these treasury shares in connection with equity awards under the our stock incentive plans and for sales to the Employee Stock Purchase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from those reported in our fiscal 2022 Annual Report on Form 10-K filed with the SEC. For more information on our critical accounting policies, see Part II, Item 7 of our fiscal 2022 Annual Report on Form 10-K. The following section provides certain information with respect to our critical accounting policies as of the close of our most recent quarterly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Information about our Contracts with Customers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comes from contracts to provide engineering, procurement, fabrication and construction, repair and maintenance and other services. Our engineering, procurement and fabrication and construction services are usually provided in association with capital projects, which are commonly fixed-price contracts that are billed based on project milestones. Our repair and maintenance services typically are cost reimbursable or time and materials-based contracts and are billed monthly or, for projects of short duration, at the conclusion of the project. The elapsed time from award to completion of performance may exceed one year for capital projects.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over time for reimbursable and time and material-based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 of the Notes to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 of the Notes to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 included revenues for unpriced change orders and claims of $14.7 million at March 31, 2023 and $8.9 million at June 30, 2022. The amounts ultimately realized may be significantly different than the recorded amounts resulting in a material adjustment to future earnings.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acquisitions over the fair value of the net identifiable tangible and intangible assets acquired at the acquisition date. In accordance with current accounting guidance, goodwill is not amortized, but is tested at least annually for impairment at the reporting unit level, which is a level below our reportable segments.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 our annual impairment test as of May 31st of each fiscal year, or in between annual tests if impairment indicators are present,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compared to our market capitalization.</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 Financial Statements, Note 4 - Goodwill and Other Intangible Assets, Goodwill, for disclosure information about our goodwill balances the results of impairment 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We believe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legal actions, claims, and other contingencies arise in the normal course of our business. Contingencies are recorded in the condensed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 faced by us from those reported in our Annual Report on Form 10-K for the fiscal year ended June 30, 2022, filed with the Securities and Exchange Commission. For more information on market risk, see Part II, Item 7A in our fiscal 2022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2023. Based on the foregoing, our Chief Executive Officer and Chief Financial Officer concluded that our disclosure controls and procedures were effective at the reasonable assurance level at March 31, 2023.</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Risk Factors from those reported in Item 1A of Part I of our Annual Report on Form 10-K for the fiscal year ended June 30,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no purchases of our common stock during the third quarter of fiscal year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750"/>
        </w:trPr>
        <w:tc>
          <w:tcPr>
            <w:tcW w:w="56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31.1:</w:t>
            </w:r>
          </w:p>
        </w:tc>
        <w:tc>
          <w:tcPr>
            <w:tcW w:w="5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Sarbanes-Oxley Act of 2002 – CEO.</w:t>
            </w:r>
          </w:p>
        </w:tc>
        <w:tc>
          <w:tcPr>
            <w:tcW w:w="3220" w:type="dxa"/>
            <w:vAlign w:val="bottom"/>
            <w:gridSpan w:val="3"/>
          </w:tcPr>
          <w:p>
            <w:pPr>
              <w:spacing w:after="0"/>
              <w:rPr>
                <w:sz w:val="22"/>
                <w:szCs w:val="22"/>
                <w:color w:val="auto"/>
              </w:rPr>
            </w:pPr>
          </w:p>
        </w:tc>
      </w:tr>
      <w:tr>
        <w:trPr>
          <w:trHeight w:val="26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31.2:</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Sarbanes-Oxley Act of 2002 – CFO.</w:t>
            </w:r>
          </w:p>
        </w:tc>
      </w:tr>
      <w:tr>
        <w:trPr>
          <w:trHeight w:val="20"/>
        </w:trPr>
        <w:tc>
          <w:tcPr>
            <w:tcW w:w="2100" w:type="dxa"/>
            <w:vAlign w:val="bottom"/>
            <w:gridSpan w:val="4"/>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6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32.1:</w:t>
            </w:r>
          </w:p>
        </w:tc>
        <w:tc>
          <w:tcPr>
            <w:tcW w:w="6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1350 (section 906 of Sarbanes-Oxley Act of 2002) – CEO.</w:t>
            </w:r>
          </w:p>
        </w:tc>
        <w:tc>
          <w:tcPr>
            <w:tcW w:w="1960" w:type="dxa"/>
            <w:vAlign w:val="bottom"/>
          </w:tcPr>
          <w:p>
            <w:pPr>
              <w:spacing w:after="0"/>
              <w:rPr>
                <w:sz w:val="22"/>
                <w:szCs w:val="22"/>
                <w:color w:val="auto"/>
              </w:rPr>
            </w:pPr>
          </w:p>
        </w:tc>
      </w:tr>
      <w:tr>
        <w:trPr>
          <w:trHeight w:val="26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32.2:</w:t>
            </w:r>
          </w:p>
        </w:tc>
        <w:tc>
          <w:tcPr>
            <w:tcW w:w="6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(section 906 of Sarbanes-Oxley Act of 2002) – CFO.</w:t>
            </w:r>
          </w:p>
        </w:tc>
        <w:tc>
          <w:tcPr>
            <w:tcW w:w="1980" w:type="dxa"/>
            <w:vAlign w:val="bottom"/>
            <w:gridSpan w:val="2"/>
          </w:tcPr>
          <w:p>
            <w:pPr>
              <w:spacing w:after="0"/>
              <w:rPr>
                <w:sz w:val="22"/>
                <w:szCs w:val="22"/>
                <w:color w:val="auto"/>
              </w:rPr>
            </w:pPr>
          </w:p>
        </w:tc>
      </w:tr>
      <w:tr>
        <w:trPr>
          <w:trHeight w:val="264"/>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95:</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w:t>
            </w:r>
          </w:p>
        </w:tc>
      </w:tr>
      <w:tr>
        <w:trPr>
          <w:trHeight w:val="20"/>
        </w:trPr>
        <w:tc>
          <w:tcPr>
            <w:tcW w:w="2100" w:type="dxa"/>
            <w:vAlign w:val="bottom"/>
            <w:gridSpan w:val="4"/>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040" w:type="dxa"/>
            <w:vAlign w:val="bottom"/>
            <w:gridSpan w:val="7"/>
          </w:tcPr>
          <w:p>
            <w:pPr>
              <w:spacing w:after="0" w:line="20" w:lineRule="exact"/>
              <w:rPr>
                <w:sz w:val="1"/>
                <w:szCs w:val="1"/>
                <w:color w:val="auto"/>
              </w:rPr>
            </w:pPr>
          </w:p>
        </w:tc>
      </w:tr>
      <w:tr>
        <w:trPr>
          <w:trHeight w:val="250"/>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101.INS:</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101.SCH:</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Schema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101.CAL:</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101.DEF:</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101.LAB:</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101.PRE:</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104</w:t>
            </w:r>
          </w:p>
        </w:tc>
        <w:tc>
          <w:tcPr>
            <w:tcW w:w="8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51" w:right="6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MATRIX SERVICE COMPANY</w:t>
      </w:r>
    </w:p>
    <w:p>
      <w:pPr>
        <w:spacing w:after="0" w:line="81" w:lineRule="exact"/>
        <w:rPr>
          <w:sz w:val="20"/>
          <w:szCs w:val="20"/>
          <w:color w:val="auto"/>
        </w:rPr>
      </w:pPr>
    </w:p>
    <w:p>
      <w:pPr>
        <w:ind w:left="20"/>
        <w:spacing w:after="0"/>
        <w:tabs>
          <w:tab w:leader="none" w:pos="600" w:val="left"/>
          <w:tab w:leader="none" w:pos="4680" w:val="left"/>
        </w:tabs>
        <w:rPr>
          <w:sz w:val="20"/>
          <w:szCs w:val="20"/>
          <w:color w:val="auto"/>
        </w:rPr>
      </w:pPr>
      <w:r>
        <w:rPr>
          <w:rFonts w:ascii="Times New Roman" w:cs="Times New Roman" w:eastAsia="Times New Roman" w:hAnsi="Times New Roman"/>
          <w:sz w:val="18"/>
          <w:szCs w:val="18"/>
          <w:color w:val="auto"/>
        </w:rPr>
        <w:t>Date:</w:t>
        <w:tab/>
        <w:t>May 9, 2023</w:t>
      </w:r>
      <w:r>
        <w:rPr>
          <w:sz w:val="20"/>
          <w:szCs w:val="20"/>
          <w:color w:val="auto"/>
        </w:rPr>
        <w:tab/>
      </w:r>
      <w:r>
        <w:rPr>
          <w:rFonts w:ascii="Times New Roman" w:cs="Times New Roman" w:eastAsia="Times New Roman" w:hAnsi="Times New Roman"/>
          <w:sz w:val="17"/>
          <w:szCs w:val="17"/>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40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36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Matrix Service Company;</w:t>
      </w:r>
    </w:p>
    <w:p>
      <w:pPr>
        <w:spacing w:after="0" w:line="171"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980" w:right="140" w:hanging="324"/>
        <w:spacing w:after="0" w:line="312" w:lineRule="auto"/>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March 31, 2023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713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R. Hewitt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Sarbanes-Oxley Act of 2002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Matrix Service Company (the “Company”) on Form 10-Q for the period ending March 31, 2023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203"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May 9, 2023</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74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Cavanah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00" w:lineRule="exact"/>
        <w:rPr>
          <w:sz w:val="20"/>
          <w:szCs w:val="20"/>
          <w:color w:val="auto"/>
        </w:rPr>
      </w:pPr>
    </w:p>
    <w:p>
      <w:pPr>
        <w:spacing w:after="0" w:line="24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different than what is provided herein. Any such difference may be attributed to the need to update that information on MSHA’s system and/or other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the three months ended March 31, 2023:</w:t>
      </w:r>
    </w:p>
    <w:p>
      <w:pPr>
        <w:spacing w:after="0" w:line="223" w:lineRule="exact"/>
        <w:rPr>
          <w:sz w:val="20"/>
          <w:szCs w:val="20"/>
          <w:color w:val="auto"/>
        </w:rPr>
      </w:pPr>
    </w:p>
    <w:tbl>
      <w:tblPr>
        <w:tblLayout w:type="fixed"/>
        <w:tblInd w:w="50" w:type="dxa"/>
        <w:tblCellMar>
          <w:top w:w="0" w:type="dxa"/>
          <w:left w:w="0" w:type="dxa"/>
          <w:bottom w:w="0" w:type="dxa"/>
          <w:right w:w="0" w:type="dxa"/>
        </w:tblCellMar>
      </w:tblPr>
      <w:tr>
        <w:trPr>
          <w:trHeight w:val="175"/>
        </w:trPr>
        <w:tc>
          <w:tcPr>
            <w:tcW w:w="980" w:type="dxa"/>
            <w:vAlign w:val="bottom"/>
            <w:tcBorders>
              <w:top w:val="single" w:sz="8" w:color="auto"/>
              <w:left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860" w:type="dxa"/>
            <w:vAlign w:val="bottom"/>
            <w:tcBorders>
              <w:top w:val="single" w:sz="8" w:color="auto"/>
              <w:right w:val="single" w:sz="8" w:color="auto"/>
            </w:tcBorders>
          </w:tcPr>
          <w:p>
            <w:pPr>
              <w:spacing w:after="0"/>
              <w:rPr>
                <w:sz w:val="15"/>
                <w:szCs w:val="15"/>
                <w:color w:val="auto"/>
              </w:rPr>
            </w:pPr>
          </w:p>
        </w:tc>
        <w:tc>
          <w:tcPr>
            <w:tcW w:w="76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102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Received Notice</w:t>
            </w:r>
          </w:p>
        </w:tc>
        <w:tc>
          <w:tcPr>
            <w:tcW w:w="860" w:type="dxa"/>
            <w:vAlign w:val="bottom"/>
            <w:tcBorders>
              <w:top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9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of Pattern of</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of Potential to</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Mine or Operating</w:t>
            </w:r>
          </w:p>
        </w:tc>
        <w:tc>
          <w:tcPr>
            <w:tcW w:w="92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7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Dollar Value</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Total Number</w:t>
            </w:r>
          </w:p>
        </w:tc>
        <w:tc>
          <w:tcPr>
            <w:tcW w:w="84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Violations</w:t>
            </w:r>
          </w:p>
        </w:tc>
        <w:tc>
          <w:tcPr>
            <w:tcW w:w="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Have Pattern of</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Total Number of</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Total Number of</w:t>
            </w:r>
          </w:p>
        </w:tc>
        <w:tc>
          <w:tcPr>
            <w:tcW w:w="0" w:type="dxa"/>
            <w:vAlign w:val="bottom"/>
          </w:tcPr>
          <w:p>
            <w:pPr>
              <w:spacing w:after="0"/>
              <w:rPr>
                <w:sz w:val="1"/>
                <w:szCs w:val="1"/>
                <w:color w:val="auto"/>
              </w:rPr>
            </w:pPr>
          </w:p>
        </w:tc>
      </w:tr>
      <w:tr>
        <w:trPr>
          <w:trHeight w:val="68"/>
        </w:trPr>
        <w:tc>
          <w:tcPr>
            <w:tcW w:w="98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104(d)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110(b)</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6"/>
              </w:rPr>
              <w:t>Section</w:t>
            </w:r>
          </w:p>
        </w:tc>
        <w:tc>
          <w:tcPr>
            <w:tcW w:w="102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Under Section</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Violations Under</w:t>
            </w:r>
          </w:p>
        </w:tc>
        <w:tc>
          <w:tcPr>
            <w:tcW w:w="860" w:type="dxa"/>
            <w:vAlign w:val="bottom"/>
            <w:tcBorders>
              <w:right w:val="single" w:sz="8" w:color="auto"/>
            </w:tcBorders>
          </w:tcPr>
          <w:p>
            <w:pPr>
              <w:jc w:val="center"/>
              <w:spacing w:after="0" w:line="68" w:lineRule="exact"/>
              <w:rPr>
                <w:sz w:val="20"/>
                <w:szCs w:val="20"/>
                <w:color w:val="auto"/>
              </w:rPr>
            </w:pPr>
            <w:r>
              <w:rPr>
                <w:rFonts w:ascii="Times New Roman" w:cs="Times New Roman" w:eastAsia="Times New Roman" w:hAnsi="Times New Roman"/>
                <w:sz w:val="6"/>
                <w:szCs w:val="6"/>
                <w:color w:val="auto"/>
              </w:rPr>
              <w:t>Legal Actions</w:t>
            </w:r>
          </w:p>
        </w:tc>
        <w:tc>
          <w:tcPr>
            <w:tcW w:w="8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980" w:type="dxa"/>
            <w:vAlign w:val="bottom"/>
            <w:tcBorders>
              <w:left w:val="single" w:sz="8" w:color="auto"/>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Name/MSHA</w:t>
            </w:r>
          </w:p>
        </w:tc>
        <w:tc>
          <w:tcPr>
            <w:tcW w:w="9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of MSHA</w:t>
            </w:r>
          </w:p>
        </w:tc>
        <w:tc>
          <w:tcPr>
            <w:tcW w:w="80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4"/>
              </w:rPr>
              <w:t>of Mining</w:t>
            </w:r>
          </w:p>
        </w:tc>
        <w:tc>
          <w:tcPr>
            <w:tcW w:w="84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rPr>
              <w:t>Pending as of</w:t>
            </w:r>
          </w:p>
        </w:tc>
        <w:tc>
          <w:tcPr>
            <w:tcW w:w="84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920" w:type="dxa"/>
            <w:vAlign w:val="bottom"/>
            <w:tcBorders>
              <w:right w:val="single" w:sz="8" w:color="auto"/>
            </w:tcBorders>
            <w:vMerge w:val="restart"/>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Legal Actions</w:t>
            </w:r>
          </w:p>
        </w:tc>
        <w:tc>
          <w:tcPr>
            <w:tcW w:w="0" w:type="dxa"/>
            <w:vAlign w:val="bottom"/>
          </w:tcPr>
          <w:p>
            <w:pPr>
              <w:spacing w:after="0"/>
              <w:rPr>
                <w:sz w:val="1"/>
                <w:szCs w:val="1"/>
                <w:color w:val="auto"/>
              </w:rPr>
            </w:pPr>
          </w:p>
        </w:tc>
      </w:tr>
      <w:tr>
        <w:trPr>
          <w:trHeight w:val="41"/>
        </w:trPr>
        <w:tc>
          <w:tcPr>
            <w:tcW w:w="980" w:type="dxa"/>
            <w:vAlign w:val="bottom"/>
            <w:tcBorders>
              <w:left w:val="single" w:sz="8" w:color="auto"/>
              <w:right w:val="single" w:sz="8" w:color="auto"/>
            </w:tcBorders>
            <w:vMerge w:val="continue"/>
          </w:tcPr>
          <w:p>
            <w:pPr>
              <w:spacing w:after="0"/>
              <w:rPr>
                <w:sz w:val="3"/>
                <w:szCs w:val="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Section 104 S&amp;S</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Section 104(b)</w:t>
            </w: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Citations and</w:t>
            </w:r>
          </w:p>
        </w:tc>
        <w:tc>
          <w:tcPr>
            <w:tcW w:w="780" w:type="dxa"/>
            <w:vAlign w:val="bottom"/>
            <w:tcBorders>
              <w:right w:val="single" w:sz="8" w:color="auto"/>
            </w:tcBorders>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(2)</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107(a)</w:t>
            </w:r>
          </w:p>
        </w:tc>
        <w:tc>
          <w:tcPr>
            <w:tcW w:w="1020" w:type="dxa"/>
            <w:vAlign w:val="bottom"/>
            <w:tcBorders>
              <w:right w:val="single" w:sz="8" w:color="auto"/>
            </w:tcBorders>
            <w:vMerge w:val="continue"/>
          </w:tcPr>
          <w:p>
            <w:pPr>
              <w:spacing w:after="0"/>
              <w:rPr>
                <w:sz w:val="3"/>
                <w:szCs w:val="3"/>
                <w:color w:val="auto"/>
              </w:rPr>
            </w:pPr>
          </w:p>
        </w:tc>
        <w:tc>
          <w:tcPr>
            <w:tcW w:w="80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104(e)</w:t>
            </w:r>
            <w:r>
              <w:rPr>
                <w:rFonts w:ascii="Times New Roman" w:cs="Times New Roman" w:eastAsia="Times New Roman" w:hAnsi="Times New Roman"/>
                <w:sz w:val="7"/>
                <w:szCs w:val="7"/>
                <w:color w:val="auto"/>
                <w:w w:val="97"/>
              </w:rPr>
              <w:t>(6)</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Section 104(e)</w:t>
            </w:r>
            <w:r>
              <w:rPr>
                <w:rFonts w:ascii="Times New Roman" w:cs="Times New Roman" w:eastAsia="Times New Roman" w:hAnsi="Times New Roman"/>
                <w:sz w:val="7"/>
                <w:szCs w:val="7"/>
                <w:color w:val="auto"/>
                <w:w w:val="99"/>
              </w:rPr>
              <w:t>(7)</w:t>
            </w:r>
          </w:p>
        </w:tc>
        <w:tc>
          <w:tcPr>
            <w:tcW w:w="860" w:type="dxa"/>
            <w:vAlign w:val="bottom"/>
            <w:tcBorders>
              <w:righ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9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Identification</w:t>
            </w:r>
          </w:p>
        </w:tc>
        <w:tc>
          <w:tcPr>
            <w:tcW w:w="92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Assessments</w:t>
            </w:r>
          </w:p>
        </w:tc>
        <w:tc>
          <w:tcPr>
            <w:tcW w:w="80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Related</w:t>
            </w:r>
          </w:p>
        </w:tc>
        <w:tc>
          <w:tcPr>
            <w:tcW w:w="8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rPr>
              <w:t>Last Day of</w:t>
            </w:r>
          </w:p>
        </w:tc>
        <w:tc>
          <w:tcPr>
            <w:tcW w:w="8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9"/>
              </w:rPr>
              <w:t>Initiated During</w:t>
            </w:r>
          </w:p>
        </w:tc>
        <w:tc>
          <w:tcPr>
            <w:tcW w:w="9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Resolved During</w:t>
            </w:r>
          </w:p>
        </w:tc>
        <w:tc>
          <w:tcPr>
            <w:tcW w:w="0" w:type="dxa"/>
            <w:vAlign w:val="bottom"/>
          </w:tcPr>
          <w:p>
            <w:pPr>
              <w:spacing w:after="0"/>
              <w:rPr>
                <w:sz w:val="1"/>
                <w:szCs w:val="1"/>
                <w:color w:val="auto"/>
              </w:rPr>
            </w:pPr>
          </w:p>
        </w:tc>
      </w:tr>
      <w:tr>
        <w:trPr>
          <w:trHeight w:val="196"/>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Citations</w:t>
            </w:r>
            <w:r>
              <w:rPr>
                <w:rFonts w:ascii="Times New Roman" w:cs="Times New Roman" w:eastAsia="Times New Roman" w:hAnsi="Times New Roman"/>
                <w:sz w:val="14"/>
                <w:szCs w:val="14"/>
                <w:color w:val="auto"/>
                <w:w w:val="90"/>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(2)</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1"/>
              </w:rPr>
              <w:t>Violations</w:t>
            </w:r>
            <w:r>
              <w:rPr>
                <w:rFonts w:ascii="Times New Roman" w:cs="Times New Roman" w:eastAsia="Times New Roman" w:hAnsi="Times New Roman"/>
                <w:sz w:val="14"/>
                <w:szCs w:val="14"/>
                <w:color w:val="auto"/>
                <w:w w:val="91"/>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Orders</w:t>
            </w:r>
            <w:r>
              <w:rPr>
                <w:rFonts w:ascii="Times New Roman" w:cs="Times New Roman" w:eastAsia="Times New Roman" w:hAnsi="Times New Roman"/>
                <w:sz w:val="14"/>
                <w:szCs w:val="14"/>
                <w:color w:val="auto"/>
                <w:w w:val="92"/>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(yes/no)</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1"/>
                <w:szCs w:val="11"/>
                <w:color w:val="auto"/>
                <w:w w:val="96"/>
              </w:rPr>
              <w:t>Freeport-McMoran</w:t>
            </w:r>
          </w:p>
        </w:tc>
        <w:tc>
          <w:tcPr>
            <w:tcW w:w="92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980" w:type="dxa"/>
            <w:vAlign w:val="bottom"/>
            <w:tcBorders>
              <w:left w:val="single" w:sz="8" w:color="auto"/>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7"/>
              </w:rPr>
              <w:t>Bagdad Mine, 02-</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78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10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No</w:t>
            </w:r>
          </w:p>
        </w:tc>
        <w:tc>
          <w:tcPr>
            <w:tcW w:w="90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88"/>
              </w:rPr>
              <w:t>No</w:t>
            </w:r>
          </w:p>
        </w:tc>
        <w:tc>
          <w:tcPr>
            <w:tcW w:w="86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920" w:type="dxa"/>
            <w:vAlign w:val="bottom"/>
            <w:tcBorders>
              <w:right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r>
        <w:trPr>
          <w:trHeight w:val="140"/>
        </w:trPr>
        <w:tc>
          <w:tcPr>
            <w:tcW w:w="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00137</w:t>
            </w:r>
          </w:p>
        </w:tc>
        <w:tc>
          <w:tcPr>
            <w:tcW w:w="9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98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60" w:right="120" w:hanging="212"/>
        <w:spacing w:after="0" w:line="332" w:lineRule="auto"/>
        <w:tabs>
          <w:tab w:leader="none" w:pos="261"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60" w:hanging="212"/>
        <w:spacing w:after="0"/>
        <w:tabs>
          <w:tab w:leader="none" w:pos="2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 which represents a failure to abate a citation under section 104(a) within the period of time prescribed by MSHA.</w:t>
      </w:r>
    </w:p>
    <w:p>
      <w:pPr>
        <w:spacing w:after="0" w:line="82" w:lineRule="exact"/>
        <w:rPr>
          <w:rFonts w:ascii="Times New Roman" w:cs="Times New Roman" w:eastAsia="Times New Roman" w:hAnsi="Times New Roman"/>
          <w:sz w:val="14"/>
          <w:szCs w:val="14"/>
          <w:color w:val="auto"/>
        </w:rPr>
      </w:pPr>
    </w:p>
    <w:p>
      <w:pPr>
        <w:ind w:left="260" w:hanging="212"/>
        <w:spacing w:after="0"/>
        <w:tabs>
          <w:tab w:leader="none" w:pos="2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issued by MSHA under section 104(d) of the Mine Act for unwarrantable failure to comply with mandatory health or safety standards.</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identified under section 110(b)(2)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107(a) of the Mine Act for situations in which MSHA determined an imminent danger existed.</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pattern of violations under section 104(e) of the Mine Act.</w:t>
      </w:r>
    </w:p>
    <w:p>
      <w:pPr>
        <w:spacing w:after="0" w:line="82"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from the MSHA regarding a potential to have a pattern of violations under section 104(e) of the Mine Act.</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decimal"/>
      <w:start w:val="1"/>
    </w:lvl>
  </w:abstractNum>
  <w:abstractNum w:abstractNumId="23">
    <w:nsid w:val="75A2A8D4"/>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2023-05-09T15:36:45Z</dcterms:created>
  <dcterms:modified xsi:type="dcterms:W3CDTF">2023-05-09T15:36:45Z</dcterms:modified>
</cp:coreProperties>
</file>