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8"/>
          <w:szCs w:val="28"/>
          <w:b w:val="1"/>
          <w:bCs w:val="1"/>
          <w:color w:val="auto"/>
        </w:rPr>
        <w:drawing>
          <wp:anchor simplePos="0" relativeHeight="251657728" behindDoc="1" locked="0" layoutInCell="0" allowOverlap="1">
            <wp:simplePos x="0" y="0"/>
            <wp:positionH relativeFrom="page">
              <wp:posOffset>273050</wp:posOffset>
            </wp:positionH>
            <wp:positionV relativeFrom="page">
              <wp:posOffset>413385</wp:posOffset>
            </wp:positionV>
            <wp:extent cx="70027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02780" cy="8255"/>
                    </a:xfrm>
                    <a:prstGeom prst="rect">
                      <a:avLst/>
                    </a:prstGeom>
                    <a:noFill/>
                  </pic:spPr>
                </pic:pic>
              </a:graphicData>
            </a:graphic>
          </wp:anchor>
        </w:drawing>
        <w:drawing>
          <wp:anchor simplePos="0" relativeHeight="251657728" behindDoc="1" locked="0" layoutInCell="0" allowOverlap="1">
            <wp:simplePos x="0" y="0"/>
            <wp:positionH relativeFrom="page">
              <wp:posOffset>273050</wp:posOffset>
            </wp:positionH>
            <wp:positionV relativeFrom="page">
              <wp:posOffset>380365</wp:posOffset>
            </wp:positionV>
            <wp:extent cx="70027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02780" cy="8255"/>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8"/>
          <w:szCs w:val="28"/>
          <w:b w:val="1"/>
          <w:bCs w:val="1"/>
          <w:color w:val="auto"/>
        </w:rPr>
        <w:t>SECURITIES AND EXCHANGE COMMISSION</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WASHINGTON, D.C. 20549</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8"/>
          <w:szCs w:val="28"/>
          <w:b w:val="1"/>
          <w:bCs w:val="1"/>
          <w:color w:val="auto"/>
        </w:rPr>
        <w:t>FORM 10-K</w:t>
      </w:r>
    </w:p>
    <w:p>
      <w:pPr>
        <w:spacing w:after="0" w:line="83" w:lineRule="exact"/>
        <w:rPr>
          <w:sz w:val="24"/>
          <w:szCs w:val="24"/>
          <w:color w:val="auto"/>
        </w:rPr>
      </w:pPr>
    </w:p>
    <w:p>
      <w:pPr>
        <w:ind w:left="1080"/>
        <w:spacing w:after="0"/>
        <w:rPr>
          <w:sz w:val="20"/>
          <w:szCs w:val="20"/>
          <w:color w:val="auto"/>
        </w:rPr>
      </w:pPr>
      <w:r>
        <w:rPr>
          <w:rFonts w:ascii="Arial" w:cs="Arial" w:eastAsia="Arial" w:hAnsi="Arial"/>
          <w:sz w:val="14"/>
          <w:szCs w:val="14"/>
          <w:color w:val="auto"/>
        </w:rPr>
        <w:t>(Mark One)</w:t>
      </w:r>
    </w:p>
    <w:p>
      <w:pPr>
        <w:ind w:left="1940" w:hanging="624"/>
        <w:spacing w:after="0" w:line="184" w:lineRule="auto"/>
        <w:tabs>
          <w:tab w:leader="none" w:pos="1940" w:val="left"/>
        </w:tabs>
        <w:numPr>
          <w:ilvl w:val="0"/>
          <w:numId w:val="1"/>
        </w:numPr>
        <w:rPr>
          <w:rFonts w:ascii="MS PGothic" w:cs="MS PGothic" w:eastAsia="MS PGothic" w:hAnsi="MS PGothic"/>
          <w:sz w:val="35"/>
          <w:szCs w:val="35"/>
          <w:color w:val="auto"/>
          <w:vertAlign w:val="subscript"/>
        </w:rPr>
      </w:pPr>
      <w:r>
        <w:rPr>
          <w:rFonts w:ascii="Arial" w:cs="Arial" w:eastAsia="Arial" w:hAnsi="Arial"/>
          <w:sz w:val="17"/>
          <w:szCs w:val="17"/>
          <w:b w:val="1"/>
          <w:bCs w:val="1"/>
          <w:color w:val="auto"/>
        </w:rPr>
        <w:t>Annual Report Pursuant to Section 13 or 15(d) of the Securities Exchange Act of 1934</w:t>
      </w:r>
    </w:p>
    <w:p>
      <w:pPr>
        <w:spacing w:after="0" w:line="206"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For the fiscal year ended June 30, 2021</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or</w:t>
      </w:r>
    </w:p>
    <w:p>
      <w:pPr>
        <w:spacing w:after="0" w:line="31" w:lineRule="exact"/>
        <w:rPr>
          <w:sz w:val="24"/>
          <w:szCs w:val="24"/>
          <w:color w:val="auto"/>
        </w:rPr>
      </w:pPr>
    </w:p>
    <w:p>
      <w:pPr>
        <w:ind w:left="1940" w:hanging="624"/>
        <w:spacing w:after="0"/>
        <w:tabs>
          <w:tab w:leader="none" w:pos="1940" w:val="left"/>
        </w:tabs>
        <w:numPr>
          <w:ilvl w:val="0"/>
          <w:numId w:val="2"/>
        </w:numPr>
        <w:rPr>
          <w:rFonts w:ascii="MS PGothic" w:cs="MS PGothic" w:eastAsia="MS PGothic" w:hAnsi="MS PGothic"/>
          <w:sz w:val="19"/>
          <w:szCs w:val="19"/>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165" w:lineRule="exact"/>
        <w:rPr>
          <w:sz w:val="24"/>
          <w:szCs w:val="24"/>
          <w:color w:val="auto"/>
        </w:rPr>
      </w:pPr>
    </w:p>
    <w:p>
      <w:pPr>
        <w:ind w:left="3600"/>
        <w:spacing w:after="0"/>
        <w:tabs>
          <w:tab w:leader="none" w:pos="6580" w:val="left"/>
        </w:tabs>
        <w:rPr>
          <w:sz w:val="20"/>
          <w:szCs w:val="20"/>
          <w:color w:val="auto"/>
        </w:rPr>
      </w:pPr>
      <w:r>
        <w:rPr>
          <w:rFonts w:ascii="Arial" w:cs="Arial" w:eastAsia="Arial" w:hAnsi="Arial"/>
          <w:sz w:val="17"/>
          <w:szCs w:val="17"/>
          <w:color w:val="auto"/>
        </w:rPr>
        <w:t>For the transition period from</w:t>
      </w:r>
      <w:r>
        <w:rPr>
          <w:sz w:val="20"/>
          <w:szCs w:val="20"/>
          <w:color w:val="auto"/>
        </w:rPr>
        <w:tab/>
      </w:r>
      <w:r>
        <w:rPr>
          <w:rFonts w:ascii="Arial" w:cs="Arial" w:eastAsia="Arial" w:hAnsi="Arial"/>
          <w:sz w:val="16"/>
          <w:szCs w:val="16"/>
          <w:color w:val="auto"/>
        </w:rPr>
        <w:t>to</w:t>
      </w:r>
    </w:p>
    <w:p>
      <w:pPr>
        <w:spacing w:after="0" w:line="67"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Commission File No. 001-15461</w:t>
      </w:r>
    </w:p>
    <w:p>
      <w:pPr>
        <w:spacing w:after="0" w:line="51"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MATRIX SERVICE COMPANY</w:t>
      </w:r>
    </w:p>
    <w:p>
      <w:pPr>
        <w:sectPr>
          <w:pgSz w:w="11900" w:h="16838" w:orient="portrait"/>
          <w:cols w:equalWidth="0" w:num="1">
            <w:col w:w="11240"/>
          </w:cols>
          <w:pgMar w:left="320" w:top="711" w:right="339" w:bottom="1440" w:gutter="0" w:footer="0" w:header="0"/>
        </w:sectPr>
      </w:pPr>
    </w:p>
    <w:p>
      <w:pPr>
        <w:spacing w:after="0" w:line="32" w:lineRule="exact"/>
        <w:rPr>
          <w:sz w:val="24"/>
          <w:szCs w:val="24"/>
          <w:color w:val="auto"/>
        </w:rPr>
      </w:pPr>
    </w:p>
    <w:p>
      <w:pPr>
        <w:jc w:val="right"/>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p>
    <w:p>
      <w:pPr>
        <w:jc w:val="center"/>
        <w:ind w:right="1000"/>
        <w:spacing w:after="0"/>
        <w:rPr>
          <w:sz w:val="20"/>
          <w:szCs w:val="20"/>
          <w:color w:val="auto"/>
        </w:rPr>
      </w:pPr>
      <w:r>
        <w:rPr>
          <w:rFonts w:ascii="Arial" w:cs="Arial" w:eastAsia="Arial" w:hAnsi="Arial"/>
          <w:sz w:val="14"/>
          <w:szCs w:val="14"/>
          <w:b w:val="1"/>
          <w:bCs w:val="1"/>
          <w:color w:val="auto"/>
        </w:rPr>
        <w:t>Delaware</w:t>
      </w:r>
    </w:p>
    <w:p>
      <w:pPr>
        <w:spacing w:after="0" w:line="9" w:lineRule="exact"/>
        <w:rPr>
          <w:sz w:val="24"/>
          <w:szCs w:val="24"/>
          <w:color w:val="auto"/>
        </w:rPr>
      </w:pPr>
    </w:p>
    <w:p>
      <w:pPr>
        <w:ind w:left="2200"/>
        <w:spacing w:after="0"/>
        <w:rPr>
          <w:sz w:val="20"/>
          <w:szCs w:val="20"/>
          <w:color w:val="auto"/>
        </w:rPr>
      </w:pPr>
      <w:r>
        <w:rPr>
          <w:rFonts w:ascii="Arial" w:cs="Arial" w:eastAsia="Arial" w:hAnsi="Arial"/>
          <w:sz w:val="14"/>
          <w:szCs w:val="14"/>
          <w:b w:val="1"/>
          <w:bCs w:val="1"/>
          <w:color w:val="auto"/>
        </w:rPr>
        <w:t>(State or other jurisdiction of</w:t>
      </w:r>
    </w:p>
    <w:p>
      <w:pPr>
        <w:ind w:left="2160"/>
        <w:spacing w:after="0"/>
        <w:rPr>
          <w:sz w:val="20"/>
          <w:szCs w:val="20"/>
          <w:color w:val="auto"/>
        </w:rPr>
      </w:pPr>
      <w:r>
        <w:rPr>
          <w:rFonts w:ascii="Arial" w:cs="Arial" w:eastAsia="Arial" w:hAnsi="Arial"/>
          <w:sz w:val="14"/>
          <w:szCs w:val="14"/>
          <w:b w:val="1"/>
          <w:bCs w:val="1"/>
          <w:color w:val="auto"/>
        </w:rPr>
        <w:t>incorporation or organization)</w:t>
      </w:r>
    </w:p>
    <w:p>
      <w:pPr>
        <w:spacing w:after="0" w:line="125" w:lineRule="exact"/>
        <w:rPr>
          <w:sz w:val="24"/>
          <w:szCs w:val="24"/>
          <w:color w:val="auto"/>
        </w:rPr>
      </w:pPr>
    </w:p>
    <w:p>
      <w:pPr>
        <w:ind w:left="1800"/>
        <w:spacing w:after="0"/>
        <w:rPr>
          <w:sz w:val="20"/>
          <w:szCs w:val="20"/>
          <w:color w:val="auto"/>
        </w:rPr>
      </w:pPr>
      <w:r>
        <w:rPr>
          <w:rFonts w:ascii="Arial" w:cs="Arial" w:eastAsia="Arial" w:hAnsi="Arial"/>
          <w:sz w:val="14"/>
          <w:szCs w:val="14"/>
          <w:b w:val="1"/>
          <w:bCs w:val="1"/>
          <w:color w:val="auto"/>
        </w:rPr>
        <w:t>5100 E. Skelly Drive, Suite 500</w:t>
      </w:r>
    </w:p>
    <w:p>
      <w:pPr>
        <w:spacing w:after="0" w:line="23" w:lineRule="exact"/>
        <w:rPr>
          <w:sz w:val="24"/>
          <w:szCs w:val="24"/>
          <w:color w:val="auto"/>
        </w:rPr>
      </w:pPr>
    </w:p>
    <w:p>
      <w:pPr>
        <w:ind w:left="2680"/>
        <w:spacing w:after="0"/>
        <w:rPr>
          <w:sz w:val="20"/>
          <w:szCs w:val="20"/>
          <w:color w:val="auto"/>
        </w:rPr>
      </w:pPr>
      <w:r>
        <w:rPr>
          <w:rFonts w:ascii="Arial" w:cs="Arial" w:eastAsia="Arial" w:hAnsi="Arial"/>
          <w:sz w:val="14"/>
          <w:szCs w:val="14"/>
          <w:b w:val="1"/>
          <w:bCs w:val="1"/>
          <w:color w:val="auto"/>
        </w:rPr>
        <w:t>Tulsa, Oklahoma</w:t>
      </w:r>
    </w:p>
    <w:p>
      <w:pPr>
        <w:spacing w:after="0" w:line="49" w:lineRule="exact"/>
        <w:rPr>
          <w:sz w:val="24"/>
          <w:szCs w:val="24"/>
          <w:color w:val="auto"/>
        </w:rPr>
      </w:pPr>
    </w:p>
    <w:p>
      <w:pPr>
        <w:ind w:left="188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3" w:lineRule="exact"/>
        <w:rPr>
          <w:sz w:val="24"/>
          <w:szCs w:val="24"/>
          <w:color w:val="auto"/>
        </w:rPr>
      </w:pPr>
    </w:p>
    <w:p>
      <w:pPr>
        <w:jc w:val="center"/>
        <w:ind w:right="2480"/>
        <w:spacing w:after="0"/>
        <w:rPr>
          <w:sz w:val="20"/>
          <w:szCs w:val="20"/>
          <w:color w:val="auto"/>
        </w:rPr>
      </w:pPr>
      <w:r>
        <w:rPr>
          <w:rFonts w:ascii="Arial" w:cs="Arial" w:eastAsia="Arial" w:hAnsi="Arial"/>
          <w:sz w:val="14"/>
          <w:szCs w:val="14"/>
          <w:b w:val="1"/>
          <w:bCs w:val="1"/>
          <w:color w:val="auto"/>
        </w:rPr>
        <w:t>73-1352174</w:t>
      </w:r>
    </w:p>
    <w:p>
      <w:pPr>
        <w:spacing w:after="0" w:line="2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28" w:lineRule="exact"/>
        <w:rPr>
          <w:sz w:val="24"/>
          <w:szCs w:val="24"/>
          <w:color w:val="auto"/>
        </w:rPr>
      </w:pPr>
    </w:p>
    <w:p>
      <w:pPr>
        <w:jc w:val="center"/>
        <w:ind w:right="2480"/>
        <w:spacing w:after="0"/>
        <w:rPr>
          <w:sz w:val="20"/>
          <w:szCs w:val="20"/>
          <w:color w:val="auto"/>
        </w:rPr>
      </w:pPr>
      <w:r>
        <w:rPr>
          <w:rFonts w:ascii="Arial" w:cs="Arial" w:eastAsia="Arial" w:hAnsi="Arial"/>
          <w:sz w:val="14"/>
          <w:szCs w:val="14"/>
          <w:b w:val="1"/>
          <w:bCs w:val="1"/>
          <w:color w:val="auto"/>
        </w:rPr>
        <w:t>74135</w:t>
      </w:r>
    </w:p>
    <w:p>
      <w:pPr>
        <w:spacing w:after="0" w:line="141" w:lineRule="exact"/>
        <w:rPr>
          <w:sz w:val="24"/>
          <w:szCs w:val="24"/>
          <w:color w:val="auto"/>
        </w:rPr>
      </w:pPr>
    </w:p>
    <w:p>
      <w:pPr>
        <w:jc w:val="center"/>
        <w:ind w:right="2480"/>
        <w:spacing w:after="0"/>
        <w:rPr>
          <w:sz w:val="20"/>
          <w:szCs w:val="20"/>
          <w:color w:val="auto"/>
        </w:rPr>
      </w:pPr>
      <w:r>
        <w:rPr>
          <w:rFonts w:ascii="Arial" w:cs="Arial" w:eastAsia="Arial" w:hAnsi="Arial"/>
          <w:sz w:val="14"/>
          <w:szCs w:val="14"/>
          <w:b w:val="1"/>
          <w:bCs w:val="1"/>
          <w:color w:val="auto"/>
        </w:rPr>
        <w:t>(Zip Code)</w:t>
      </w:r>
    </w:p>
    <w:p>
      <w:pPr>
        <w:spacing w:after="0" w:line="145" w:lineRule="exact"/>
        <w:rPr>
          <w:sz w:val="24"/>
          <w:szCs w:val="24"/>
          <w:color w:val="auto"/>
        </w:rPr>
      </w:pPr>
    </w:p>
    <w:p>
      <w:pPr>
        <w:sectPr>
          <w:pgSz w:w="11900" w:h="16838" w:orient="portrait"/>
          <w:cols w:equalWidth="0" w:num="2">
            <w:col w:w="7160" w:space="500"/>
            <w:col w:w="3580"/>
          </w:cols>
          <w:pgMar w:left="320" w:top="711" w:right="339" w:bottom="1440" w:gutter="0" w:footer="0" w:header="0"/>
          <w:type w:val="continuous"/>
        </w:sectPr>
      </w:pPr>
    </w:p>
    <w:p>
      <w:pPr>
        <w:jc w:val="center"/>
        <w:ind w:right="-19"/>
        <w:spacing w:after="0"/>
        <w:rPr>
          <w:sz w:val="20"/>
          <w:szCs w:val="20"/>
          <w:color w:val="auto"/>
        </w:rPr>
      </w:pPr>
      <w:r>
        <w:rPr>
          <w:rFonts w:ascii="Arial" w:cs="Arial" w:eastAsia="Arial" w:hAnsi="Arial"/>
          <w:sz w:val="17"/>
          <w:szCs w:val="17"/>
          <w:b w:val="1"/>
          <w:bCs w:val="1"/>
          <w:color w:val="auto"/>
        </w:rPr>
        <w:t>Registrant’s telephone number, including area code: (918) 838-8822</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Securities registered pursuant to Section 12(b) of the Act:</w:t>
      </w:r>
    </w:p>
    <w:p>
      <w:pPr>
        <w:spacing w:after="0" w:line="55" w:lineRule="exact"/>
        <w:rPr>
          <w:sz w:val="24"/>
          <w:szCs w:val="24"/>
          <w:color w:val="auto"/>
        </w:rPr>
      </w:pPr>
    </w:p>
    <w:tbl>
      <w:tblPr>
        <w:tblLayout w:type="fixed"/>
        <w:tblInd w:w="0" w:type="dxa"/>
        <w:tblCellMar>
          <w:top w:w="0" w:type="dxa"/>
          <w:left w:w="0" w:type="dxa"/>
          <w:bottom w:w="0" w:type="dxa"/>
          <w:right w:w="0" w:type="dxa"/>
        </w:tblCellMar>
      </w:tblPr>
      <w:tr>
        <w:trPr>
          <w:trHeight w:val="195"/>
        </w:trPr>
        <w:tc>
          <w:tcPr>
            <w:tcW w:w="194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7"/>
                <w:szCs w:val="17"/>
                <w:b w:val="1"/>
                <w:bCs w:val="1"/>
                <w:color w:val="auto"/>
                <w:w w:val="90"/>
              </w:rPr>
              <w:t>Title of each class</w:t>
            </w:r>
          </w:p>
        </w:tc>
        <w:tc>
          <w:tcPr>
            <w:tcW w:w="164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7"/>
                <w:szCs w:val="17"/>
                <w:b w:val="1"/>
                <w:bCs w:val="1"/>
                <w:color w:val="auto"/>
                <w:w w:val="93"/>
              </w:rPr>
              <w:t>Trading Symbol(s)</w:t>
            </w:r>
          </w:p>
        </w:tc>
        <w:tc>
          <w:tcPr>
            <w:tcW w:w="340" w:type="dxa"/>
            <w:vAlign w:val="bottom"/>
          </w:tcPr>
          <w:p>
            <w:pPr>
              <w:spacing w:after="0"/>
              <w:rPr>
                <w:sz w:val="16"/>
                <w:szCs w:val="16"/>
                <w:color w:val="auto"/>
              </w:rPr>
            </w:pPr>
          </w:p>
        </w:tc>
        <w:tc>
          <w:tcPr>
            <w:tcW w:w="3580" w:type="dxa"/>
            <w:vAlign w:val="bottom"/>
            <w:gridSpan w:val="4"/>
          </w:tcPr>
          <w:p>
            <w:pPr>
              <w:jc w:val="center"/>
              <w:ind w:left="253"/>
              <w:spacing w:after="0"/>
              <w:rPr>
                <w:sz w:val="20"/>
                <w:szCs w:val="20"/>
                <w:color w:val="auto"/>
              </w:rPr>
            </w:pPr>
            <w:r>
              <w:rPr>
                <w:rFonts w:ascii="Arial" w:cs="Arial" w:eastAsia="Arial" w:hAnsi="Arial"/>
                <w:sz w:val="17"/>
                <w:szCs w:val="17"/>
                <w:b w:val="1"/>
                <w:bCs w:val="1"/>
                <w:color w:val="auto"/>
                <w:w w:val="90"/>
              </w:rPr>
              <w:t>Name of each exchange on which registered</w:t>
            </w:r>
          </w:p>
        </w:tc>
      </w:tr>
      <w:tr>
        <w:trPr>
          <w:trHeight w:val="20"/>
        </w:trPr>
        <w:tc>
          <w:tcPr>
            <w:tcW w:w="194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40" w:type="dxa"/>
            <w:vAlign w:val="bottom"/>
            <w:gridSpan w:val="3"/>
            <w:shd w:val="clear" w:color="auto" w:fill="000000"/>
          </w:tcPr>
          <w:p>
            <w:pPr>
              <w:spacing w:after="0" w:line="20" w:lineRule="exact"/>
              <w:rPr>
                <w:sz w:val="1"/>
                <w:szCs w:val="1"/>
                <w:color w:val="auto"/>
              </w:rPr>
            </w:pPr>
          </w:p>
        </w:tc>
      </w:tr>
      <w:tr>
        <w:trPr>
          <w:trHeight w:val="242"/>
        </w:trPr>
        <w:tc>
          <w:tcPr>
            <w:tcW w:w="4900" w:type="dxa"/>
            <w:vAlign w:val="bottom"/>
            <w:gridSpan w:val="3"/>
          </w:tcPr>
          <w:p>
            <w:pPr>
              <w:jc w:val="center"/>
              <w:ind w:left="233"/>
              <w:spacing w:after="0"/>
              <w:rPr>
                <w:sz w:val="20"/>
                <w:szCs w:val="20"/>
                <w:color w:val="auto"/>
              </w:rPr>
            </w:pPr>
            <w:r>
              <w:rPr>
                <w:rFonts w:ascii="Arial" w:cs="Arial" w:eastAsia="Arial" w:hAnsi="Arial"/>
                <w:sz w:val="17"/>
                <w:szCs w:val="17"/>
                <w:color w:val="auto"/>
                <w:w w:val="92"/>
              </w:rPr>
              <w:t>Common Stock, par value $0.01 per share</w:t>
            </w:r>
          </w:p>
        </w:tc>
        <w:tc>
          <w:tcPr>
            <w:tcW w:w="1780" w:type="dxa"/>
            <w:vAlign w:val="bottom"/>
            <w:gridSpan w:val="2"/>
          </w:tcPr>
          <w:p>
            <w:pPr>
              <w:jc w:val="center"/>
              <w:ind w:right="340"/>
              <w:spacing w:after="0"/>
              <w:rPr>
                <w:sz w:val="20"/>
                <w:szCs w:val="20"/>
                <w:color w:val="auto"/>
              </w:rPr>
            </w:pPr>
            <w:r>
              <w:rPr>
                <w:rFonts w:ascii="Arial" w:cs="Arial" w:eastAsia="Arial" w:hAnsi="Arial"/>
                <w:sz w:val="17"/>
                <w:szCs w:val="17"/>
                <w:color w:val="auto"/>
              </w:rPr>
              <w:t>MTRX</w:t>
            </w:r>
          </w:p>
        </w:tc>
        <w:tc>
          <w:tcPr>
            <w:tcW w:w="340" w:type="dxa"/>
            <w:vAlign w:val="bottom"/>
          </w:tcPr>
          <w:p>
            <w:pPr>
              <w:spacing w:after="0"/>
              <w:rPr>
                <w:sz w:val="21"/>
                <w:szCs w:val="21"/>
                <w:color w:val="auto"/>
              </w:rPr>
            </w:pPr>
          </w:p>
        </w:tc>
        <w:tc>
          <w:tcPr>
            <w:tcW w:w="3240" w:type="dxa"/>
            <w:vAlign w:val="bottom"/>
            <w:gridSpan w:val="3"/>
          </w:tcPr>
          <w:p>
            <w:pPr>
              <w:jc w:val="center"/>
              <w:spacing w:after="0"/>
              <w:rPr>
                <w:sz w:val="20"/>
                <w:szCs w:val="20"/>
                <w:color w:val="auto"/>
              </w:rPr>
            </w:pPr>
            <w:r>
              <w:rPr>
                <w:rFonts w:ascii="Arial" w:cs="Arial" w:eastAsia="Arial" w:hAnsi="Arial"/>
                <w:sz w:val="17"/>
                <w:szCs w:val="17"/>
                <w:color w:val="auto"/>
                <w:w w:val="97"/>
              </w:rPr>
              <w:t>NASDAQ Global Select Market</w:t>
            </w:r>
          </w:p>
        </w:tc>
      </w:tr>
      <w:tr>
        <w:trPr>
          <w:trHeight w:val="354"/>
        </w:trPr>
        <w:tc>
          <w:tcPr>
            <w:tcW w:w="1940" w:type="dxa"/>
            <w:vAlign w:val="bottom"/>
          </w:tcPr>
          <w:p>
            <w:pPr>
              <w:spacing w:after="0"/>
              <w:rPr>
                <w:sz w:val="24"/>
                <w:szCs w:val="24"/>
                <w:color w:val="auto"/>
              </w:rPr>
            </w:pPr>
          </w:p>
        </w:tc>
        <w:tc>
          <w:tcPr>
            <w:tcW w:w="6440" w:type="dxa"/>
            <w:vAlign w:val="bottom"/>
            <w:gridSpan w:val="6"/>
          </w:tcPr>
          <w:p>
            <w:pPr>
              <w:jc w:val="center"/>
              <w:ind w:left="833"/>
              <w:spacing w:after="0"/>
              <w:rPr>
                <w:sz w:val="20"/>
                <w:szCs w:val="20"/>
                <w:color w:val="auto"/>
              </w:rPr>
            </w:pPr>
            <w:r>
              <w:rPr>
                <w:rFonts w:ascii="Arial" w:cs="Arial" w:eastAsia="Arial" w:hAnsi="Arial"/>
                <w:sz w:val="17"/>
                <w:szCs w:val="17"/>
                <w:b w:val="1"/>
                <w:bCs w:val="1"/>
                <w:color w:val="auto"/>
                <w:w w:val="91"/>
              </w:rPr>
              <w:t>Securities Registered Pursuant to Section 12(g) of the Act: None</w:t>
            </w:r>
          </w:p>
        </w:tc>
        <w:tc>
          <w:tcPr>
            <w:tcW w:w="6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22"/>
        </w:trPr>
        <w:tc>
          <w:tcPr>
            <w:tcW w:w="8380" w:type="dxa"/>
            <w:vAlign w:val="bottom"/>
            <w:gridSpan w:val="7"/>
          </w:tcPr>
          <w:p>
            <w:pPr>
              <w:spacing w:after="0"/>
              <w:rPr>
                <w:sz w:val="20"/>
                <w:szCs w:val="20"/>
                <w:color w:val="auto"/>
              </w:rPr>
            </w:pPr>
            <w:r>
              <w:rPr>
                <w:rFonts w:ascii="Arial" w:cs="Arial" w:eastAsia="Arial" w:hAnsi="Arial"/>
                <w:sz w:val="17"/>
                <w:szCs w:val="17"/>
                <w:color w:val="auto"/>
                <w:w w:val="95"/>
              </w:rPr>
              <w:t>Indicate by check mark if the registrant is a well-known seasoned issuer, as defined in Rule 405 of the Securities Act.</w:t>
            </w:r>
          </w:p>
        </w:tc>
        <w:tc>
          <w:tcPr>
            <w:tcW w:w="660" w:type="dxa"/>
            <w:vAlign w:val="bottom"/>
          </w:tcPr>
          <w:p>
            <w:pPr>
              <w:jc w:val="center"/>
              <w:ind w:right="73"/>
              <w:spacing w:after="0" w:line="196" w:lineRule="exact"/>
              <w:rPr>
                <w:sz w:val="20"/>
                <w:szCs w:val="20"/>
                <w:color w:val="auto"/>
              </w:rPr>
            </w:pPr>
            <w:r>
              <w:rPr>
                <w:rFonts w:ascii="Arial" w:cs="Arial" w:eastAsia="Arial" w:hAnsi="Arial"/>
                <w:sz w:val="17"/>
                <w:szCs w:val="17"/>
                <w:color w:val="auto"/>
                <w:w w:val="97"/>
              </w:rPr>
              <w:t xml:space="preserve">Yes </w:t>
            </w:r>
            <w:r>
              <w:rPr>
                <w:rFonts w:ascii="MS PGothic" w:cs="MS PGothic" w:eastAsia="MS PGothic" w:hAnsi="MS PGothic"/>
                <w:sz w:val="17"/>
                <w:szCs w:val="17"/>
                <w:color w:val="auto"/>
                <w:w w:val="97"/>
              </w:rPr>
              <w:t>☐</w:t>
            </w:r>
          </w:p>
        </w:tc>
        <w:tc>
          <w:tcPr>
            <w:tcW w:w="1220" w:type="dxa"/>
            <w:vAlign w:val="bottom"/>
          </w:tcPr>
          <w:p>
            <w:pPr>
              <w:ind w:left="20"/>
              <w:spacing w:after="0" w:line="196" w:lineRule="exact"/>
              <w:rPr>
                <w:sz w:val="20"/>
                <w:szCs w:val="20"/>
                <w:color w:val="auto"/>
              </w:rPr>
            </w:pP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tc>
      </w:tr>
      <w:tr>
        <w:trPr>
          <w:trHeight w:val="288"/>
        </w:trPr>
        <w:tc>
          <w:tcPr>
            <w:tcW w:w="8380" w:type="dxa"/>
            <w:vAlign w:val="bottom"/>
            <w:gridSpan w:val="7"/>
          </w:tcPr>
          <w:p>
            <w:pPr>
              <w:spacing w:after="0"/>
              <w:rPr>
                <w:sz w:val="20"/>
                <w:szCs w:val="20"/>
                <w:color w:val="auto"/>
              </w:rPr>
            </w:pPr>
            <w:r>
              <w:rPr>
                <w:rFonts w:ascii="Arial" w:cs="Arial" w:eastAsia="Arial" w:hAnsi="Arial"/>
                <w:sz w:val="17"/>
                <w:szCs w:val="17"/>
                <w:color w:val="auto"/>
                <w:w w:val="94"/>
              </w:rPr>
              <w:t>Indicate by check mark if the registrant is not required to file reports pursuant to Section 13 or Section 15(d) of the Act.</w:t>
            </w:r>
          </w:p>
        </w:tc>
        <w:tc>
          <w:tcPr>
            <w:tcW w:w="660" w:type="dxa"/>
            <w:vAlign w:val="bottom"/>
          </w:tcPr>
          <w:p>
            <w:pPr>
              <w:ind w:left="160"/>
              <w:spacing w:after="0" w:line="196" w:lineRule="exact"/>
              <w:rPr>
                <w:sz w:val="20"/>
                <w:szCs w:val="20"/>
                <w:color w:val="auto"/>
              </w:rPr>
            </w:pPr>
            <w:r>
              <w:rPr>
                <w:rFonts w:ascii="Arial" w:cs="Arial" w:eastAsia="Arial" w:hAnsi="Arial"/>
                <w:sz w:val="17"/>
                <w:szCs w:val="17"/>
                <w:color w:val="auto"/>
                <w:w w:val="93"/>
              </w:rPr>
              <w:t xml:space="preserve">Yes </w:t>
            </w:r>
            <w:r>
              <w:rPr>
                <w:rFonts w:ascii="MS PGothic" w:cs="MS PGothic" w:eastAsia="MS PGothic" w:hAnsi="MS PGothic"/>
                <w:sz w:val="17"/>
                <w:szCs w:val="17"/>
                <w:color w:val="auto"/>
                <w:w w:val="93"/>
              </w:rPr>
              <w:t>☐</w:t>
            </w:r>
          </w:p>
        </w:tc>
        <w:tc>
          <w:tcPr>
            <w:tcW w:w="1220" w:type="dxa"/>
            <w:vAlign w:val="bottom"/>
          </w:tcPr>
          <w:p>
            <w:pPr>
              <w:ind w:left="160"/>
              <w:spacing w:after="0" w:line="196" w:lineRule="exact"/>
              <w:rPr>
                <w:sz w:val="20"/>
                <w:szCs w:val="20"/>
                <w:color w:val="auto"/>
              </w:rPr>
            </w:pP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tc>
      </w:tr>
    </w:tbl>
    <w:p>
      <w:pPr>
        <w:spacing w:after="0" w:line="60" w:lineRule="exact"/>
        <w:rPr>
          <w:sz w:val="24"/>
          <w:szCs w:val="24"/>
          <w:color w:val="auto"/>
        </w:rPr>
      </w:pPr>
    </w:p>
    <w:p>
      <w:pPr>
        <w:jc w:val="both"/>
        <w:ind w:right="80"/>
        <w:spacing w:after="0" w:line="220"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62" w:lineRule="exact"/>
        <w:rPr>
          <w:sz w:val="24"/>
          <w:szCs w:val="24"/>
          <w:color w:val="auto"/>
        </w:rPr>
      </w:pPr>
    </w:p>
    <w:p>
      <w:pPr>
        <w:ind w:right="680"/>
        <w:spacing w:after="0" w:line="226"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48" w:lineRule="exact"/>
        <w:rPr>
          <w:sz w:val="24"/>
          <w:szCs w:val="24"/>
          <w:color w:val="auto"/>
        </w:rPr>
      </w:pPr>
    </w:p>
    <w:p>
      <w:pPr>
        <w:ind w:right="260"/>
        <w:spacing w:after="0" w:line="273"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22" w:lineRule="exact"/>
        <w:rPr>
          <w:sz w:val="24"/>
          <w:szCs w:val="24"/>
          <w:color w:val="auto"/>
        </w:rPr>
      </w:pPr>
    </w:p>
    <w:p>
      <w:pPr>
        <w:ind w:left="400" w:right="2180"/>
        <w:spacing w:after="0" w:line="242" w:lineRule="exact"/>
        <w:rPr>
          <w:sz w:val="20"/>
          <w:szCs w:val="20"/>
          <w:color w:val="auto"/>
        </w:rPr>
      </w:pPr>
      <w:r>
        <w:rPr>
          <w:rFonts w:ascii="Arial" w:cs="Arial" w:eastAsia="Arial" w:hAnsi="Arial"/>
          <w:sz w:val="17"/>
          <w:szCs w:val="17"/>
          <w:color w:val="auto"/>
        </w:rPr>
        <w:t xml:space="preserve">Large accelerated filer </w:t>
      </w:r>
      <w:r>
        <w:rPr>
          <w:rFonts w:ascii="MS PGothic" w:cs="MS PGothic" w:eastAsia="MS PGothic" w:hAnsi="MS PGothic"/>
          <w:sz w:val="17"/>
          <w:szCs w:val="17"/>
          <w:color w:val="auto"/>
        </w:rPr>
        <w:t>☐</w:t>
      </w:r>
      <w:r>
        <w:rPr>
          <w:rFonts w:ascii="Arial" w:cs="Arial" w:eastAsia="Arial" w:hAnsi="Arial"/>
          <w:sz w:val="17"/>
          <w:szCs w:val="17"/>
          <w:color w:val="auto"/>
        </w:rPr>
        <w:t xml:space="preserve"> Accelerated filer </w:t>
      </w:r>
      <w:r>
        <w:rPr>
          <w:rFonts w:ascii="MS PGothic" w:cs="MS PGothic" w:eastAsia="MS PGothic" w:hAnsi="MS PGothic"/>
          <w:sz w:val="17"/>
          <w:szCs w:val="17"/>
          <w:color w:val="auto"/>
        </w:rPr>
        <w:t>☒</w:t>
      </w:r>
      <w:r>
        <w:rPr>
          <w:rFonts w:ascii="Arial" w:cs="Arial" w:eastAsia="Arial" w:hAnsi="Arial"/>
          <w:sz w:val="17"/>
          <w:szCs w:val="17"/>
          <w:color w:val="auto"/>
        </w:rPr>
        <w:t xml:space="preserve"> Non-accelerated filer </w:t>
      </w:r>
      <w:r>
        <w:rPr>
          <w:rFonts w:ascii="MS PGothic" w:cs="MS PGothic" w:eastAsia="MS PGothic" w:hAnsi="MS PGothic"/>
          <w:sz w:val="17"/>
          <w:szCs w:val="17"/>
          <w:color w:val="auto"/>
        </w:rPr>
        <w:t>☐</w:t>
      </w:r>
      <w:r>
        <w:rPr>
          <w:rFonts w:ascii="Arial" w:cs="Arial" w:eastAsia="Arial" w:hAnsi="Arial"/>
          <w:sz w:val="17"/>
          <w:szCs w:val="17"/>
          <w:color w:val="auto"/>
        </w:rPr>
        <w:t xml:space="preserve"> Smaller reporting company </w:t>
      </w:r>
      <w:r>
        <w:rPr>
          <w:rFonts w:ascii="MS PGothic" w:cs="MS PGothic" w:eastAsia="MS PGothic" w:hAnsi="MS PGothic"/>
          <w:sz w:val="17"/>
          <w:szCs w:val="17"/>
          <w:color w:val="auto"/>
        </w:rPr>
        <w:t>☐</w:t>
      </w:r>
      <w:r>
        <w:rPr>
          <w:rFonts w:ascii="Arial" w:cs="Arial" w:eastAsia="Arial" w:hAnsi="Arial"/>
          <w:sz w:val="17"/>
          <w:szCs w:val="17"/>
          <w:color w:val="auto"/>
        </w:rPr>
        <w:t xml:space="preserve"> Emerging growth company </w:t>
      </w:r>
      <w:r>
        <w:rPr>
          <w:rFonts w:ascii="MS PGothic" w:cs="MS PGothic" w:eastAsia="MS PGothic" w:hAnsi="MS PGothic"/>
          <w:sz w:val="17"/>
          <w:szCs w:val="17"/>
          <w:color w:val="auto"/>
        </w:rPr>
        <w:t>☐</w:t>
      </w:r>
    </w:p>
    <w:p>
      <w:pPr>
        <w:spacing w:after="0" w:line="60" w:lineRule="exact"/>
        <w:rPr>
          <w:sz w:val="24"/>
          <w:szCs w:val="24"/>
          <w:color w:val="auto"/>
        </w:rPr>
      </w:pPr>
    </w:p>
    <w:p>
      <w:pPr>
        <w:ind w:right="300"/>
        <w:spacing w:after="0" w:line="226"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47" w:lineRule="exact"/>
        <w:rPr>
          <w:sz w:val="24"/>
          <w:szCs w:val="24"/>
          <w:color w:val="auto"/>
        </w:rPr>
      </w:pPr>
    </w:p>
    <w:p>
      <w:pPr>
        <w:ind w:right="20"/>
        <w:spacing w:after="0" w:line="220" w:lineRule="exact"/>
        <w:rPr>
          <w:sz w:val="20"/>
          <w:szCs w:val="20"/>
          <w:color w:val="auto"/>
        </w:rPr>
      </w:pPr>
      <w:r>
        <w:rPr>
          <w:rFonts w:ascii="Arial" w:cs="Arial" w:eastAsia="Arial" w:hAnsi="Arial"/>
          <w:sz w:val="17"/>
          <w:szCs w:val="17"/>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7"/>
          <w:szCs w:val="17"/>
          <w:color w:val="auto"/>
        </w:rPr>
        <w:t>☒</w:t>
      </w:r>
    </w:p>
    <w:p>
      <w:pPr>
        <w:spacing w:after="0" w:line="29" w:lineRule="exact"/>
        <w:rPr>
          <w:sz w:val="24"/>
          <w:szCs w:val="24"/>
          <w:color w:val="auto"/>
        </w:rPr>
      </w:pPr>
    </w:p>
    <w:p>
      <w:pPr>
        <w:spacing w:after="0" w:line="196" w:lineRule="exact"/>
        <w:tabs>
          <w:tab w:leader="none" w:pos="8100" w:val="left"/>
          <w:tab w:leader="none" w:pos="876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tab/>
        <w:t xml:space="preserve">Yes </w:t>
      </w:r>
      <w:r>
        <w:rPr>
          <w:rFonts w:ascii="MS PGothic" w:cs="MS PGothic" w:eastAsia="MS PGothic" w:hAnsi="MS PGothic"/>
          <w:sz w:val="17"/>
          <w:szCs w:val="17"/>
          <w:color w:val="auto"/>
        </w:rPr>
        <w:t>☐</w:t>
      </w:r>
      <w:r>
        <w:rPr>
          <w:rFonts w:ascii="Arial" w:cs="Arial" w:eastAsia="Arial" w:hAnsi="Arial"/>
          <w:sz w:val="17"/>
          <w:szCs w:val="17"/>
          <w:color w:val="auto"/>
        </w:rPr>
        <w:tab/>
        <w:t xml:space="preserve">No </w:t>
      </w:r>
      <w:r>
        <w:rPr>
          <w:rFonts w:ascii="MS PGothic" w:cs="MS PGothic" w:eastAsia="MS PGothic" w:hAnsi="MS PGothic"/>
          <w:sz w:val="17"/>
          <w:szCs w:val="17"/>
          <w:color w:val="auto"/>
        </w:rPr>
        <w:t>☒</w:t>
      </w:r>
    </w:p>
    <w:p>
      <w:pPr>
        <w:spacing w:after="0" w:line="125" w:lineRule="exact"/>
        <w:rPr>
          <w:sz w:val="24"/>
          <w:szCs w:val="24"/>
          <w:color w:val="auto"/>
        </w:rPr>
      </w:pPr>
    </w:p>
    <w:p>
      <w:pPr>
        <w:ind w:right="40"/>
        <w:spacing w:after="0" w:line="289" w:lineRule="auto"/>
        <w:rPr>
          <w:sz w:val="20"/>
          <w:szCs w:val="20"/>
          <w:color w:val="auto"/>
        </w:rPr>
      </w:pPr>
      <w:r>
        <w:rPr>
          <w:rFonts w:ascii="Arial" w:cs="Arial" w:eastAsia="Arial" w:hAnsi="Arial"/>
          <w:sz w:val="17"/>
          <w:szCs w:val="17"/>
          <w:color w:val="auto"/>
        </w:rPr>
        <w:t>The aggregate market value of the registrant’s common stock held by non-affiliates computed by reference to the price at which the common stock was last sold as of the last business day of the registrant’s most recently completed second quarter was approximately $284 million.</w:t>
      </w:r>
    </w:p>
    <w:p>
      <w:pPr>
        <w:spacing w:after="0" w:line="41" w:lineRule="exact"/>
        <w:rPr>
          <w:sz w:val="24"/>
          <w:szCs w:val="24"/>
          <w:color w:val="auto"/>
        </w:rPr>
      </w:pPr>
    </w:p>
    <w:p>
      <w:pPr>
        <w:spacing w:after="0"/>
        <w:rPr>
          <w:sz w:val="20"/>
          <w:szCs w:val="20"/>
          <w:color w:val="auto"/>
        </w:rPr>
      </w:pPr>
      <w:r>
        <w:rPr>
          <w:rFonts w:ascii="Arial" w:cs="Arial" w:eastAsia="Arial" w:hAnsi="Arial"/>
          <w:sz w:val="17"/>
          <w:szCs w:val="17"/>
          <w:color w:val="auto"/>
        </w:rPr>
        <w:t>The number of shares of the registrant’s common stock outstanding as of September 9, 2021 was 26,697,028 shares.</w:t>
      </w:r>
    </w:p>
    <w:p>
      <w:pPr>
        <w:spacing w:after="0" w:line="100" w:lineRule="exact"/>
        <w:rPr>
          <w:sz w:val="24"/>
          <w:szCs w:val="24"/>
          <w:color w:val="auto"/>
        </w:rPr>
      </w:pPr>
    </w:p>
    <w:p>
      <w:pPr>
        <w:ind w:left="4180"/>
        <w:spacing w:after="0"/>
        <w:rPr>
          <w:sz w:val="20"/>
          <w:szCs w:val="20"/>
          <w:color w:val="auto"/>
        </w:rPr>
      </w:pPr>
      <w:r>
        <w:rPr>
          <w:rFonts w:ascii="Arial" w:cs="Arial" w:eastAsia="Arial" w:hAnsi="Arial"/>
          <w:sz w:val="17"/>
          <w:szCs w:val="17"/>
          <w:b w:val="1"/>
          <w:bCs w:val="1"/>
          <w:color w:val="auto"/>
        </w:rPr>
        <w:t>Documents Incorporated by Reference</w:t>
      </w:r>
    </w:p>
    <w:p>
      <w:pPr>
        <w:spacing w:after="0" w:line="99" w:lineRule="exact"/>
        <w:rPr>
          <w:sz w:val="24"/>
          <w:szCs w:val="24"/>
          <w:color w:val="auto"/>
        </w:rPr>
      </w:pPr>
    </w:p>
    <w:p>
      <w:pPr>
        <w:spacing w:after="0" w:line="289" w:lineRule="auto"/>
        <w:rPr>
          <w:sz w:val="20"/>
          <w:szCs w:val="20"/>
          <w:color w:val="auto"/>
        </w:rPr>
      </w:pPr>
      <w:r>
        <w:rPr>
          <w:rFonts w:ascii="Arial" w:cs="Arial" w:eastAsia="Arial" w:hAnsi="Arial"/>
          <w:sz w:val="17"/>
          <w:szCs w:val="17"/>
          <w:color w:val="auto"/>
        </w:rPr>
        <w:t>Certain sections of the registrant's definitive proxy statement relating to the registrant's 2021 annual meeting of stockholders, which definitive proxy statement will be filed within 120 days of the end of the registrant's fiscal year, are incorporated by reference into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79375</wp:posOffset>
            </wp:positionV>
            <wp:extent cx="716153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11"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40" w:type="dxa"/>
            <w:vAlign w:val="bottom"/>
            <w:gridSpan w:val="8"/>
          </w:tcPr>
          <w:p>
            <w:pPr>
              <w:jc w:val="center"/>
              <w:ind w:right="3480"/>
              <w:spacing w:after="0"/>
              <w:rPr>
                <w:sz w:val="20"/>
                <w:szCs w:val="20"/>
                <w:color w:val="auto"/>
              </w:rPr>
            </w:pPr>
            <w:r>
              <w:rPr>
                <w:rFonts w:ascii="Arial" w:cs="Arial" w:eastAsia="Arial" w:hAnsi="Arial"/>
                <w:sz w:val="17"/>
                <w:szCs w:val="17"/>
                <w:b w:val="1"/>
                <w:bCs w:val="1"/>
                <w:color w:val="auto"/>
              </w:rPr>
              <w:t>TABLE OF CONTENTS</w:t>
            </w: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649"/>
        </w:trPr>
        <w:tc>
          <w:tcPr>
            <w:tcW w:w="1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60" w:type="dxa"/>
            <w:vAlign w:val="bottom"/>
            <w:gridSpan w:val="5"/>
          </w:tcPr>
          <w:p>
            <w:pPr>
              <w:ind w:left="320"/>
              <w:spacing w:after="0"/>
              <w:rPr>
                <w:sz w:val="20"/>
                <w:szCs w:val="20"/>
                <w:color w:val="auto"/>
              </w:rPr>
            </w:pPr>
            <w:r>
              <w:rPr>
                <w:rFonts w:ascii="Arial" w:cs="Arial" w:eastAsia="Arial" w:hAnsi="Arial"/>
                <w:sz w:val="14"/>
                <w:szCs w:val="14"/>
                <w:b w:val="1"/>
                <w:bCs w:val="1"/>
                <w:color w:val="auto"/>
              </w:rPr>
              <w:t>Page</w:t>
            </w:r>
          </w:p>
        </w:tc>
      </w:tr>
      <w:tr>
        <w:trPr>
          <w:trHeight w:val="209"/>
        </w:trPr>
        <w:tc>
          <w:tcPr>
            <w:tcW w:w="1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40" w:type="dxa"/>
            <w:vAlign w:val="bottom"/>
            <w:gridSpan w:val="6"/>
          </w:tcPr>
          <w:p>
            <w:pPr>
              <w:jc w:val="center"/>
              <w:ind w:right="4280"/>
              <w:spacing w:after="0"/>
              <w:rPr>
                <w:sz w:val="20"/>
                <w:szCs w:val="20"/>
                <w:color w:val="auto"/>
              </w:rPr>
            </w:pPr>
            <w:r>
              <w:rPr>
                <w:rFonts w:ascii="Arial" w:cs="Arial" w:eastAsia="Arial" w:hAnsi="Arial"/>
                <w:sz w:val="17"/>
                <w:szCs w:val="17"/>
                <w:b w:val="1"/>
                <w:bCs w:val="1"/>
                <w:color w:val="auto"/>
              </w:rPr>
              <w:t>Part I</w:t>
            </w:r>
          </w:p>
        </w:tc>
        <w:tc>
          <w:tcPr>
            <w:tcW w:w="7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446"/>
        </w:trPr>
        <w:tc>
          <w:tcPr>
            <w:tcW w:w="1200" w:type="dxa"/>
            <w:vAlign w:val="bottom"/>
          </w:tcPr>
          <w:p>
            <w:pPr>
              <w:ind w:left="20"/>
              <w:spacing w:after="0"/>
              <w:rPr>
                <w:sz w:val="20"/>
                <w:szCs w:val="20"/>
                <w:color w:val="auto"/>
              </w:rPr>
            </w:pPr>
            <w:r>
              <w:rPr>
                <w:rFonts w:ascii="Arial" w:cs="Arial" w:eastAsia="Arial" w:hAnsi="Arial"/>
                <w:sz w:val="17"/>
                <w:szCs w:val="17"/>
                <w:color w:val="auto"/>
              </w:rPr>
              <w:t>Item 1.</w:t>
            </w:r>
          </w:p>
        </w:tc>
        <w:tc>
          <w:tcPr>
            <w:tcW w:w="9080" w:type="dxa"/>
            <w:vAlign w:val="bottom"/>
            <w:gridSpan w:val="20"/>
          </w:tcPr>
          <w:p>
            <w:pPr>
              <w:spacing w:after="0"/>
              <w:rPr>
                <w:rFonts w:ascii="Arial" w:cs="Arial" w:eastAsia="Arial" w:hAnsi="Arial"/>
                <w:sz w:val="17"/>
                <w:szCs w:val="17"/>
                <w:color w:val="0000FF"/>
              </w:rPr>
            </w:pPr>
            <w:hyperlink w:anchor="page3">
              <w:r>
                <w:rPr>
                  <w:rFonts w:ascii="Arial" w:cs="Arial" w:eastAsia="Arial" w:hAnsi="Arial"/>
                  <w:sz w:val="17"/>
                  <w:szCs w:val="17"/>
                  <w:color w:val="0000FF"/>
                </w:rPr>
                <w:t>Business</w:t>
              </w:r>
            </w:hyperlink>
          </w:p>
        </w:tc>
        <w:tc>
          <w:tcPr>
            <w:tcW w:w="920" w:type="dxa"/>
            <w:vAlign w:val="bottom"/>
            <w:gridSpan w:val="4"/>
          </w:tcPr>
          <w:p>
            <w:pPr>
              <w:jc w:val="right"/>
              <w:ind w:right="20"/>
              <w:spacing w:after="0"/>
              <w:rPr>
                <w:rFonts w:ascii="Arial" w:cs="Arial" w:eastAsia="Arial" w:hAnsi="Arial"/>
                <w:sz w:val="17"/>
                <w:szCs w:val="17"/>
                <w:color w:val="0000FF"/>
              </w:rPr>
            </w:pPr>
            <w:hyperlink w:anchor="page3">
              <w:r>
                <w:rPr>
                  <w:rFonts w:ascii="Arial" w:cs="Arial" w:eastAsia="Arial" w:hAnsi="Arial"/>
                  <w:sz w:val="17"/>
                  <w:szCs w:val="17"/>
                  <w:color w:val="0000FF"/>
                </w:rPr>
                <w:t>2</w:t>
              </w:r>
            </w:hyperlink>
          </w:p>
        </w:tc>
        <w:tc>
          <w:tcPr>
            <w:tcW w:w="40" w:type="dxa"/>
            <w:vAlign w:val="bottom"/>
          </w:tcPr>
          <w:p>
            <w:pPr>
              <w:spacing w:after="0"/>
              <w:rPr>
                <w:sz w:val="24"/>
                <w:szCs w:val="24"/>
                <w:color w:val="auto"/>
              </w:rPr>
            </w:pPr>
          </w:p>
        </w:tc>
      </w:tr>
      <w:tr>
        <w:trPr>
          <w:trHeight w:val="20"/>
        </w:trPr>
        <w:tc>
          <w:tcPr>
            <w:tcW w:w="12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5"/>
        </w:trPr>
        <w:tc>
          <w:tcPr>
            <w:tcW w:w="1200" w:type="dxa"/>
            <w:vAlign w:val="bottom"/>
          </w:tcPr>
          <w:p>
            <w:pPr>
              <w:ind w:left="20"/>
              <w:spacing w:after="0"/>
              <w:rPr>
                <w:sz w:val="20"/>
                <w:szCs w:val="20"/>
                <w:color w:val="auto"/>
              </w:rPr>
            </w:pPr>
            <w:r>
              <w:rPr>
                <w:rFonts w:ascii="Arial" w:cs="Arial" w:eastAsia="Arial" w:hAnsi="Arial"/>
                <w:sz w:val="17"/>
                <w:szCs w:val="17"/>
                <w:color w:val="auto"/>
              </w:rPr>
              <w:t>Item 1A.</w:t>
            </w:r>
          </w:p>
        </w:tc>
        <w:tc>
          <w:tcPr>
            <w:tcW w:w="9080" w:type="dxa"/>
            <w:vAlign w:val="bottom"/>
            <w:gridSpan w:val="20"/>
          </w:tcPr>
          <w:p>
            <w:pPr>
              <w:spacing w:after="0"/>
              <w:rPr>
                <w:rFonts w:ascii="Arial" w:cs="Arial" w:eastAsia="Arial" w:hAnsi="Arial"/>
                <w:sz w:val="17"/>
                <w:szCs w:val="17"/>
                <w:color w:val="0000FF"/>
              </w:rPr>
            </w:pPr>
            <w:hyperlink w:anchor="page10">
              <w:r>
                <w:rPr>
                  <w:rFonts w:ascii="Arial" w:cs="Arial" w:eastAsia="Arial" w:hAnsi="Arial"/>
                  <w:sz w:val="17"/>
                  <w:szCs w:val="17"/>
                  <w:color w:val="0000FF"/>
                </w:rPr>
                <w:t>Risk Factors</w:t>
              </w:r>
            </w:hyperlink>
          </w:p>
        </w:tc>
        <w:tc>
          <w:tcPr>
            <w:tcW w:w="920" w:type="dxa"/>
            <w:vAlign w:val="bottom"/>
            <w:gridSpan w:val="4"/>
          </w:tcPr>
          <w:p>
            <w:pPr>
              <w:jc w:val="right"/>
              <w:ind w:right="20"/>
              <w:spacing w:after="0"/>
              <w:rPr>
                <w:rFonts w:ascii="Arial" w:cs="Arial" w:eastAsia="Arial" w:hAnsi="Arial"/>
                <w:sz w:val="17"/>
                <w:szCs w:val="17"/>
                <w:color w:val="0000FF"/>
              </w:rPr>
            </w:pPr>
            <w:hyperlink w:anchor="page10">
              <w:r>
                <w:rPr>
                  <w:rFonts w:ascii="Arial" w:cs="Arial" w:eastAsia="Arial" w:hAnsi="Arial"/>
                  <w:sz w:val="17"/>
                  <w:szCs w:val="17"/>
                  <w:color w:val="0000FF"/>
                </w:rPr>
                <w:t>10</w:t>
              </w:r>
            </w:hyperlink>
          </w:p>
        </w:tc>
        <w:tc>
          <w:tcPr>
            <w:tcW w:w="40" w:type="dxa"/>
            <w:vAlign w:val="bottom"/>
          </w:tcPr>
          <w:p>
            <w:pPr>
              <w:spacing w:after="0"/>
              <w:rPr>
                <w:sz w:val="22"/>
                <w:szCs w:val="22"/>
                <w:color w:val="auto"/>
              </w:rPr>
            </w:pPr>
          </w:p>
        </w:tc>
      </w:tr>
      <w:tr>
        <w:trPr>
          <w:trHeight w:val="20"/>
        </w:trPr>
        <w:tc>
          <w:tcPr>
            <w:tcW w:w="120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5"/>
        </w:trPr>
        <w:tc>
          <w:tcPr>
            <w:tcW w:w="1200" w:type="dxa"/>
            <w:vAlign w:val="bottom"/>
          </w:tcPr>
          <w:p>
            <w:pPr>
              <w:ind w:left="20"/>
              <w:spacing w:after="0"/>
              <w:rPr>
                <w:sz w:val="20"/>
                <w:szCs w:val="20"/>
                <w:color w:val="auto"/>
              </w:rPr>
            </w:pPr>
            <w:r>
              <w:rPr>
                <w:rFonts w:ascii="Arial" w:cs="Arial" w:eastAsia="Arial" w:hAnsi="Arial"/>
                <w:sz w:val="17"/>
                <w:szCs w:val="17"/>
                <w:color w:val="auto"/>
              </w:rPr>
              <w:t>Item 1B.</w:t>
            </w:r>
          </w:p>
        </w:tc>
        <w:tc>
          <w:tcPr>
            <w:tcW w:w="9080" w:type="dxa"/>
            <w:vAlign w:val="bottom"/>
            <w:gridSpan w:val="20"/>
          </w:tcPr>
          <w:p>
            <w:pPr>
              <w:spacing w:after="0"/>
              <w:rPr>
                <w:rFonts w:ascii="Arial" w:cs="Arial" w:eastAsia="Arial" w:hAnsi="Arial"/>
                <w:sz w:val="17"/>
                <w:szCs w:val="17"/>
                <w:color w:val="0000FF"/>
              </w:rPr>
            </w:pPr>
            <w:hyperlink w:anchor="page22">
              <w:r>
                <w:rPr>
                  <w:rFonts w:ascii="Arial" w:cs="Arial" w:eastAsia="Arial" w:hAnsi="Arial"/>
                  <w:sz w:val="17"/>
                  <w:szCs w:val="17"/>
                  <w:color w:val="0000FF"/>
                </w:rPr>
                <w:t>Unresolved Staff Comments</w:t>
              </w:r>
            </w:hyperlink>
          </w:p>
        </w:tc>
        <w:tc>
          <w:tcPr>
            <w:tcW w:w="920" w:type="dxa"/>
            <w:vAlign w:val="bottom"/>
            <w:gridSpan w:val="4"/>
          </w:tcPr>
          <w:p>
            <w:pPr>
              <w:jc w:val="right"/>
              <w:ind w:right="20"/>
              <w:spacing w:after="0"/>
              <w:rPr>
                <w:rFonts w:ascii="Arial" w:cs="Arial" w:eastAsia="Arial" w:hAnsi="Arial"/>
                <w:sz w:val="17"/>
                <w:szCs w:val="17"/>
                <w:color w:val="0000FF"/>
              </w:rPr>
            </w:pPr>
            <w:hyperlink w:anchor="page22">
              <w:r>
                <w:rPr>
                  <w:rFonts w:ascii="Arial" w:cs="Arial" w:eastAsia="Arial" w:hAnsi="Arial"/>
                  <w:sz w:val="17"/>
                  <w:szCs w:val="17"/>
                  <w:color w:val="0000FF"/>
                </w:rPr>
                <w:t>21</w:t>
              </w:r>
            </w:hyperlink>
          </w:p>
        </w:tc>
        <w:tc>
          <w:tcPr>
            <w:tcW w:w="40" w:type="dxa"/>
            <w:vAlign w:val="bottom"/>
          </w:tcPr>
          <w:p>
            <w:pPr>
              <w:spacing w:after="0"/>
              <w:rPr>
                <w:sz w:val="22"/>
                <w:szCs w:val="22"/>
                <w:color w:val="auto"/>
              </w:rPr>
            </w:pPr>
          </w:p>
        </w:tc>
      </w:tr>
      <w:tr>
        <w:trPr>
          <w:trHeight w:val="20"/>
        </w:trPr>
        <w:tc>
          <w:tcPr>
            <w:tcW w:w="120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5"/>
        </w:trPr>
        <w:tc>
          <w:tcPr>
            <w:tcW w:w="1200" w:type="dxa"/>
            <w:vAlign w:val="bottom"/>
          </w:tcPr>
          <w:p>
            <w:pPr>
              <w:ind w:left="20"/>
              <w:spacing w:after="0"/>
              <w:rPr>
                <w:sz w:val="20"/>
                <w:szCs w:val="20"/>
                <w:color w:val="auto"/>
              </w:rPr>
            </w:pPr>
            <w:r>
              <w:rPr>
                <w:rFonts w:ascii="Arial" w:cs="Arial" w:eastAsia="Arial" w:hAnsi="Arial"/>
                <w:sz w:val="17"/>
                <w:szCs w:val="17"/>
                <w:color w:val="auto"/>
              </w:rPr>
              <w:t>Item 2.</w:t>
            </w:r>
          </w:p>
        </w:tc>
        <w:tc>
          <w:tcPr>
            <w:tcW w:w="720" w:type="dxa"/>
            <w:vAlign w:val="bottom"/>
            <w:gridSpan w:val="2"/>
          </w:tcPr>
          <w:p>
            <w:pPr>
              <w:spacing w:after="0"/>
              <w:rPr>
                <w:rFonts w:ascii="Arial" w:cs="Arial" w:eastAsia="Arial" w:hAnsi="Arial"/>
                <w:sz w:val="17"/>
                <w:szCs w:val="17"/>
                <w:color w:val="0000FF"/>
                <w:w w:val="90"/>
              </w:rPr>
            </w:pPr>
            <w:hyperlink w:anchor="page22">
              <w:r>
                <w:rPr>
                  <w:rFonts w:ascii="Arial" w:cs="Arial" w:eastAsia="Arial" w:hAnsi="Arial"/>
                  <w:sz w:val="17"/>
                  <w:szCs w:val="17"/>
                  <w:color w:val="0000FF"/>
                  <w:w w:val="90"/>
                </w:rPr>
                <w:t>Properties</w:t>
              </w:r>
            </w:hyperlink>
          </w:p>
        </w:tc>
        <w:tc>
          <w:tcPr>
            <w:tcW w:w="1260" w:type="dxa"/>
            <w:vAlign w:val="bottom"/>
            <w:gridSpan w:val="7"/>
          </w:tcPr>
          <w:p>
            <w:pPr>
              <w:spacing w:after="0"/>
              <w:rPr>
                <w:sz w:val="22"/>
                <w:szCs w:val="22"/>
                <w:color w:val="auto"/>
              </w:rPr>
            </w:pPr>
          </w:p>
        </w:tc>
        <w:tc>
          <w:tcPr>
            <w:tcW w:w="7100" w:type="dxa"/>
            <w:vAlign w:val="bottom"/>
            <w:gridSpan w:val="11"/>
          </w:tcPr>
          <w:p>
            <w:pPr>
              <w:spacing w:after="0"/>
              <w:rPr>
                <w:sz w:val="22"/>
                <w:szCs w:val="22"/>
                <w:color w:val="auto"/>
              </w:rPr>
            </w:pPr>
          </w:p>
        </w:tc>
        <w:tc>
          <w:tcPr>
            <w:tcW w:w="920" w:type="dxa"/>
            <w:vAlign w:val="bottom"/>
            <w:gridSpan w:val="4"/>
          </w:tcPr>
          <w:p>
            <w:pPr>
              <w:jc w:val="right"/>
              <w:ind w:right="20"/>
              <w:spacing w:after="0"/>
              <w:rPr>
                <w:rFonts w:ascii="Arial" w:cs="Arial" w:eastAsia="Arial" w:hAnsi="Arial"/>
                <w:sz w:val="17"/>
                <w:szCs w:val="17"/>
                <w:color w:val="0000FF"/>
              </w:rPr>
            </w:pPr>
            <w:hyperlink w:anchor="page22">
              <w:r>
                <w:rPr>
                  <w:rFonts w:ascii="Arial" w:cs="Arial" w:eastAsia="Arial" w:hAnsi="Arial"/>
                  <w:sz w:val="17"/>
                  <w:szCs w:val="17"/>
                  <w:color w:val="0000FF"/>
                </w:rPr>
                <w:t>22</w:t>
              </w:r>
            </w:hyperlink>
          </w:p>
        </w:tc>
        <w:tc>
          <w:tcPr>
            <w:tcW w:w="40" w:type="dxa"/>
            <w:vAlign w:val="bottom"/>
          </w:tcPr>
          <w:p>
            <w:pPr>
              <w:spacing w:after="0"/>
              <w:rPr>
                <w:sz w:val="22"/>
                <w:szCs w:val="22"/>
                <w:color w:val="auto"/>
              </w:rPr>
            </w:pPr>
          </w:p>
        </w:tc>
      </w:tr>
      <w:tr>
        <w:trPr>
          <w:trHeight w:val="20"/>
        </w:trPr>
        <w:tc>
          <w:tcPr>
            <w:tcW w:w="120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5"/>
        </w:trPr>
        <w:tc>
          <w:tcPr>
            <w:tcW w:w="1200" w:type="dxa"/>
            <w:vAlign w:val="bottom"/>
          </w:tcPr>
          <w:p>
            <w:pPr>
              <w:ind w:left="20"/>
              <w:spacing w:after="0"/>
              <w:rPr>
                <w:sz w:val="20"/>
                <w:szCs w:val="20"/>
                <w:color w:val="auto"/>
              </w:rPr>
            </w:pPr>
            <w:r>
              <w:rPr>
                <w:rFonts w:ascii="Arial" w:cs="Arial" w:eastAsia="Arial" w:hAnsi="Arial"/>
                <w:sz w:val="17"/>
                <w:szCs w:val="17"/>
                <w:color w:val="auto"/>
              </w:rPr>
              <w:t>Item 3.</w:t>
            </w:r>
          </w:p>
        </w:tc>
        <w:tc>
          <w:tcPr>
            <w:tcW w:w="1300" w:type="dxa"/>
            <w:vAlign w:val="bottom"/>
            <w:gridSpan w:val="4"/>
          </w:tcPr>
          <w:p>
            <w:pPr>
              <w:spacing w:after="0"/>
              <w:rPr>
                <w:rFonts w:ascii="Arial" w:cs="Arial" w:eastAsia="Arial" w:hAnsi="Arial"/>
                <w:sz w:val="17"/>
                <w:szCs w:val="17"/>
                <w:color w:val="0000FF"/>
                <w:w w:val="89"/>
              </w:rPr>
            </w:pPr>
            <w:hyperlink w:anchor="page23">
              <w:r>
                <w:rPr>
                  <w:rFonts w:ascii="Arial" w:cs="Arial" w:eastAsia="Arial" w:hAnsi="Arial"/>
                  <w:sz w:val="17"/>
                  <w:szCs w:val="17"/>
                  <w:color w:val="0000FF"/>
                  <w:w w:val="89"/>
                </w:rPr>
                <w:t>Legal Proceedings</w:t>
              </w:r>
            </w:hyperlink>
          </w:p>
        </w:tc>
        <w:tc>
          <w:tcPr>
            <w:tcW w:w="7780" w:type="dxa"/>
            <w:vAlign w:val="bottom"/>
            <w:gridSpan w:val="16"/>
          </w:tcPr>
          <w:p>
            <w:pPr>
              <w:spacing w:after="0"/>
              <w:rPr>
                <w:sz w:val="22"/>
                <w:szCs w:val="22"/>
                <w:color w:val="auto"/>
              </w:rPr>
            </w:pPr>
          </w:p>
        </w:tc>
        <w:tc>
          <w:tcPr>
            <w:tcW w:w="920" w:type="dxa"/>
            <w:vAlign w:val="bottom"/>
            <w:gridSpan w:val="4"/>
          </w:tcPr>
          <w:p>
            <w:pPr>
              <w:jc w:val="right"/>
              <w:ind w:right="20"/>
              <w:spacing w:after="0"/>
              <w:rPr>
                <w:rFonts w:ascii="Arial" w:cs="Arial" w:eastAsia="Arial" w:hAnsi="Arial"/>
                <w:sz w:val="17"/>
                <w:szCs w:val="17"/>
                <w:color w:val="0000FF"/>
              </w:rPr>
            </w:pPr>
            <w:hyperlink w:anchor="page23">
              <w:r>
                <w:rPr>
                  <w:rFonts w:ascii="Arial" w:cs="Arial" w:eastAsia="Arial" w:hAnsi="Arial"/>
                  <w:sz w:val="17"/>
                  <w:szCs w:val="17"/>
                  <w:color w:val="0000FF"/>
                </w:rPr>
                <w:t>23</w:t>
              </w:r>
            </w:hyperlink>
          </w:p>
        </w:tc>
        <w:tc>
          <w:tcPr>
            <w:tcW w:w="40" w:type="dxa"/>
            <w:vAlign w:val="bottom"/>
          </w:tcPr>
          <w:p>
            <w:pPr>
              <w:spacing w:after="0"/>
              <w:rPr>
                <w:sz w:val="22"/>
                <w:szCs w:val="22"/>
                <w:color w:val="auto"/>
              </w:rPr>
            </w:pPr>
          </w:p>
        </w:tc>
      </w:tr>
      <w:tr>
        <w:trPr>
          <w:trHeight w:val="20"/>
        </w:trPr>
        <w:tc>
          <w:tcPr>
            <w:tcW w:w="12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5"/>
        </w:trPr>
        <w:tc>
          <w:tcPr>
            <w:tcW w:w="1200" w:type="dxa"/>
            <w:vAlign w:val="bottom"/>
          </w:tcPr>
          <w:p>
            <w:pPr>
              <w:ind w:left="20"/>
              <w:spacing w:after="0"/>
              <w:rPr>
                <w:sz w:val="20"/>
                <w:szCs w:val="20"/>
                <w:color w:val="auto"/>
              </w:rPr>
            </w:pPr>
            <w:r>
              <w:rPr>
                <w:rFonts w:ascii="Arial" w:cs="Arial" w:eastAsia="Arial" w:hAnsi="Arial"/>
                <w:sz w:val="17"/>
                <w:szCs w:val="17"/>
                <w:color w:val="auto"/>
              </w:rPr>
              <w:t>Item 4.</w:t>
            </w:r>
          </w:p>
        </w:tc>
        <w:tc>
          <w:tcPr>
            <w:tcW w:w="9080" w:type="dxa"/>
            <w:vAlign w:val="bottom"/>
            <w:gridSpan w:val="20"/>
          </w:tcPr>
          <w:p>
            <w:pPr>
              <w:spacing w:after="0"/>
              <w:rPr>
                <w:rFonts w:ascii="Arial" w:cs="Arial" w:eastAsia="Arial" w:hAnsi="Arial"/>
                <w:sz w:val="17"/>
                <w:szCs w:val="17"/>
                <w:color w:val="0000FF"/>
              </w:rPr>
            </w:pPr>
            <w:hyperlink w:anchor="page24">
              <w:r>
                <w:rPr>
                  <w:rFonts w:ascii="Arial" w:cs="Arial" w:eastAsia="Arial" w:hAnsi="Arial"/>
                  <w:sz w:val="17"/>
                  <w:szCs w:val="17"/>
                  <w:color w:val="0000FF"/>
                </w:rPr>
                <w:t>Mine Safety Disclosures</w:t>
              </w:r>
            </w:hyperlink>
          </w:p>
        </w:tc>
        <w:tc>
          <w:tcPr>
            <w:tcW w:w="920" w:type="dxa"/>
            <w:vAlign w:val="bottom"/>
            <w:gridSpan w:val="4"/>
          </w:tcPr>
          <w:p>
            <w:pPr>
              <w:jc w:val="right"/>
              <w:ind w:right="20"/>
              <w:spacing w:after="0"/>
              <w:rPr>
                <w:rFonts w:ascii="Arial" w:cs="Arial" w:eastAsia="Arial" w:hAnsi="Arial"/>
                <w:sz w:val="17"/>
                <w:szCs w:val="17"/>
                <w:color w:val="0000FF"/>
              </w:rPr>
            </w:pPr>
            <w:hyperlink w:anchor="page24">
              <w:r>
                <w:rPr>
                  <w:rFonts w:ascii="Arial" w:cs="Arial" w:eastAsia="Arial" w:hAnsi="Arial"/>
                  <w:sz w:val="17"/>
                  <w:szCs w:val="17"/>
                  <w:color w:val="0000FF"/>
                </w:rPr>
                <w:t>23</w:t>
              </w:r>
            </w:hyperlink>
          </w:p>
        </w:tc>
        <w:tc>
          <w:tcPr>
            <w:tcW w:w="40" w:type="dxa"/>
            <w:vAlign w:val="bottom"/>
          </w:tcPr>
          <w:p>
            <w:pPr>
              <w:spacing w:after="0"/>
              <w:rPr>
                <w:sz w:val="22"/>
                <w:szCs w:val="22"/>
                <w:color w:val="auto"/>
              </w:rPr>
            </w:pPr>
          </w:p>
        </w:tc>
      </w:tr>
      <w:tr>
        <w:trPr>
          <w:trHeight w:val="294"/>
        </w:trPr>
        <w:tc>
          <w:tcPr>
            <w:tcW w:w="1200" w:type="dxa"/>
            <w:vAlign w:val="bottom"/>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40" w:type="dxa"/>
            <w:vAlign w:val="bottom"/>
            <w:gridSpan w:val="6"/>
          </w:tcPr>
          <w:p>
            <w:pPr>
              <w:jc w:val="center"/>
              <w:ind w:right="4260"/>
              <w:spacing w:after="0"/>
              <w:rPr>
                <w:sz w:val="20"/>
                <w:szCs w:val="20"/>
                <w:color w:val="auto"/>
              </w:rPr>
            </w:pPr>
            <w:r>
              <w:rPr>
                <w:rFonts w:ascii="Arial" w:cs="Arial" w:eastAsia="Arial" w:hAnsi="Arial"/>
                <w:sz w:val="17"/>
                <w:szCs w:val="17"/>
                <w:b w:val="1"/>
                <w:bCs w:val="1"/>
                <w:color w:val="auto"/>
              </w:rPr>
              <w:t>Part II</w:t>
            </w:r>
          </w:p>
        </w:tc>
        <w:tc>
          <w:tcPr>
            <w:tcW w:w="74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6"/>
        </w:trPr>
        <w:tc>
          <w:tcPr>
            <w:tcW w:w="1200" w:type="dxa"/>
            <w:vAlign w:val="bottom"/>
          </w:tcPr>
          <w:p>
            <w:pPr>
              <w:ind w:left="20"/>
              <w:spacing w:after="0"/>
              <w:rPr>
                <w:sz w:val="20"/>
                <w:szCs w:val="20"/>
                <w:color w:val="auto"/>
              </w:rPr>
            </w:pPr>
            <w:r>
              <w:rPr>
                <w:rFonts w:ascii="Arial" w:cs="Arial" w:eastAsia="Arial" w:hAnsi="Arial"/>
                <w:sz w:val="17"/>
                <w:szCs w:val="17"/>
                <w:color w:val="auto"/>
              </w:rPr>
              <w:t>Item 5.</w:t>
            </w:r>
          </w:p>
        </w:tc>
        <w:tc>
          <w:tcPr>
            <w:tcW w:w="9080" w:type="dxa"/>
            <w:vAlign w:val="bottom"/>
            <w:gridSpan w:val="20"/>
          </w:tcPr>
          <w:p>
            <w:pPr>
              <w:spacing w:after="0"/>
              <w:rPr>
                <w:rFonts w:ascii="Arial" w:cs="Arial" w:eastAsia="Arial" w:hAnsi="Arial"/>
                <w:sz w:val="17"/>
                <w:szCs w:val="17"/>
                <w:color w:val="0000FF"/>
              </w:rPr>
            </w:pPr>
            <w:hyperlink w:anchor="page25">
              <w:r>
                <w:rPr>
                  <w:rFonts w:ascii="Arial" w:cs="Arial" w:eastAsia="Arial" w:hAnsi="Arial"/>
                  <w:sz w:val="17"/>
                  <w:szCs w:val="17"/>
                  <w:color w:val="0000FF"/>
                </w:rPr>
                <w:t>Market for Registrant’s Common Equity, Related Stockholder Matters and Issuer Purchases of Equity Securities</w:t>
              </w:r>
            </w:hyperlink>
          </w:p>
        </w:tc>
        <w:tc>
          <w:tcPr>
            <w:tcW w:w="920" w:type="dxa"/>
            <w:vAlign w:val="bottom"/>
            <w:gridSpan w:val="4"/>
          </w:tcPr>
          <w:p>
            <w:pPr>
              <w:jc w:val="right"/>
              <w:ind w:right="20"/>
              <w:spacing w:after="0"/>
              <w:rPr>
                <w:rFonts w:ascii="Arial" w:cs="Arial" w:eastAsia="Arial" w:hAnsi="Arial"/>
                <w:sz w:val="17"/>
                <w:szCs w:val="17"/>
                <w:color w:val="0000FF"/>
              </w:rPr>
            </w:pPr>
            <w:hyperlink w:anchor="page25">
              <w:r>
                <w:rPr>
                  <w:rFonts w:ascii="Arial" w:cs="Arial" w:eastAsia="Arial" w:hAnsi="Arial"/>
                  <w:sz w:val="17"/>
                  <w:szCs w:val="17"/>
                  <w:color w:val="0000FF"/>
                </w:rPr>
                <w:t>24</w:t>
              </w:r>
            </w:hyperlink>
          </w:p>
        </w:tc>
        <w:tc>
          <w:tcPr>
            <w:tcW w:w="40" w:type="dxa"/>
            <w:vAlign w:val="bottom"/>
          </w:tcPr>
          <w:p>
            <w:pPr>
              <w:spacing w:after="0"/>
              <w:rPr>
                <w:sz w:val="20"/>
                <w:szCs w:val="20"/>
                <w:color w:val="auto"/>
              </w:rPr>
            </w:pPr>
          </w:p>
        </w:tc>
      </w:tr>
      <w:tr>
        <w:trPr>
          <w:trHeight w:val="20"/>
        </w:trPr>
        <w:tc>
          <w:tcPr>
            <w:tcW w:w="1200" w:type="dxa"/>
            <w:vAlign w:val="bottom"/>
          </w:tcPr>
          <w:p>
            <w:pPr>
              <w:spacing w:after="0" w:line="20" w:lineRule="exact"/>
              <w:rPr>
                <w:sz w:val="1"/>
                <w:szCs w:val="1"/>
                <w:color w:val="auto"/>
              </w:rPr>
            </w:pPr>
          </w:p>
        </w:tc>
        <w:tc>
          <w:tcPr>
            <w:tcW w:w="1300" w:type="dxa"/>
            <w:vAlign w:val="bottom"/>
            <w:tcBorders>
              <w:right w:val="single" w:sz="8" w:color="0000FF"/>
            </w:tcBorders>
            <w:gridSpan w:val="4"/>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5"/>
        </w:trPr>
        <w:tc>
          <w:tcPr>
            <w:tcW w:w="1200" w:type="dxa"/>
            <w:vAlign w:val="bottom"/>
          </w:tcPr>
          <w:p>
            <w:pPr>
              <w:ind w:left="20"/>
              <w:spacing w:after="0"/>
              <w:rPr>
                <w:sz w:val="20"/>
                <w:szCs w:val="20"/>
                <w:color w:val="auto"/>
              </w:rPr>
            </w:pPr>
            <w:r>
              <w:rPr>
                <w:rFonts w:ascii="Arial" w:cs="Arial" w:eastAsia="Arial" w:hAnsi="Arial"/>
                <w:sz w:val="17"/>
                <w:szCs w:val="17"/>
                <w:color w:val="auto"/>
              </w:rPr>
              <w:t>Item 6.</w:t>
            </w:r>
          </w:p>
        </w:tc>
        <w:tc>
          <w:tcPr>
            <w:tcW w:w="7840" w:type="dxa"/>
            <w:vAlign w:val="bottom"/>
            <w:gridSpan w:val="19"/>
          </w:tcPr>
          <w:p>
            <w:pPr>
              <w:spacing w:after="0"/>
              <w:rPr>
                <w:rFonts w:ascii="Arial" w:cs="Arial" w:eastAsia="Arial" w:hAnsi="Arial"/>
                <w:sz w:val="17"/>
                <w:szCs w:val="17"/>
                <w:color w:val="0000FF"/>
              </w:rPr>
            </w:pPr>
            <w:hyperlink w:anchor="page26">
              <w:r>
                <w:rPr>
                  <w:rFonts w:ascii="Arial" w:cs="Arial" w:eastAsia="Arial" w:hAnsi="Arial"/>
                  <w:sz w:val="17"/>
                  <w:szCs w:val="17"/>
                  <w:color w:val="0000FF"/>
                </w:rPr>
                <w:t>Selected Financial Data</w:t>
              </w:r>
            </w:hyperlink>
          </w:p>
        </w:tc>
        <w:tc>
          <w:tcPr>
            <w:tcW w:w="1240" w:type="dxa"/>
            <w:vAlign w:val="bottom"/>
          </w:tcPr>
          <w:p>
            <w:pPr>
              <w:spacing w:after="0"/>
              <w:rPr>
                <w:sz w:val="22"/>
                <w:szCs w:val="22"/>
                <w:color w:val="auto"/>
              </w:rPr>
            </w:pPr>
          </w:p>
        </w:tc>
        <w:tc>
          <w:tcPr>
            <w:tcW w:w="920" w:type="dxa"/>
            <w:vAlign w:val="bottom"/>
            <w:gridSpan w:val="4"/>
          </w:tcPr>
          <w:p>
            <w:pPr>
              <w:jc w:val="right"/>
              <w:ind w:right="20"/>
              <w:spacing w:after="0"/>
              <w:rPr>
                <w:rFonts w:ascii="Arial" w:cs="Arial" w:eastAsia="Arial" w:hAnsi="Arial"/>
                <w:sz w:val="17"/>
                <w:szCs w:val="17"/>
                <w:color w:val="0000FF"/>
              </w:rPr>
            </w:pPr>
            <w:hyperlink w:anchor="page26">
              <w:r>
                <w:rPr>
                  <w:rFonts w:ascii="Arial" w:cs="Arial" w:eastAsia="Arial" w:hAnsi="Arial"/>
                  <w:sz w:val="17"/>
                  <w:szCs w:val="17"/>
                  <w:color w:val="0000FF"/>
                </w:rPr>
                <w:t>26</w:t>
              </w:r>
            </w:hyperlink>
          </w:p>
        </w:tc>
        <w:tc>
          <w:tcPr>
            <w:tcW w:w="40" w:type="dxa"/>
            <w:vAlign w:val="bottom"/>
          </w:tcPr>
          <w:p>
            <w:pPr>
              <w:spacing w:after="0"/>
              <w:rPr>
                <w:sz w:val="22"/>
                <w:szCs w:val="22"/>
                <w:color w:val="auto"/>
              </w:rPr>
            </w:pPr>
          </w:p>
        </w:tc>
      </w:tr>
      <w:tr>
        <w:trPr>
          <w:trHeight w:val="20"/>
        </w:trPr>
        <w:tc>
          <w:tcPr>
            <w:tcW w:w="1200" w:type="dxa"/>
            <w:vAlign w:val="bottom"/>
          </w:tcPr>
          <w:p>
            <w:pPr>
              <w:spacing w:after="0" w:line="20" w:lineRule="exact"/>
              <w:rPr>
                <w:sz w:val="1"/>
                <w:szCs w:val="1"/>
                <w:color w:val="auto"/>
              </w:rPr>
            </w:pPr>
          </w:p>
        </w:tc>
        <w:tc>
          <w:tcPr>
            <w:tcW w:w="1300" w:type="dxa"/>
            <w:vAlign w:val="bottom"/>
            <w:tcBorders>
              <w:right w:val="single" w:sz="8" w:color="0000FF"/>
            </w:tcBorders>
            <w:gridSpan w:val="4"/>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5"/>
        </w:trPr>
        <w:tc>
          <w:tcPr>
            <w:tcW w:w="1200" w:type="dxa"/>
            <w:vAlign w:val="bottom"/>
          </w:tcPr>
          <w:p>
            <w:pPr>
              <w:ind w:left="20"/>
              <w:spacing w:after="0"/>
              <w:rPr>
                <w:sz w:val="20"/>
                <w:szCs w:val="20"/>
                <w:color w:val="auto"/>
              </w:rPr>
            </w:pPr>
            <w:r>
              <w:rPr>
                <w:rFonts w:ascii="Arial" w:cs="Arial" w:eastAsia="Arial" w:hAnsi="Arial"/>
                <w:sz w:val="17"/>
                <w:szCs w:val="17"/>
                <w:color w:val="auto"/>
              </w:rPr>
              <w:t>Item 7.</w:t>
            </w:r>
          </w:p>
        </w:tc>
        <w:tc>
          <w:tcPr>
            <w:tcW w:w="6280" w:type="dxa"/>
            <w:vAlign w:val="bottom"/>
            <w:gridSpan w:val="16"/>
          </w:tcPr>
          <w:p>
            <w:pPr>
              <w:spacing w:after="0"/>
              <w:rPr>
                <w:rFonts w:ascii="Arial" w:cs="Arial" w:eastAsia="Arial" w:hAnsi="Arial"/>
                <w:sz w:val="17"/>
                <w:szCs w:val="17"/>
                <w:color w:val="0000FF"/>
                <w:w w:val="93"/>
              </w:rPr>
            </w:pPr>
            <w:hyperlink w:anchor="page27">
              <w:r>
                <w:rPr>
                  <w:rFonts w:ascii="Arial" w:cs="Arial" w:eastAsia="Arial" w:hAnsi="Arial"/>
                  <w:sz w:val="17"/>
                  <w:szCs w:val="17"/>
                  <w:color w:val="0000FF"/>
                  <w:w w:val="93"/>
                </w:rPr>
                <w:t>Management’s Discussion and Analysis of Financial Condition and Results of Operations</w:t>
              </w:r>
            </w:hyperlink>
          </w:p>
        </w:tc>
        <w:tc>
          <w:tcPr>
            <w:tcW w:w="2800" w:type="dxa"/>
            <w:vAlign w:val="bottom"/>
            <w:gridSpan w:val="4"/>
          </w:tcPr>
          <w:p>
            <w:pPr>
              <w:spacing w:after="0"/>
              <w:rPr>
                <w:sz w:val="22"/>
                <w:szCs w:val="22"/>
                <w:color w:val="auto"/>
              </w:rPr>
            </w:pPr>
          </w:p>
        </w:tc>
        <w:tc>
          <w:tcPr>
            <w:tcW w:w="920" w:type="dxa"/>
            <w:vAlign w:val="bottom"/>
            <w:gridSpan w:val="4"/>
          </w:tcPr>
          <w:p>
            <w:pPr>
              <w:jc w:val="right"/>
              <w:ind w:right="20"/>
              <w:spacing w:after="0"/>
              <w:rPr>
                <w:rFonts w:ascii="Arial" w:cs="Arial" w:eastAsia="Arial" w:hAnsi="Arial"/>
                <w:sz w:val="17"/>
                <w:szCs w:val="17"/>
                <w:color w:val="0000FF"/>
              </w:rPr>
            </w:pPr>
            <w:hyperlink w:anchor="page27">
              <w:r>
                <w:rPr>
                  <w:rFonts w:ascii="Arial" w:cs="Arial" w:eastAsia="Arial" w:hAnsi="Arial"/>
                  <w:sz w:val="17"/>
                  <w:szCs w:val="17"/>
                  <w:color w:val="0000FF"/>
                </w:rPr>
                <w:t>26</w:t>
              </w:r>
            </w:hyperlink>
          </w:p>
        </w:tc>
        <w:tc>
          <w:tcPr>
            <w:tcW w:w="40" w:type="dxa"/>
            <w:vAlign w:val="bottom"/>
          </w:tcPr>
          <w:p>
            <w:pPr>
              <w:spacing w:after="0"/>
              <w:rPr>
                <w:sz w:val="22"/>
                <w:szCs w:val="22"/>
                <w:color w:val="auto"/>
              </w:rPr>
            </w:pPr>
          </w:p>
        </w:tc>
      </w:tr>
      <w:tr>
        <w:trPr>
          <w:trHeight w:val="20"/>
        </w:trPr>
        <w:tc>
          <w:tcPr>
            <w:tcW w:w="1200" w:type="dxa"/>
            <w:vAlign w:val="bottom"/>
          </w:tcPr>
          <w:p>
            <w:pPr>
              <w:spacing w:after="0" w:line="20" w:lineRule="exact"/>
              <w:rPr>
                <w:sz w:val="1"/>
                <w:szCs w:val="1"/>
                <w:color w:val="auto"/>
              </w:rPr>
            </w:pPr>
          </w:p>
        </w:tc>
        <w:tc>
          <w:tcPr>
            <w:tcW w:w="1300" w:type="dxa"/>
            <w:vAlign w:val="bottom"/>
            <w:tcBorders>
              <w:right w:val="single" w:sz="8" w:color="0000FF"/>
            </w:tcBorders>
            <w:gridSpan w:val="4"/>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5"/>
        </w:trPr>
        <w:tc>
          <w:tcPr>
            <w:tcW w:w="1200" w:type="dxa"/>
            <w:vAlign w:val="bottom"/>
          </w:tcPr>
          <w:p>
            <w:pPr>
              <w:ind w:left="20"/>
              <w:spacing w:after="0"/>
              <w:rPr>
                <w:sz w:val="20"/>
                <w:szCs w:val="20"/>
                <w:color w:val="auto"/>
              </w:rPr>
            </w:pPr>
            <w:r>
              <w:rPr>
                <w:rFonts w:ascii="Arial" w:cs="Arial" w:eastAsia="Arial" w:hAnsi="Arial"/>
                <w:sz w:val="17"/>
                <w:szCs w:val="17"/>
                <w:color w:val="auto"/>
              </w:rPr>
              <w:t>Item 7A.</w:t>
            </w:r>
          </w:p>
        </w:tc>
        <w:tc>
          <w:tcPr>
            <w:tcW w:w="4240" w:type="dxa"/>
            <w:vAlign w:val="bottom"/>
            <w:gridSpan w:val="14"/>
          </w:tcPr>
          <w:p>
            <w:pPr>
              <w:spacing w:after="0"/>
              <w:rPr>
                <w:rFonts w:ascii="Arial" w:cs="Arial" w:eastAsia="Arial" w:hAnsi="Arial"/>
                <w:sz w:val="17"/>
                <w:szCs w:val="17"/>
                <w:color w:val="0000FF"/>
                <w:w w:val="94"/>
              </w:rPr>
            </w:pPr>
            <w:hyperlink w:anchor="page43">
              <w:r>
                <w:rPr>
                  <w:rFonts w:ascii="Arial" w:cs="Arial" w:eastAsia="Arial" w:hAnsi="Arial"/>
                  <w:sz w:val="17"/>
                  <w:szCs w:val="17"/>
                  <w:color w:val="0000FF"/>
                  <w:w w:val="94"/>
                </w:rPr>
                <w:t>Quantitative and Qualitative Disclosures About Market Risk</w:t>
              </w:r>
            </w:hyperlink>
          </w:p>
        </w:tc>
        <w:tc>
          <w:tcPr>
            <w:tcW w:w="2040" w:type="dxa"/>
            <w:vAlign w:val="bottom"/>
            <w:gridSpan w:val="2"/>
          </w:tcPr>
          <w:p>
            <w:pPr>
              <w:spacing w:after="0"/>
              <w:rPr>
                <w:sz w:val="22"/>
                <w:szCs w:val="22"/>
                <w:color w:val="auto"/>
              </w:rPr>
            </w:pPr>
          </w:p>
        </w:tc>
        <w:tc>
          <w:tcPr>
            <w:tcW w:w="2800" w:type="dxa"/>
            <w:vAlign w:val="bottom"/>
            <w:gridSpan w:val="4"/>
          </w:tcPr>
          <w:p>
            <w:pPr>
              <w:spacing w:after="0"/>
              <w:rPr>
                <w:sz w:val="22"/>
                <w:szCs w:val="22"/>
                <w:color w:val="auto"/>
              </w:rPr>
            </w:pPr>
          </w:p>
        </w:tc>
        <w:tc>
          <w:tcPr>
            <w:tcW w:w="920" w:type="dxa"/>
            <w:vAlign w:val="bottom"/>
            <w:gridSpan w:val="4"/>
          </w:tcPr>
          <w:p>
            <w:pPr>
              <w:jc w:val="right"/>
              <w:ind w:right="20"/>
              <w:spacing w:after="0"/>
              <w:rPr>
                <w:rFonts w:ascii="Arial" w:cs="Arial" w:eastAsia="Arial" w:hAnsi="Arial"/>
                <w:sz w:val="17"/>
                <w:szCs w:val="17"/>
                <w:color w:val="0000FF"/>
              </w:rPr>
            </w:pPr>
            <w:hyperlink w:anchor="page43">
              <w:r>
                <w:rPr>
                  <w:rFonts w:ascii="Arial" w:cs="Arial" w:eastAsia="Arial" w:hAnsi="Arial"/>
                  <w:sz w:val="17"/>
                  <w:szCs w:val="17"/>
                  <w:color w:val="0000FF"/>
                </w:rPr>
                <w:t>43</w:t>
              </w:r>
            </w:hyperlink>
          </w:p>
        </w:tc>
        <w:tc>
          <w:tcPr>
            <w:tcW w:w="40" w:type="dxa"/>
            <w:vAlign w:val="bottom"/>
          </w:tcPr>
          <w:p>
            <w:pPr>
              <w:spacing w:after="0"/>
              <w:rPr>
                <w:sz w:val="22"/>
                <w:szCs w:val="22"/>
                <w:color w:val="auto"/>
              </w:rPr>
            </w:pPr>
          </w:p>
        </w:tc>
      </w:tr>
      <w:tr>
        <w:trPr>
          <w:trHeight w:val="20"/>
        </w:trPr>
        <w:tc>
          <w:tcPr>
            <w:tcW w:w="12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5"/>
        </w:trPr>
        <w:tc>
          <w:tcPr>
            <w:tcW w:w="1200" w:type="dxa"/>
            <w:vAlign w:val="bottom"/>
          </w:tcPr>
          <w:p>
            <w:pPr>
              <w:ind w:left="20"/>
              <w:spacing w:after="0"/>
              <w:rPr>
                <w:sz w:val="20"/>
                <w:szCs w:val="20"/>
                <w:color w:val="auto"/>
              </w:rPr>
            </w:pPr>
            <w:r>
              <w:rPr>
                <w:rFonts w:ascii="Arial" w:cs="Arial" w:eastAsia="Arial" w:hAnsi="Arial"/>
                <w:sz w:val="17"/>
                <w:szCs w:val="17"/>
                <w:color w:val="auto"/>
              </w:rPr>
              <w:t>Item 8.</w:t>
            </w:r>
          </w:p>
        </w:tc>
        <w:tc>
          <w:tcPr>
            <w:tcW w:w="3240" w:type="dxa"/>
            <w:vAlign w:val="bottom"/>
            <w:gridSpan w:val="12"/>
          </w:tcPr>
          <w:p>
            <w:pPr>
              <w:spacing w:after="0"/>
              <w:rPr>
                <w:rFonts w:ascii="Arial" w:cs="Arial" w:eastAsia="Arial" w:hAnsi="Arial"/>
                <w:sz w:val="17"/>
                <w:szCs w:val="17"/>
                <w:color w:val="0000FF"/>
                <w:w w:val="91"/>
              </w:rPr>
            </w:pPr>
            <w:hyperlink w:anchor="page44">
              <w:r>
                <w:rPr>
                  <w:rFonts w:ascii="Arial" w:cs="Arial" w:eastAsia="Arial" w:hAnsi="Arial"/>
                  <w:sz w:val="17"/>
                  <w:szCs w:val="17"/>
                  <w:color w:val="0000FF"/>
                  <w:w w:val="91"/>
                </w:rPr>
                <w:t>Financial Statements and Supplementary Data</w:t>
              </w:r>
            </w:hyperlink>
          </w:p>
        </w:tc>
        <w:tc>
          <w:tcPr>
            <w:tcW w:w="1000" w:type="dxa"/>
            <w:vAlign w:val="bottom"/>
            <w:gridSpan w:val="2"/>
          </w:tcPr>
          <w:p>
            <w:pPr>
              <w:spacing w:after="0"/>
              <w:rPr>
                <w:sz w:val="22"/>
                <w:szCs w:val="22"/>
                <w:color w:val="auto"/>
              </w:rPr>
            </w:pPr>
          </w:p>
        </w:tc>
        <w:tc>
          <w:tcPr>
            <w:tcW w:w="4840" w:type="dxa"/>
            <w:vAlign w:val="bottom"/>
            <w:gridSpan w:val="6"/>
          </w:tcPr>
          <w:p>
            <w:pPr>
              <w:spacing w:after="0"/>
              <w:rPr>
                <w:sz w:val="22"/>
                <w:szCs w:val="22"/>
                <w:color w:val="auto"/>
              </w:rPr>
            </w:pPr>
          </w:p>
        </w:tc>
        <w:tc>
          <w:tcPr>
            <w:tcW w:w="920" w:type="dxa"/>
            <w:vAlign w:val="bottom"/>
            <w:gridSpan w:val="4"/>
          </w:tcPr>
          <w:p>
            <w:pPr>
              <w:jc w:val="right"/>
              <w:ind w:right="20"/>
              <w:spacing w:after="0"/>
              <w:rPr>
                <w:rFonts w:ascii="Arial" w:cs="Arial" w:eastAsia="Arial" w:hAnsi="Arial"/>
                <w:sz w:val="17"/>
                <w:szCs w:val="17"/>
                <w:color w:val="0000FF"/>
              </w:rPr>
            </w:pPr>
            <w:hyperlink w:anchor="page44">
              <w:r>
                <w:rPr>
                  <w:rFonts w:ascii="Arial" w:cs="Arial" w:eastAsia="Arial" w:hAnsi="Arial"/>
                  <w:sz w:val="17"/>
                  <w:szCs w:val="17"/>
                  <w:color w:val="0000FF"/>
                </w:rPr>
                <w:t>44</w:t>
              </w:r>
            </w:hyperlink>
          </w:p>
        </w:tc>
        <w:tc>
          <w:tcPr>
            <w:tcW w:w="40" w:type="dxa"/>
            <w:vAlign w:val="bottom"/>
          </w:tcPr>
          <w:p>
            <w:pPr>
              <w:spacing w:after="0"/>
              <w:rPr>
                <w:sz w:val="22"/>
                <w:szCs w:val="22"/>
                <w:color w:val="auto"/>
              </w:rPr>
            </w:pPr>
          </w:p>
        </w:tc>
      </w:tr>
      <w:tr>
        <w:trPr>
          <w:trHeight w:val="20"/>
        </w:trPr>
        <w:tc>
          <w:tcPr>
            <w:tcW w:w="12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5"/>
        </w:trPr>
        <w:tc>
          <w:tcPr>
            <w:tcW w:w="1200" w:type="dxa"/>
            <w:vAlign w:val="bottom"/>
          </w:tcPr>
          <w:p>
            <w:pPr>
              <w:ind w:left="20"/>
              <w:spacing w:after="0"/>
              <w:rPr>
                <w:sz w:val="20"/>
                <w:szCs w:val="20"/>
                <w:color w:val="auto"/>
              </w:rPr>
            </w:pPr>
            <w:r>
              <w:rPr>
                <w:rFonts w:ascii="Arial" w:cs="Arial" w:eastAsia="Arial" w:hAnsi="Arial"/>
                <w:sz w:val="17"/>
                <w:szCs w:val="17"/>
                <w:color w:val="auto"/>
              </w:rPr>
              <w:t>Item 9.</w:t>
            </w:r>
          </w:p>
        </w:tc>
        <w:tc>
          <w:tcPr>
            <w:tcW w:w="6300" w:type="dxa"/>
            <w:vAlign w:val="bottom"/>
            <w:gridSpan w:val="17"/>
          </w:tcPr>
          <w:p>
            <w:pPr>
              <w:spacing w:after="0"/>
              <w:rPr>
                <w:rFonts w:ascii="Arial" w:cs="Arial" w:eastAsia="Arial" w:hAnsi="Arial"/>
                <w:sz w:val="17"/>
                <w:szCs w:val="17"/>
                <w:color w:val="0000FF"/>
                <w:w w:val="93"/>
              </w:rPr>
            </w:pPr>
            <w:hyperlink w:anchor="page87">
              <w:r>
                <w:rPr>
                  <w:rFonts w:ascii="Arial" w:cs="Arial" w:eastAsia="Arial" w:hAnsi="Arial"/>
                  <w:sz w:val="17"/>
                  <w:szCs w:val="17"/>
                  <w:color w:val="0000FF"/>
                  <w:w w:val="93"/>
                </w:rPr>
                <w:t>Changes in and Disagreements with Accountants on Accounting and Financial Disclosure</w:t>
              </w:r>
            </w:hyperlink>
          </w:p>
        </w:tc>
        <w:tc>
          <w:tcPr>
            <w:tcW w:w="2780" w:type="dxa"/>
            <w:vAlign w:val="bottom"/>
            <w:gridSpan w:val="3"/>
          </w:tcPr>
          <w:p>
            <w:pPr>
              <w:spacing w:after="0"/>
              <w:rPr>
                <w:sz w:val="22"/>
                <w:szCs w:val="22"/>
                <w:color w:val="auto"/>
              </w:rPr>
            </w:pPr>
          </w:p>
        </w:tc>
        <w:tc>
          <w:tcPr>
            <w:tcW w:w="920" w:type="dxa"/>
            <w:vAlign w:val="bottom"/>
            <w:gridSpan w:val="4"/>
          </w:tcPr>
          <w:p>
            <w:pPr>
              <w:jc w:val="right"/>
              <w:ind w:right="20"/>
              <w:spacing w:after="0"/>
              <w:rPr>
                <w:rFonts w:ascii="Arial" w:cs="Arial" w:eastAsia="Arial" w:hAnsi="Arial"/>
                <w:sz w:val="17"/>
                <w:szCs w:val="17"/>
                <w:color w:val="0000FF"/>
              </w:rPr>
            </w:pPr>
            <w:hyperlink w:anchor="page87">
              <w:r>
                <w:rPr>
                  <w:rFonts w:ascii="Arial" w:cs="Arial" w:eastAsia="Arial" w:hAnsi="Arial"/>
                  <w:sz w:val="17"/>
                  <w:szCs w:val="17"/>
                  <w:color w:val="0000FF"/>
                </w:rPr>
                <w:t>87</w:t>
              </w:r>
            </w:hyperlink>
          </w:p>
        </w:tc>
        <w:tc>
          <w:tcPr>
            <w:tcW w:w="40" w:type="dxa"/>
            <w:vAlign w:val="bottom"/>
          </w:tcPr>
          <w:p>
            <w:pPr>
              <w:spacing w:after="0"/>
              <w:rPr>
                <w:sz w:val="22"/>
                <w:szCs w:val="22"/>
                <w:color w:val="auto"/>
              </w:rPr>
            </w:pPr>
          </w:p>
        </w:tc>
      </w:tr>
      <w:tr>
        <w:trPr>
          <w:trHeight w:val="20"/>
        </w:trPr>
        <w:tc>
          <w:tcPr>
            <w:tcW w:w="1200" w:type="dxa"/>
            <w:vAlign w:val="bottom"/>
          </w:tcPr>
          <w:p>
            <w:pPr>
              <w:spacing w:after="0" w:line="20" w:lineRule="exact"/>
              <w:rPr>
                <w:sz w:val="1"/>
                <w:szCs w:val="1"/>
                <w:color w:val="auto"/>
              </w:rPr>
            </w:pPr>
          </w:p>
        </w:tc>
        <w:tc>
          <w:tcPr>
            <w:tcW w:w="1300" w:type="dxa"/>
            <w:vAlign w:val="bottom"/>
            <w:tcBorders>
              <w:right w:val="single" w:sz="8" w:color="0000FF"/>
            </w:tcBorders>
            <w:gridSpan w:val="4"/>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5"/>
        </w:trPr>
        <w:tc>
          <w:tcPr>
            <w:tcW w:w="1200" w:type="dxa"/>
            <w:vAlign w:val="bottom"/>
          </w:tcPr>
          <w:p>
            <w:pPr>
              <w:ind w:left="20"/>
              <w:spacing w:after="0"/>
              <w:rPr>
                <w:sz w:val="20"/>
                <w:szCs w:val="20"/>
                <w:color w:val="auto"/>
              </w:rPr>
            </w:pPr>
            <w:r>
              <w:rPr>
                <w:rFonts w:ascii="Arial" w:cs="Arial" w:eastAsia="Arial" w:hAnsi="Arial"/>
                <w:sz w:val="17"/>
                <w:szCs w:val="17"/>
                <w:color w:val="auto"/>
              </w:rPr>
              <w:t>Item 9A.</w:t>
            </w:r>
          </w:p>
        </w:tc>
        <w:tc>
          <w:tcPr>
            <w:tcW w:w="6300" w:type="dxa"/>
            <w:vAlign w:val="bottom"/>
            <w:gridSpan w:val="17"/>
          </w:tcPr>
          <w:p>
            <w:pPr>
              <w:spacing w:after="0"/>
              <w:rPr>
                <w:rFonts w:ascii="Arial" w:cs="Arial" w:eastAsia="Arial" w:hAnsi="Arial"/>
                <w:sz w:val="17"/>
                <w:szCs w:val="17"/>
                <w:color w:val="0000FF"/>
              </w:rPr>
            </w:pPr>
            <w:hyperlink w:anchor="page88">
              <w:r>
                <w:rPr>
                  <w:rFonts w:ascii="Arial" w:cs="Arial" w:eastAsia="Arial" w:hAnsi="Arial"/>
                  <w:sz w:val="17"/>
                  <w:szCs w:val="17"/>
                  <w:color w:val="0000FF"/>
                </w:rPr>
                <w:t>Controls and Procedures</w:t>
              </w:r>
            </w:hyperlink>
          </w:p>
        </w:tc>
        <w:tc>
          <w:tcPr>
            <w:tcW w:w="2780" w:type="dxa"/>
            <w:vAlign w:val="bottom"/>
            <w:gridSpan w:val="3"/>
          </w:tcPr>
          <w:p>
            <w:pPr>
              <w:spacing w:after="0"/>
              <w:rPr>
                <w:sz w:val="22"/>
                <w:szCs w:val="22"/>
                <w:color w:val="auto"/>
              </w:rPr>
            </w:pPr>
          </w:p>
        </w:tc>
        <w:tc>
          <w:tcPr>
            <w:tcW w:w="920" w:type="dxa"/>
            <w:vAlign w:val="bottom"/>
            <w:gridSpan w:val="4"/>
          </w:tcPr>
          <w:p>
            <w:pPr>
              <w:jc w:val="right"/>
              <w:ind w:right="20"/>
              <w:spacing w:after="0"/>
              <w:rPr>
                <w:rFonts w:ascii="Arial" w:cs="Arial" w:eastAsia="Arial" w:hAnsi="Arial"/>
                <w:sz w:val="17"/>
                <w:szCs w:val="17"/>
                <w:color w:val="0000FF"/>
              </w:rPr>
            </w:pPr>
            <w:hyperlink w:anchor="page88">
              <w:r>
                <w:rPr>
                  <w:rFonts w:ascii="Arial" w:cs="Arial" w:eastAsia="Arial" w:hAnsi="Arial"/>
                  <w:sz w:val="17"/>
                  <w:szCs w:val="17"/>
                  <w:color w:val="0000FF"/>
                </w:rPr>
                <w:t>87</w:t>
              </w:r>
            </w:hyperlink>
          </w:p>
        </w:tc>
        <w:tc>
          <w:tcPr>
            <w:tcW w:w="40" w:type="dxa"/>
            <w:vAlign w:val="bottom"/>
          </w:tcPr>
          <w:p>
            <w:pPr>
              <w:spacing w:after="0"/>
              <w:rPr>
                <w:sz w:val="22"/>
                <w:szCs w:val="22"/>
                <w:color w:val="auto"/>
              </w:rPr>
            </w:pPr>
          </w:p>
        </w:tc>
      </w:tr>
      <w:tr>
        <w:trPr>
          <w:trHeight w:val="20"/>
        </w:trPr>
        <w:tc>
          <w:tcPr>
            <w:tcW w:w="1200" w:type="dxa"/>
            <w:vAlign w:val="bottom"/>
          </w:tcPr>
          <w:p>
            <w:pPr>
              <w:spacing w:after="0" w:line="20" w:lineRule="exact"/>
              <w:rPr>
                <w:sz w:val="1"/>
                <w:szCs w:val="1"/>
                <w:color w:val="auto"/>
              </w:rPr>
            </w:pPr>
          </w:p>
        </w:tc>
        <w:tc>
          <w:tcPr>
            <w:tcW w:w="1300" w:type="dxa"/>
            <w:vAlign w:val="bottom"/>
            <w:tcBorders>
              <w:right w:val="single" w:sz="8" w:color="0000FF"/>
            </w:tcBorders>
            <w:gridSpan w:val="4"/>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5"/>
        </w:trPr>
        <w:tc>
          <w:tcPr>
            <w:tcW w:w="1200" w:type="dxa"/>
            <w:vAlign w:val="bottom"/>
          </w:tcPr>
          <w:p>
            <w:pPr>
              <w:ind w:left="20"/>
              <w:spacing w:after="0"/>
              <w:rPr>
                <w:sz w:val="20"/>
                <w:szCs w:val="20"/>
                <w:color w:val="auto"/>
              </w:rPr>
            </w:pPr>
            <w:r>
              <w:rPr>
                <w:rFonts w:ascii="Arial" w:cs="Arial" w:eastAsia="Arial" w:hAnsi="Arial"/>
                <w:sz w:val="17"/>
                <w:szCs w:val="17"/>
                <w:color w:val="auto"/>
              </w:rPr>
              <w:t>Item 9B.</w:t>
            </w:r>
          </w:p>
        </w:tc>
        <w:tc>
          <w:tcPr>
            <w:tcW w:w="1720" w:type="dxa"/>
            <w:vAlign w:val="bottom"/>
            <w:gridSpan w:val="7"/>
          </w:tcPr>
          <w:p>
            <w:pPr>
              <w:spacing w:after="0"/>
              <w:rPr>
                <w:rFonts w:ascii="Arial" w:cs="Arial" w:eastAsia="Arial" w:hAnsi="Arial"/>
                <w:sz w:val="17"/>
                <w:szCs w:val="17"/>
                <w:color w:val="0000FF"/>
              </w:rPr>
            </w:pPr>
            <w:hyperlink w:anchor="page88">
              <w:r>
                <w:rPr>
                  <w:rFonts w:ascii="Arial" w:cs="Arial" w:eastAsia="Arial" w:hAnsi="Arial"/>
                  <w:sz w:val="17"/>
                  <w:szCs w:val="17"/>
                  <w:color w:val="0000FF"/>
                </w:rPr>
                <w:t>Other Information</w:t>
              </w:r>
            </w:hyperlink>
          </w:p>
        </w:tc>
        <w:tc>
          <w:tcPr>
            <w:tcW w:w="7360" w:type="dxa"/>
            <w:vAlign w:val="bottom"/>
            <w:gridSpan w:val="13"/>
          </w:tcPr>
          <w:p>
            <w:pPr>
              <w:spacing w:after="0"/>
              <w:rPr>
                <w:sz w:val="22"/>
                <w:szCs w:val="22"/>
                <w:color w:val="auto"/>
              </w:rPr>
            </w:pPr>
          </w:p>
        </w:tc>
        <w:tc>
          <w:tcPr>
            <w:tcW w:w="920" w:type="dxa"/>
            <w:vAlign w:val="bottom"/>
            <w:gridSpan w:val="4"/>
          </w:tcPr>
          <w:p>
            <w:pPr>
              <w:jc w:val="right"/>
              <w:ind w:right="20"/>
              <w:spacing w:after="0"/>
              <w:rPr>
                <w:rFonts w:ascii="Arial" w:cs="Arial" w:eastAsia="Arial" w:hAnsi="Arial"/>
                <w:sz w:val="17"/>
                <w:szCs w:val="17"/>
                <w:color w:val="0000FF"/>
              </w:rPr>
            </w:pPr>
            <w:hyperlink w:anchor="page88">
              <w:r>
                <w:rPr>
                  <w:rFonts w:ascii="Arial" w:cs="Arial" w:eastAsia="Arial" w:hAnsi="Arial"/>
                  <w:sz w:val="17"/>
                  <w:szCs w:val="17"/>
                  <w:color w:val="0000FF"/>
                </w:rPr>
                <w:t>87</w:t>
              </w:r>
            </w:hyperlink>
          </w:p>
        </w:tc>
        <w:tc>
          <w:tcPr>
            <w:tcW w:w="40" w:type="dxa"/>
            <w:vAlign w:val="bottom"/>
          </w:tcPr>
          <w:p>
            <w:pPr>
              <w:spacing w:after="0"/>
              <w:rPr>
                <w:sz w:val="22"/>
                <w:szCs w:val="22"/>
                <w:color w:val="auto"/>
              </w:rPr>
            </w:pPr>
          </w:p>
        </w:tc>
      </w:tr>
      <w:tr>
        <w:trPr>
          <w:trHeight w:val="294"/>
        </w:trPr>
        <w:tc>
          <w:tcPr>
            <w:tcW w:w="1200" w:type="dxa"/>
            <w:vAlign w:val="bottom"/>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40" w:type="dxa"/>
            <w:vAlign w:val="bottom"/>
            <w:gridSpan w:val="6"/>
          </w:tcPr>
          <w:p>
            <w:pPr>
              <w:jc w:val="center"/>
              <w:ind w:right="4260"/>
              <w:spacing w:after="0"/>
              <w:rPr>
                <w:sz w:val="20"/>
                <w:szCs w:val="20"/>
                <w:color w:val="auto"/>
              </w:rPr>
            </w:pPr>
            <w:r>
              <w:rPr>
                <w:rFonts w:ascii="Arial" w:cs="Arial" w:eastAsia="Arial" w:hAnsi="Arial"/>
                <w:sz w:val="17"/>
                <w:szCs w:val="17"/>
                <w:b w:val="1"/>
                <w:bCs w:val="1"/>
                <w:color w:val="auto"/>
              </w:rPr>
              <w:t>Part III</w:t>
            </w:r>
          </w:p>
        </w:tc>
        <w:tc>
          <w:tcPr>
            <w:tcW w:w="74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6"/>
        </w:trPr>
        <w:tc>
          <w:tcPr>
            <w:tcW w:w="1200" w:type="dxa"/>
            <w:vAlign w:val="bottom"/>
          </w:tcPr>
          <w:p>
            <w:pPr>
              <w:ind w:left="20"/>
              <w:spacing w:after="0"/>
              <w:rPr>
                <w:sz w:val="20"/>
                <w:szCs w:val="20"/>
                <w:color w:val="auto"/>
              </w:rPr>
            </w:pPr>
            <w:r>
              <w:rPr>
                <w:rFonts w:ascii="Arial" w:cs="Arial" w:eastAsia="Arial" w:hAnsi="Arial"/>
                <w:sz w:val="17"/>
                <w:szCs w:val="17"/>
                <w:color w:val="auto"/>
              </w:rPr>
              <w:t>Item 10.</w:t>
            </w:r>
          </w:p>
        </w:tc>
        <w:tc>
          <w:tcPr>
            <w:tcW w:w="5300" w:type="dxa"/>
            <w:vAlign w:val="bottom"/>
            <w:gridSpan w:val="15"/>
          </w:tcPr>
          <w:p>
            <w:pPr>
              <w:spacing w:after="0"/>
              <w:rPr>
                <w:rFonts w:ascii="Arial" w:cs="Arial" w:eastAsia="Arial" w:hAnsi="Arial"/>
                <w:sz w:val="17"/>
                <w:szCs w:val="17"/>
                <w:color w:val="0000FF"/>
              </w:rPr>
            </w:pPr>
            <w:hyperlink w:anchor="page89">
              <w:r>
                <w:rPr>
                  <w:rFonts w:ascii="Arial" w:cs="Arial" w:eastAsia="Arial" w:hAnsi="Arial"/>
                  <w:sz w:val="17"/>
                  <w:szCs w:val="17"/>
                  <w:color w:val="0000FF"/>
                </w:rPr>
                <w:t>Directors, Executive Officers and Corporate Governance</w:t>
              </w:r>
            </w:hyperlink>
          </w:p>
        </w:tc>
        <w:tc>
          <w:tcPr>
            <w:tcW w:w="3780" w:type="dxa"/>
            <w:vAlign w:val="bottom"/>
            <w:gridSpan w:val="5"/>
          </w:tcPr>
          <w:p>
            <w:pPr>
              <w:spacing w:after="0"/>
              <w:rPr>
                <w:sz w:val="20"/>
                <w:szCs w:val="20"/>
                <w:color w:val="auto"/>
              </w:rPr>
            </w:pPr>
          </w:p>
        </w:tc>
        <w:tc>
          <w:tcPr>
            <w:tcW w:w="920" w:type="dxa"/>
            <w:vAlign w:val="bottom"/>
            <w:gridSpan w:val="4"/>
          </w:tcPr>
          <w:p>
            <w:pPr>
              <w:jc w:val="right"/>
              <w:ind w:right="20"/>
              <w:spacing w:after="0"/>
              <w:rPr>
                <w:rFonts w:ascii="Arial" w:cs="Arial" w:eastAsia="Arial" w:hAnsi="Arial"/>
                <w:sz w:val="17"/>
                <w:szCs w:val="17"/>
                <w:color w:val="0000FF"/>
              </w:rPr>
            </w:pPr>
            <w:hyperlink w:anchor="page89">
              <w:r>
                <w:rPr>
                  <w:rFonts w:ascii="Arial" w:cs="Arial" w:eastAsia="Arial" w:hAnsi="Arial"/>
                  <w:sz w:val="17"/>
                  <w:szCs w:val="17"/>
                  <w:color w:val="0000FF"/>
                </w:rPr>
                <w:t>88</w:t>
              </w:r>
            </w:hyperlink>
          </w:p>
        </w:tc>
        <w:tc>
          <w:tcPr>
            <w:tcW w:w="40" w:type="dxa"/>
            <w:vAlign w:val="bottom"/>
          </w:tcPr>
          <w:p>
            <w:pPr>
              <w:spacing w:after="0"/>
              <w:rPr>
                <w:sz w:val="20"/>
                <w:szCs w:val="20"/>
                <w:color w:val="auto"/>
              </w:rPr>
            </w:pPr>
          </w:p>
        </w:tc>
      </w:tr>
      <w:tr>
        <w:trPr>
          <w:trHeight w:val="20"/>
        </w:trPr>
        <w:tc>
          <w:tcPr>
            <w:tcW w:w="1200" w:type="dxa"/>
            <w:vAlign w:val="bottom"/>
          </w:tcPr>
          <w:p>
            <w:pPr>
              <w:spacing w:after="0" w:line="20" w:lineRule="exact"/>
              <w:rPr>
                <w:sz w:val="1"/>
                <w:szCs w:val="1"/>
                <w:color w:val="auto"/>
              </w:rPr>
            </w:pPr>
          </w:p>
        </w:tc>
        <w:tc>
          <w:tcPr>
            <w:tcW w:w="1500" w:type="dxa"/>
            <w:vAlign w:val="bottom"/>
            <w:gridSpan w:val="5"/>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20" w:type="dxa"/>
            <w:vAlign w:val="bottom"/>
            <w:gridSpan w:val="4"/>
            <w:shd w:val="clear" w:color="auto" w:fill="0000FF"/>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5"/>
        </w:trPr>
        <w:tc>
          <w:tcPr>
            <w:tcW w:w="1200" w:type="dxa"/>
            <w:vAlign w:val="bottom"/>
          </w:tcPr>
          <w:p>
            <w:pPr>
              <w:ind w:left="20"/>
              <w:spacing w:after="0"/>
              <w:rPr>
                <w:sz w:val="20"/>
                <w:szCs w:val="20"/>
                <w:color w:val="auto"/>
              </w:rPr>
            </w:pPr>
            <w:r>
              <w:rPr>
                <w:rFonts w:ascii="Arial" w:cs="Arial" w:eastAsia="Arial" w:hAnsi="Arial"/>
                <w:sz w:val="17"/>
                <w:szCs w:val="17"/>
                <w:color w:val="auto"/>
              </w:rPr>
              <w:t>Item 11.</w:t>
            </w:r>
          </w:p>
        </w:tc>
        <w:tc>
          <w:tcPr>
            <w:tcW w:w="2780" w:type="dxa"/>
            <w:vAlign w:val="bottom"/>
            <w:gridSpan w:val="10"/>
          </w:tcPr>
          <w:p>
            <w:pPr>
              <w:spacing w:after="0"/>
              <w:rPr>
                <w:rFonts w:ascii="Arial" w:cs="Arial" w:eastAsia="Arial" w:hAnsi="Arial"/>
                <w:sz w:val="17"/>
                <w:szCs w:val="17"/>
                <w:color w:val="0000FF"/>
              </w:rPr>
            </w:pPr>
            <w:hyperlink w:anchor="page89">
              <w:r>
                <w:rPr>
                  <w:rFonts w:ascii="Arial" w:cs="Arial" w:eastAsia="Arial" w:hAnsi="Arial"/>
                  <w:sz w:val="17"/>
                  <w:szCs w:val="17"/>
                  <w:color w:val="0000FF"/>
                </w:rPr>
                <w:t>Executive Compensation</w:t>
              </w:r>
            </w:hyperlink>
          </w:p>
        </w:tc>
        <w:tc>
          <w:tcPr>
            <w:tcW w:w="2520" w:type="dxa"/>
            <w:vAlign w:val="bottom"/>
            <w:gridSpan w:val="5"/>
          </w:tcPr>
          <w:p>
            <w:pPr>
              <w:spacing w:after="0"/>
              <w:rPr>
                <w:sz w:val="22"/>
                <w:szCs w:val="22"/>
                <w:color w:val="auto"/>
              </w:rPr>
            </w:pPr>
          </w:p>
        </w:tc>
        <w:tc>
          <w:tcPr>
            <w:tcW w:w="3780" w:type="dxa"/>
            <w:vAlign w:val="bottom"/>
            <w:gridSpan w:val="5"/>
          </w:tcPr>
          <w:p>
            <w:pPr>
              <w:spacing w:after="0"/>
              <w:rPr>
                <w:sz w:val="22"/>
                <w:szCs w:val="22"/>
                <w:color w:val="auto"/>
              </w:rPr>
            </w:pPr>
          </w:p>
        </w:tc>
        <w:tc>
          <w:tcPr>
            <w:tcW w:w="920" w:type="dxa"/>
            <w:vAlign w:val="bottom"/>
            <w:gridSpan w:val="4"/>
          </w:tcPr>
          <w:p>
            <w:pPr>
              <w:jc w:val="right"/>
              <w:ind w:right="20"/>
              <w:spacing w:after="0"/>
              <w:rPr>
                <w:rFonts w:ascii="Arial" w:cs="Arial" w:eastAsia="Arial" w:hAnsi="Arial"/>
                <w:sz w:val="17"/>
                <w:szCs w:val="17"/>
                <w:color w:val="0000FF"/>
              </w:rPr>
            </w:pPr>
            <w:hyperlink w:anchor="page89">
              <w:r>
                <w:rPr>
                  <w:rFonts w:ascii="Arial" w:cs="Arial" w:eastAsia="Arial" w:hAnsi="Arial"/>
                  <w:sz w:val="17"/>
                  <w:szCs w:val="17"/>
                  <w:color w:val="0000FF"/>
                </w:rPr>
                <w:t>88</w:t>
              </w:r>
            </w:hyperlink>
          </w:p>
        </w:tc>
        <w:tc>
          <w:tcPr>
            <w:tcW w:w="40" w:type="dxa"/>
            <w:vAlign w:val="bottom"/>
          </w:tcPr>
          <w:p>
            <w:pPr>
              <w:spacing w:after="0"/>
              <w:rPr>
                <w:sz w:val="22"/>
                <w:szCs w:val="22"/>
                <w:color w:val="auto"/>
              </w:rPr>
            </w:pPr>
          </w:p>
        </w:tc>
      </w:tr>
      <w:tr>
        <w:trPr>
          <w:trHeight w:val="20"/>
        </w:trPr>
        <w:tc>
          <w:tcPr>
            <w:tcW w:w="1200" w:type="dxa"/>
            <w:vAlign w:val="bottom"/>
          </w:tcPr>
          <w:p>
            <w:pPr>
              <w:spacing w:after="0" w:line="20" w:lineRule="exact"/>
              <w:rPr>
                <w:sz w:val="1"/>
                <w:szCs w:val="1"/>
                <w:color w:val="auto"/>
              </w:rPr>
            </w:pPr>
          </w:p>
        </w:tc>
        <w:tc>
          <w:tcPr>
            <w:tcW w:w="1500" w:type="dxa"/>
            <w:vAlign w:val="bottom"/>
            <w:gridSpan w:val="5"/>
            <w:shd w:val="clear" w:color="auto" w:fill="0000FF"/>
          </w:tcPr>
          <w:p>
            <w:pPr>
              <w:spacing w:after="0" w:line="20" w:lineRule="exact"/>
              <w:rPr>
                <w:sz w:val="1"/>
                <w:szCs w:val="1"/>
                <w:color w:val="auto"/>
              </w:rPr>
            </w:pPr>
          </w:p>
        </w:tc>
        <w:tc>
          <w:tcPr>
            <w:tcW w:w="1280" w:type="dxa"/>
            <w:vAlign w:val="bottom"/>
            <w:gridSpan w:val="5"/>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20" w:type="dxa"/>
            <w:vAlign w:val="bottom"/>
            <w:gridSpan w:val="4"/>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5"/>
        </w:trPr>
        <w:tc>
          <w:tcPr>
            <w:tcW w:w="1200" w:type="dxa"/>
            <w:vAlign w:val="bottom"/>
          </w:tcPr>
          <w:p>
            <w:pPr>
              <w:ind w:left="20"/>
              <w:spacing w:after="0"/>
              <w:rPr>
                <w:sz w:val="20"/>
                <w:szCs w:val="20"/>
                <w:color w:val="auto"/>
              </w:rPr>
            </w:pPr>
            <w:r>
              <w:rPr>
                <w:rFonts w:ascii="Arial" w:cs="Arial" w:eastAsia="Arial" w:hAnsi="Arial"/>
                <w:sz w:val="17"/>
                <w:szCs w:val="17"/>
                <w:color w:val="auto"/>
              </w:rPr>
              <w:t>Item 12.</w:t>
            </w:r>
          </w:p>
        </w:tc>
        <w:tc>
          <w:tcPr>
            <w:tcW w:w="9080" w:type="dxa"/>
            <w:vAlign w:val="bottom"/>
            <w:gridSpan w:val="20"/>
          </w:tcPr>
          <w:p>
            <w:pPr>
              <w:spacing w:after="0"/>
              <w:rPr>
                <w:rFonts w:ascii="Arial" w:cs="Arial" w:eastAsia="Arial" w:hAnsi="Arial"/>
                <w:sz w:val="17"/>
                <w:szCs w:val="17"/>
                <w:color w:val="0000FF"/>
              </w:rPr>
            </w:pPr>
            <w:hyperlink w:anchor="page89">
              <w:r>
                <w:rPr>
                  <w:rFonts w:ascii="Arial" w:cs="Arial" w:eastAsia="Arial" w:hAnsi="Arial"/>
                  <w:sz w:val="17"/>
                  <w:szCs w:val="17"/>
                  <w:color w:val="0000FF"/>
                </w:rPr>
                <w:t>Security Ownership of Certain Beneficial Owners and Management and Related Stockholder Matters</w:t>
              </w:r>
            </w:hyperlink>
          </w:p>
        </w:tc>
        <w:tc>
          <w:tcPr>
            <w:tcW w:w="920" w:type="dxa"/>
            <w:vAlign w:val="bottom"/>
            <w:gridSpan w:val="4"/>
          </w:tcPr>
          <w:p>
            <w:pPr>
              <w:jc w:val="right"/>
              <w:ind w:right="20"/>
              <w:spacing w:after="0"/>
              <w:rPr>
                <w:rFonts w:ascii="Arial" w:cs="Arial" w:eastAsia="Arial" w:hAnsi="Arial"/>
                <w:sz w:val="17"/>
                <w:szCs w:val="17"/>
                <w:color w:val="0000FF"/>
              </w:rPr>
            </w:pPr>
            <w:hyperlink w:anchor="page89">
              <w:r>
                <w:rPr>
                  <w:rFonts w:ascii="Arial" w:cs="Arial" w:eastAsia="Arial" w:hAnsi="Arial"/>
                  <w:sz w:val="17"/>
                  <w:szCs w:val="17"/>
                  <w:color w:val="0000FF"/>
                </w:rPr>
                <w:t>88</w:t>
              </w:r>
            </w:hyperlink>
          </w:p>
        </w:tc>
        <w:tc>
          <w:tcPr>
            <w:tcW w:w="40" w:type="dxa"/>
            <w:vAlign w:val="bottom"/>
          </w:tcPr>
          <w:p>
            <w:pPr>
              <w:spacing w:after="0"/>
              <w:rPr>
                <w:sz w:val="22"/>
                <w:szCs w:val="22"/>
                <w:color w:val="auto"/>
              </w:rPr>
            </w:pPr>
          </w:p>
        </w:tc>
      </w:tr>
      <w:tr>
        <w:trPr>
          <w:trHeight w:val="20"/>
        </w:trPr>
        <w:tc>
          <w:tcPr>
            <w:tcW w:w="1200" w:type="dxa"/>
            <w:vAlign w:val="bottom"/>
          </w:tcPr>
          <w:p>
            <w:pPr>
              <w:spacing w:after="0" w:line="20" w:lineRule="exact"/>
              <w:rPr>
                <w:sz w:val="1"/>
                <w:szCs w:val="1"/>
                <w:color w:val="auto"/>
              </w:rPr>
            </w:pPr>
          </w:p>
        </w:tc>
        <w:tc>
          <w:tcPr>
            <w:tcW w:w="1500" w:type="dxa"/>
            <w:vAlign w:val="bottom"/>
            <w:gridSpan w:val="5"/>
            <w:shd w:val="clear" w:color="auto" w:fill="0000FF"/>
          </w:tcPr>
          <w:p>
            <w:pPr>
              <w:spacing w:after="0" w:line="20" w:lineRule="exact"/>
              <w:rPr>
                <w:sz w:val="1"/>
                <w:szCs w:val="1"/>
                <w:color w:val="auto"/>
              </w:rPr>
            </w:pPr>
          </w:p>
        </w:tc>
        <w:tc>
          <w:tcPr>
            <w:tcW w:w="1280" w:type="dxa"/>
            <w:vAlign w:val="bottom"/>
            <w:gridSpan w:val="5"/>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20" w:type="dxa"/>
            <w:vAlign w:val="bottom"/>
            <w:gridSpan w:val="4"/>
            <w:shd w:val="clear" w:color="auto" w:fill="0000FF"/>
          </w:tcPr>
          <w:p>
            <w:pPr>
              <w:spacing w:after="0" w:line="20" w:lineRule="exact"/>
              <w:rPr>
                <w:sz w:val="1"/>
                <w:szCs w:val="1"/>
                <w:color w:val="auto"/>
              </w:rPr>
            </w:pPr>
          </w:p>
        </w:tc>
        <w:tc>
          <w:tcPr>
            <w:tcW w:w="1780" w:type="dxa"/>
            <w:vAlign w:val="bottom"/>
            <w:gridSpan w:val="3"/>
            <w:shd w:val="clear" w:color="auto" w:fill="0000FF"/>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5"/>
        </w:trPr>
        <w:tc>
          <w:tcPr>
            <w:tcW w:w="1200" w:type="dxa"/>
            <w:vAlign w:val="bottom"/>
          </w:tcPr>
          <w:p>
            <w:pPr>
              <w:ind w:left="20"/>
              <w:spacing w:after="0"/>
              <w:rPr>
                <w:sz w:val="20"/>
                <w:szCs w:val="20"/>
                <w:color w:val="auto"/>
              </w:rPr>
            </w:pPr>
            <w:r>
              <w:rPr>
                <w:rFonts w:ascii="Arial" w:cs="Arial" w:eastAsia="Arial" w:hAnsi="Arial"/>
                <w:sz w:val="17"/>
                <w:szCs w:val="17"/>
                <w:color w:val="auto"/>
              </w:rPr>
              <w:t>Item 13.</w:t>
            </w:r>
          </w:p>
        </w:tc>
        <w:tc>
          <w:tcPr>
            <w:tcW w:w="7080" w:type="dxa"/>
            <w:vAlign w:val="bottom"/>
            <w:gridSpan w:val="18"/>
          </w:tcPr>
          <w:p>
            <w:pPr>
              <w:spacing w:after="0"/>
              <w:rPr>
                <w:rFonts w:ascii="Arial" w:cs="Arial" w:eastAsia="Arial" w:hAnsi="Arial"/>
                <w:sz w:val="17"/>
                <w:szCs w:val="17"/>
                <w:color w:val="0000FF"/>
              </w:rPr>
            </w:pPr>
            <w:hyperlink w:anchor="page89">
              <w:r>
                <w:rPr>
                  <w:rFonts w:ascii="Arial" w:cs="Arial" w:eastAsia="Arial" w:hAnsi="Arial"/>
                  <w:sz w:val="17"/>
                  <w:szCs w:val="17"/>
                  <w:color w:val="0000FF"/>
                </w:rPr>
                <w:t>Certain Relationships and Related Transactions, and Director Independence</w:t>
              </w:r>
            </w:hyperlink>
          </w:p>
        </w:tc>
        <w:tc>
          <w:tcPr>
            <w:tcW w:w="2000" w:type="dxa"/>
            <w:vAlign w:val="bottom"/>
            <w:gridSpan w:val="2"/>
          </w:tcPr>
          <w:p>
            <w:pPr>
              <w:spacing w:after="0"/>
              <w:rPr>
                <w:sz w:val="22"/>
                <w:szCs w:val="22"/>
                <w:color w:val="auto"/>
              </w:rPr>
            </w:pPr>
          </w:p>
        </w:tc>
        <w:tc>
          <w:tcPr>
            <w:tcW w:w="920" w:type="dxa"/>
            <w:vAlign w:val="bottom"/>
            <w:gridSpan w:val="4"/>
          </w:tcPr>
          <w:p>
            <w:pPr>
              <w:jc w:val="right"/>
              <w:ind w:right="20"/>
              <w:spacing w:after="0"/>
              <w:rPr>
                <w:rFonts w:ascii="Arial" w:cs="Arial" w:eastAsia="Arial" w:hAnsi="Arial"/>
                <w:sz w:val="17"/>
                <w:szCs w:val="17"/>
                <w:color w:val="0000FF"/>
              </w:rPr>
            </w:pPr>
            <w:hyperlink w:anchor="page89">
              <w:r>
                <w:rPr>
                  <w:rFonts w:ascii="Arial" w:cs="Arial" w:eastAsia="Arial" w:hAnsi="Arial"/>
                  <w:sz w:val="17"/>
                  <w:szCs w:val="17"/>
                  <w:color w:val="0000FF"/>
                </w:rPr>
                <w:t>88</w:t>
              </w:r>
            </w:hyperlink>
          </w:p>
        </w:tc>
        <w:tc>
          <w:tcPr>
            <w:tcW w:w="40" w:type="dxa"/>
            <w:vAlign w:val="bottom"/>
          </w:tcPr>
          <w:p>
            <w:pPr>
              <w:spacing w:after="0"/>
              <w:rPr>
                <w:sz w:val="22"/>
                <w:szCs w:val="22"/>
                <w:color w:val="auto"/>
              </w:rPr>
            </w:pPr>
          </w:p>
        </w:tc>
      </w:tr>
      <w:tr>
        <w:trPr>
          <w:trHeight w:val="20"/>
        </w:trPr>
        <w:tc>
          <w:tcPr>
            <w:tcW w:w="1200" w:type="dxa"/>
            <w:vAlign w:val="bottom"/>
          </w:tcPr>
          <w:p>
            <w:pPr>
              <w:spacing w:after="0" w:line="20" w:lineRule="exact"/>
              <w:rPr>
                <w:sz w:val="1"/>
                <w:szCs w:val="1"/>
                <w:color w:val="auto"/>
              </w:rPr>
            </w:pPr>
          </w:p>
        </w:tc>
        <w:tc>
          <w:tcPr>
            <w:tcW w:w="1500" w:type="dxa"/>
            <w:vAlign w:val="bottom"/>
            <w:gridSpan w:val="5"/>
            <w:shd w:val="clear" w:color="auto" w:fill="0000FF"/>
          </w:tcPr>
          <w:p>
            <w:pPr>
              <w:spacing w:after="0" w:line="20" w:lineRule="exact"/>
              <w:rPr>
                <w:sz w:val="1"/>
                <w:szCs w:val="1"/>
                <w:color w:val="auto"/>
              </w:rPr>
            </w:pPr>
          </w:p>
        </w:tc>
        <w:tc>
          <w:tcPr>
            <w:tcW w:w="1280" w:type="dxa"/>
            <w:vAlign w:val="bottom"/>
            <w:gridSpan w:val="5"/>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00" w:type="dxa"/>
            <w:vAlign w:val="bottom"/>
            <w:gridSpan w:val="9"/>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5"/>
        </w:trPr>
        <w:tc>
          <w:tcPr>
            <w:tcW w:w="1200" w:type="dxa"/>
            <w:vAlign w:val="bottom"/>
          </w:tcPr>
          <w:p>
            <w:pPr>
              <w:ind w:left="20"/>
              <w:spacing w:after="0"/>
              <w:rPr>
                <w:sz w:val="20"/>
                <w:szCs w:val="20"/>
                <w:color w:val="auto"/>
              </w:rPr>
            </w:pPr>
            <w:r>
              <w:rPr>
                <w:rFonts w:ascii="Arial" w:cs="Arial" w:eastAsia="Arial" w:hAnsi="Arial"/>
                <w:sz w:val="17"/>
                <w:szCs w:val="17"/>
                <w:color w:val="auto"/>
              </w:rPr>
              <w:t>Item 14.</w:t>
            </w:r>
          </w:p>
        </w:tc>
        <w:tc>
          <w:tcPr>
            <w:tcW w:w="9080" w:type="dxa"/>
            <w:vAlign w:val="bottom"/>
            <w:gridSpan w:val="20"/>
          </w:tcPr>
          <w:p>
            <w:pPr>
              <w:spacing w:after="0"/>
              <w:rPr>
                <w:rFonts w:ascii="Arial" w:cs="Arial" w:eastAsia="Arial" w:hAnsi="Arial"/>
                <w:sz w:val="17"/>
                <w:szCs w:val="17"/>
                <w:color w:val="0000FF"/>
              </w:rPr>
            </w:pPr>
            <w:hyperlink w:anchor="page89">
              <w:r>
                <w:rPr>
                  <w:rFonts w:ascii="Arial" w:cs="Arial" w:eastAsia="Arial" w:hAnsi="Arial"/>
                  <w:sz w:val="17"/>
                  <w:szCs w:val="17"/>
                  <w:color w:val="0000FF"/>
                </w:rPr>
                <w:t>Principal Accounting Fees and Services</w:t>
              </w:r>
            </w:hyperlink>
          </w:p>
        </w:tc>
        <w:tc>
          <w:tcPr>
            <w:tcW w:w="920" w:type="dxa"/>
            <w:vAlign w:val="bottom"/>
            <w:gridSpan w:val="4"/>
          </w:tcPr>
          <w:p>
            <w:pPr>
              <w:jc w:val="right"/>
              <w:ind w:right="20"/>
              <w:spacing w:after="0"/>
              <w:rPr>
                <w:rFonts w:ascii="Arial" w:cs="Arial" w:eastAsia="Arial" w:hAnsi="Arial"/>
                <w:sz w:val="17"/>
                <w:szCs w:val="17"/>
                <w:color w:val="0000FF"/>
              </w:rPr>
            </w:pPr>
            <w:hyperlink w:anchor="page89">
              <w:r>
                <w:rPr>
                  <w:rFonts w:ascii="Arial" w:cs="Arial" w:eastAsia="Arial" w:hAnsi="Arial"/>
                  <w:sz w:val="17"/>
                  <w:szCs w:val="17"/>
                  <w:color w:val="0000FF"/>
                </w:rPr>
                <w:t>88</w:t>
              </w:r>
            </w:hyperlink>
          </w:p>
        </w:tc>
        <w:tc>
          <w:tcPr>
            <w:tcW w:w="40" w:type="dxa"/>
            <w:vAlign w:val="bottom"/>
          </w:tcPr>
          <w:p>
            <w:pPr>
              <w:spacing w:after="0"/>
              <w:rPr>
                <w:sz w:val="22"/>
                <w:szCs w:val="22"/>
                <w:color w:val="auto"/>
              </w:rPr>
            </w:pPr>
          </w:p>
        </w:tc>
      </w:tr>
      <w:tr>
        <w:trPr>
          <w:trHeight w:val="294"/>
        </w:trPr>
        <w:tc>
          <w:tcPr>
            <w:tcW w:w="1200" w:type="dxa"/>
            <w:vAlign w:val="bottom"/>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40" w:type="dxa"/>
            <w:vAlign w:val="bottom"/>
            <w:gridSpan w:val="6"/>
          </w:tcPr>
          <w:p>
            <w:pPr>
              <w:jc w:val="center"/>
              <w:ind w:right="4260"/>
              <w:spacing w:after="0"/>
              <w:rPr>
                <w:sz w:val="20"/>
                <w:szCs w:val="20"/>
                <w:color w:val="auto"/>
              </w:rPr>
            </w:pPr>
            <w:r>
              <w:rPr>
                <w:rFonts w:ascii="Arial" w:cs="Arial" w:eastAsia="Arial" w:hAnsi="Arial"/>
                <w:sz w:val="17"/>
                <w:szCs w:val="17"/>
                <w:b w:val="1"/>
                <w:bCs w:val="1"/>
                <w:color w:val="auto"/>
              </w:rPr>
              <w:t>Part IV</w:t>
            </w:r>
          </w:p>
        </w:tc>
        <w:tc>
          <w:tcPr>
            <w:tcW w:w="74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6"/>
        </w:trPr>
        <w:tc>
          <w:tcPr>
            <w:tcW w:w="1200" w:type="dxa"/>
            <w:vAlign w:val="bottom"/>
          </w:tcPr>
          <w:p>
            <w:pPr>
              <w:ind w:left="20"/>
              <w:spacing w:after="0"/>
              <w:rPr>
                <w:sz w:val="20"/>
                <w:szCs w:val="20"/>
                <w:color w:val="auto"/>
              </w:rPr>
            </w:pPr>
            <w:r>
              <w:rPr>
                <w:rFonts w:ascii="Arial" w:cs="Arial" w:eastAsia="Arial" w:hAnsi="Arial"/>
                <w:sz w:val="17"/>
                <w:szCs w:val="17"/>
                <w:color w:val="auto"/>
              </w:rPr>
              <w:t>Item 15.</w:t>
            </w:r>
          </w:p>
        </w:tc>
        <w:tc>
          <w:tcPr>
            <w:tcW w:w="3080" w:type="dxa"/>
            <w:vAlign w:val="bottom"/>
            <w:gridSpan w:val="11"/>
          </w:tcPr>
          <w:p>
            <w:pPr>
              <w:spacing w:after="0"/>
              <w:rPr>
                <w:rFonts w:ascii="Arial" w:cs="Arial" w:eastAsia="Arial" w:hAnsi="Arial"/>
                <w:sz w:val="17"/>
                <w:szCs w:val="17"/>
                <w:color w:val="0000FF"/>
                <w:w w:val="92"/>
              </w:rPr>
            </w:pPr>
            <w:hyperlink w:anchor="page90">
              <w:r>
                <w:rPr>
                  <w:rFonts w:ascii="Arial" w:cs="Arial" w:eastAsia="Arial" w:hAnsi="Arial"/>
                  <w:sz w:val="17"/>
                  <w:szCs w:val="17"/>
                  <w:color w:val="0000FF"/>
                  <w:w w:val="92"/>
                </w:rPr>
                <w:t>Exhibits and Financial Statement Schedules</w:t>
              </w:r>
            </w:hyperlink>
          </w:p>
        </w:tc>
        <w:tc>
          <w:tcPr>
            <w:tcW w:w="6000" w:type="dxa"/>
            <w:vAlign w:val="bottom"/>
            <w:gridSpan w:val="9"/>
          </w:tcPr>
          <w:p>
            <w:pPr>
              <w:spacing w:after="0"/>
              <w:rPr>
                <w:sz w:val="20"/>
                <w:szCs w:val="20"/>
                <w:color w:val="auto"/>
              </w:rPr>
            </w:pPr>
          </w:p>
        </w:tc>
        <w:tc>
          <w:tcPr>
            <w:tcW w:w="920" w:type="dxa"/>
            <w:vAlign w:val="bottom"/>
            <w:gridSpan w:val="4"/>
          </w:tcPr>
          <w:p>
            <w:pPr>
              <w:jc w:val="right"/>
              <w:ind w:right="20"/>
              <w:spacing w:after="0"/>
              <w:rPr>
                <w:rFonts w:ascii="Arial" w:cs="Arial" w:eastAsia="Arial" w:hAnsi="Arial"/>
                <w:sz w:val="17"/>
                <w:szCs w:val="17"/>
                <w:color w:val="0000FF"/>
              </w:rPr>
            </w:pPr>
            <w:hyperlink w:anchor="page90">
              <w:r>
                <w:rPr>
                  <w:rFonts w:ascii="Arial" w:cs="Arial" w:eastAsia="Arial" w:hAnsi="Arial"/>
                  <w:sz w:val="17"/>
                  <w:szCs w:val="17"/>
                  <w:color w:val="0000FF"/>
                </w:rPr>
                <w:t>89</w:t>
              </w:r>
            </w:hyperlink>
          </w:p>
        </w:tc>
        <w:tc>
          <w:tcPr>
            <w:tcW w:w="40" w:type="dxa"/>
            <w:vAlign w:val="bottom"/>
          </w:tcPr>
          <w:p>
            <w:pPr>
              <w:spacing w:after="0"/>
              <w:rPr>
                <w:sz w:val="20"/>
                <w:szCs w:val="20"/>
                <w:color w:val="auto"/>
              </w:rPr>
            </w:pPr>
          </w:p>
        </w:tc>
      </w:tr>
      <w:tr>
        <w:trPr>
          <w:trHeight w:val="20"/>
        </w:trPr>
        <w:tc>
          <w:tcPr>
            <w:tcW w:w="1200" w:type="dxa"/>
            <w:vAlign w:val="bottom"/>
          </w:tcPr>
          <w:p>
            <w:pPr>
              <w:spacing w:after="0" w:line="20" w:lineRule="exact"/>
              <w:rPr>
                <w:sz w:val="1"/>
                <w:szCs w:val="1"/>
                <w:color w:val="auto"/>
              </w:rPr>
            </w:pPr>
          </w:p>
        </w:tc>
        <w:tc>
          <w:tcPr>
            <w:tcW w:w="1500" w:type="dxa"/>
            <w:vAlign w:val="bottom"/>
            <w:gridSpan w:val="5"/>
            <w:shd w:val="clear" w:color="auto" w:fill="0000FF"/>
          </w:tcPr>
          <w:p>
            <w:pPr>
              <w:spacing w:after="0" w:line="20" w:lineRule="exact"/>
              <w:rPr>
                <w:sz w:val="1"/>
                <w:szCs w:val="1"/>
                <w:color w:val="auto"/>
              </w:rPr>
            </w:pPr>
          </w:p>
        </w:tc>
        <w:tc>
          <w:tcPr>
            <w:tcW w:w="1580" w:type="dxa"/>
            <w:vAlign w:val="bottom"/>
            <w:gridSpan w:val="6"/>
            <w:shd w:val="clear" w:color="auto" w:fill="0000FF"/>
          </w:tcPr>
          <w:p>
            <w:pPr>
              <w:spacing w:after="0" w:line="20" w:lineRule="exact"/>
              <w:rPr>
                <w:sz w:val="1"/>
                <w:szCs w:val="1"/>
                <w:color w:val="auto"/>
              </w:rPr>
            </w:pPr>
          </w:p>
        </w:tc>
        <w:tc>
          <w:tcPr>
            <w:tcW w:w="6000" w:type="dxa"/>
            <w:vAlign w:val="bottom"/>
            <w:gridSpan w:val="9"/>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5"/>
        </w:trPr>
        <w:tc>
          <w:tcPr>
            <w:tcW w:w="1200" w:type="dxa"/>
            <w:vAlign w:val="bottom"/>
          </w:tcPr>
          <w:p>
            <w:pPr>
              <w:ind w:left="20"/>
              <w:spacing w:after="0"/>
              <w:rPr>
                <w:sz w:val="20"/>
                <w:szCs w:val="20"/>
                <w:color w:val="auto"/>
              </w:rPr>
            </w:pPr>
            <w:r>
              <w:rPr>
                <w:rFonts w:ascii="Arial" w:cs="Arial" w:eastAsia="Arial" w:hAnsi="Arial"/>
                <w:sz w:val="17"/>
                <w:szCs w:val="17"/>
                <w:color w:val="auto"/>
              </w:rPr>
              <w:t>Item 16.</w:t>
            </w:r>
          </w:p>
        </w:tc>
        <w:tc>
          <w:tcPr>
            <w:tcW w:w="3080" w:type="dxa"/>
            <w:vAlign w:val="bottom"/>
            <w:gridSpan w:val="11"/>
          </w:tcPr>
          <w:p>
            <w:pPr>
              <w:spacing w:after="0"/>
              <w:rPr>
                <w:rFonts w:ascii="Arial" w:cs="Arial" w:eastAsia="Arial" w:hAnsi="Arial"/>
                <w:sz w:val="17"/>
                <w:szCs w:val="17"/>
                <w:color w:val="0000FF"/>
              </w:rPr>
            </w:pPr>
            <w:hyperlink w:anchor="page92">
              <w:r>
                <w:rPr>
                  <w:rFonts w:ascii="Arial" w:cs="Arial" w:eastAsia="Arial" w:hAnsi="Arial"/>
                  <w:sz w:val="17"/>
                  <w:szCs w:val="17"/>
                  <w:color w:val="0000FF"/>
                </w:rPr>
                <w:t>Form 10-K Summary</w:t>
              </w:r>
            </w:hyperlink>
          </w:p>
        </w:tc>
        <w:tc>
          <w:tcPr>
            <w:tcW w:w="6000" w:type="dxa"/>
            <w:vAlign w:val="bottom"/>
            <w:gridSpan w:val="9"/>
          </w:tcPr>
          <w:p>
            <w:pPr>
              <w:spacing w:after="0"/>
              <w:rPr>
                <w:sz w:val="23"/>
                <w:szCs w:val="23"/>
                <w:color w:val="auto"/>
              </w:rPr>
            </w:pPr>
          </w:p>
        </w:tc>
        <w:tc>
          <w:tcPr>
            <w:tcW w:w="920" w:type="dxa"/>
            <w:vAlign w:val="bottom"/>
            <w:gridSpan w:val="4"/>
          </w:tcPr>
          <w:p>
            <w:pPr>
              <w:jc w:val="right"/>
              <w:ind w:right="20"/>
              <w:spacing w:after="0"/>
              <w:rPr>
                <w:rFonts w:ascii="Arial" w:cs="Arial" w:eastAsia="Arial" w:hAnsi="Arial"/>
                <w:sz w:val="17"/>
                <w:szCs w:val="17"/>
                <w:color w:val="0000FF"/>
              </w:rPr>
            </w:pPr>
            <w:hyperlink w:anchor="page92">
              <w:r>
                <w:rPr>
                  <w:rFonts w:ascii="Arial" w:cs="Arial" w:eastAsia="Arial" w:hAnsi="Arial"/>
                  <w:sz w:val="17"/>
                  <w:szCs w:val="17"/>
                  <w:color w:val="0000FF"/>
                </w:rPr>
                <w:t>91</w:t>
              </w:r>
            </w:hyperlink>
          </w:p>
        </w:tc>
        <w:tc>
          <w:tcPr>
            <w:tcW w:w="40" w:type="dxa"/>
            <w:vAlign w:val="bottom"/>
          </w:tcPr>
          <w:p>
            <w:pPr>
              <w:spacing w:after="0"/>
              <w:rPr>
                <w:sz w:val="23"/>
                <w:szCs w:val="23"/>
                <w:color w:val="auto"/>
              </w:rPr>
            </w:pPr>
          </w:p>
        </w:tc>
      </w:tr>
      <w:tr>
        <w:trPr>
          <w:trHeight w:val="851"/>
        </w:trPr>
        <w:tc>
          <w:tcPr>
            <w:tcW w:w="1200" w:type="dxa"/>
            <w:vAlign w:val="bottom"/>
          </w:tcPr>
          <w:p>
            <w:pPr>
              <w:spacing w:after="0"/>
              <w:rPr>
                <w:sz w:val="24"/>
                <w:szCs w:val="24"/>
                <w:color w:val="auto"/>
              </w:rPr>
            </w:pPr>
          </w:p>
        </w:tc>
        <w:tc>
          <w:tcPr>
            <w:tcW w:w="1500" w:type="dxa"/>
            <w:vAlign w:val="bottom"/>
            <w:tcBorders>
              <w:top w:val="single" w:sz="8" w:color="0000FF"/>
            </w:tcBorders>
            <w:gridSpan w:val="5"/>
          </w:tcPr>
          <w:p>
            <w:pPr>
              <w:spacing w:after="0"/>
              <w:rPr>
                <w:sz w:val="24"/>
                <w:szCs w:val="24"/>
                <w:color w:val="auto"/>
              </w:rPr>
            </w:pPr>
          </w:p>
        </w:tc>
        <w:tc>
          <w:tcPr>
            <w:tcW w:w="3800" w:type="dxa"/>
            <w:vAlign w:val="bottom"/>
            <w:gridSpan w:val="10"/>
          </w:tcPr>
          <w:p>
            <w:pPr>
              <w:jc w:val="right"/>
              <w:ind w:right="753"/>
              <w:spacing w:after="0"/>
              <w:rPr>
                <w:sz w:val="20"/>
                <w:szCs w:val="20"/>
                <w:color w:val="auto"/>
              </w:rPr>
            </w:pPr>
            <w:r>
              <w:rPr>
                <w:rFonts w:ascii="Arial" w:cs="Arial" w:eastAsia="Arial" w:hAnsi="Arial"/>
                <w:sz w:val="17"/>
                <w:szCs w:val="17"/>
                <w:color w:val="auto"/>
              </w:rPr>
              <w:t>1</w:t>
            </w: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2"/>
        </w:trPr>
        <w:tc>
          <w:tcPr>
            <w:tcW w:w="120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 w:name="page3"/>
    <w:bookmarkEnd w:id="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w:t>
      </w:r>
    </w:p>
    <w:p>
      <w:pPr>
        <w:spacing w:after="0" w:line="250" w:lineRule="exact"/>
        <w:rPr>
          <w:sz w:val="20"/>
          <w:szCs w:val="20"/>
          <w:color w:val="auto"/>
        </w:rPr>
      </w:pPr>
    </w:p>
    <w:p>
      <w:pPr>
        <w:spacing w:after="0"/>
        <w:tabs>
          <w:tab w:leader="none" w:pos="660" w:val="left"/>
        </w:tabs>
        <w:rPr>
          <w:sz w:val="20"/>
          <w:szCs w:val="20"/>
          <w:color w:val="auto"/>
        </w:rPr>
      </w:pPr>
      <w:r>
        <w:rPr>
          <w:rFonts w:ascii="Arial" w:cs="Arial" w:eastAsia="Arial" w:hAnsi="Arial"/>
          <w:sz w:val="17"/>
          <w:szCs w:val="17"/>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FORWARD-LOOKING STATEMENTS</w:t>
      </w:r>
    </w:p>
    <w:p>
      <w:pPr>
        <w:spacing w:after="0" w:line="178"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This Annual Report on Form 10-K includes “forward-looking statements” within the meaning of Section 27A of the Securities Act of 1933, as amended, and Section 21E of the Securities Exchange Act of 1934, as amended. All statements, other than statements of historical facts, included in this Annual Report which address activities, events or developments, which we expect, believe or anticipate will or may occur in the future are forward-looking statements. The words “believes,” “intends,” “expects,” “anticipates,” “projects,” “estimates,” “predicts” and similar expressions are also intended to identify forward-looking statements.</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color w:val="auto"/>
        </w:rPr>
        <w:t>These forward-looking statements include, among others, such things as:</w:t>
      </w:r>
    </w:p>
    <w:p>
      <w:pPr>
        <w:spacing w:after="0" w:line="172" w:lineRule="exact"/>
        <w:rPr>
          <w:sz w:val="20"/>
          <w:szCs w:val="20"/>
          <w:color w:val="auto"/>
        </w:rPr>
      </w:pPr>
    </w:p>
    <w:p>
      <w:pPr>
        <w:ind w:left="620" w:hanging="300"/>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impact to our business of the COVID-19 pandemic;</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amounts and nature of future project awards, revenue and margins from each of our segments;</w:t>
      </w:r>
    </w:p>
    <w:p>
      <w:pPr>
        <w:spacing w:after="0" w:line="171" w:lineRule="exact"/>
        <w:rPr>
          <w:rFonts w:ascii="Arial" w:cs="Arial" w:eastAsia="Arial" w:hAnsi="Arial"/>
          <w:sz w:val="17"/>
          <w:szCs w:val="17"/>
          <w:color w:val="auto"/>
        </w:rPr>
      </w:pPr>
    </w:p>
    <w:p>
      <w:pPr>
        <w:ind w:left="640" w:right="760" w:hanging="320"/>
        <w:spacing w:after="0" w:line="289" w:lineRule="auto"/>
        <w:tabs>
          <w:tab w:leader="none" w:pos="635"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generate sufficient cash from operations, access our credit facility, or raise cash in order to meet our short and long-term capital requirements;</w:t>
      </w:r>
    </w:p>
    <w:p>
      <w:pPr>
        <w:spacing w:after="0" w:line="106" w:lineRule="exact"/>
        <w:rPr>
          <w:rFonts w:ascii="Arial" w:cs="Arial" w:eastAsia="Arial" w:hAnsi="Arial"/>
          <w:sz w:val="17"/>
          <w:szCs w:val="17"/>
          <w:color w:val="auto"/>
        </w:rPr>
      </w:pPr>
    </w:p>
    <w:p>
      <w:pPr>
        <w:ind w:left="620" w:hanging="300"/>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comply with the covenants in our Credit Agreement;</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impact to our business of changes in crude oil, natural gas and other commodity prices;</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likely impact of new or existing regulations or market forces on the demand for our services;</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expectations with respect to the likelihood of a future impairment; and</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expansion and other trends of the industries we serve.</w:t>
      </w:r>
    </w:p>
    <w:p>
      <w:pPr>
        <w:spacing w:after="0" w:line="17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These statements are based on certain assumptions and analyses we made in light of our experience and our historical trends, current conditions and expected future developments as well as other factors we believe are appropriate. However, whether actual results and developments will conform to our expectations and predictions is subject to a number of risks and uncertainties which could cause actual results to differ materially from our expectations many of which are beyond our control, including:</w:t>
      </w:r>
    </w:p>
    <w:p>
      <w:pPr>
        <w:spacing w:after="0" w:line="124" w:lineRule="exact"/>
        <w:rPr>
          <w:sz w:val="20"/>
          <w:szCs w:val="20"/>
          <w:color w:val="auto"/>
        </w:rPr>
      </w:pPr>
    </w:p>
    <w:p>
      <w:pPr>
        <w:ind w:left="640" w:right="260" w:hanging="320"/>
        <w:spacing w:after="0" w:line="289" w:lineRule="auto"/>
        <w:tabs>
          <w:tab w:leader="none" w:pos="635"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risk factors discussed in Item 1A of this Annual Report and listed from time to time in our filings with the Securities and Exchange Commission ("SEC");</w:t>
      </w:r>
    </w:p>
    <w:p>
      <w:pPr>
        <w:spacing w:after="0" w:line="106" w:lineRule="exact"/>
        <w:rPr>
          <w:rFonts w:ascii="Arial" w:cs="Arial" w:eastAsia="Arial" w:hAnsi="Arial"/>
          <w:sz w:val="17"/>
          <w:szCs w:val="17"/>
          <w:color w:val="auto"/>
        </w:rPr>
      </w:pPr>
    </w:p>
    <w:p>
      <w:pPr>
        <w:ind w:left="640" w:right="200" w:hanging="320"/>
        <w:spacing w:after="0" w:line="289" w:lineRule="auto"/>
        <w:tabs>
          <w:tab w:leader="none" w:pos="635" w:val="left"/>
        </w:tabs>
        <w:numPr>
          <w:ilvl w:val="0"/>
          <w:numId w:val="4"/>
        </w:numPr>
        <w:rPr>
          <w:rFonts w:ascii="Arial" w:cs="Arial" w:eastAsia="Arial" w:hAnsi="Arial"/>
          <w:sz w:val="17"/>
          <w:szCs w:val="17"/>
          <w:color w:val="auto"/>
        </w:rPr>
      </w:pPr>
      <w:r>
        <w:rPr>
          <w:rFonts w:ascii="Arial" w:cs="Arial" w:eastAsia="Arial" w:hAnsi="Arial"/>
          <w:sz w:val="17"/>
          <w:szCs w:val="17"/>
          <w:color w:val="auto"/>
        </w:rPr>
        <w:t>economic, market or business conditions in general (including the length and severity of the COVID-19 pandemic) and in the oil, natural gas, power, petrochemical, agricultural and mining industries in particular;</w:t>
      </w:r>
    </w:p>
    <w:p>
      <w:pPr>
        <w:spacing w:after="0" w:line="106" w:lineRule="exact"/>
        <w:rPr>
          <w:rFonts w:ascii="Arial" w:cs="Arial" w:eastAsia="Arial" w:hAnsi="Arial"/>
          <w:sz w:val="17"/>
          <w:szCs w:val="17"/>
          <w:color w:val="auto"/>
        </w:rPr>
      </w:pPr>
    </w:p>
    <w:p>
      <w:pPr>
        <w:ind w:left="620" w:hanging="300"/>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transition to renewable energy sources and its impact on our current customer base;</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under- or over-utilization of our work force;</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delays in the commencement or progression of major projects, whether due to COVID-19 concerns, permitting issues or other factors;</w:t>
      </w:r>
    </w:p>
    <w:p>
      <w:pPr>
        <w:spacing w:after="0" w:line="171" w:lineRule="exact"/>
        <w:rPr>
          <w:rFonts w:ascii="Arial" w:cs="Arial" w:eastAsia="Arial" w:hAnsi="Arial"/>
          <w:sz w:val="17"/>
          <w:szCs w:val="17"/>
          <w:color w:val="auto"/>
        </w:rPr>
      </w:pPr>
    </w:p>
    <w:p>
      <w:pPr>
        <w:ind w:left="640" w:right="240" w:hanging="320"/>
        <w:spacing w:after="0" w:line="289" w:lineRule="auto"/>
        <w:tabs>
          <w:tab w:leader="none" w:pos="635" w:val="left"/>
        </w:tabs>
        <w:numPr>
          <w:ilvl w:val="0"/>
          <w:numId w:val="4"/>
        </w:numPr>
        <w:rPr>
          <w:rFonts w:ascii="Arial" w:cs="Arial" w:eastAsia="Arial" w:hAnsi="Arial"/>
          <w:sz w:val="17"/>
          <w:szCs w:val="17"/>
          <w:color w:val="auto"/>
        </w:rPr>
      </w:pPr>
      <w:r>
        <w:rPr>
          <w:rFonts w:ascii="Arial" w:cs="Arial" w:eastAsia="Arial" w:hAnsi="Arial"/>
          <w:sz w:val="17"/>
          <w:szCs w:val="17"/>
          <w:color w:val="auto"/>
        </w:rPr>
        <w:t>reduced creditworthiness of our customer base and the higher risk of non-payment of receivables due to volatility of crude oil, natural gas, and other commodity prices which affect our customers' businesses;</w:t>
      </w:r>
    </w:p>
    <w:p>
      <w:pPr>
        <w:spacing w:after="0" w:line="106" w:lineRule="exact"/>
        <w:rPr>
          <w:rFonts w:ascii="Arial" w:cs="Arial" w:eastAsia="Arial" w:hAnsi="Arial"/>
          <w:sz w:val="17"/>
          <w:szCs w:val="17"/>
          <w:color w:val="auto"/>
        </w:rPr>
      </w:pPr>
    </w:p>
    <w:p>
      <w:pPr>
        <w:ind w:left="620" w:hanging="300"/>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inherently uncertain outcome of current and future litigation;</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adequacy of our reserves for claims and contingencies; and</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changes in laws or regulations, including the imposition, cancellation or delay of tariffs on imported goods.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 w:name="page4"/>
    <w:bookmarkEnd w:id="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Consequently, all of the forward-looking statements made in this Annual Report are qualified by these cautionary statements and there can be no assurance that the actual results or developments anticipated by us will be realized or, even if substantially realized, that they will have the expected consequences or effects on our business operations. We assume no obligation to update, except as required by law, any such forward-looking statements, whether as a result of new information, future events or otherwise.</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BACKGROUND</w:t>
      </w:r>
    </w:p>
    <w:p>
      <w:pPr>
        <w:spacing w:after="0" w:line="178" w:lineRule="exact"/>
        <w:rPr>
          <w:sz w:val="20"/>
          <w:szCs w:val="20"/>
          <w:color w:val="auto"/>
        </w:rPr>
      </w:pPr>
    </w:p>
    <w:p>
      <w:pPr>
        <w:jc w:val="both"/>
        <w:spacing w:after="0" w:line="314" w:lineRule="auto"/>
        <w:rPr>
          <w:sz w:val="20"/>
          <w:szCs w:val="20"/>
          <w:color w:val="auto"/>
        </w:rPr>
      </w:pPr>
      <w:r>
        <w:rPr>
          <w:rFonts w:ascii="Arial" w:cs="Arial" w:eastAsia="Arial" w:hAnsi="Arial"/>
          <w:sz w:val="15"/>
          <w:szCs w:val="15"/>
          <w:color w:val="auto"/>
        </w:rPr>
        <w:t>We began operations in 1984 as an Oklahoma corporation under the name of Matrix Service. In 1989, we incorporated in the State of Delaware under the name of Matrix Service Company. We provide engineering, fabrication, infrastructure, construction, and maintenance services primarily to the oil, natural gas, power, petrochemical, industrial, agricultural, mining and minerals markets. We also sell products for crude oil and refined product aboveground storage tanks. We maintain regional offices throughout the United States, Canada and other international locations, and operate through separate union and merit subsidiaries.</w:t>
      </w:r>
    </w:p>
    <w:p>
      <w:pPr>
        <w:spacing w:after="0" w:line="9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We are licensed to operate in all 50 states, in four Canadian provinces and in other international locations. Our principal executive offices are located at 5100 E. Skelly Drive, Suite 500, Tulsa, Oklahoma 74135. Our telephone number is (918) 838-8822. Unless the context otherwise requires, all references herein to “Matrix Service Company”, “Matrix”, the “Company” or to “we”, “our”, and “us” are to Matrix Service Company and its subsidiaries.</w:t>
      </w:r>
    </w:p>
    <w:p>
      <w:pPr>
        <w:spacing w:after="0" w:line="101"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We believe we have an obligation to better the world in which we live and work – to do today’s work in a manner that advances and protects tomorrow’s world for future generations. Across the ideals of environmental stewardship, social responsibility, governance, diversity, inclusiveness and equity, we are committed to ensuring our business strategies, policies, and practices align with sustainability goals where we can have the greatest impact globally and in our own local communities. We are committed to fulfilling our purpose today by safely engineering, constructing, and maintaining essential infrastructure that provides a better, brighter future for tomorrow.</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WEBSITE ACCESS TO REPORTS</w:t>
      </w:r>
    </w:p>
    <w:p>
      <w:pPr>
        <w:spacing w:after="0" w:line="17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Our public website is </w:t>
      </w:r>
      <w:r>
        <w:rPr>
          <w:rFonts w:ascii="Arial" w:cs="Arial" w:eastAsia="Arial" w:hAnsi="Arial"/>
          <w:sz w:val="16"/>
          <w:szCs w:val="16"/>
          <w:u w:val="single" w:color="auto"/>
          <w:color w:val="auto"/>
        </w:rPr>
        <w:t>matrixservicecompany.com</w:t>
      </w:r>
      <w:r>
        <w:rPr>
          <w:rFonts w:ascii="Arial" w:cs="Arial" w:eastAsia="Arial" w:hAnsi="Arial"/>
          <w:sz w:val="16"/>
          <w:szCs w:val="16"/>
          <w:color w:val="auto"/>
        </w:rPr>
        <w:t>. We make available free of charge through the "Investor Relations" section of our website our annual reports to stockholders, annual reports on Form 10-K, quarterly reports on Form 10-Q, current reports on Form 8-K and amendments to those reports filed or furnished pursuant to Section 13(a) or 15(d) of the Securities Exchange Act of 1934, as amended, as soon as reasonably practicable after we electronically file such material with, or furnish it to, the SEC. Any materials we file with or furnish to the SEC are also maintained on the SEC website (</w:t>
      </w:r>
      <w:r>
        <w:rPr>
          <w:rFonts w:ascii="Arial" w:cs="Arial" w:eastAsia="Arial" w:hAnsi="Arial"/>
          <w:sz w:val="16"/>
          <w:szCs w:val="16"/>
          <w:u w:val="single" w:color="auto"/>
          <w:color w:val="auto"/>
        </w:rPr>
        <w:t>sec.gov</w:t>
      </w:r>
      <w:r>
        <w:rPr>
          <w:rFonts w:ascii="Arial" w:cs="Arial" w:eastAsia="Arial" w:hAnsi="Arial"/>
          <w:sz w:val="16"/>
          <w:szCs w:val="16"/>
          <w:color w:val="auto"/>
        </w:rPr>
        <w:t>).</w:t>
      </w:r>
    </w:p>
    <w:p>
      <w:pPr>
        <w:spacing w:after="0" w:line="10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information contained on our website, or available by hyperlink from our website, is not incorporated into this Annual Report or other documents we file with, or furnish to, the SEC. We intend to use our website as a means of disclosing material non-public information and for complying with our disclosure obligations under Regulation FD. Such disclosures will be included in the "Investor Relations" section of our website. Investors should monitor that section of our website for press releases, investor presentations, SEC filings and public conference calls and webcasts.</w:t>
      </w:r>
    </w:p>
    <w:p>
      <w:pPr>
        <w:spacing w:after="0" w:line="12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While not our primary means of communication, investors can also learn more about us by visiting our social media channels. We encourage investors, the media, and others interested in us to review the information posted on our Facebook site (</w:t>
      </w:r>
      <w:r>
        <w:rPr>
          <w:rFonts w:ascii="Arial" w:cs="Arial" w:eastAsia="Arial" w:hAnsi="Arial"/>
          <w:sz w:val="17"/>
          <w:szCs w:val="17"/>
          <w:u w:val="single" w:color="auto"/>
          <w:color w:val="auto"/>
        </w:rPr>
        <w:t>facebook.com/matrixservicecompany</w:t>
      </w:r>
      <w:r>
        <w:rPr>
          <w:rFonts w:ascii="Arial" w:cs="Arial" w:eastAsia="Arial" w:hAnsi="Arial"/>
          <w:sz w:val="17"/>
          <w:szCs w:val="17"/>
          <w:color w:val="auto"/>
        </w:rPr>
        <w:t>), our LinkedIn account (</w:t>
      </w:r>
      <w:r>
        <w:rPr>
          <w:rFonts w:ascii="Arial" w:cs="Arial" w:eastAsia="Arial" w:hAnsi="Arial"/>
          <w:sz w:val="17"/>
          <w:szCs w:val="17"/>
          <w:u w:val="single" w:color="auto"/>
          <w:color w:val="auto"/>
        </w:rPr>
        <w:t>linkedin.com/company/matrix-service-company</w:t>
      </w:r>
      <w:r>
        <w:rPr>
          <w:rFonts w:ascii="Arial" w:cs="Arial" w:eastAsia="Arial" w:hAnsi="Arial"/>
          <w:sz w:val="17"/>
          <w:szCs w:val="17"/>
          <w:color w:val="auto"/>
        </w:rPr>
        <w:t>) and our Twitter account (</w:t>
      </w:r>
      <w:r>
        <w:rPr>
          <w:rFonts w:ascii="Arial" w:cs="Arial" w:eastAsia="Arial" w:hAnsi="Arial"/>
          <w:sz w:val="17"/>
          <w:szCs w:val="17"/>
          <w:u w:val="single" w:color="auto"/>
          <w:color w:val="auto"/>
        </w:rPr>
        <w:t>twitter.com/matrixserviceco</w:t>
      </w:r>
      <w:r>
        <w:rPr>
          <w:rFonts w:ascii="Arial" w:cs="Arial" w:eastAsia="Arial" w:hAnsi="Arial"/>
          <w:sz w:val="17"/>
          <w:szCs w:val="17"/>
          <w:color w:val="auto"/>
        </w:rPr>
        <w:t>). Investors, the media or other interested parties can subscribe to the Twitter feed at the address listed above.</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OPERATING SEGMENTS</w:t>
      </w:r>
    </w:p>
    <w:p>
      <w:pPr>
        <w:spacing w:after="0" w:line="283" w:lineRule="exact"/>
        <w:rPr>
          <w:sz w:val="20"/>
          <w:szCs w:val="20"/>
          <w:color w:val="auto"/>
        </w:rPr>
      </w:pPr>
    </w:p>
    <w:p>
      <w:pPr>
        <w:jc w:val="both"/>
        <w:spacing w:after="0" w:line="322" w:lineRule="auto"/>
        <w:rPr>
          <w:sz w:val="20"/>
          <w:szCs w:val="20"/>
          <w:color w:val="auto"/>
        </w:rPr>
      </w:pPr>
      <w:r>
        <w:rPr>
          <w:rFonts w:ascii="Arial" w:cs="Arial" w:eastAsia="Arial" w:hAnsi="Arial"/>
          <w:sz w:val="16"/>
          <w:szCs w:val="16"/>
          <w:color w:val="auto"/>
        </w:rPr>
        <w:t>Due to changing markets facing our clients and to better align our financial reporting with our long-term strategic growth areas, we began reporting our financial results under new reportable segments effective July 1, 2020. The new reportable segments along with a description of each are as follows:</w:t>
      </w:r>
    </w:p>
    <w:p>
      <w:pPr>
        <w:spacing w:after="0" w:line="77" w:lineRule="exact"/>
        <w:rPr>
          <w:sz w:val="20"/>
          <w:szCs w:val="20"/>
          <w:color w:val="auto"/>
        </w:rPr>
      </w:pPr>
    </w:p>
    <w:p>
      <w:pPr>
        <w:jc w:val="both"/>
        <w:ind w:left="640" w:hanging="320"/>
        <w:spacing w:after="0" w:line="317" w:lineRule="auto"/>
        <w:tabs>
          <w:tab w:leader="none" w:pos="635" w:val="left"/>
        </w:tabs>
        <w:numPr>
          <w:ilvl w:val="0"/>
          <w:numId w:val="5"/>
        </w:numPr>
        <w:rPr>
          <w:rFonts w:ascii="Arial" w:cs="Arial" w:eastAsia="Arial" w:hAnsi="Arial"/>
          <w:sz w:val="15"/>
          <w:szCs w:val="15"/>
          <w:color w:val="auto"/>
        </w:rPr>
      </w:pPr>
      <w:r>
        <w:rPr>
          <w:rFonts w:ascii="Arial" w:cs="Arial" w:eastAsia="Arial" w:hAnsi="Arial"/>
          <w:sz w:val="15"/>
          <w:szCs w:val="15"/>
          <w:b w:val="1"/>
          <w:bCs w:val="1"/>
          <w:u w:val="single" w:color="auto"/>
          <w:color w:val="auto"/>
        </w:rPr>
        <w:t>Utility and Power Infrastructure</w:t>
      </w:r>
      <w:r>
        <w:rPr>
          <w:rFonts w:ascii="Arial" w:cs="Arial" w:eastAsia="Arial" w:hAnsi="Arial"/>
          <w:sz w:val="15"/>
          <w:szCs w:val="15"/>
          <w:color w:val="auto"/>
        </w:rPr>
        <w:t>: consists of power delivery services provided to investor owned utilities, including construction of new substations,</w:t>
      </w:r>
      <w:r>
        <w:rPr>
          <w:rFonts w:ascii="Arial" w:cs="Arial" w:eastAsia="Arial" w:hAnsi="Arial"/>
          <w:sz w:val="15"/>
          <w:szCs w:val="15"/>
          <w:b w:val="1"/>
          <w:bCs w:val="1"/>
          <w:color w:val="auto"/>
        </w:rPr>
        <w:t xml:space="preserve"> </w:t>
      </w:r>
      <w:r>
        <w:rPr>
          <w:rFonts w:ascii="Arial" w:cs="Arial" w:eastAsia="Arial" w:hAnsi="Arial"/>
          <w:sz w:val="15"/>
          <w:szCs w:val="15"/>
          <w:color w:val="auto"/>
        </w:rPr>
        <w:t>upgrades of existing substations, transmission and distribution line installations, upgrades and maintenance, as well as emergency and storm restoration services. We also provide construction and maintenance services to a variety of power generation facilities, including natural gas fired facilities in simple or combined cycle configuration and provide engineering, fabrication, and construction services for LNG utility peak shaving facilities.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 w:name="page5"/>
    <w:bookmarkEnd w:id="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ind w:left="640" w:hanging="320"/>
        <w:spacing w:after="0" w:line="267" w:lineRule="auto"/>
        <w:tabs>
          <w:tab w:leader="none" w:pos="635" w:val="left"/>
        </w:tabs>
        <w:numPr>
          <w:ilvl w:val="0"/>
          <w:numId w:val="6"/>
        </w:numPr>
        <w:rPr>
          <w:rFonts w:ascii="Arial" w:cs="Arial" w:eastAsia="Arial" w:hAnsi="Arial"/>
          <w:sz w:val="17"/>
          <w:szCs w:val="17"/>
          <w:color w:val="auto"/>
        </w:rPr>
      </w:pPr>
      <w:r>
        <w:rPr>
          <w:rFonts w:ascii="Arial" w:cs="Arial" w:eastAsia="Arial" w:hAnsi="Arial"/>
          <w:sz w:val="17"/>
          <w:szCs w:val="17"/>
          <w:b w:val="1"/>
          <w:bCs w:val="1"/>
          <w:u w:val="single" w:color="auto"/>
          <w:color w:val="auto"/>
        </w:rPr>
        <w:t>Process and Industrial Facilities</w:t>
      </w:r>
      <w:r>
        <w:rPr>
          <w:rFonts w:ascii="Arial" w:cs="Arial" w:eastAsia="Arial" w:hAnsi="Arial"/>
          <w:sz w:val="17"/>
          <w:szCs w:val="17"/>
          <w:color w:val="auto"/>
        </w:rPr>
        <w:t>: primarily serves customers in the downstream and midstream petroleum industries who are engaged in refining</w:t>
      </w:r>
      <w:r>
        <w:rPr>
          <w:rFonts w:ascii="Arial" w:cs="Arial" w:eastAsia="Arial" w:hAnsi="Arial"/>
          <w:sz w:val="17"/>
          <w:szCs w:val="17"/>
          <w:b w:val="1"/>
          <w:bCs w:val="1"/>
          <w:color w:val="auto"/>
        </w:rPr>
        <w:t xml:space="preserve"> </w:t>
      </w:r>
      <w:r>
        <w:rPr>
          <w:rFonts w:ascii="Arial" w:cs="Arial" w:eastAsia="Arial" w:hAnsi="Arial"/>
          <w:sz w:val="17"/>
          <w:szCs w:val="17"/>
          <w:color w:val="auto"/>
        </w:rPr>
        <w:t>crude oil and processing, fractionating, and marketing of natural gas and natural gas liquids. We also serve customers in various other industries such as petrochemical, sulfur, mining and minerals companies engaged primarily in the extraction of non-ferrous metals, aerospace and defense, cement, agriculture, and other industrial customers. Our services include plant maintenance, turnarounds, industrial cleaning services, engineering, fabrication, and capital construction.</w:t>
      </w:r>
    </w:p>
    <w:p>
      <w:pPr>
        <w:spacing w:after="0" w:line="119" w:lineRule="exact"/>
        <w:rPr>
          <w:rFonts w:ascii="Arial" w:cs="Arial" w:eastAsia="Arial" w:hAnsi="Arial"/>
          <w:sz w:val="17"/>
          <w:szCs w:val="17"/>
          <w:color w:val="auto"/>
        </w:rPr>
      </w:pPr>
    </w:p>
    <w:p>
      <w:pPr>
        <w:jc w:val="both"/>
        <w:ind w:left="640" w:hanging="320"/>
        <w:spacing w:after="0" w:line="265" w:lineRule="auto"/>
        <w:tabs>
          <w:tab w:leader="none" w:pos="635" w:val="left"/>
        </w:tabs>
        <w:numPr>
          <w:ilvl w:val="0"/>
          <w:numId w:val="6"/>
        </w:numPr>
        <w:rPr>
          <w:rFonts w:ascii="Arial" w:cs="Arial" w:eastAsia="Arial" w:hAnsi="Arial"/>
          <w:sz w:val="17"/>
          <w:szCs w:val="17"/>
          <w:color w:val="auto"/>
        </w:rPr>
      </w:pPr>
      <w:r>
        <w:rPr>
          <w:rFonts w:ascii="Arial" w:cs="Arial" w:eastAsia="Arial" w:hAnsi="Arial"/>
          <w:sz w:val="17"/>
          <w:szCs w:val="17"/>
          <w:b w:val="1"/>
          <w:bCs w:val="1"/>
          <w:u w:val="single" w:color="auto"/>
          <w:color w:val="auto"/>
        </w:rPr>
        <w:t>Storage and Terminal Solutions</w:t>
      </w:r>
      <w:r>
        <w:rPr>
          <w:rFonts w:ascii="Arial" w:cs="Arial" w:eastAsia="Arial" w:hAnsi="Arial"/>
          <w:sz w:val="17"/>
          <w:szCs w:val="17"/>
          <w:color w:val="auto"/>
        </w:rPr>
        <w:t>: consists of work related to aboveground storage tanks and terminals. We also include work related to cryogenic and</w:t>
      </w:r>
      <w:r>
        <w:rPr>
          <w:rFonts w:ascii="Arial" w:cs="Arial" w:eastAsia="Arial" w:hAnsi="Arial"/>
          <w:sz w:val="17"/>
          <w:szCs w:val="17"/>
          <w:b w:val="1"/>
          <w:bCs w:val="1"/>
          <w:color w:val="auto"/>
        </w:rPr>
        <w:t xml:space="preserve"> </w:t>
      </w:r>
      <w:r>
        <w:rPr>
          <w:rFonts w:ascii="Arial" w:cs="Arial" w:eastAsia="Arial" w:hAnsi="Arial"/>
          <w:sz w:val="17"/>
          <w:szCs w:val="17"/>
          <w:color w:val="auto"/>
        </w:rPr>
        <w:t>other specialty storage tanks and terminals, including LNG, liquid nitrogen/liquid oxygen, liquid petroleum, hydrogen and other specialty vessels such as spheres in this segment, as well work related to marine structures and truck and rail loading/offloading facilities. Our services include engineering, fabrication, construction, and maintenance and repair, which includes planned and emergency services for both tanks and full terminals. Finally, we offer tank products, including geodesic domes, aluminum internal floating roofs, floating suction and skimmer systems, roof drain systems and floating roof seals.</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BUSINESS MATTERS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Customers and Marketing</w:t>
      </w:r>
    </w:p>
    <w:p>
      <w:pPr>
        <w:spacing w:after="0" w:line="17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provided services to approximately 470 customers in fiscal 2021. Most of our revenue comes from long-term customer relationships. One customer individually accounted for $86.7 million or 12.9% of our consolidated revenue in fiscal 2021, all of which was included in the Utility and Power Infrastructure segment. No other customers individually accounted for more than 10% of our consolidated revenue in fiscal 2021. See Part II, Item 8. Financial Statement and Supplementary Data, Note 13 - Segment Information, for more information about concentration of revenue by segment.</w:t>
      </w:r>
    </w:p>
    <w:p>
      <w:pPr>
        <w:spacing w:after="0" w:line="10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market our services and products primarily through our marketing and business development personnel, senior professional staff and our operating management. We competitively bid most of our projects; however, we have a number of preferred provider relationships with customers who award us work through long-term agreements. Our projects have durations ranging from a few days to multiple years.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Competition</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compete with local, regional, national and international contractors and service providers. Competitors vary with the markets we serve with few competitors competing in all of the markets we serve or in all of the services we provide. Contracts are generally awarded based on price, quality, safety performance, schedule, experience and customer satisfaction.</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Backlog</w:t>
      </w:r>
    </w:p>
    <w:p>
      <w:pPr>
        <w:spacing w:after="0" w:line="178" w:lineRule="exact"/>
        <w:rPr>
          <w:sz w:val="20"/>
          <w:szCs w:val="20"/>
          <w:color w:val="auto"/>
        </w:rPr>
      </w:pPr>
    </w:p>
    <w:p>
      <w:pPr>
        <w:jc w:val="both"/>
        <w:spacing w:after="0" w:line="322" w:lineRule="auto"/>
        <w:rPr>
          <w:sz w:val="20"/>
          <w:szCs w:val="20"/>
          <w:color w:val="auto"/>
        </w:rPr>
      </w:pPr>
      <w:r>
        <w:rPr>
          <w:rFonts w:ascii="Arial" w:cs="Arial" w:eastAsia="Arial" w:hAnsi="Arial"/>
          <w:sz w:val="16"/>
          <w:szCs w:val="16"/>
          <w:color w:val="auto"/>
        </w:rPr>
        <w:t>We define backlog as the total dollar amount of revenue that we expect to recognize as a result of performing work that has been awarded to us through a signed contract, limited notice to proceed ("LNTP") or other type of assurance that we consider firm. The following arrangements are considered firm:</w:t>
      </w:r>
    </w:p>
    <w:p>
      <w:pPr>
        <w:spacing w:after="0" w:line="83" w:lineRule="exact"/>
        <w:rPr>
          <w:sz w:val="20"/>
          <w:szCs w:val="20"/>
          <w:color w:val="auto"/>
        </w:rPr>
      </w:pPr>
    </w:p>
    <w:p>
      <w:pPr>
        <w:ind w:left="620" w:hanging="300"/>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fixed-price awards;</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minimum customer commitments on cost plus arrangements; and</w:t>
      </w:r>
    </w:p>
    <w:p>
      <w:pPr>
        <w:spacing w:after="0" w:line="171" w:lineRule="exact"/>
        <w:rPr>
          <w:rFonts w:ascii="Arial" w:cs="Arial" w:eastAsia="Arial" w:hAnsi="Arial"/>
          <w:sz w:val="17"/>
          <w:szCs w:val="17"/>
          <w:color w:val="auto"/>
        </w:rPr>
      </w:pPr>
    </w:p>
    <w:p>
      <w:pPr>
        <w:ind w:left="640" w:right="220" w:hanging="320"/>
        <w:spacing w:after="0" w:line="289" w:lineRule="auto"/>
        <w:tabs>
          <w:tab w:leader="none" w:pos="635" w:val="left"/>
        </w:tabs>
        <w:numPr>
          <w:ilvl w:val="0"/>
          <w:numId w:val="7"/>
        </w:numPr>
        <w:rPr>
          <w:rFonts w:ascii="Arial" w:cs="Arial" w:eastAsia="Arial" w:hAnsi="Arial"/>
          <w:sz w:val="17"/>
          <w:szCs w:val="17"/>
          <w:color w:val="auto"/>
        </w:rPr>
      </w:pPr>
      <w:r>
        <w:rPr>
          <w:rFonts w:ascii="Arial" w:cs="Arial" w:eastAsia="Arial" w:hAnsi="Arial"/>
          <w:sz w:val="17"/>
          <w:szCs w:val="17"/>
          <w:color w:val="auto"/>
        </w:rPr>
        <w:t>certain time and material arrangements in which the estimated value is firm or can be estimated with a reasonable amount of certainty in both timing and amounts.</w:t>
      </w:r>
    </w:p>
    <w:p>
      <w:pPr>
        <w:spacing w:after="0" w:line="10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For long-term maintenance contracts with no minimum commitments and other established customer agreements, we include only the amounts that we expect to recognize as revenue over the next 12 months. For arrangements in which we have received a LNTP, we include the entire scope of work in our backlog if we conclude that the likelihood of the full project proceeding as high. For all other arrangements, we calculate backlog as the estimated contract amount less revenue recognized as of the reporting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 w:name="page6"/>
    <w:bookmarkEnd w:id="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a summary of changes in our backlog in fiscal 2021:</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13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3"/>
              </w:rPr>
              <w:t>Utility and Power</w:t>
            </w:r>
          </w:p>
        </w:tc>
        <w:tc>
          <w:tcPr>
            <w:tcW w:w="180" w:type="dxa"/>
            <w:vAlign w:val="bottom"/>
          </w:tcPr>
          <w:p>
            <w:pPr>
              <w:spacing w:after="0"/>
              <w:rPr>
                <w:sz w:val="14"/>
                <w:szCs w:val="14"/>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Process and</w:t>
            </w:r>
          </w:p>
        </w:tc>
        <w:tc>
          <w:tcPr>
            <w:tcW w:w="18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Storage and</w:t>
            </w: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6000" w:type="dxa"/>
            <w:vAlign w:val="bottom"/>
          </w:tcPr>
          <w:p>
            <w:pPr>
              <w:spacing w:after="0"/>
              <w:rPr>
                <w:sz w:val="11"/>
                <w:szCs w:val="11"/>
                <w:color w:val="auto"/>
              </w:rPr>
            </w:pPr>
          </w:p>
        </w:tc>
        <w:tc>
          <w:tcPr>
            <w:tcW w:w="1340" w:type="dxa"/>
            <w:vAlign w:val="bottom"/>
            <w:gridSpan w:val="3"/>
            <w:vMerge w:val="continue"/>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jc w:val="center"/>
              <w:ind w:right="300"/>
              <w:spacing w:after="0" w:line="131" w:lineRule="exact"/>
              <w:rPr>
                <w:sz w:val="20"/>
                <w:szCs w:val="20"/>
                <w:color w:val="auto"/>
              </w:rPr>
            </w:pPr>
            <w:r>
              <w:rPr>
                <w:rFonts w:ascii="Arial" w:cs="Arial" w:eastAsia="Arial" w:hAnsi="Arial"/>
                <w:sz w:val="14"/>
                <w:szCs w:val="14"/>
                <w:b w:val="1"/>
                <w:bCs w:val="1"/>
                <w:color w:val="auto"/>
                <w:w w:val="92"/>
              </w:rPr>
              <w:t>Terminal</w:t>
            </w:r>
          </w:p>
        </w:tc>
        <w:tc>
          <w:tcPr>
            <w:tcW w:w="280" w:type="dxa"/>
            <w:vAlign w:val="bottom"/>
          </w:tcPr>
          <w:p>
            <w:pPr>
              <w:spacing w:after="0"/>
              <w:rPr>
                <w:sz w:val="11"/>
                <w:szCs w:val="11"/>
                <w:color w:val="auto"/>
              </w:rPr>
            </w:pPr>
          </w:p>
        </w:tc>
        <w:tc>
          <w:tcPr>
            <w:tcW w:w="940" w:type="dxa"/>
            <w:vAlign w:val="bottom"/>
            <w:vMerge w:val="restart"/>
          </w:tcPr>
          <w:p>
            <w:pPr>
              <w:jc w:val="right"/>
              <w:ind w:right="37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3"/>
        </w:trPr>
        <w:tc>
          <w:tcPr>
            <w:tcW w:w="60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4"/>
              </w:rPr>
              <w:t>Infrastructure</w:t>
            </w:r>
          </w:p>
        </w:tc>
        <w:tc>
          <w:tcPr>
            <w:tcW w:w="13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Industrial Facilities</w:t>
            </w: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4"/>
              </w:rPr>
              <w:t>Solutions</w:t>
            </w: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6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00" w:type="dxa"/>
            <w:vAlign w:val="bottom"/>
            <w:gridSpan w:val="5"/>
          </w:tcPr>
          <w:p>
            <w:pPr>
              <w:ind w:left="66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6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Backlog as of June 30, 2020</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272,816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145,725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339,924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758,465</w:t>
            </w:r>
          </w:p>
        </w:tc>
        <w:tc>
          <w:tcPr>
            <w:tcW w:w="0" w:type="dxa"/>
            <w:vAlign w:val="bottom"/>
          </w:tcPr>
          <w:p>
            <w:pPr>
              <w:spacing w:after="0"/>
              <w:rPr>
                <w:sz w:val="1"/>
                <w:szCs w:val="1"/>
                <w:color w:val="auto"/>
              </w:rPr>
            </w:pPr>
          </w:p>
        </w:tc>
      </w:tr>
      <w:tr>
        <w:trPr>
          <w:trHeight w:val="223"/>
        </w:trPr>
        <w:tc>
          <w:tcPr>
            <w:tcW w:w="6000" w:type="dxa"/>
            <w:vAlign w:val="bottom"/>
          </w:tcPr>
          <w:p>
            <w:pPr>
              <w:ind w:left="20"/>
              <w:spacing w:after="0"/>
              <w:rPr>
                <w:sz w:val="20"/>
                <w:szCs w:val="20"/>
                <w:color w:val="auto"/>
              </w:rPr>
            </w:pPr>
            <w:r>
              <w:rPr>
                <w:rFonts w:ascii="Arial" w:cs="Arial" w:eastAsia="Arial" w:hAnsi="Arial"/>
                <w:sz w:val="17"/>
                <w:szCs w:val="17"/>
                <w:color w:val="auto"/>
              </w:rPr>
              <w:t>Project awards</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107,279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188,969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155,465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451,713</w:t>
            </w:r>
          </w:p>
        </w:tc>
        <w:tc>
          <w:tcPr>
            <w:tcW w:w="0" w:type="dxa"/>
            <w:vAlign w:val="bottom"/>
          </w:tcPr>
          <w:p>
            <w:pPr>
              <w:spacing w:after="0"/>
              <w:rPr>
                <w:sz w:val="1"/>
                <w:szCs w:val="1"/>
                <w:color w:val="auto"/>
              </w:rPr>
            </w:pPr>
          </w:p>
        </w:tc>
      </w:tr>
      <w:tr>
        <w:trPr>
          <w:trHeight w:val="223"/>
        </w:trPr>
        <w:tc>
          <w:tcPr>
            <w:tcW w:w="6000" w:type="dxa"/>
            <w:vAlign w:val="bottom"/>
            <w:shd w:val="clear" w:color="auto" w:fill="CCEEFF"/>
          </w:tcPr>
          <w:p>
            <w:pPr>
              <w:ind w:left="20"/>
              <w:spacing w:after="0" w:line="223" w:lineRule="exact"/>
              <w:rPr>
                <w:sz w:val="20"/>
                <w:szCs w:val="20"/>
                <w:color w:val="auto"/>
              </w:rPr>
            </w:pPr>
            <w:r>
              <w:rPr>
                <w:rFonts w:ascii="Arial" w:cs="Arial" w:eastAsia="Arial" w:hAnsi="Arial"/>
                <w:sz w:val="17"/>
                <w:szCs w:val="17"/>
                <w:color w:val="auto"/>
              </w:rPr>
              <w:t>Other adjustment</w:t>
            </w:r>
            <w:r>
              <w:rPr>
                <w:rFonts w:ascii="Arial" w:cs="Arial" w:eastAsia="Arial" w:hAnsi="Arial"/>
                <w:sz w:val="22"/>
                <w:szCs w:val="22"/>
                <w:color w:val="auto"/>
                <w:vertAlign w:val="superscript"/>
              </w:rPr>
              <w:t>(1)</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(74,219)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(74,219)</w:t>
            </w:r>
          </w:p>
        </w:tc>
        <w:tc>
          <w:tcPr>
            <w:tcW w:w="0" w:type="dxa"/>
            <w:vAlign w:val="bottom"/>
          </w:tcPr>
          <w:p>
            <w:pPr>
              <w:spacing w:after="0"/>
              <w:rPr>
                <w:sz w:val="1"/>
                <w:szCs w:val="1"/>
                <w:color w:val="auto"/>
              </w:rPr>
            </w:pPr>
          </w:p>
        </w:tc>
      </w:tr>
      <w:tr>
        <w:trPr>
          <w:trHeight w:val="223"/>
        </w:trPr>
        <w:tc>
          <w:tcPr>
            <w:tcW w:w="60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Revenue recognized</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(210,052)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(199,917)</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(263,429)</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(673,398)</w:t>
            </w:r>
          </w:p>
        </w:tc>
        <w:tc>
          <w:tcPr>
            <w:tcW w:w="0" w:type="dxa"/>
            <w:vAlign w:val="bottom"/>
          </w:tcPr>
          <w:p>
            <w:pPr>
              <w:spacing w:after="0"/>
              <w:rPr>
                <w:sz w:val="1"/>
                <w:szCs w:val="1"/>
                <w:color w:val="auto"/>
              </w:rPr>
            </w:pPr>
          </w:p>
        </w:tc>
      </w:tr>
      <w:tr>
        <w:trPr>
          <w:trHeight w:val="241"/>
        </w:trPr>
        <w:tc>
          <w:tcPr>
            <w:tcW w:w="6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Backlog as of June 30, 2021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170,043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134,777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157,741</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462,561</w:t>
            </w: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Book-to-bill ratio</w:t>
            </w:r>
            <w:r>
              <w:rPr>
                <w:rFonts w:ascii="Arial" w:cs="Arial" w:eastAsia="Arial" w:hAnsi="Arial"/>
                <w:sz w:val="22"/>
                <w:szCs w:val="22"/>
                <w:color w:val="auto"/>
                <w:vertAlign w:val="superscript"/>
              </w:rPr>
              <w:t>(2)</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000" w:type="dxa"/>
            <w:vAlign w:val="bottom"/>
            <w:vMerge w:val="continue"/>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0.5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0.9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0.6</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0.7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256540</wp:posOffset>
            </wp:positionV>
            <wp:extent cx="7994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99465" cy="82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left="560" w:hanging="319"/>
        <w:spacing w:after="0" w:line="245" w:lineRule="auto"/>
        <w:tabs>
          <w:tab w:leader="none" w:pos="5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other adjustment in the Storage and Terminal Solutions segment was due to a customer's decision not to renew our existing LNTP for a storage tank capital project. We were paid for all work performed on the project. This project is still active and we will be required to update pricing when the customer makes its final investment decision, which we expect will occur in fiscal 2022.</w:t>
      </w:r>
    </w:p>
    <w:p>
      <w:pPr>
        <w:spacing w:after="0" w:line="1" w:lineRule="exact"/>
        <w:rPr>
          <w:rFonts w:ascii="Arial" w:cs="Arial" w:eastAsia="Arial" w:hAnsi="Arial"/>
          <w:sz w:val="16"/>
          <w:szCs w:val="16"/>
          <w:color w:val="auto"/>
        </w:rPr>
      </w:pPr>
    </w:p>
    <w:p>
      <w:pPr>
        <w:ind w:left="560" w:hanging="319"/>
        <w:spacing w:after="0"/>
        <w:tabs>
          <w:tab w:leader="none" w:pos="560" w:val="left"/>
        </w:tabs>
        <w:numPr>
          <w:ilvl w:val="0"/>
          <w:numId w:val="8"/>
        </w:numPr>
        <w:rPr>
          <w:rFonts w:ascii="Arial" w:cs="Arial" w:eastAsia="Arial" w:hAnsi="Arial"/>
          <w:sz w:val="16"/>
          <w:szCs w:val="16"/>
          <w:color w:val="auto"/>
        </w:rPr>
      </w:pPr>
      <w:r>
        <w:rPr>
          <w:rFonts w:ascii="Arial" w:cs="Arial" w:eastAsia="Arial" w:hAnsi="Arial"/>
          <w:sz w:val="16"/>
          <w:szCs w:val="16"/>
          <w:color w:val="auto"/>
        </w:rPr>
        <w:t>Calculated by dividing project awards by revenue recognized.</w:t>
      </w:r>
    </w:p>
    <w:p>
      <w:pPr>
        <w:spacing w:after="0" w:line="200" w:lineRule="exact"/>
        <w:rPr>
          <w:sz w:val="20"/>
          <w:szCs w:val="20"/>
          <w:color w:val="auto"/>
        </w:rPr>
      </w:pPr>
    </w:p>
    <w:p>
      <w:pPr>
        <w:spacing w:after="0" w:line="334"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Due to the impact of the COVID-19 pandemic and the resulting disruption to energy and industrial markets, some of our customers continue to be conservative with their spending levels.</w:t>
      </w:r>
    </w:p>
    <w:p>
      <w:pPr>
        <w:spacing w:after="0" w:line="106"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In the Utility and Power Infrastructure segment, performance in the power delivery business continues to be strong on lower revenue. Bidding activity is strong and we expect project awards to increase. Similarly, our opportunity pipeline for LNG peak shaving projects is building, however those awards, while significant, can be less frequent. During the third quarter of fiscal 2021, we received a key contract for an upgrade of an LNG peak shaving facility. We are optimistic that electrical infrastructure and LNG peak shaving will be critical to the spending priorities of the Biden Administration and lead to increased opportunities in this segment.</w:t>
      </w:r>
    </w:p>
    <w:p>
      <w:pPr>
        <w:spacing w:after="0" w:line="12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the Process and Industrial Facilities segment, the short-term impact of the global pandemic on our refinery maintenance operations has moderated. We saw an increase in demand for refinery and maintenance work on existing long-term maintenance contracts with certain customers. However, other customers continue to delay or reduce discretionary maintenance and capital spending. In addition, we continue to see strong demand for thermal vacuum chambers, as well as increasing opportunities in mining and minerals and chemicals. The larger midstream natural gas projects continue to be limited, but we are seeing some activity in smaller capital work. We are also seeing increasing opportunities in projects that support the ongoing transition to greener energy.</w:t>
      </w:r>
    </w:p>
    <w:p>
      <w:pPr>
        <w:spacing w:after="0" w:line="110"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In the Storage and Terminal Solutions segment, opportunities for crude oil tanks and terminals continue to be limited as our customers rationalize the near-term demand for crude oil storage and terminalling, which has been significantly disrupted by the pandemic. We believe crude oil will continue to play an important role in the global economy for some time and we expect crude oil storage and terminal opportunities to return as the world recovers from the pandemic, however, based on the transition to greener energy, the longer-term demand for crude oil storage is less certain. This segment also includes a strong funnel of opportunities for storage infrastructure projects related to natural gas, LNG, ammonia, NGLs, and chemical feed stocks. We are also seeing an increase in inquiries related to renewable energy, especially for hydrogen storage and related facilities.</w:t>
      </w:r>
    </w:p>
    <w:p>
      <w:pPr>
        <w:spacing w:after="0" w:line="126" w:lineRule="exact"/>
        <w:rPr>
          <w:sz w:val="20"/>
          <w:szCs w:val="20"/>
          <w:color w:val="auto"/>
        </w:rPr>
      </w:pPr>
    </w:p>
    <w:p>
      <w:pPr>
        <w:jc w:val="both"/>
        <w:spacing w:after="0" w:line="314" w:lineRule="auto"/>
        <w:rPr>
          <w:sz w:val="20"/>
          <w:szCs w:val="20"/>
          <w:color w:val="auto"/>
        </w:rPr>
      </w:pPr>
      <w:r>
        <w:rPr>
          <w:rFonts w:ascii="Arial" w:cs="Arial" w:eastAsia="Arial" w:hAnsi="Arial"/>
          <w:sz w:val="15"/>
          <w:szCs w:val="15"/>
          <w:color w:val="auto"/>
        </w:rPr>
        <w:t>Project awards in all segments are cyclical and are typically the result of a sales process that can take several months or years to complete. It is common for awards to shift from one period to another as the timing of awards is dependent upon a number of factors including changes in market conditions, permitting, off take agreements, project financing and other factors. Backlog volatility may increase for some segments from time to time when individual project awards are less frequent, but more significant. We expect to recognize approximately 85% of our total backlog reported as of June 30, 2021 as revenue within fiscal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 w:name="page7"/>
    <w:bookmarkEnd w:id="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Seasonality and Other Factors</w:t>
      </w:r>
    </w:p>
    <w:p>
      <w:pPr>
        <w:spacing w:after="0" w:line="17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operating results can exhibit seasonal fluctuations, especially in our Process and Industrial Facilities segment, for a variety of reasons. Turnarounds and planned outages at customer facilities are typically scheduled in the spring and the fall when the demand for energy is lower. Within the Utility and Power Infrastructure segment, transmission and distribution work is generally scheduled by the public utilities when the demand for electricity is at its lowest. Therefore, revenue volume in the summer months is typically lower than in other periods throughout the year.</w:t>
      </w:r>
    </w:p>
    <w:p>
      <w:pPr>
        <w:spacing w:after="0" w:line="124"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During fiscal 2021, our operations were significantly impacted by the COVID-19 pandemic, which led to the closure of certain offices, shutdowns of certain job sites and the loss of productivity, among other issues. Our business can also be affected, both positively and negatively, by seasonal factors such as energy demand or weather conditions including hurricanes, snowstorms, and abnormally low or high temperatures. Some of these seasonal factors may cause some of our offices and projects to close or reduce activities temporarily. In addition to the above noted factors, the general timing of project starts and completions could exhibit significant fluctuations.</w:t>
      </w:r>
    </w:p>
    <w:p>
      <w:pPr>
        <w:spacing w:after="0" w:line="12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Other factors impacting operating results in all segments come from decreased work volume during holidays, work site permitting delays or customers accelerating or postponing work. The differing types, sizes, and durations of our contracts, combined with their geographic diversity and stages of completion, often results in fluctuations in our operating results.</w:t>
      </w:r>
    </w:p>
    <w:p>
      <w:pPr>
        <w:spacing w:after="0" w:line="120"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Our overhead cost structure is generally fixed. Significant fluctuations in revenue volume usually leads to over or under recovery of fixed overhead costs, which can have a material impact on our gross margin and profitability.</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Material Sources and Availability</w:t>
      </w:r>
    </w:p>
    <w:p>
      <w:pPr>
        <w:spacing w:after="0" w:line="17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ongoing COVID-19 pandemic has resulted in disruptions to global supply chains, which have led to higher prices for some of the materials we need to run our business, including, but not limited to, structural steel, steel piping, rebar, valves, copper, and delivery freight. We have been proactive with managing our procurement processes to help reduce the impacts of rising materials prices on our business and to help ensure we continue to have the materials we need available. However, rising prices and the potential for materials shortages have created additional risk into bidding and executing work profitably.</w:t>
      </w:r>
    </w:p>
    <w:p>
      <w:pPr>
        <w:spacing w:after="0" w:line="107"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The timing of normalization of the global supply chains is uncertain and will depend on several factors, including the speed of recovery from the pandemic, producer capacity, the level of imports, worldwide demand, tariffs on imported goods and other market conditions.</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Insurance</w:t>
      </w:r>
    </w:p>
    <w:p>
      <w:pPr>
        <w:spacing w:after="0" w:line="178"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We maintain insurance coverage for various aspects of our operations. However, exposure to potential losses is retained through the use of deductibles, self-insured retentions and coverage limits.</w:t>
      </w:r>
    </w:p>
    <w:p>
      <w:pPr>
        <w:spacing w:after="0" w:line="106"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Typically our contracts require us to indemnify our customers for injury, damage or loss arising from the performance of our services and provide warranties for materials. We may also be required to name the customer as an additional insured up to the limits of insurance available, or we may be required to purchase special insurance policies or surety bonds for specific customers or provide letters of credit in lieu of bonds to satisfy performance and financial guarantees on some projects. We maintain a performance and payment bonding line sufficient to support the business. We generally require our subcontractors to indemnify us and our customers and name us as an additional insured for activities arising out of the subcontractors’ work. We also require certain subcontractors to provide additional insurance policies, including surety bonds in favor of us, to secure the subcontractors’ work. There can be no assurance that our insurance and the additional insurance coverage provided by our subcontractors will fully protect us against a valid claim or loss under the contracts with our customers.</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Human Capital Management</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Employees</w:t>
      </w:r>
    </w:p>
    <w:p>
      <w:pPr>
        <w:spacing w:after="0" w:line="17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Successful execution of our business strategy is dependent on attracting, developing, and retaining key employees who represent our core values and the communities we serve. Our people are our greatest resource, which makes our certification in fiscal 2021 as a Great Place To Work® — for the fifth consecutive year — both a point of pride and an invaluable tool for continuous improvement supporting our objective of always being an employer of choice. Our office-based employee retention rate has consistently been above 90% for the past 5 years.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 w:name="page8"/>
    <w:bookmarkEnd w:id="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Given the nature of our work, the size of our employee population can vary significantly throughout the year because of the number, type and size of projects we have in progress at any particular time. As of June 30, 2021, we had 2,717 employees worldwide. Of those employees, 689 were employed in office-based positions and 2,028 were employed in field or craft positions. The breakdown by country was: 2,413 located in the United States, 265 in Canada, and 39 across other international locations. At the end of fiscal 2021, 48% of our overall workforce and 28% of our management team was represented by women and minorities, and 33% of the independent directors serving on our Board of Directors are female.</w:t>
      </w:r>
    </w:p>
    <w:p>
      <w:pPr>
        <w:spacing w:after="0" w:line="127"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percentage of our employees represented by unions as of June 30, 2021 was approximately 22%. Operating under collective bargaining agreements with various unions, our union employees are provided with benefits including health and welfare, pension, training programs and competitive compensation plans. We have not experienced any strikes or work stoppages in recent years and are proud that our relationships with our employees and labor unions are strong.</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Business Ethics and Core Values</w:t>
      </w:r>
    </w:p>
    <w:p>
      <w:pPr>
        <w:spacing w:after="0" w:line="172"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Our employees are entrusted with engineering, constructing, and maintaining the complex, critical infrastructure that supports modern daily living and quality of life. Ethics and integrity are foundational in our ability to be successful and are engrained in our culture and core values. Across all areas of our business, we maintain focus on compliance and doing the right thing, and integrity is essential to every aspect of our business, in both policy and practice. Accordingly, we are committed to ensuring compliance with all applicable laws and regulations, and to maintaining the highest standards of ethical conduct in accordance with our code of conduct.</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Health and Safety</w:t>
      </w:r>
    </w:p>
    <w:p>
      <w:pPr>
        <w:spacing w:after="0" w:line="172"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Ensuring the safety of our employees and those around us is integral to who we are, and paramount to our success and sustainability. The journey to achieving and maintaining a zero-incident safety performance requires robust training along with comprehensive policies, processes, and systems to plan, perform, report, measure, review, and improve our performance. We have incorporated safety as a key performance metric in our incentive compensation plan by measuring our annual Total Recordable Incident Rate ("TRIR"), which is calculated by multiplying the number of recordable incidents by 200,000 and dividing that number by the total hours worked each year. This metric is also used by others in our industry, which allows for a more objective comparison of our performance. In fiscal 2021, our TRIR was 0.28, which represents a record for us and world-class safety performance.</w:t>
      </w:r>
    </w:p>
    <w:p>
      <w:pPr>
        <w:spacing w:after="0" w:line="11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commitment to health and safety during the pandemic reached far beyond our employees and included their families, our clients, and our communities. Relying on our Business Continuity Plan, we took swift, immediate action across our network of offices and on our project sites to help protect our people and those with whom we work. We provided our clients with our COVID-19 Mitigation Plan and Infectious Disease Response Program, both of which also address supplier requirements, and we worked proactively with our clients to ensure proper protocols were in place and followed.</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Diversity, Equity, and Inclusion (DEI)</w:t>
      </w:r>
    </w:p>
    <w:p>
      <w:pPr>
        <w:spacing w:after="0" w:line="17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Foundational to attracting, developing, and retaining a diverse, engaged workforce is our commitment to making sure our employees feel safe, know they are valued and that their work matters, and that they are provided opportunities to achieve their maximum potential. We believe when we value each other’s differences and encourage everyone’s voice to be heard, we can break down the barriers that stifle ideas and opportunities.</w:t>
      </w:r>
    </w:p>
    <w:p>
      <w:pPr>
        <w:spacing w:after="0" w:line="120"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In fiscal 2021, we established our employee diversity baseline to identify areas for improvement and help shape our recruiting efforts, succession planning, and professional development. We sponsored Days of Understanding and other events covering topics such as implicit and unconscious bias, racism and the Tulsa Race Massacre, uncomfortable conversations, LGBTQ+ history and inclusion, and more. In late fiscal 2021, we also established the framework to support Employee Resource Groups ("ERGs") and, with input from our employees enterprise-wide, identified our first ERGs, which will focus on the following communities: Asian, Black, Hispanic/Latino, LGBTQ+, Women, and Veterans. Our ERGs will be designed to foster a diverse and inclusive workplace through employee-led, organic efforts.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 w:name="page9"/>
    <w:bookmarkEnd w:id="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Total Rewards Package</w:t>
      </w:r>
    </w:p>
    <w:p>
      <w:pPr>
        <w:spacing w:after="0" w:line="172"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As part of our compensation philosophy and to attract and retain superior talent, we offer and maintain market-competitive, total rewards programs for our employees. In addition to base salaries, additional programs include incentive and project bonus opportunities, comprehensive healthcare coverage and insurance benefits, Company matched retirement plans, health savings and flexible spending accounts, an Employee Stock Purchase Plan, paid holidays and other paid time off, family leave, and flexible work schedules where possible. Other offerings include employee assistance programs with 365/24/7 access to resources and help, and Matrix HealthMatters, our robust wellness program that provides resources and education to help employees and their families get and stay healthy, focusing wholistically on physical, mental and financial health.</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Training and Employee Development Programs</w:t>
      </w:r>
    </w:p>
    <w:p>
      <w:pPr>
        <w:spacing w:after="0" w:line="172"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Investment in continuous learning is essential to providing industry-leading expertise and service to our clients, continuous improvement across our organization, and meaningful career development opportunities for our people. From in-person to online courses, formalized and other specialized training, our employees benefit from opportunities to strengthen their leadership and management competencies, improve communication and interpersonal skills, and advance their technical proficiency. Through Matrix University, our people have access to resources that include a robust Learning Management System (LMS) that provides enterprise-wide access for employees to a number of online learning modules and support tools.</w:t>
      </w:r>
    </w:p>
    <w:p>
      <w:pPr>
        <w:spacing w:after="0" w:line="127"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Our employees also benefit from the Matrix Performance Development Program, designed for collaborative development of annual performance goals and to promote continuous, transparent feedback between employees and their supervisors.</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Employee Engagement</w:t>
      </w:r>
    </w:p>
    <w:p>
      <w:pPr>
        <w:spacing w:after="0" w:line="17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also empower our employees to donate time, talent, and resources through Company-led initiatives, employee matching, and paid volunteer time off. Each year, our employees collectively log thousands of hours participating in individual community service projects in addition to hours they invest serving on boards and participating in Company-sponsored charitable events. We also provide direct corporate financial support to nonprofit organizations in the communities where we live and work.</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Patents and Proprietary Technology</w:t>
      </w:r>
    </w:p>
    <w:p>
      <w:pPr>
        <w:spacing w:after="0" w:line="178"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Our subsidiaries have several patents and patents pending, and continue to pursue new ideas and innovations to better serve our customers in several areas of our business. The Flex-A-Span® and Flex-A-Seal® trademarks are utilized to market our unique seals for floating roof tanks. The FastFroth® trademark is utilized to market our unique industrial cleaning process. Our patented RS 1000 Tank Mixer controls sludge build-up in crude oil tanks through resuspension. The Flexible Fluid Containment System patent covers a system that captures and contains flue leaking from pipe and valve connections. The Flex-A-Swivel® patent refers to our unique pipe swivel joint assembly. Our patent for Spacerless or Geocomposite Double Bottom for Storage Tanks relates to a replacement bottom with leak detection and containment that allows for the retrofitting of an existing tank while minimizing the loss of capacity. The patent for the Training Tank for Personnel Entry, Exit and Rescue relates to a training device that can be used to train personnel on equipment that is made to simulate confined space scenarios.</w:t>
      </w:r>
    </w:p>
    <w:p>
      <w:pPr>
        <w:spacing w:after="0" w:line="129"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We also hold a perpetual license to use various patents and technologies related to LNG storage tanks, liquid nitrogen/liquid oxygen storage tanks, liquid petroleum gas storage tanks and thermal vacuum chambers.</w:t>
      </w:r>
    </w:p>
    <w:p>
      <w:pPr>
        <w:spacing w:after="0" w:line="106"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While our intellectual property is not our main business, we believe that the ability to use these patents and technology enables us to expand our presence in the markets we serve and minimizes the development costs typically associated with organic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 w:name="page10"/>
    <w:bookmarkEnd w:id="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Regulation</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Health and Safety Regulations</w:t>
      </w:r>
    </w:p>
    <w:p>
      <w:pPr>
        <w:spacing w:after="0" w:line="172"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Our operations are subject to regulation by the U.S. Occupational Safety and Health Administration (“OSHA”) and Mine Safety and Health Administration (“MSHA”), the U.S. Department of Transportation, and to regulation under state laws and by the Canadian Workers’ Compensation Board and its Workplace Health, Safety and Compensation Commission. Regulations promulgated by these agencies require employers and independent contractors to implement work practices, medical surveillance systems and personnel protection programs to protect employees from workplace hazards and exposure to hazardous chemicals and materials. In recognition of the potential for accidents within various scopes of work, these agencies have enacted strict and comprehensive safety regulations. We have established and consistently reinforce and monitor compliance with comprehensive programs intended to ensure that we comply with all applicable health and safety regulations to protect the safety of our workers, subcontractors and customers. While we believe that we operate safely and prudently, there can be no assurance that accidents will not occur or that we will not incur substantial liability in connection with the operation of our businesses. In order to minimize the financial exposure resulting from potential accidents associated with our work, we maintain liability insurance to limit losses that could result from our work.</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Environmental</w:t>
      </w:r>
    </w:p>
    <w:p>
      <w:pPr>
        <w:spacing w:after="0" w:line="17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believe we have an obligation to better the world in which we live and work – to do today’s work in a manner that advances and protects tomorrow’s world for future generations. Across our organization, from our project sites to our offices, we are committed to environmental stewardship and to continuously seeking better, more sustainable ways to perform our work in existing and new markets, including renewables.</w:t>
      </w:r>
    </w:p>
    <w:p>
      <w:pPr>
        <w:spacing w:after="0" w:line="120"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Our operations and the operations of our customers are subject to extensive and changing environmental laws and regulations. These laws and regulations relate primarily to air and water pollutants and the management and disposal of hazardous materials. We are exposed to potential liability for personal injury or property damage caused by any release, spill, exposure or other accident involving such pollutants, substances or hazardous materials.</w:t>
      </w:r>
    </w:p>
    <w:p>
      <w:pPr>
        <w:spacing w:after="0" w:line="101"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In order to limit costs incurred as a result of environmental exposure, we maintain contractor’s pollution liability insurance that covers liability that may be incurred as a result of accidental releases of hazardous materials.</w:t>
      </w:r>
    </w:p>
    <w:p>
      <w:pPr>
        <w:spacing w:after="0" w:line="10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believe that we are currently in compliance, in all material aspects, with all applicable environmental laws and regulations. We do not expect any material charges in subsequent periods relating to environmental conditions that currently exist and do not currently foresee any significant future capital spending relating to environmental matters.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 w:name="page11"/>
    <w:bookmarkEnd w:id="1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172" w:lineRule="exact"/>
        <w:rPr>
          <w:sz w:val="20"/>
          <w:szCs w:val="20"/>
          <w:color w:val="auto"/>
        </w:rPr>
      </w:pPr>
    </w:p>
    <w:p>
      <w:pPr>
        <w:ind w:right="200"/>
        <w:spacing w:after="0" w:line="277" w:lineRule="auto"/>
        <w:rPr>
          <w:sz w:val="20"/>
          <w:szCs w:val="20"/>
          <w:color w:val="auto"/>
        </w:rPr>
      </w:pPr>
      <w:r>
        <w:rPr>
          <w:rFonts w:ascii="Arial" w:cs="Arial" w:eastAsia="Arial" w:hAnsi="Arial"/>
          <w:sz w:val="17"/>
          <w:szCs w:val="17"/>
          <w:b w:val="1"/>
          <w:bCs w:val="1"/>
          <w:color w:val="auto"/>
        </w:rPr>
        <w:t>The following risk factors should be considered with the other information included in this Annual Report on Form 10-K. As we operate in a continuously changing environment, other risk factors may emerge which could have a material adverse effect on our results of operations, financial condition and cash flow.</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Risk Factors Related to the COVID-19 Pandemic</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COVID-19 pandemic has adversely affected our business and operations.</w:t>
      </w:r>
    </w:p>
    <w:p>
      <w:pPr>
        <w:spacing w:after="0" w:line="250"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The COVID-19 pandemic has adversely affected our business and operations and the business and operations of our customers. We have experienced unpredictable reductions in demand for our services. In response to the COVID-19 pandemic, companies within the oil and natural gas and other industries (including our customers) have announced spending cuts and/or project delays which, in turn, have resulted in decreased awards of new contracts or adjustments, reductions, suspensions or cancellations of existing contracts. Such continued delays have impacted our business, results of operations and financial condition.</w:t>
      </w:r>
    </w:p>
    <w:p>
      <w:pPr>
        <w:spacing w:after="0" w:line="127"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The ongoing pandemic has also resulted in disruptions to labor and global supply chains, which have led to labor shortages and higher prices for some of the materials we need to run our business, including, but not limited to, structural steel, steel piping, rebar, valves, copper, and delivery freight. We have been proactive with managing our workforce and procurement processes to help reduce the impacts of labor shortages and rising materials prices on our business and to help ensure we continue to have the labor and materials we need available. However, rising prices and the potential for labor and materials shortages have created additional risk into bidding and executing work profitably.</w:t>
      </w:r>
    </w:p>
    <w:p>
      <w:pPr>
        <w:spacing w:after="0" w:line="127"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Because the duration of the COVID-19 pandemic and its economic consequences are uncertain, rapidly changing and difficult to predict, the impact on our business, financial condition and results of operations remains uncertain. While we expect the COVID-19 pandemic to have an adverse effect on our business, financial condition, liquidity, cash flow and results of operations, we are unable to predict the extent, nature or duration of these impacts at this time.</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Financial Risks</w:t>
      </w:r>
    </w:p>
    <w:p>
      <w:pPr>
        <w:spacing w:after="0" w:line="25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i w:val="1"/>
          <w:iCs w:val="1"/>
          <w:color w:val="auto"/>
        </w:rPr>
        <w:t>Our borrowing capacity under our Credit Agreement is determined by the size of our borrowing base and if the size of our borrowing base does not provide adequate liquidity, then we may need to raise additional capital in the future for working capital, capital expenditures and/or acquisitions, and we may not be able to do so on favorable terms or at all, which would impair our ability to operate our business or achieve our strategic plan.</w:t>
      </w:r>
    </w:p>
    <w:p>
      <w:pPr>
        <w:spacing w:after="0" w:line="18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Cash and cash equivalents on hand at June 30, 2021 totaled $83.9 million. Management believes it has sufficient cash on hand and will generate sufficient cash from operations to fund the business. However, should we require additional liquidity, there is risk that we will be unable access the amount of additional liquidity needed from our Credit Agreement if the level of assets included in the borrowing base is insufficient. The borrowing base includes restricted cash plus a percentage of the value of certain accounts receivable, inventory and equipment, reduced for certain reserves.</w:t>
      </w:r>
    </w:p>
    <w:p>
      <w:pPr>
        <w:spacing w:after="0" w:line="202"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To the extent that cash on hand, cash flow from operations, and borrowing availability under the Credit Agreement are insufficient to make future investments, or provide needed working capital, we may require additional financing from other sources. Our ability to obtain such additional financing in the future will depend in part upon prevailing capital market conditions, as well as conditions in our business and our operating results; and those factors may affect our efforts to arrange additional financing on terms that are satisfactory to us. If adequate funds are not available, or are not available on acceptable terms, we may not be able to make future investments or respond to competitive challenges.</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Credit Agreement imposes restrictions that may limit business alternatives.</w:t>
      </w:r>
    </w:p>
    <w:p>
      <w:pPr>
        <w:spacing w:after="0" w:line="23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Credit Agreement prohibits or limits us from making acquisitions, repurchasing equity, incurring additional debt, acquiring or disposing of assets, or making other distributions, including cash dividends. In addition, our Credit Agreement requires that we comply with a Fixed Charge Coverage Ratio financial covenant under certain conditions. These covenants and restrictions may impact our ability to effectively execute operating and strategic plans and our operating performance may not be sufficient to comply with the required covenants.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 w:name="page12"/>
    <w:bookmarkEnd w:id="1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52"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Our failure to comply with one or more of the covenants in our Credit Agreement could result in an event of default. We can provide no assurance that a default could be remedied, or that our creditors would grant a waiver or further amend the terms of the Credit Agreement.</w:t>
      </w:r>
    </w:p>
    <w:p>
      <w:pPr>
        <w:spacing w:after="0" w:line="33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Risk Factors Related to Our Business and Operations</w:t>
      </w:r>
    </w:p>
    <w:p>
      <w:pPr>
        <w:spacing w:after="0" w:line="178"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i w:val="1"/>
          <w:iCs w:val="1"/>
          <w:color w:val="auto"/>
        </w:rPr>
        <w:t>Unsatisfactory safety performance may subject us to penalties, affect customer relationships, result in higher operating costs, negatively impact employee morale and result in higher employee turnover.</w:t>
      </w:r>
    </w:p>
    <w:p>
      <w:pPr>
        <w:spacing w:after="0" w:line="10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Our projects are conducted at a variety of sites including construction sites and industrial facilities. With each location, hazards are part of the day-to-day exposures that we must manage on a continuous basis to ensure our employees return home from work the same way they arrived. We understand that everyone plays a role with safety and everyone can make a difference with their active participation. With our proactive approach, our strategy is to identify the exposures and correct them before they result in an incident whether that involves an injury, damage or destruction of property, plant and equipment or an environmental impact. We are intensely focused on maintaining a strong safety culture and strive for zero incidents.</w:t>
      </w:r>
    </w:p>
    <w:p>
      <w:pPr>
        <w:spacing w:after="0" w:line="110"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Although we have taken what we believe are appropriate precautions to adequately train and equip our employees, we have experienced serious accidents, including fatalities, in the past and may experience additional accidents in the future. Serious accidents may subject us to penalties, civil litigation or criminal prosecution. Claims for damages to persons, including claims for bodily injury or loss of life, could result in costs and liabilities, which could materially and adversely affect our financial condition, results of operations or cash flows. Poor safety performance could also jeopardize our relationships with our customers and increase our insurance premiums.</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profitability could be negatively impacted if we are not able to maintain appropriate utilization of our workforce.</w:t>
      </w:r>
    </w:p>
    <w:p>
      <w:pPr>
        <w:spacing w:after="0" w:line="17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extent to which we utilize our workforce affects our profitability. If we under utilize our workforce, our project gross margins and overall profitability suffer in the short-term. If we over utilize our workforce, we may negatively impact safety, employee satisfaction and project execution. The utilization of our workforce is impacted by numerous factors including:</w:t>
      </w:r>
    </w:p>
    <w:p>
      <w:pPr>
        <w:spacing w:after="0" w:line="120" w:lineRule="exact"/>
        <w:rPr>
          <w:sz w:val="20"/>
          <w:szCs w:val="20"/>
          <w:color w:val="auto"/>
        </w:rPr>
      </w:pPr>
    </w:p>
    <w:p>
      <w:pPr>
        <w:ind w:left="620" w:hanging="300"/>
        <w:spacing w:after="0"/>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estimate of the headcount requirements for various operating units based upon our forecast of the demand for our products and services;</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ability to maintain our talent base and manage attrition;</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productivity;</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ability to schedule our portfolio of projects to efficiently utilize our employees and minimize downtime between project assignments; and</w:t>
      </w:r>
    </w:p>
    <w:p>
      <w:pPr>
        <w:spacing w:after="0" w:line="171" w:lineRule="exact"/>
        <w:rPr>
          <w:rFonts w:ascii="Arial" w:cs="Arial" w:eastAsia="Arial" w:hAnsi="Arial"/>
          <w:sz w:val="17"/>
          <w:szCs w:val="17"/>
          <w:color w:val="auto"/>
        </w:rPr>
      </w:pPr>
    </w:p>
    <w:p>
      <w:pPr>
        <w:ind w:left="640" w:hanging="320"/>
        <w:spacing w:after="0" w:line="289" w:lineRule="auto"/>
        <w:tabs>
          <w:tab w:leader="none" w:pos="635"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need to invest time and resources into functions such as training, business development, employee recruiting, and sales that are not chargeable to customer projects.</w:t>
      </w:r>
    </w:p>
    <w:p>
      <w:pPr>
        <w:spacing w:after="0" w:line="106"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i w:val="1"/>
          <w:iCs w:val="1"/>
          <w:color w:val="auto"/>
        </w:rPr>
        <w:t>An inability to attract and retain qualified personnel, and in particular, engineers, project managers, and skilled craft workers, could impact our ability to perform on our contracts, which could harm our business and impair our future revenue and profitability.</w:t>
      </w:r>
    </w:p>
    <w:p>
      <w:pPr>
        <w:spacing w:after="0" w:line="106"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We initiated workforce reductions during the COVID-19 pandemic as demand for our services declined. Once the demand for our services increases, our ability to attract and retain qualified engineers, project managers, skilled craftsmen and other experienced professionals in accordance with our need will be an important factor in our ability to maintain profitability and grow our business. The market for these professionals is competitive, particularly during periods of economic growth when the supply is limited. We cannot provide any assurance that we will be successful in our efforts to retain or attract qualified personnel when needed. Therefore, when we anticipate or experience growing demand for our services, we may incur additional cost to maintain a professional staff in excess of our current contract needs in an effort to have sufficient qualified personnel available to address this anticipated demand. If we do incur additional compensation and benefit costs, our customer contracts may not allow us to pass through these costs.</w:t>
      </w:r>
    </w:p>
    <w:p>
      <w:pPr>
        <w:spacing w:after="0" w:line="11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Competent and experienced engineers, project estimators, project managers, and craft workers are especially critical to the profitable performance of our contracts, particularly on our fixed-price contracts where superior design and execution of the project can result in profits greater than originally estimated or where inferior design and project execution can reduce or eliminate estimated profits or even result in a loss.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 w:name="page13"/>
    <w:bookmarkEnd w:id="1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color w:val="auto"/>
        </w:rPr>
        <w:t>Our project managers are involved in most aspects of contracting and contract execution, including:</w:t>
      </w:r>
    </w:p>
    <w:p>
      <w:pPr>
        <w:spacing w:after="0" w:line="172" w:lineRule="exact"/>
        <w:rPr>
          <w:sz w:val="20"/>
          <w:szCs w:val="20"/>
          <w:color w:val="auto"/>
        </w:rPr>
      </w:pPr>
    </w:p>
    <w:p>
      <w:pPr>
        <w:ind w:left="640" w:right="360" w:hanging="320"/>
        <w:spacing w:after="0" w:line="289" w:lineRule="auto"/>
        <w:tabs>
          <w:tab w:leader="none" w:pos="635" w:val="left"/>
        </w:tabs>
        <w:numPr>
          <w:ilvl w:val="0"/>
          <w:numId w:val="10"/>
        </w:numPr>
        <w:rPr>
          <w:rFonts w:ascii="Arial" w:cs="Arial" w:eastAsia="Arial" w:hAnsi="Arial"/>
          <w:sz w:val="17"/>
          <w:szCs w:val="17"/>
          <w:color w:val="auto"/>
        </w:rPr>
      </w:pPr>
      <w:r>
        <w:rPr>
          <w:rFonts w:ascii="Arial" w:cs="Arial" w:eastAsia="Arial" w:hAnsi="Arial"/>
          <w:sz w:val="17"/>
          <w:szCs w:val="17"/>
          <w:color w:val="auto"/>
        </w:rPr>
        <w:t>supervising the bidding process, including providing estimates of significant cost components, such as material and equipment needs, and the size, productivity and composition of the workforce;</w:t>
      </w:r>
    </w:p>
    <w:p>
      <w:pPr>
        <w:spacing w:after="0" w:line="106" w:lineRule="exact"/>
        <w:rPr>
          <w:rFonts w:ascii="Arial" w:cs="Arial" w:eastAsia="Arial" w:hAnsi="Arial"/>
          <w:sz w:val="17"/>
          <w:szCs w:val="17"/>
          <w:color w:val="auto"/>
        </w:rPr>
      </w:pPr>
    </w:p>
    <w:p>
      <w:pPr>
        <w:ind w:left="620" w:hanging="300"/>
        <w:spacing w:after="0"/>
        <w:tabs>
          <w:tab w:leader="none" w:pos="6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negotiating contracts;</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supervising project performance, including performance by our employees, subcontractors and other third-party suppliers and vendors;</w:t>
      </w:r>
    </w:p>
    <w:p>
      <w:pPr>
        <w:spacing w:after="0" w:line="171" w:lineRule="exact"/>
        <w:rPr>
          <w:rFonts w:ascii="Arial" w:cs="Arial" w:eastAsia="Arial" w:hAnsi="Arial"/>
          <w:sz w:val="17"/>
          <w:szCs w:val="17"/>
          <w:color w:val="auto"/>
        </w:rPr>
      </w:pPr>
    </w:p>
    <w:p>
      <w:pPr>
        <w:ind w:left="640" w:right="340" w:hanging="320"/>
        <w:spacing w:after="0" w:line="289" w:lineRule="auto"/>
        <w:tabs>
          <w:tab w:leader="none" w:pos="635" w:val="left"/>
        </w:tabs>
        <w:numPr>
          <w:ilvl w:val="0"/>
          <w:numId w:val="10"/>
        </w:numPr>
        <w:rPr>
          <w:rFonts w:ascii="Arial" w:cs="Arial" w:eastAsia="Arial" w:hAnsi="Arial"/>
          <w:sz w:val="17"/>
          <w:szCs w:val="17"/>
          <w:color w:val="auto"/>
        </w:rPr>
      </w:pPr>
      <w:r>
        <w:rPr>
          <w:rFonts w:ascii="Arial" w:cs="Arial" w:eastAsia="Arial" w:hAnsi="Arial"/>
          <w:sz w:val="17"/>
          <w:szCs w:val="17"/>
          <w:color w:val="auto"/>
        </w:rPr>
        <w:t>estimating costs for completion of contracts that is used to estimate amounts that can be reported as revenue and earnings on the contract under the percentage-of-completion method of accounting;</w:t>
      </w:r>
    </w:p>
    <w:p>
      <w:pPr>
        <w:spacing w:after="0" w:line="106" w:lineRule="exact"/>
        <w:rPr>
          <w:rFonts w:ascii="Arial" w:cs="Arial" w:eastAsia="Arial" w:hAnsi="Arial"/>
          <w:sz w:val="17"/>
          <w:szCs w:val="17"/>
          <w:color w:val="auto"/>
        </w:rPr>
      </w:pPr>
    </w:p>
    <w:p>
      <w:pPr>
        <w:ind w:left="620" w:hanging="300"/>
        <w:spacing w:after="0"/>
        <w:tabs>
          <w:tab w:leader="none" w:pos="6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negotiating requests for change orders and the final terms of approved change orders; and</w:t>
      </w:r>
    </w:p>
    <w:p>
      <w:pPr>
        <w:spacing w:after="0" w:line="171" w:lineRule="exact"/>
        <w:rPr>
          <w:rFonts w:ascii="Arial" w:cs="Arial" w:eastAsia="Arial" w:hAnsi="Arial"/>
          <w:sz w:val="17"/>
          <w:szCs w:val="17"/>
          <w:color w:val="auto"/>
        </w:rPr>
      </w:pPr>
    </w:p>
    <w:p>
      <w:pPr>
        <w:ind w:left="640" w:right="180" w:hanging="320"/>
        <w:spacing w:after="0" w:line="289" w:lineRule="auto"/>
        <w:tabs>
          <w:tab w:leader="none" w:pos="635" w:val="left"/>
        </w:tabs>
        <w:numPr>
          <w:ilvl w:val="0"/>
          <w:numId w:val="10"/>
        </w:numPr>
        <w:rPr>
          <w:rFonts w:ascii="Arial" w:cs="Arial" w:eastAsia="Arial" w:hAnsi="Arial"/>
          <w:sz w:val="17"/>
          <w:szCs w:val="17"/>
          <w:color w:val="auto"/>
        </w:rPr>
      </w:pPr>
      <w:r>
        <w:rPr>
          <w:rFonts w:ascii="Arial" w:cs="Arial" w:eastAsia="Arial" w:hAnsi="Arial"/>
          <w:sz w:val="17"/>
          <w:szCs w:val="17"/>
          <w:color w:val="auto"/>
        </w:rPr>
        <w:t>determining and documenting claims by us for increased costs incurred due to the failure of customers, subcontractors and other third-party suppliers of equipment and materials to perform on a timely basis and in accordance with contract terms.</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results of operations depend upon the award of new contracts and the timing of those awards.</w:t>
      </w:r>
    </w:p>
    <w:p>
      <w:pPr>
        <w:spacing w:after="0" w:line="17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revenue is derived primarily from contracts awarded on a project-by-project basis. Generally, it is difficult to predict whether and when we will be awarded a new contract due to lengthy and complex bidding and selection processes, changes in existing or forecasted market conditions, customers' access to financing, governmental regulations, permitting and environmental matters. Because our revenue are derived from contract awards, our results of operations and cash flows can fluctuate materially from period to period.</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The uncertainty associated with the timing of contract awards may reduce our short-term profitability as we balance our current capacity with expectations of future contract awards. If an expected contract award is delayed or not received, we could incur costs to maintain an idle workforce that may have a material adverse effect on our results of operations. Alternatively, we may decide that our long-term interests are best served by reducing our workforce and incurring increased costs associated with severance and termination benefits, which also could have a material adverse effect on our results of operations in the period incurred. Reducing our workforce could also impact our results of operations if we are unable to adequately staff projects that are awarded subsequent to a workforce reduction.</w:t>
      </w:r>
    </w:p>
    <w:p>
      <w:pPr>
        <w:spacing w:after="0" w:line="126"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i w:val="1"/>
          <w:iCs w:val="1"/>
          <w:color w:val="auto"/>
        </w:rPr>
        <w:t>Demand for our products and services is cyclical and is vulnerable to the level of capital and maintenance spending of our customers and to downturns in the industries and markets we serve, as well as conditions in the general economy.</w:t>
      </w:r>
    </w:p>
    <w:p>
      <w:pPr>
        <w:spacing w:after="0" w:line="10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demand for our products and services depends upon the existence of construction and maintenance projects primarily in the midstream and downstream petroleum, power and other heavy industries in the United States and Canada. Therefore, it is likely that our business will continue to be cyclical in nature and vulnerable to general downturns in the United States, Canadian and world economies and negative changes in commodity prices, which could adversely affect the demand for our products and services.</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The availability of engineering and construction projects is dependent upon economic conditions in the oil, natural gas, petrochemical, industrial, and power industries, and specifically, the level of capital expenditures on energy infrastructure. A prolonged period of relatively low commodity prices in North America has had an adverse impact on the level of capital expenditures of our customers and/or their ability to finance these expenditures. Our failure to obtain projects, the delay of project awards, the cancellation of projects or delays in the execution of contracts has resulted and may continue to result in under-utilization of our resources, which could adversely impact our revenue, margins, operating results and cash flow. There are numerous factors beyond our control that influence the level of maintenance and capital expenditures of our customers, including:</w:t>
      </w:r>
    </w:p>
    <w:p>
      <w:pPr>
        <w:spacing w:after="0" w:line="126" w:lineRule="exact"/>
        <w:rPr>
          <w:sz w:val="20"/>
          <w:szCs w:val="20"/>
          <w:color w:val="auto"/>
        </w:rPr>
      </w:pPr>
    </w:p>
    <w:p>
      <w:pPr>
        <w:ind w:left="620" w:hanging="300"/>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current or projected commodity prices, including oil, natural gas, power and mineral prices;</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demand for alternative energy products;</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refining margins;</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demand for oil, natural gas and electricity;</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ability of oil, natural gas, industrial and power companies to generate, access and deploy capital;</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3" w:name="page14"/>
    <w:bookmarkEnd w:id="1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620" w:hanging="300"/>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exploration, production and transportation costs;</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interest rates;</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discovery rate, size and location of new oil and natural gas reserves;</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technological challenges and advances;</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ability to export hydrocarbon products;</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tax incentives, including those for alternative energy projects;</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regulatory restraints on the rates that power companies may charge their customers; and</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local, national and international political and economic conditions.</w:t>
      </w:r>
    </w:p>
    <w:p>
      <w:pPr>
        <w:spacing w:after="0" w:line="172"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i w:val="1"/>
          <w:iCs w:val="1"/>
          <w:color w:val="auto"/>
        </w:rPr>
        <w:t>The volume of storage related projects is influenced by the overall forward market for crude oil, and certain market conditions may adversely affect financial and operating results.</w:t>
      </w:r>
    </w:p>
    <w:p>
      <w:pPr>
        <w:spacing w:after="0" w:line="106" w:lineRule="exact"/>
        <w:rPr>
          <w:sz w:val="20"/>
          <w:szCs w:val="20"/>
          <w:color w:val="auto"/>
        </w:rPr>
      </w:pPr>
    </w:p>
    <w:p>
      <w:pPr>
        <w:jc w:val="both"/>
        <w:spacing w:after="0" w:line="303" w:lineRule="auto"/>
        <w:rPr>
          <w:sz w:val="20"/>
          <w:szCs w:val="20"/>
          <w:color w:val="auto"/>
        </w:rPr>
      </w:pPr>
      <w:r>
        <w:rPr>
          <w:rFonts w:ascii="Arial" w:cs="Arial" w:eastAsia="Arial" w:hAnsi="Arial"/>
          <w:sz w:val="15"/>
          <w:szCs w:val="15"/>
          <w:color w:val="auto"/>
        </w:rPr>
        <w:t>Our results may be influenced by the overall forward market for crude oil. A “contango” market (meaning that the price of crude oil for future delivery is higher than the current price) is associated with greater demand for crude oil storage capacity, because a party can simultaneously purchase crude oil at current prices for storage and sell at higher prices for future delivery. A “backwardated” market (meaning that the price of crude oil for future delivery is lower than the current price) is associated with lower demand for crude oil storage capacity, because a party can capture a premium for prompt delivery of crude oil rather than storing it for future sale. A prolonged backwardated market or other adverse market conditions could have an adverse impact on demand for new storage related construction. Finally, higher absolute levels of crude oil prices increase the costs of financing and insuring crude oil in storage, which negatively affects storage economics. As a result, the overall forward market for crude oil may have an adverse effect on our business, results of operations and financial condition.</w:t>
      </w:r>
    </w:p>
    <w:p>
      <w:pPr>
        <w:spacing w:after="0" w:line="102"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i w:val="1"/>
          <w:iCs w:val="1"/>
          <w:color w:val="auto"/>
        </w:rPr>
        <w:t>The terms of our contracts could expose us to unforeseen costs and costs not within our control, which may not be recoverable and could adversely affect our results of operations and financial condition.</w:t>
      </w:r>
    </w:p>
    <w:p>
      <w:pPr>
        <w:spacing w:after="0" w:line="10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 significant amount of our work is performed under fixed price contracts. Under fixed-price contracts, we agree to perform the contract for a fixed price and, as a result, can improve our expected profit by superior execution, productivity, workplace safety and other factors resulting in cost savings. However, we could incur cost overruns above the approved contract price, which may not be recoverable. Under certain incentive fixed-price contracts, we may agree to share with a customer a portion of any savings we generate while the customer agrees to bear a portion of any increased costs we may incur up to a negotiated ceiling. To the extent costs exceed the negotiated ceiling price, we may be required to absorb some or all of the cost overruns.</w:t>
      </w:r>
    </w:p>
    <w:p>
      <w:pPr>
        <w:spacing w:after="0" w:line="110"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Fixed-price contract prices are established based largely upon estimates and assumptions relating to project scope and specifications, personnel and productivity, material needs, and site conditions. These estimates and assumptions may prove inaccurate, or conditions may change due to factors out of our control, resulting in cost overruns, which we may be required to absorb and which could have a material adverse effect on our business, financial condition and results of operations. In addition, our profits from these contracts could decrease or we could experience losses if we incur difficulties in performing the contracts or are unable to secure fixed-pricing commitments from our manufacturers, suppliers and subcontractors at the time we enter into fixed-price contracts with our customers.</w:t>
      </w:r>
    </w:p>
    <w:p>
      <w:pPr>
        <w:spacing w:after="0" w:line="12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Under cost-plus and time-and-material contracts, we perform our services in return for payment of our agreed upon reimbursable costs plus a profit. The profit component is typically expressed in the contract either as a percentage of the reimbursable costs we actually incur or is factored into the rates we charge for labor or for the cost of equipment and materials, if any, we are required to provide. Our profit could be negatively impacted if our actual costs exceed the estimated costs utilized to establish the billing rates included in the contracts.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incur significant costs in providing services in excess of original project scope without having an approved change order.</w:t>
      </w:r>
    </w:p>
    <w:p>
      <w:pPr>
        <w:spacing w:after="0" w:line="17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After commencement of a contract, we may perform, without the benefit of an approved change order from the customer, additional services requested by the customer that were not contemplated in our contract price for various reasons, including customer changes or incomplete or inaccurate engineering, changes in project specifications and other similar information provided to us by the customer. Our construction contracts generally require the customer to compensate us for additional work or expenses incurred under these circumstances.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4" w:name="page15"/>
    <w:bookmarkEnd w:id="1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A failure to obtain adequate compensation for these matters could require us to record in the current period an adjustment to revenue and profit recognized in prior periods under the percentage-of-completion accounting method. Any such adjustments, if substantial, could have a material adverse effect on our results of operations and financial condition, particularly for the period in which such adjustments are made. We can provide no assurance that we will be successful in obtaining, through negotiation, arbitration, litigation or otherwise, approved change orders in an amount adequate to compensate us for our additional work or expenses.</w:t>
      </w:r>
    </w:p>
    <w:p>
      <w:pPr>
        <w:spacing w:after="0" w:line="127"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i w:val="1"/>
          <w:iCs w:val="1"/>
          <w:color w:val="auto"/>
        </w:rPr>
        <w:t>Domestic and Foreign trade tariffs could raise the price and reduce the availability of raw materials to us, which could negatively impact our operating results and financial condition.</w:t>
      </w:r>
    </w:p>
    <w:p>
      <w:pPr>
        <w:spacing w:after="0" w:line="10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Domestic and foreign trade tariffs could raise the price and reduce the availability of raw materials such as steel plate and steel pipe, which are key materials used by us. Supplies of these materials are available throughout the United States and globally from numerous sources. We anticipate that adequate amounts of these materials will be available in the foreseeable future. However, if trade tariffs should significantly impact the price and availability of these materials, we could experience lower gross margins, operational inefficiencies and project delays.</w:t>
      </w:r>
    </w:p>
    <w:p>
      <w:pPr>
        <w:spacing w:after="0" w:line="124"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i w:val="1"/>
          <w:iCs w:val="1"/>
          <w:color w:val="auto"/>
        </w:rPr>
        <w:t>We are exposed to credit risk from customers. If we experience delays and/or defaults in customer payments, we could suffer liquidity problems or we could be unable to recover amounts owed to us.</w:t>
      </w:r>
    </w:p>
    <w:p>
      <w:pPr>
        <w:spacing w:after="0" w:line="106"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Under the terms of our contracts, at times we commit resources to customer projects prior to receiving payments from customers in amounts sufficient to cover expenditures on these projects as they are incurred. Many of our fixed-price or cost-plus contracts require us to satisfy specified progress milestones or performance standards in order to receive a payment. Under these types of arrangements, we may incur significant costs for labor, equipment and supplies prior to receipt of payment. If the customer fails or refuses to pay us for any reason, there is no assurance we will be able to collect amounts due to us for costs previously incurred. In some cases, we may find it necessary to terminate subcontracts with suppliers engaged by us to assist in performing a contract, and we may incur costs or penalties for canceling our commitments to them. Delays in customer payments require an investment in working capital. If we are unable to collect amounts owed to us under our contracts, we may be required to record a charge against previously recognized earnings related to the project, and our liquidity, financial condition and results of operations could be adversely affected.</w:t>
      </w:r>
    </w:p>
    <w:p>
      <w:pPr>
        <w:spacing w:after="0" w:line="119"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i w:val="1"/>
          <w:iCs w:val="1"/>
          <w:color w:val="auto"/>
        </w:rPr>
        <w:t>Our backlog is subject to unexpected fluctuations, adjustments and cancellations and does not include the full value of our long-term maintenance contracts, and therefore, may not be a reliable indicator of our future earnings.</w:t>
      </w:r>
    </w:p>
    <w:p>
      <w:pPr>
        <w:spacing w:after="0" w:line="10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Backlog may not be a reliable indicator of our future performance. We cannot guarantee that the revenue projected in our backlog will be realized or profitable. Projects may remain in our backlog for an extended period of time. In addition, project cancellations or scope adjustments may occur from time to time with respect to contracts included in our backlog that could reduce the dollar amount of our backlog and the revenue and profits that we actually earn. Many of our contracts have termination rights. Therefore, project adjustments may occur from time to time to contracts in our backlog.</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loss of one or more of our significant customers could adversely affect us.</w:t>
      </w:r>
    </w:p>
    <w:p>
      <w:pPr>
        <w:spacing w:after="0" w:line="172" w:lineRule="exact"/>
        <w:rPr>
          <w:sz w:val="20"/>
          <w:szCs w:val="20"/>
          <w:color w:val="auto"/>
        </w:rPr>
      </w:pPr>
    </w:p>
    <w:p>
      <w:pPr>
        <w:jc w:val="both"/>
        <w:spacing w:after="0" w:line="326" w:lineRule="auto"/>
        <w:rPr>
          <w:sz w:val="20"/>
          <w:szCs w:val="20"/>
          <w:color w:val="auto"/>
        </w:rPr>
      </w:pPr>
      <w:r>
        <w:rPr>
          <w:rFonts w:ascii="Arial" w:cs="Arial" w:eastAsia="Arial" w:hAnsi="Arial"/>
          <w:sz w:val="15"/>
          <w:szCs w:val="15"/>
          <w:color w:val="auto"/>
        </w:rPr>
        <w:t>One or more customers have in the past and may in the future contribute a material portion of our revenue in any one year. Because these significant customers generally contract with us for specific projects or for specific periods of time, we may lose these customers from year to year as the projects or maintenance contracts are completed. The loss of business from any one of these customers could have a material adverse effect on our business or results of operations.</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may be affected by difficult work sites and environments, which may adversely affect our overall business.</w:t>
      </w:r>
    </w:p>
    <w:p>
      <w:pPr>
        <w:spacing w:after="0" w:line="17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perform our work under a variety of conditions, including, but not limited to, difficult terrain, difficult site conditions and busy urban centers where delivery of materials and availability of labor may be impacted. Performing work under these conditions can slow our progress, potentially causing us to incur contractual liability to our customers. These difficult conditions may also cause us to incur additional, unanticipated costs that we might not be able to pass on to our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5" w:name="page16"/>
    <w:bookmarkEnd w:id="1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susceptible to severe weather conditions as a result of climate change or otherwise, which may harm our business and financial results.</w:t>
      </w:r>
    </w:p>
    <w:p>
      <w:pPr>
        <w:spacing w:after="0" w:line="183" w:lineRule="exact"/>
        <w:rPr>
          <w:sz w:val="20"/>
          <w:szCs w:val="20"/>
          <w:color w:val="auto"/>
        </w:rPr>
      </w:pPr>
    </w:p>
    <w:p>
      <w:pPr>
        <w:spacing w:after="0" w:line="289" w:lineRule="auto"/>
        <w:rPr>
          <w:sz w:val="20"/>
          <w:szCs w:val="20"/>
          <w:color w:val="auto"/>
        </w:rPr>
      </w:pPr>
      <w:r>
        <w:rPr>
          <w:rFonts w:ascii="Arial" w:cs="Arial" w:eastAsia="Arial" w:hAnsi="Arial"/>
          <w:sz w:val="17"/>
          <w:szCs w:val="17"/>
          <w:color w:val="auto"/>
        </w:rPr>
        <w:t>Our business may be adversely affected by severe weather in areas where we have significant operations. Repercussions of severe weather conditions may include:</w:t>
      </w:r>
    </w:p>
    <w:p>
      <w:pPr>
        <w:spacing w:after="0" w:line="106" w:lineRule="exact"/>
        <w:rPr>
          <w:sz w:val="20"/>
          <w:szCs w:val="20"/>
          <w:color w:val="auto"/>
        </w:rPr>
      </w:pPr>
    </w:p>
    <w:p>
      <w:pPr>
        <w:ind w:left="620" w:hanging="300"/>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curtailment of services;</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suspension of operations;</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inability to meet performance schedules in accordance with contracts and potential liability for liquidated damages;</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injuries or fatalities;</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weather related damage to our facilities or work-in-progress on project sites;</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disruption of information systems;</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inability to receive machinery, equipment and materials at job sites; and</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loss of productivity.</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The frequency and severity of severe weather conditions may be enhanced by present and future changes to our climate.</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contribute to multiemployer plans that could result in liabilities to us if those plans are terminated or if we withdraw from those plans.</w:t>
      </w:r>
    </w:p>
    <w:p>
      <w:pPr>
        <w:spacing w:after="0" w:line="250" w:lineRule="exact"/>
        <w:rPr>
          <w:sz w:val="20"/>
          <w:szCs w:val="20"/>
          <w:color w:val="auto"/>
        </w:rPr>
      </w:pPr>
    </w:p>
    <w:p>
      <w:pPr>
        <w:jc w:val="both"/>
        <w:spacing w:after="0" w:line="296" w:lineRule="auto"/>
        <w:rPr>
          <w:sz w:val="20"/>
          <w:szCs w:val="20"/>
          <w:color w:val="auto"/>
        </w:rPr>
      </w:pPr>
      <w:r>
        <w:rPr>
          <w:rFonts w:ascii="Arial" w:cs="Arial" w:eastAsia="Arial" w:hAnsi="Arial"/>
          <w:sz w:val="15"/>
          <w:szCs w:val="15"/>
          <w:color w:val="auto"/>
        </w:rPr>
        <w:t>We contribute to several multiemployer pension plans for employees covered by collective bargaining agreements. These plans are not administered by us and contributions are determined in accordance with provisions of negotiated labor contracts. The Employee Retirement Income Security Act of 1974, as amended by the Multiemployer Pension Plan Amendments Act of 1980, imposes certain liabilities upon employers who are contributors to a multiemployer plan in the event of the employer’s withdrawal from, or upon termination of, such plan. In fiscal 2021, we incurred withdrawal liability to one multiemployer plan due to</w:t>
      </w:r>
    </w:p>
    <w:p>
      <w:pPr>
        <w:jc w:val="both"/>
        <w:spacing w:after="0" w:line="283" w:lineRule="auto"/>
        <w:rPr>
          <w:sz w:val="20"/>
          <w:szCs w:val="20"/>
          <w:color w:val="auto"/>
        </w:rPr>
      </w:pPr>
      <w:r>
        <w:rPr>
          <w:rFonts w:ascii="Arial" w:cs="Arial" w:eastAsia="Arial" w:hAnsi="Arial"/>
          <w:sz w:val="16"/>
          <w:szCs w:val="16"/>
          <w:color w:val="auto"/>
        </w:rPr>
        <w:t>our strategic initiative to exit the domestic iron and steel industry</w:t>
      </w:r>
      <w:r>
        <w:rPr>
          <w:rFonts w:ascii="Arial" w:cs="Arial" w:eastAsia="Arial" w:hAnsi="Arial"/>
          <w:sz w:val="18"/>
          <w:szCs w:val="18"/>
          <w:color w:val="auto"/>
        </w:rPr>
        <w:t>.</w:t>
      </w:r>
      <w:r>
        <w:rPr>
          <w:rFonts w:ascii="Arial" w:cs="Arial" w:eastAsia="Arial" w:hAnsi="Arial"/>
          <w:sz w:val="16"/>
          <w:szCs w:val="16"/>
          <w:color w:val="auto"/>
        </w:rPr>
        <w:t xml:space="preserve"> If we terminate, withdraw, or partially withdraw from other multiemployer pension plans, we could be required to make significant cash contributions to fund that plan's unfunded vested benefit, which could materially and adversely affect our financial condition and results of operations; however, we are not currently able to determine the net assets and actuarial present value of the multiemployer pension plans’ unfunded vested benefits allocable to us, if any, and we are not presently aware of the amounts, if any, for which we may be contingently liable if we were to withdraw from any of these plans. In addition, if the funding level of any of these multiemployer plans becomes classified as “critical status” under the Pension Protection Act of 2006, we could be required to make significant additional contributions to those plans.</w:t>
      </w:r>
    </w:p>
    <w:p>
      <w:pPr>
        <w:spacing w:after="0" w:line="194" w:lineRule="exact"/>
        <w:rPr>
          <w:sz w:val="20"/>
          <w:szCs w:val="20"/>
          <w:color w:val="auto"/>
        </w:rPr>
      </w:pPr>
    </w:p>
    <w:p>
      <w:pPr>
        <w:ind w:right="200"/>
        <w:spacing w:after="0" w:line="289" w:lineRule="auto"/>
        <w:rPr>
          <w:sz w:val="20"/>
          <w:szCs w:val="20"/>
          <w:color w:val="auto"/>
        </w:rPr>
      </w:pPr>
      <w:r>
        <w:rPr>
          <w:rFonts w:ascii="Arial" w:cs="Arial" w:eastAsia="Arial" w:hAnsi="Arial"/>
          <w:sz w:val="17"/>
          <w:szCs w:val="17"/>
          <w:b w:val="1"/>
          <w:bCs w:val="1"/>
          <w:i w:val="1"/>
          <w:iCs w:val="1"/>
          <w:color w:val="auto"/>
        </w:rPr>
        <w:t>A failure or outage in our operational systems or cyber security attacks on any of our systems, or those of third parties, may adversely affect our financial results.</w:t>
      </w:r>
    </w:p>
    <w:p>
      <w:pPr>
        <w:spacing w:after="0" w:line="18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have become more reliant on technology to help increase efficiency in our business. We use numerous technologies to help run our operations, and this may subject our business to increased risks. Any cyber security attack that affects our facilities, our systems, our customers and any of our financial data could have a material adverse effect on our business. In addition, a cyber-attack on our customer and employee data may result in a financial loss, including potential fines for failure to safeguard data, and may damage our reputation. Third-party systems on which we rely could also suffer system failure. Any of these occurrences could disrupt our business, result in potential liability or reputational damage or otherwise have an adverse effect on our financial results.</w:t>
      </w:r>
    </w:p>
    <w:p>
      <w:pPr>
        <w:spacing w:after="0" w:line="18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have experienced cybersecurity threats to our information technology infrastructure and have experienced cyber-attacks, attempts to breach our systems and other similar incidents. Such prior events have not had a material impact on our financial condition, results of operations or liquidity. However, future threats could cause harm to our business and our reputation, as well as negatively impact our results of operations materially. Our insurance coverage may not be adequate to cover all the costs related to cyber-attacks or disruptions resulting from such events.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6" w:name="page17"/>
    <w:bookmarkEnd w:id="1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52"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Any security breach resulting in the unauthorized use or disclosure of certain personal information could put individuals at risk of identity theft and financial or other harm and result in costs to us in investigation, remediation, legal defense and in liability to parties who are financially harmed. We may incur significant costs to protect against the threat of information security breaches or to respond to or alleviate problems caused by such breaches. For example, laws may require notification to regulators, clients or employees and enlisting credit monitoring or identity theft protection in the event of a privacy breach. A cybersecurity attack could also be directed at our systems and result in interruptions in our operations or delivery of services to our clients and their customers. Furthermore, a material security breach could cause us to lose revenue, lose clients or cause damage to our reputation.</w:t>
      </w:r>
    </w:p>
    <w:p>
      <w:pPr>
        <w:spacing w:after="0" w:line="193"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To reduce organizational risk from cybersecurity threats, we carry cyber liability insurance and have undertaken several initiatives in recent years. We strengthened our identity and access management capabilities by requiring multi-factor authentication, increased the threat detection efficiencies within our security information and event management capacity, and completed projects designed to reduce our organization's external attack surface. In addition, in the area of security awareness and training, we have updated our foundational curriculum, established mandatory recurring training requirements, and commenced periodic phishing campaign assessments.</w:t>
      </w:r>
    </w:p>
    <w:p>
      <w:pPr>
        <w:spacing w:after="0" w:line="206" w:lineRule="exact"/>
        <w:rPr>
          <w:sz w:val="20"/>
          <w:szCs w:val="20"/>
          <w:color w:val="auto"/>
        </w:rPr>
      </w:pPr>
    </w:p>
    <w:p>
      <w:pPr>
        <w:ind w:right="260"/>
        <w:spacing w:after="0" w:line="298" w:lineRule="auto"/>
        <w:rPr>
          <w:sz w:val="20"/>
          <w:szCs w:val="20"/>
          <w:color w:val="auto"/>
        </w:rPr>
      </w:pPr>
      <w:r>
        <w:rPr>
          <w:rFonts w:ascii="Arial" w:cs="Arial" w:eastAsia="Arial" w:hAnsi="Arial"/>
          <w:sz w:val="16"/>
          <w:szCs w:val="16"/>
          <w:b w:val="1"/>
          <w:bCs w:val="1"/>
          <w:i w:val="1"/>
          <w:iCs w:val="1"/>
          <w:color w:val="auto"/>
        </w:rPr>
        <w:t>We rely on internally and externally developed software applications and systems to support critical functions including project management, estimating, scheduling, human resources, accounting, and financial reporting. Any sudden loss, disruption or unexpected costs to maintain these systems could significantly increase our operational expense as well as disrupt the management of our business operations.</w:t>
      </w:r>
    </w:p>
    <w:p>
      <w:pPr>
        <w:spacing w:after="0" w:line="180" w:lineRule="exact"/>
        <w:rPr>
          <w:sz w:val="20"/>
          <w:szCs w:val="20"/>
          <w:color w:val="auto"/>
        </w:rPr>
      </w:pPr>
    </w:p>
    <w:p>
      <w:pPr>
        <w:ind w:right="80"/>
        <w:spacing w:after="0" w:line="265" w:lineRule="auto"/>
        <w:rPr>
          <w:sz w:val="20"/>
          <w:szCs w:val="20"/>
          <w:color w:val="auto"/>
        </w:rPr>
      </w:pPr>
      <w:r>
        <w:rPr>
          <w:rFonts w:ascii="Arial" w:cs="Arial" w:eastAsia="Arial" w:hAnsi="Arial"/>
          <w:sz w:val="17"/>
          <w:szCs w:val="17"/>
          <w:color w:val="auto"/>
        </w:rPr>
        <w:t>We rely on various software systems to conduct our critical operating and administrative functions. We depend on our software vendors to provide long-term software maintenance support for our information systems. Software vendors may decide to discontinue further development, integration or long-term software maintenance support for our information systems, in which case we may need to abandon one or more of our current information systems and migrate some or all of our project management, human resources, estimating, scheduling, accounting and financial information to other systems, thus increasing our operational expense as well as disrupting the management of our business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Accounting Risks</w:t>
      </w:r>
    </w:p>
    <w:p>
      <w:pPr>
        <w:spacing w:after="0" w:line="230"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i w:val="1"/>
          <w:iCs w:val="1"/>
          <w:color w:val="auto"/>
        </w:rPr>
        <w:t>Our use of percentage-of-completion accounting for fixed-price contracts and our reporting of profits for cost-plus contracts prior to contract completion could result in a reduction or elimination of previously reported profits.</w:t>
      </w:r>
    </w:p>
    <w:p>
      <w:pPr>
        <w:spacing w:after="0" w:line="10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Our revenue are recognized using the percentage-of-completion method of accounting. Under percentage-of-completion accounting, contract revenue and earnings are recognized ratably over the contract term based on the proportion of actual costs incurred to total estimated costs. In addition, some contracts contain penalty provisions for failure to achieve certain milestones, schedules or performance standards. We review our estimates of contract revenue, costs and profitability on a monthly basis. As a result, we may adjust our estimates on one or more occasions as a result of changes in cost estimates, change orders to the original contract, or claims against the customer for increased costs incurred by us due to customer-induced delays and other factors.</w:t>
      </w:r>
    </w:p>
    <w:p>
      <w:pPr>
        <w:spacing w:after="0" w:line="110"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If estimates of costs to complete fixed price contracts indicate a loss, a provision is made through a contract write-down for the total loss anticipated in the period the loss is determined. Contract profit estimates are also adjusted, on a percentage of completion basis, in the fiscal period in which it is determined that an adjustment is required. No restatements are made to prior periods. Further, many of our contracts contain various cost and performance incentives and penalties that impact the earnings we realize from our contracts, and adjustments related to these incentives and penalties are recorded on a percentage of completion basis in the period when estimable and probable.</w:t>
      </w:r>
    </w:p>
    <w:p>
      <w:pPr>
        <w:spacing w:after="0" w:line="127"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As a result of the requirements of the percentage-of-completion method of accounting, the possibility exists that we could have estimated and reported a profit on a contract over several prior periods and later determine, as a result of additional information, that all or a portion of such previously estimated and reported profits were overstated. If this occurs, the full aggregate amount of the overstatement will be reported for the period in which such change in estimate occurs.</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Actual results could differ from the estimates and assumptions that we use to prepare our financial statements.</w:t>
      </w:r>
    </w:p>
    <w:p>
      <w:pPr>
        <w:spacing w:after="0" w:line="17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To prepare financial statements in conformity with generally accepted accounting principles, management is required to make estimates and assumptions, as of the date of the financial statements, which affect the reported values of assets, liabilities, revenue and expenses and disclosures of contingent assets and liabilities. Areas requiring significant estimation by our management include:</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7" w:name="page18"/>
    <w:bookmarkEnd w:id="1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620" w:hanging="300"/>
        <w:spacing w:after="0"/>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contract costs and application of percentage-of-completion accounting;</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provisions for uncollectible receivables from customers for invoiced amounts;</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amount and collectibility of unpriced change orders and claims against customers;</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provisions for income taxes and related valuation allowances;</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recoverability of goodwill and intangible assets;</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valuation of assets acquired and liabilities assumed in connection with business combinations; and</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accruals for estimated liabilities, including litigation and insurance reserves.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Our actual results could materially differ from these estimates.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Earnings for future periods may be affected by impairment charges.</w:t>
      </w:r>
    </w:p>
    <w:p>
      <w:pPr>
        <w:spacing w:after="0" w:line="17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Because we have grown in part through acquisitions, goodwill and other acquired intangible assets represent a substantial portion of our assets. We perform annual goodwill impairment reviews in the fourth quarter of every fiscal year. In addition, we perform an impairment review whenever events or changes in circumstances indicate the carrying value of goodwill or an intangible or fixed asset may not be recoverable. As of June 30, 2021, we had $6.6 million of amortizing intangible assets and $60.6 million of non-amortizing goodwill representing 1.4% and 13.0% of our total assets, respectively.</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Legal, Insurance, Regulatory and Compliance Risks</w:t>
      </w:r>
    </w:p>
    <w:p>
      <w:pPr>
        <w:spacing w:after="0" w:line="178"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i w:val="1"/>
          <w:iCs w:val="1"/>
          <w:color w:val="auto"/>
        </w:rPr>
        <w:t>We are involved, and are likely to continue to be involved in legal proceedings, which will increase our costs and, if adversely determined, could have a material effect on our financial condition, results of operations, cash flows and liquidity.</w:t>
      </w:r>
    </w:p>
    <w:p>
      <w:pPr>
        <w:spacing w:after="0" w:line="106"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We are currently a defendant in legal proceedings arising from the operation of our business, and it is reasonable to expect that we would be named in future actions. Many of the actions against us arise out of the normal course of performing services on project sites, and include workers’ compensation claims, personal injury claims and contract disputes with our customers. From time to time, we are also named as a defendant for actions involving the violation of federal and state labor laws related to employment practices, wages and benefits. We may also be a plaintiff in legal proceedings against customers seeking to recover payment of contractual amounts due to us as well as claims for increased costs incurred by us resulting from, among other things, services performed by us at the request of a customer that are in excess of original project scope that are later disputed by the customer and customer-caused delays in our contract performance.</w:t>
      </w:r>
    </w:p>
    <w:p>
      <w:pPr>
        <w:spacing w:after="0" w:line="13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maintain insurance against operating hazards in amounts that we believe are customary in our industry. However, our insurance policies include deductibles and certain coverage exclusions, so we cannot provide assurance that we are adequately insured against all of the risks associated with the conduct of our business. A successful claim brought against us in excess of, or outside of, our insurance coverage could have a material adverse effect on our financial condition, results of operations, cash flows and liquidity.</w:t>
      </w:r>
    </w:p>
    <w:p>
      <w:pPr>
        <w:spacing w:after="0" w:line="12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Litigation, regardless of its outcome, is expensive, typically diverts the efforts of our management away from operations for varying periods of time, and can disrupt or otherwise adversely impact our relationships with current or potential customers, subcontractors and suppliers. Payment and claim disputes with customers may also cause us to incur increased interest costs resulting from incurring indebtedness under our revolving line of credit or receiving less interest income resulting from fewer funds invested due to the failure to receive payment for disputed claims and accounts.</w:t>
      </w:r>
    </w:p>
    <w:p>
      <w:pPr>
        <w:spacing w:after="0" w:line="124" w:lineRule="exact"/>
        <w:rPr>
          <w:sz w:val="20"/>
          <w:szCs w:val="20"/>
          <w:color w:val="auto"/>
        </w:rPr>
      </w:pPr>
    </w:p>
    <w:p>
      <w:pPr>
        <w:jc w:val="both"/>
        <w:spacing w:after="0" w:line="322" w:lineRule="auto"/>
        <w:rPr>
          <w:sz w:val="20"/>
          <w:szCs w:val="20"/>
          <w:color w:val="auto"/>
        </w:rPr>
      </w:pPr>
      <w:r>
        <w:rPr>
          <w:rFonts w:ascii="Arial" w:cs="Arial" w:eastAsia="Arial" w:hAnsi="Arial"/>
          <w:sz w:val="16"/>
          <w:szCs w:val="16"/>
          <w:b w:val="1"/>
          <w:bCs w:val="1"/>
          <w:i w:val="1"/>
          <w:iCs w:val="1"/>
          <w:color w:val="auto"/>
        </w:rPr>
        <w:t>Our projects expose us to potential professional liability, product liability, pollution liability, warranty and other claims, which could be expensive, damage our reputation and harm our business. We may not be able to obtain or maintain adequate insurance to cover these claims.</w:t>
      </w:r>
    </w:p>
    <w:p>
      <w:pPr>
        <w:spacing w:after="0" w:line="83"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We perform construction and maintenance services at large industrial facilities where accidents or system failures can be disastrous and costly. Any catastrophic occurrence in excess of our insurance limits at locations engineered or constructed by us or where our products are installed or services performed could result in significant professional liability, product liability, warranty and other claims against us by our customers, including claims for cost overruns and the failure of the project to meet contractually specified milestones or performance standards. Further, the rendering of our services on these projects could expose us to risks and claims by third parties and governmental agencies for personal injuries, property damage and environmental matters, among others. Any claim, regardless of its merit or eventual outcome, could result in substantial costs, divert management’s attention and create negative publicity, particularly for claims relating to environmental matters where the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8" w:name="page19"/>
    <w:bookmarkEnd w:id="1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amount of the claim could be extremely large. We may not be able to or may choose not to obtain or maintain insurance coverage for the types of claims described above. If we are unable to obtain insurance at an acceptable cost or otherwise protect against the claims described above, we will be exposed to significant liabilities, which may materially and adversely affect our financial condition and results of operations.</w:t>
      </w:r>
    </w:p>
    <w:p>
      <w:pPr>
        <w:spacing w:after="0" w:line="120"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i w:val="1"/>
          <w:iCs w:val="1"/>
          <w:color w:val="auto"/>
        </w:rPr>
        <w:t>Employee, subcontractor or partner misconduct or our overall failure to comply with laws or regulations could harm our reputation, damage our relationships with customers, reduce our revenue and profits, and subject us to criminal and civil enforcement actions.</w:t>
      </w:r>
    </w:p>
    <w:p>
      <w:pPr>
        <w:spacing w:after="0" w:line="10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Misconduct, fraud, non-compliance with applicable laws and regulations, or other improper activities by one of our employees, subcontractors or partners could have a significant negative impact on our business and reputation. Such misconduct could include the failure to comply with safety standards, laws and regulations, customer requirements, regulations pertaining to the internal controls over financial reporting, environmental laws and any other applicable laws or regulations. The precautions we take to prevent and detect these activities may not be effective, since our internal controls are subject to inherent limitations, including human error, the possibility that controls could be circumvented or become inadequate because of changed conditions, and fraud.</w:t>
      </w:r>
    </w:p>
    <w:p>
      <w:pPr>
        <w:spacing w:after="0" w:line="110"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Our failure to comply with applicable laws or regulations or acts of misconduct could subject us to fines and penalties, harm our reputation, damage our relationships with customers, reduce our revenue and profits and subject us to criminal and civil enforcement actions.</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Environmental factors and changes in laws and regulations could increase our costs and liabilities.</w:t>
      </w:r>
    </w:p>
    <w:p>
      <w:pPr>
        <w:spacing w:after="0" w:line="172"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Our operations are subject to environmental laws and regulations, including those concerning emissions into the air; discharges into waterways; generation, storage, handling, treatment and disposal of hazardous material and wastes; and health and safety.</w:t>
      </w:r>
    </w:p>
    <w:p>
      <w:pPr>
        <w:spacing w:after="0" w:line="106"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Our projects often involve highly regulated materials, including hazardous wastes. Environmental laws and regulations generally impose limitations and standards for regulated materials and require us to obtain permits and comply with various other requirements. The improper characterization, handling, or disposal of regulated materials or any other failure by us to comply with federal, state and local environmental laws and regulations or associated environmental permits could subject us to the assessment of administrative, civil and criminal penalties, the imposition of investigatory or remedial obligations, or the issuance of injunctions that could restrict or prevent our ability to operate our business and complete contracted projects.</w:t>
      </w:r>
    </w:p>
    <w:p>
      <w:pPr>
        <w:spacing w:after="0" w:line="127"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In addition, under the Comprehensive Environmental Response, Compensation and Liability Act of 1980 (“CERCLA”), and comparable state and foreign laws, we may be required to investigate and remediate regulated materials. CERCLA and the comparable state laws typically impose liability without regard to whether a company knew of or caused the release, and liability for the entire cost of clean-up can be imposed upon any responsible party.</w:t>
      </w:r>
    </w:p>
    <w:p>
      <w:pPr>
        <w:spacing w:after="0" w:line="101"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We are subject to numerous other laws and regulations including those related to business registrations and licenses, environment, workplace, employment, health and safety. These laws and regulations are complex, change frequently and could become more stringent in the future. It is impossible to predict the effect on us of any future changes to these laws and regulations. We can provide no absolute assurance that our operations will continue to comply with future laws and regulations or that the costs to comply with these laws and regulations and/or a failure to comply with these laws will not significantly adversely affect our business, financial condition and results of operations.</w:t>
      </w:r>
    </w:p>
    <w:p>
      <w:pPr>
        <w:spacing w:after="0" w:line="12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Climate change legislation or regulations restricting emissions of “greenhouse gases” could result in reduced demand for our services and products.</w:t>
      </w:r>
    </w:p>
    <w:p>
      <w:pPr>
        <w:spacing w:after="0" w:line="195"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There has been an increased focus in the last several years on climate change in response to findings that emissions of carbon dioxide, methane and other greenhouse gases present an endangerment to public health and the environment. As a result, there have been a variety of regulatory developments, proposals or requirements and legislative initiatives as well as pressure from institutional investors to restrict the emission of greenhouse gases. The growing imperative on customers for whom we provide services to limit greenhouse gas emissions could affect demand for our products and services. Further, scientists have concluded that increasing greenhouse gas concentrations in the atmosphere may produce physical effects, such as increased severity and frequency of storms, droughts, floods and other climate events. Such climate events have the potential to adversely affect our operations or those of our customers, which in turn could have a negative effect on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9" w:name="page20"/>
    <w:bookmarkEnd w:id="1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could be adversely affected by violations of the U.S. Foreign Corrupt Practices Act and similar worldwide anti-bribery laws.</w:t>
      </w:r>
    </w:p>
    <w:p>
      <w:pPr>
        <w:spacing w:after="0" w:line="172"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The U.S. Foreign Corrupt Practices Act and similar anti-bribery laws in other jurisdictions generally prohibit companies and their intermediaries from making improper payments to officials or others for the purpose of obtaining or retaining business. Our policies mandate compliance with these anti-bribery laws. We operate in parts of the world that have experienced corruption to some degree and, in certain circumstances, strict compliance with anti-bribery laws may conflict with local customs and practices. We train our personnel concerning anti-bribery laws and issues, and we also inform our customers, vendors, and others who work for us or on our behalf that they must comply with anti-bribery law requirements. We also have procedures and controls in place to monitor compliance. We cannot assure that our internal controls and procedures always will protect us from the possible reckless or criminal acts committed by our employees or agents. If we are found to be liable for anti-bribery law violations (either due to our own acts or our inadvertence, or due to the acts or inadvertence of others including our partners, agents, subcontractors or suppliers), we could suffer from criminal or civil penalties or other sanctions, including contract cancellations or debarment, and loss of reputation, any of which could have a material adverse effect on our business. Litigation or investigations relating to alleged or suspected violations of anti-bribery laws, even if ultimately such litigation or investigations demonstrate that we did not violate anti-bribery laws, could be costly and could divert management's attention away from other aspects of our business.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Economic, political and other risks associated with international operations could adversely affect our business.</w:t>
      </w:r>
    </w:p>
    <w:p>
      <w:pPr>
        <w:spacing w:after="0" w:line="17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 portion of our operations are conducted outside the United States, and accordingly, our business is subject to risks associated with doing business internationally, including changes in foreign currency exchange rates, instability in political or economic conditions, difficulty in repatriating cash proceeds, differing employee relations, differing regulatory environments, trade protection measures, and difficulty in administering and enforcing corporate policies which may be different than the normal business practices of local cultures.</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General Risk Factors</w:t>
      </w:r>
    </w:p>
    <w:p>
      <w:pPr>
        <w:spacing w:after="0" w:line="178"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i w:val="1"/>
          <w:iCs w:val="1"/>
          <w:color w:val="auto"/>
        </w:rPr>
        <w:t>Acquisitions may result in significant transaction expenses, and unidentified liabilities and risks associated with entering new markets. We may also be unable to profitably integrate and operate these businesses.</w:t>
      </w:r>
    </w:p>
    <w:p>
      <w:pPr>
        <w:spacing w:after="0" w:line="10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Any future acquisitions may result in significant transaction expenses, unexpected liabilities and other risks in addition to the integration and consolidation risks. If we make any future acquisitions, we will likely assume liabilities of the acquired business or have exposure to contingent liabilities that may not be adequately covered by insurance or indemnification, if any, from the former owners of the acquired business. These potential liabilities could have a material adverse effect on our business.</w:t>
      </w:r>
    </w:p>
    <w:p>
      <w:pPr>
        <w:spacing w:after="0" w:line="124"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We may also not be able to successfully complete our ongoing integration of the operations, personnel and technology from our acquisitions. Because of their size and complexity, if we fail to complete our integration efforts successfully, we may experience interruptions in our business activities, a decrease in the quality of our services, a deterioration in our employee and customer relationships, and harm to our reputation, all of which could have a material adverse effect on our business, financial condition and results of operations. Our integration activities have required significant attention from management, which potentially decreases the time that management may devote to serve existing customers, attract new customers and develop new services and strategies. We may also experience difficulties in combining corporate cultures, maintaining employee morale and retaining key employees. The integration efforts may also impose substantial demands on our operations or other projects. We will have to actively strive to demonstrate to our existing customers that these integrations have not resulted in adverse changes in our standards or business focus. Our acquisitions have involved a significant capital commitment, and the return that we achieve on any capital invested may be less than the return achieved on our other projects or investments. There will be challenges in consolidating and rationalizing information technology platforms and administrative infrastructures. In addition, any delays or increased costs of integrating acquired companies could adversely affect our operations, financial results and liquidity.</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realize the growth opportunities, operating margins and synergies that are anticipated from acquisitions.</w:t>
      </w:r>
    </w:p>
    <w:p>
      <w:pPr>
        <w:spacing w:after="0" w:line="17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benefits we expect to achieve as a result of an acquisition will depend, in part, on our ability to realize the anticipated growth opportunities, operating margins and synergies. Our success in realizing these growth opportunities, operating margins and synergies, and the timing of this realization, depends on the successful integration of the acquired business and operations with our existing business and operations. Even if we are able to integrate existing and acquired businesses successfully, this integration may not result in the realization of the full benefits of the growth opportunities, operating margins and synergies we currently expect within the anticipated time frame or at all. Accordingly, the benefits from an acquisition may be offset by</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0" w:name="page21"/>
    <w:bookmarkEnd w:id="2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color w:val="auto"/>
        </w:rPr>
        <w:t>costs incurred or delays in integrating the companies, which could cause our revenue assumptions and operating margin to be inaccurate.</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face substantial competition in each of our business segments, which may have a material adverse effect on our business.</w:t>
      </w:r>
    </w:p>
    <w:p>
      <w:pPr>
        <w:spacing w:after="0" w:line="172"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We face competition in all areas of our business from regional, national and international competitors. Our competitors range from small, family-owned businesses to well-established, well-financed entities, both privately and publicly held, including many large engineering and construction companies and specialty contractors. We compete primarily on the basis of price, customer satisfaction, safety performance and programs, quality of our products and services, and schedule. As a result, an increase in the level of competition in one or more markets may result in lower operating margins than we have recently experienced.</w:t>
      </w:r>
    </w:p>
    <w:p>
      <w:pPr>
        <w:spacing w:after="0" w:line="127" w:lineRule="exact"/>
        <w:rPr>
          <w:sz w:val="20"/>
          <w:szCs w:val="20"/>
          <w:color w:val="auto"/>
        </w:rPr>
      </w:pPr>
    </w:p>
    <w:p>
      <w:pPr>
        <w:jc w:val="both"/>
        <w:spacing w:after="0" w:line="360" w:lineRule="auto"/>
        <w:rPr>
          <w:sz w:val="20"/>
          <w:szCs w:val="20"/>
          <w:color w:val="auto"/>
        </w:rPr>
      </w:pPr>
      <w:r>
        <w:rPr>
          <w:rFonts w:ascii="Arial" w:cs="Arial" w:eastAsia="Arial" w:hAnsi="Arial"/>
          <w:sz w:val="15"/>
          <w:szCs w:val="15"/>
          <w:b w:val="1"/>
          <w:bCs w:val="1"/>
          <w:i w:val="1"/>
          <w:iCs w:val="1"/>
          <w:color w:val="auto"/>
        </w:rPr>
        <w:t>Our common stock, which is listed on the NASDAQ Global Select Market, has experienced significant price and volume fluctuations. These fluctuations could continue in the future, and our stockholders may not be able to resell their shares of common stock at or above the purchase price paid.</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color w:val="auto"/>
        </w:rPr>
        <w:t>The market price of our common stock may change significantly in response to various factors and events beyond our control, including the following:</w:t>
      </w:r>
    </w:p>
    <w:p>
      <w:pPr>
        <w:spacing w:after="0" w:line="172" w:lineRule="exact"/>
        <w:rPr>
          <w:sz w:val="20"/>
          <w:szCs w:val="20"/>
          <w:color w:val="auto"/>
        </w:rPr>
      </w:pPr>
    </w:p>
    <w:p>
      <w:pPr>
        <w:ind w:left="620" w:hanging="300"/>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risk factors described in this Item 1A;</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general conditions in our customers’ industries;</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general conditions in the security markets;</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significant concentration of ownership of our common stock in the hands of a small number of institutional investors;</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 shortfall in operating revenue or net income from that expected by securities analysts and investors; and</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changes in securities analysts’ estimates of our financial performance or the financial performance of our competitors or companies in our industry.</w:t>
      </w:r>
    </w:p>
    <w:p>
      <w:pPr>
        <w:spacing w:after="0" w:line="183"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Some companies that have volatile market prices for their securities have been subject to security class action suits filed against them. If a suit were to be filed against us, regardless of the outcome, it could result in substantial costs and a diversion of our management’s attention and resources. This could have a material adverse effect on our business, results of operations and financial condition.</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Future sales of our common stock may depress our stock price.</w:t>
      </w:r>
    </w:p>
    <w:p>
      <w:pPr>
        <w:spacing w:after="0" w:line="17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Sales of a substantial number of shares of our common stock in the public market or otherwise, either by us, a member of management or a major stockholder, or the perception that these sales could occur, could depress the market price of our common stock and impair our ability to raise capital through the sale of additional equity securities.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issue additional equity securities, which could lead to dilution of our issued and outstanding stock.</w:t>
      </w:r>
    </w:p>
    <w:p>
      <w:pPr>
        <w:spacing w:after="0" w:line="172"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The issuance of additional common stock, restricted stock units or securities convertible into our common stock could result in dilution of the ownership interest held by existing stockholders. We are authorized to issue, without stockholder approval 5,000,000 shares of preferred stock, par value $0.01 per share, in one or more series, which may give other stockholders dividend, conversion, voting, and liquidation rights, among other rights, which may be superior to the rights of holders of our common stock. In addition, we are authorized to issue, without stockholder approval, a significant number of additional shares of our common stock and securities convertible into either common stock or preferred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1" w:name="page22"/>
    <w:bookmarkEnd w:id="2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Shareholder activists could cause a disruption to our business.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auto"/>
        </w:rPr>
        <w:t>An activist investor may indicate disagreement with our strategic direction or capital allocation policies and may seek representation on our Board of Directors.</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Our business, operating results or financial condition could be adversely affected and may result in, among other things:</w:t>
      </w:r>
    </w:p>
    <w:p>
      <w:pPr>
        <w:spacing w:after="0" w:line="238" w:lineRule="exact"/>
        <w:rPr>
          <w:sz w:val="20"/>
          <w:szCs w:val="20"/>
          <w:color w:val="auto"/>
        </w:rPr>
      </w:pPr>
    </w:p>
    <w:p>
      <w:pPr>
        <w:ind w:left="640" w:hanging="320"/>
        <w:spacing w:after="0" w:line="289" w:lineRule="auto"/>
        <w:tabs>
          <w:tab w:leader="none" w:pos="635"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increased operating costs, including increased legal expenses, insurance, administrative expenses and associated costs incurred in connection with director election contests;</w:t>
      </w:r>
    </w:p>
    <w:p>
      <w:pPr>
        <w:spacing w:after="0" w:line="93" w:lineRule="exact"/>
        <w:rPr>
          <w:rFonts w:ascii="Arial" w:cs="Arial" w:eastAsia="Arial" w:hAnsi="Arial"/>
          <w:sz w:val="17"/>
          <w:szCs w:val="17"/>
          <w:color w:val="auto"/>
        </w:rPr>
      </w:pPr>
    </w:p>
    <w:p>
      <w:pPr>
        <w:ind w:left="640" w:hanging="320"/>
        <w:spacing w:after="0" w:line="289" w:lineRule="auto"/>
        <w:tabs>
          <w:tab w:leader="none" w:pos="635" w:val="left"/>
        </w:tabs>
        <w:numPr>
          <w:ilvl w:val="0"/>
          <w:numId w:val="16"/>
        </w:numPr>
        <w:rPr>
          <w:rFonts w:ascii="Arial" w:cs="Arial" w:eastAsia="Arial" w:hAnsi="Arial"/>
          <w:sz w:val="17"/>
          <w:szCs w:val="17"/>
          <w:color w:val="auto"/>
        </w:rPr>
      </w:pPr>
      <w:r>
        <w:rPr>
          <w:rFonts w:ascii="Arial" w:cs="Arial" w:eastAsia="Arial" w:hAnsi="Arial"/>
          <w:sz w:val="17"/>
          <w:szCs w:val="17"/>
          <w:color w:val="auto"/>
        </w:rPr>
        <w:t>uncertainties as to our future direction, which could result in the loss of potential business opportunities and could make it more difficult to attract, retain, or motivate qualified personnel, and strain relationships with investors and customers; and</w:t>
      </w:r>
    </w:p>
    <w:p>
      <w:pPr>
        <w:spacing w:after="0" w:line="79" w:lineRule="exact"/>
        <w:rPr>
          <w:rFonts w:ascii="Arial" w:cs="Arial" w:eastAsia="Arial" w:hAnsi="Arial"/>
          <w:sz w:val="17"/>
          <w:szCs w:val="17"/>
          <w:color w:val="auto"/>
        </w:rPr>
      </w:pPr>
    </w:p>
    <w:p>
      <w:pPr>
        <w:ind w:left="620" w:hanging="300"/>
        <w:spacing w:after="0"/>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reduction or delay in our ability to effectively execute our current business strategy and to implement new strategies.</w:t>
      </w: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1B. Unresolved Staff Comments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2" w:name="page23"/>
    <w:bookmarkEnd w:id="2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Properties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color w:val="auto"/>
        </w:rPr>
        <w:t>Our principal properties are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380" w:type="dxa"/>
            <w:vAlign w:val="bottom"/>
            <w:gridSpan w:val="2"/>
          </w:tcPr>
          <w:p>
            <w:pPr>
              <w:ind w:left="20"/>
              <w:spacing w:after="0"/>
              <w:rPr>
                <w:sz w:val="20"/>
                <w:szCs w:val="20"/>
                <w:color w:val="auto"/>
              </w:rPr>
            </w:pPr>
            <w:r>
              <w:rPr>
                <w:rFonts w:ascii="Arial" w:cs="Arial" w:eastAsia="Arial" w:hAnsi="Arial"/>
                <w:sz w:val="14"/>
                <w:szCs w:val="14"/>
                <w:b w:val="1"/>
                <w:bCs w:val="1"/>
                <w:color w:val="auto"/>
              </w:rPr>
              <w:t>Location</w:t>
            </w:r>
          </w:p>
        </w:tc>
        <w:tc>
          <w:tcPr>
            <w:tcW w:w="3320" w:type="dxa"/>
            <w:vAlign w:val="bottom"/>
            <w:gridSpan w:val="2"/>
          </w:tcPr>
          <w:p>
            <w:pPr>
              <w:ind w:left="800"/>
              <w:spacing w:after="0"/>
              <w:rPr>
                <w:sz w:val="20"/>
                <w:szCs w:val="20"/>
                <w:color w:val="auto"/>
              </w:rPr>
            </w:pPr>
            <w:r>
              <w:rPr>
                <w:rFonts w:ascii="Arial" w:cs="Arial" w:eastAsia="Arial" w:hAnsi="Arial"/>
                <w:sz w:val="14"/>
                <w:szCs w:val="14"/>
                <w:b w:val="1"/>
                <w:bCs w:val="1"/>
                <w:color w:val="auto"/>
              </w:rPr>
              <w:t>Description of Facility</w:t>
            </w:r>
          </w:p>
        </w:tc>
        <w:tc>
          <w:tcPr>
            <w:tcW w:w="2620" w:type="dxa"/>
            <w:vAlign w:val="bottom"/>
            <w:gridSpan w:val="2"/>
          </w:tcPr>
          <w:p>
            <w:pPr>
              <w:ind w:left="860"/>
              <w:spacing w:after="0"/>
              <w:rPr>
                <w:sz w:val="20"/>
                <w:szCs w:val="20"/>
                <w:color w:val="auto"/>
              </w:rPr>
            </w:pPr>
            <w:r>
              <w:rPr>
                <w:rFonts w:ascii="Arial" w:cs="Arial" w:eastAsia="Arial" w:hAnsi="Arial"/>
                <w:sz w:val="14"/>
                <w:szCs w:val="14"/>
                <w:b w:val="1"/>
                <w:bCs w:val="1"/>
                <w:color w:val="auto"/>
              </w:rPr>
              <w:t>Segment</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4"/>
              </w:rPr>
              <w:t>Interest</w:t>
            </w:r>
          </w:p>
        </w:tc>
      </w:tr>
      <w:tr>
        <w:trPr>
          <w:trHeight w:val="205"/>
        </w:trPr>
        <w:tc>
          <w:tcPr>
            <w:tcW w:w="310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United States:</w:t>
            </w:r>
          </w:p>
        </w:tc>
        <w:tc>
          <w:tcPr>
            <w:tcW w:w="280" w:type="dxa"/>
            <w:vAlign w:val="bottom"/>
          </w:tcPr>
          <w:p>
            <w:pPr>
              <w:spacing w:after="0"/>
              <w:rPr>
                <w:sz w:val="17"/>
                <w:szCs w:val="17"/>
                <w:color w:val="auto"/>
              </w:rPr>
            </w:pPr>
          </w:p>
        </w:tc>
        <w:tc>
          <w:tcPr>
            <w:tcW w:w="2920" w:type="dxa"/>
            <w:vAlign w:val="bottom"/>
            <w:tcBorders>
              <w:top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2220" w:type="dxa"/>
            <w:vAlign w:val="bottom"/>
            <w:tcBorders>
              <w:top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r>
      <w:tr>
        <w:trPr>
          <w:trHeight w:val="213"/>
        </w:trPr>
        <w:tc>
          <w:tcPr>
            <w:tcW w:w="33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Tulsa, Oklahoma</w:t>
            </w:r>
          </w:p>
        </w:tc>
        <w:tc>
          <w:tcPr>
            <w:tcW w:w="33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Corporate headquarters and regional office</w:t>
            </w:r>
          </w:p>
        </w:tc>
        <w:tc>
          <w:tcPr>
            <w:tcW w:w="2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All segments</w:t>
            </w:r>
          </w:p>
        </w:tc>
        <w:tc>
          <w:tcPr>
            <w:tcW w:w="1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3"/>
              </w:rPr>
              <w:t>Leased</w:t>
            </w:r>
          </w:p>
        </w:tc>
      </w:tr>
      <w:tr>
        <w:trPr>
          <w:trHeight w:val="161"/>
        </w:trPr>
        <w:tc>
          <w:tcPr>
            <w:tcW w:w="3380" w:type="dxa"/>
            <w:vAlign w:val="bottom"/>
            <w:gridSpan w:val="2"/>
          </w:tcPr>
          <w:p>
            <w:pPr>
              <w:ind w:left="20"/>
              <w:spacing w:after="0" w:line="161" w:lineRule="exact"/>
              <w:rPr>
                <w:sz w:val="20"/>
                <w:szCs w:val="20"/>
                <w:color w:val="auto"/>
              </w:rPr>
            </w:pPr>
            <w:r>
              <w:rPr>
                <w:rFonts w:ascii="Arial" w:cs="Arial" w:eastAsia="Arial" w:hAnsi="Arial"/>
                <w:sz w:val="16"/>
                <w:szCs w:val="16"/>
                <w:color w:val="auto"/>
              </w:rPr>
              <w:t>Bellingham, Washington</w:t>
            </w:r>
          </w:p>
        </w:tc>
        <w:tc>
          <w:tcPr>
            <w:tcW w:w="3320" w:type="dxa"/>
            <w:vAlign w:val="bottom"/>
            <w:gridSpan w:val="2"/>
          </w:tcPr>
          <w:p>
            <w:pPr>
              <w:ind w:left="20"/>
              <w:spacing w:after="0" w:line="161" w:lineRule="exact"/>
              <w:rPr>
                <w:sz w:val="20"/>
                <w:szCs w:val="20"/>
                <w:color w:val="auto"/>
              </w:rPr>
            </w:pPr>
            <w:r>
              <w:rPr>
                <w:rFonts w:ascii="Arial" w:cs="Arial" w:eastAsia="Arial" w:hAnsi="Arial"/>
                <w:sz w:val="16"/>
                <w:szCs w:val="16"/>
                <w:color w:val="auto"/>
              </w:rPr>
              <w:t>Regional office, fabrication facility and</w:t>
            </w:r>
          </w:p>
        </w:tc>
        <w:tc>
          <w:tcPr>
            <w:tcW w:w="2620" w:type="dxa"/>
            <w:vAlign w:val="bottom"/>
            <w:gridSpan w:val="2"/>
          </w:tcPr>
          <w:p>
            <w:pPr>
              <w:ind w:left="20"/>
              <w:spacing w:after="0" w:line="161" w:lineRule="exact"/>
              <w:rPr>
                <w:sz w:val="20"/>
                <w:szCs w:val="20"/>
                <w:color w:val="auto"/>
              </w:rPr>
            </w:pPr>
            <w:r>
              <w:rPr>
                <w:rFonts w:ascii="Arial" w:cs="Arial" w:eastAsia="Arial" w:hAnsi="Arial"/>
                <w:sz w:val="16"/>
                <w:szCs w:val="16"/>
                <w:color w:val="auto"/>
              </w:rPr>
              <w:t>Process and Industrial Facilities,</w:t>
            </w:r>
          </w:p>
        </w:tc>
        <w:tc>
          <w:tcPr>
            <w:tcW w:w="1180" w:type="dxa"/>
            <w:vAlign w:val="bottom"/>
          </w:tcPr>
          <w:p>
            <w:pPr>
              <w:jc w:val="center"/>
              <w:spacing w:after="0" w:line="161" w:lineRule="exact"/>
              <w:rPr>
                <w:sz w:val="20"/>
                <w:szCs w:val="20"/>
                <w:color w:val="auto"/>
              </w:rPr>
            </w:pPr>
            <w:r>
              <w:rPr>
                <w:rFonts w:ascii="Arial" w:cs="Arial" w:eastAsia="Arial" w:hAnsi="Arial"/>
                <w:sz w:val="16"/>
                <w:szCs w:val="16"/>
                <w:color w:val="auto"/>
                <w:w w:val="86"/>
              </w:rPr>
              <w:t>Owned</w:t>
            </w:r>
          </w:p>
        </w:tc>
      </w:tr>
      <w:tr>
        <w:trPr>
          <w:trHeight w:val="203"/>
        </w:trPr>
        <w:tc>
          <w:tcPr>
            <w:tcW w:w="3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320" w:type="dxa"/>
            <w:vAlign w:val="bottom"/>
            <w:gridSpan w:val="2"/>
          </w:tcPr>
          <w:p>
            <w:pPr>
              <w:ind w:left="20"/>
              <w:spacing w:after="0"/>
              <w:rPr>
                <w:sz w:val="20"/>
                <w:szCs w:val="20"/>
                <w:color w:val="auto"/>
              </w:rPr>
            </w:pPr>
            <w:r>
              <w:rPr>
                <w:rFonts w:ascii="Arial" w:cs="Arial" w:eastAsia="Arial" w:hAnsi="Arial"/>
                <w:sz w:val="16"/>
                <w:szCs w:val="16"/>
                <w:color w:val="auto"/>
              </w:rPr>
              <w:t>warehouse</w:t>
            </w:r>
          </w:p>
        </w:tc>
        <w:tc>
          <w:tcPr>
            <w:tcW w:w="2620" w:type="dxa"/>
            <w:vAlign w:val="bottom"/>
            <w:gridSpan w:val="2"/>
          </w:tcPr>
          <w:p>
            <w:pPr>
              <w:ind w:left="20"/>
              <w:spacing w:after="0"/>
              <w:rPr>
                <w:sz w:val="20"/>
                <w:szCs w:val="20"/>
                <w:color w:val="auto"/>
              </w:rPr>
            </w:pPr>
            <w:r>
              <w:rPr>
                <w:rFonts w:ascii="Arial" w:cs="Arial" w:eastAsia="Arial" w:hAnsi="Arial"/>
                <w:sz w:val="16"/>
                <w:szCs w:val="16"/>
                <w:color w:val="auto"/>
              </w:rPr>
              <w:t>Storage and Terminal Solutions</w:t>
            </w:r>
          </w:p>
        </w:tc>
        <w:tc>
          <w:tcPr>
            <w:tcW w:w="1180" w:type="dxa"/>
            <w:vAlign w:val="bottom"/>
          </w:tcPr>
          <w:p>
            <w:pPr>
              <w:spacing w:after="0"/>
              <w:rPr>
                <w:sz w:val="17"/>
                <w:szCs w:val="17"/>
                <w:color w:val="auto"/>
              </w:rPr>
            </w:pPr>
          </w:p>
        </w:tc>
      </w:tr>
      <w:tr>
        <w:trPr>
          <w:trHeight w:val="213"/>
        </w:trPr>
        <w:tc>
          <w:tcPr>
            <w:tcW w:w="33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Broomall, Pennsylvania</w:t>
            </w:r>
          </w:p>
        </w:tc>
        <w:tc>
          <w:tcPr>
            <w:tcW w:w="33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Regional office</w:t>
            </w:r>
          </w:p>
        </w:tc>
        <w:tc>
          <w:tcPr>
            <w:tcW w:w="2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All segments</w:t>
            </w:r>
          </w:p>
        </w:tc>
        <w:tc>
          <w:tcPr>
            <w:tcW w:w="1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3"/>
              </w:rPr>
              <w:t>Leased</w:t>
            </w:r>
          </w:p>
        </w:tc>
      </w:tr>
      <w:tr>
        <w:trPr>
          <w:trHeight w:val="161"/>
        </w:trPr>
        <w:tc>
          <w:tcPr>
            <w:tcW w:w="3380" w:type="dxa"/>
            <w:vAlign w:val="bottom"/>
            <w:gridSpan w:val="2"/>
          </w:tcPr>
          <w:p>
            <w:pPr>
              <w:ind w:left="20"/>
              <w:spacing w:after="0" w:line="161" w:lineRule="exact"/>
              <w:rPr>
                <w:sz w:val="20"/>
                <w:szCs w:val="20"/>
                <w:color w:val="auto"/>
              </w:rPr>
            </w:pPr>
            <w:r>
              <w:rPr>
                <w:rFonts w:ascii="Arial" w:cs="Arial" w:eastAsia="Arial" w:hAnsi="Arial"/>
                <w:sz w:val="16"/>
                <w:szCs w:val="16"/>
                <w:color w:val="auto"/>
              </w:rPr>
              <w:t>Catoosa, Oklahoma</w:t>
            </w:r>
          </w:p>
        </w:tc>
        <w:tc>
          <w:tcPr>
            <w:tcW w:w="3320" w:type="dxa"/>
            <w:vAlign w:val="bottom"/>
            <w:gridSpan w:val="2"/>
          </w:tcPr>
          <w:p>
            <w:pPr>
              <w:ind w:left="20"/>
              <w:spacing w:after="0" w:line="161" w:lineRule="exact"/>
              <w:rPr>
                <w:sz w:val="20"/>
                <w:szCs w:val="20"/>
                <w:color w:val="auto"/>
              </w:rPr>
            </w:pPr>
            <w:r>
              <w:rPr>
                <w:rFonts w:ascii="Arial" w:cs="Arial" w:eastAsia="Arial" w:hAnsi="Arial"/>
                <w:sz w:val="16"/>
                <w:szCs w:val="16"/>
                <w:color w:val="auto"/>
              </w:rPr>
              <w:t>Fabrication facility, regional offices and</w:t>
            </w:r>
          </w:p>
        </w:tc>
        <w:tc>
          <w:tcPr>
            <w:tcW w:w="2620" w:type="dxa"/>
            <w:vAlign w:val="bottom"/>
            <w:gridSpan w:val="2"/>
          </w:tcPr>
          <w:p>
            <w:pPr>
              <w:ind w:left="20"/>
              <w:spacing w:after="0" w:line="161" w:lineRule="exact"/>
              <w:rPr>
                <w:sz w:val="20"/>
                <w:szCs w:val="20"/>
                <w:color w:val="auto"/>
              </w:rPr>
            </w:pPr>
            <w:r>
              <w:rPr>
                <w:rFonts w:ascii="Arial" w:cs="Arial" w:eastAsia="Arial" w:hAnsi="Arial"/>
                <w:sz w:val="16"/>
                <w:szCs w:val="16"/>
                <w:color w:val="auto"/>
              </w:rPr>
              <w:t>All segments</w:t>
            </w:r>
          </w:p>
        </w:tc>
        <w:tc>
          <w:tcPr>
            <w:tcW w:w="1180" w:type="dxa"/>
            <w:vAlign w:val="bottom"/>
          </w:tcPr>
          <w:p>
            <w:pPr>
              <w:ind w:left="380"/>
              <w:spacing w:after="0" w:line="161" w:lineRule="exact"/>
              <w:rPr>
                <w:sz w:val="20"/>
                <w:szCs w:val="20"/>
                <w:color w:val="auto"/>
              </w:rPr>
            </w:pPr>
            <w:r>
              <w:rPr>
                <w:rFonts w:ascii="Arial" w:cs="Arial" w:eastAsia="Arial" w:hAnsi="Arial"/>
                <w:sz w:val="16"/>
                <w:szCs w:val="16"/>
                <w:color w:val="auto"/>
              </w:rPr>
              <w:t>Leased &amp;</w:t>
            </w:r>
          </w:p>
        </w:tc>
      </w:tr>
      <w:tr>
        <w:trPr>
          <w:trHeight w:val="207"/>
        </w:trPr>
        <w:tc>
          <w:tcPr>
            <w:tcW w:w="3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320" w:type="dxa"/>
            <w:vAlign w:val="bottom"/>
            <w:gridSpan w:val="2"/>
          </w:tcPr>
          <w:p>
            <w:pPr>
              <w:ind w:left="20"/>
              <w:spacing w:after="0"/>
              <w:rPr>
                <w:sz w:val="20"/>
                <w:szCs w:val="20"/>
                <w:color w:val="auto"/>
              </w:rPr>
            </w:pPr>
            <w:r>
              <w:rPr>
                <w:rFonts w:ascii="Arial" w:cs="Arial" w:eastAsia="Arial" w:hAnsi="Arial"/>
                <w:sz w:val="16"/>
                <w:szCs w:val="16"/>
                <w:color w:val="auto"/>
              </w:rPr>
              <w:t>warehouses</w:t>
            </w:r>
          </w:p>
        </w:tc>
        <w:tc>
          <w:tcPr>
            <w:tcW w:w="2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80" w:type="dxa"/>
            <w:vAlign w:val="bottom"/>
          </w:tcPr>
          <w:p>
            <w:pPr>
              <w:jc w:val="center"/>
              <w:spacing w:after="0" w:line="207" w:lineRule="exact"/>
              <w:rPr>
                <w:sz w:val="20"/>
                <w:szCs w:val="20"/>
                <w:color w:val="auto"/>
              </w:rPr>
            </w:pPr>
            <w:r>
              <w:rPr>
                <w:rFonts w:ascii="Arial" w:cs="Arial" w:eastAsia="Arial" w:hAnsi="Arial"/>
                <w:sz w:val="16"/>
                <w:szCs w:val="16"/>
                <w:color w:val="auto"/>
                <w:w w:val="83"/>
              </w:rPr>
              <w:t xml:space="preserve">Owned </w:t>
            </w:r>
            <w:r>
              <w:rPr>
                <w:rFonts w:ascii="Arial" w:cs="Arial" w:eastAsia="Arial" w:hAnsi="Arial"/>
                <w:sz w:val="20"/>
                <w:szCs w:val="20"/>
                <w:color w:val="auto"/>
                <w:w w:val="83"/>
                <w:vertAlign w:val="superscript"/>
              </w:rPr>
              <w:t>(1)</w:t>
            </w:r>
          </w:p>
        </w:tc>
      </w:tr>
      <w:tr>
        <w:trPr>
          <w:trHeight w:val="210"/>
        </w:trPr>
        <w:tc>
          <w:tcPr>
            <w:tcW w:w="33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Columbus, Ohio</w:t>
            </w:r>
          </w:p>
        </w:tc>
        <w:tc>
          <w:tcPr>
            <w:tcW w:w="33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Regional office</w:t>
            </w:r>
          </w:p>
        </w:tc>
        <w:tc>
          <w:tcPr>
            <w:tcW w:w="2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All segments</w:t>
            </w:r>
          </w:p>
        </w:tc>
        <w:tc>
          <w:tcPr>
            <w:tcW w:w="1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3"/>
              </w:rPr>
              <w:t>Leased</w:t>
            </w:r>
          </w:p>
        </w:tc>
      </w:tr>
      <w:tr>
        <w:trPr>
          <w:trHeight w:val="207"/>
        </w:trPr>
        <w:tc>
          <w:tcPr>
            <w:tcW w:w="3380" w:type="dxa"/>
            <w:vAlign w:val="bottom"/>
            <w:gridSpan w:val="2"/>
          </w:tcPr>
          <w:p>
            <w:pPr>
              <w:ind w:left="20"/>
              <w:spacing w:after="0"/>
              <w:rPr>
                <w:sz w:val="20"/>
                <w:szCs w:val="20"/>
                <w:color w:val="auto"/>
              </w:rPr>
            </w:pPr>
            <w:r>
              <w:rPr>
                <w:rFonts w:ascii="Arial" w:cs="Arial" w:eastAsia="Arial" w:hAnsi="Arial"/>
                <w:sz w:val="16"/>
                <w:szCs w:val="16"/>
                <w:color w:val="auto"/>
              </w:rPr>
              <w:t>Houston, Texas</w:t>
            </w:r>
          </w:p>
        </w:tc>
        <w:tc>
          <w:tcPr>
            <w:tcW w:w="3320" w:type="dxa"/>
            <w:vAlign w:val="bottom"/>
            <w:gridSpan w:val="2"/>
          </w:tcPr>
          <w:p>
            <w:pPr>
              <w:ind w:left="20"/>
              <w:spacing w:after="0"/>
              <w:rPr>
                <w:sz w:val="20"/>
                <w:szCs w:val="20"/>
                <w:color w:val="auto"/>
              </w:rPr>
            </w:pPr>
            <w:r>
              <w:rPr>
                <w:rFonts w:ascii="Arial" w:cs="Arial" w:eastAsia="Arial" w:hAnsi="Arial"/>
                <w:sz w:val="16"/>
                <w:szCs w:val="16"/>
                <w:color w:val="auto"/>
              </w:rPr>
              <w:t>Regional offices and warehouse</w:t>
            </w:r>
          </w:p>
        </w:tc>
        <w:tc>
          <w:tcPr>
            <w:tcW w:w="2620" w:type="dxa"/>
            <w:vAlign w:val="bottom"/>
            <w:gridSpan w:val="2"/>
          </w:tcPr>
          <w:p>
            <w:pPr>
              <w:ind w:left="20"/>
              <w:spacing w:after="0"/>
              <w:rPr>
                <w:sz w:val="20"/>
                <w:szCs w:val="20"/>
                <w:color w:val="auto"/>
              </w:rPr>
            </w:pPr>
            <w:r>
              <w:rPr>
                <w:rFonts w:ascii="Arial" w:cs="Arial" w:eastAsia="Arial" w:hAnsi="Arial"/>
                <w:sz w:val="16"/>
                <w:szCs w:val="16"/>
                <w:color w:val="auto"/>
              </w:rPr>
              <w:t>All segments</w:t>
            </w:r>
          </w:p>
        </w:tc>
        <w:tc>
          <w:tcPr>
            <w:tcW w:w="1180" w:type="dxa"/>
            <w:vAlign w:val="bottom"/>
          </w:tcPr>
          <w:p>
            <w:pPr>
              <w:jc w:val="center"/>
              <w:spacing w:after="0"/>
              <w:rPr>
                <w:sz w:val="20"/>
                <w:szCs w:val="20"/>
                <w:color w:val="auto"/>
              </w:rPr>
            </w:pPr>
            <w:r>
              <w:rPr>
                <w:rFonts w:ascii="Arial" w:cs="Arial" w:eastAsia="Arial" w:hAnsi="Arial"/>
                <w:sz w:val="16"/>
                <w:szCs w:val="16"/>
                <w:color w:val="auto"/>
                <w:w w:val="89"/>
              </w:rPr>
              <w:t>Leased &amp; Owned</w:t>
            </w:r>
          </w:p>
        </w:tc>
      </w:tr>
      <w:tr>
        <w:trPr>
          <w:trHeight w:val="164"/>
        </w:trPr>
        <w:tc>
          <w:tcPr>
            <w:tcW w:w="3380" w:type="dxa"/>
            <w:vAlign w:val="bottom"/>
            <w:gridSpan w:val="2"/>
            <w:shd w:val="clear" w:color="auto" w:fill="CCEEFF"/>
          </w:tcPr>
          <w:p>
            <w:pPr>
              <w:ind w:left="20"/>
              <w:spacing w:after="0" w:line="164" w:lineRule="exact"/>
              <w:rPr>
                <w:sz w:val="20"/>
                <w:szCs w:val="20"/>
                <w:color w:val="auto"/>
              </w:rPr>
            </w:pPr>
            <w:r>
              <w:rPr>
                <w:rFonts w:ascii="Arial" w:cs="Arial" w:eastAsia="Arial" w:hAnsi="Arial"/>
                <w:sz w:val="16"/>
                <w:szCs w:val="16"/>
                <w:color w:val="auto"/>
              </w:rPr>
              <w:t>Norco, California</w:t>
            </w:r>
          </w:p>
        </w:tc>
        <w:tc>
          <w:tcPr>
            <w:tcW w:w="3320" w:type="dxa"/>
            <w:vAlign w:val="bottom"/>
            <w:gridSpan w:val="2"/>
            <w:shd w:val="clear" w:color="auto" w:fill="CCEEFF"/>
          </w:tcPr>
          <w:p>
            <w:pPr>
              <w:ind w:left="20"/>
              <w:spacing w:after="0" w:line="164" w:lineRule="exact"/>
              <w:rPr>
                <w:sz w:val="20"/>
                <w:szCs w:val="20"/>
                <w:color w:val="auto"/>
              </w:rPr>
            </w:pPr>
            <w:r>
              <w:rPr>
                <w:rFonts w:ascii="Arial" w:cs="Arial" w:eastAsia="Arial" w:hAnsi="Arial"/>
                <w:sz w:val="16"/>
                <w:szCs w:val="16"/>
                <w:color w:val="auto"/>
              </w:rPr>
              <w:t>Regional office and warehouse</w:t>
            </w:r>
          </w:p>
        </w:tc>
        <w:tc>
          <w:tcPr>
            <w:tcW w:w="2620" w:type="dxa"/>
            <w:vAlign w:val="bottom"/>
            <w:gridSpan w:val="2"/>
            <w:shd w:val="clear" w:color="auto" w:fill="CCEEFF"/>
          </w:tcPr>
          <w:p>
            <w:pPr>
              <w:ind w:left="20"/>
              <w:spacing w:after="0" w:line="164" w:lineRule="exact"/>
              <w:rPr>
                <w:sz w:val="20"/>
                <w:szCs w:val="20"/>
                <w:color w:val="auto"/>
              </w:rPr>
            </w:pPr>
            <w:r>
              <w:rPr>
                <w:rFonts w:ascii="Arial" w:cs="Arial" w:eastAsia="Arial" w:hAnsi="Arial"/>
                <w:sz w:val="16"/>
                <w:szCs w:val="16"/>
                <w:color w:val="auto"/>
              </w:rPr>
              <w:t>Process and Industrial Facilities,</w:t>
            </w:r>
          </w:p>
        </w:tc>
        <w:tc>
          <w:tcPr>
            <w:tcW w:w="1180" w:type="dxa"/>
            <w:vAlign w:val="bottom"/>
            <w:shd w:val="clear" w:color="auto" w:fill="CCEEFF"/>
          </w:tcPr>
          <w:p>
            <w:pPr>
              <w:jc w:val="center"/>
              <w:spacing w:after="0" w:line="164" w:lineRule="exact"/>
              <w:rPr>
                <w:sz w:val="20"/>
                <w:szCs w:val="20"/>
                <w:color w:val="auto"/>
              </w:rPr>
            </w:pPr>
            <w:r>
              <w:rPr>
                <w:rFonts w:ascii="Arial" w:cs="Arial" w:eastAsia="Arial" w:hAnsi="Arial"/>
                <w:sz w:val="16"/>
                <w:szCs w:val="16"/>
                <w:color w:val="auto"/>
                <w:w w:val="83"/>
              </w:rPr>
              <w:t>Leased</w:t>
            </w:r>
          </w:p>
        </w:tc>
      </w:tr>
      <w:tr>
        <w:trPr>
          <w:trHeight w:val="207"/>
        </w:trPr>
        <w:tc>
          <w:tcPr>
            <w:tcW w:w="3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9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Storage and Terminal Solutions</w:t>
            </w:r>
          </w:p>
        </w:tc>
        <w:tc>
          <w:tcPr>
            <w:tcW w:w="1180" w:type="dxa"/>
            <w:vAlign w:val="bottom"/>
            <w:shd w:val="clear" w:color="auto" w:fill="CCEEFF"/>
          </w:tcPr>
          <w:p>
            <w:pPr>
              <w:spacing w:after="0"/>
              <w:rPr>
                <w:sz w:val="17"/>
                <w:szCs w:val="17"/>
                <w:color w:val="auto"/>
              </w:rPr>
            </w:pPr>
          </w:p>
        </w:tc>
      </w:tr>
      <w:tr>
        <w:trPr>
          <w:trHeight w:val="161"/>
        </w:trPr>
        <w:tc>
          <w:tcPr>
            <w:tcW w:w="3380" w:type="dxa"/>
            <w:vAlign w:val="bottom"/>
            <w:gridSpan w:val="2"/>
          </w:tcPr>
          <w:p>
            <w:pPr>
              <w:ind w:left="20"/>
              <w:spacing w:after="0" w:line="161" w:lineRule="exact"/>
              <w:rPr>
                <w:sz w:val="20"/>
                <w:szCs w:val="20"/>
                <w:color w:val="auto"/>
              </w:rPr>
            </w:pPr>
            <w:r>
              <w:rPr>
                <w:rFonts w:ascii="Arial" w:cs="Arial" w:eastAsia="Arial" w:hAnsi="Arial"/>
                <w:sz w:val="16"/>
                <w:szCs w:val="16"/>
                <w:color w:val="auto"/>
              </w:rPr>
              <w:t>Orange, California</w:t>
            </w:r>
          </w:p>
        </w:tc>
        <w:tc>
          <w:tcPr>
            <w:tcW w:w="3320" w:type="dxa"/>
            <w:vAlign w:val="bottom"/>
            <w:gridSpan w:val="2"/>
          </w:tcPr>
          <w:p>
            <w:pPr>
              <w:ind w:left="20"/>
              <w:spacing w:after="0" w:line="161" w:lineRule="exact"/>
              <w:rPr>
                <w:sz w:val="20"/>
                <w:szCs w:val="20"/>
                <w:color w:val="auto"/>
              </w:rPr>
            </w:pPr>
            <w:r>
              <w:rPr>
                <w:rFonts w:ascii="Arial" w:cs="Arial" w:eastAsia="Arial" w:hAnsi="Arial"/>
                <w:sz w:val="16"/>
                <w:szCs w:val="16"/>
                <w:color w:val="auto"/>
              </w:rPr>
              <w:t>Fabrication facility, regional office and</w:t>
            </w:r>
          </w:p>
        </w:tc>
        <w:tc>
          <w:tcPr>
            <w:tcW w:w="2620" w:type="dxa"/>
            <w:vAlign w:val="bottom"/>
            <w:gridSpan w:val="2"/>
          </w:tcPr>
          <w:p>
            <w:pPr>
              <w:ind w:left="20"/>
              <w:spacing w:after="0" w:line="161" w:lineRule="exact"/>
              <w:rPr>
                <w:sz w:val="20"/>
                <w:szCs w:val="20"/>
                <w:color w:val="auto"/>
              </w:rPr>
            </w:pPr>
            <w:r>
              <w:rPr>
                <w:rFonts w:ascii="Arial" w:cs="Arial" w:eastAsia="Arial" w:hAnsi="Arial"/>
                <w:sz w:val="16"/>
                <w:szCs w:val="16"/>
                <w:color w:val="auto"/>
              </w:rPr>
              <w:t>Process and Industrial Facilities,</w:t>
            </w:r>
          </w:p>
        </w:tc>
        <w:tc>
          <w:tcPr>
            <w:tcW w:w="1180" w:type="dxa"/>
            <w:vAlign w:val="bottom"/>
          </w:tcPr>
          <w:p>
            <w:pPr>
              <w:jc w:val="center"/>
              <w:spacing w:after="0" w:line="161" w:lineRule="exact"/>
              <w:rPr>
                <w:sz w:val="20"/>
                <w:szCs w:val="20"/>
                <w:color w:val="auto"/>
              </w:rPr>
            </w:pPr>
            <w:r>
              <w:rPr>
                <w:rFonts w:ascii="Arial" w:cs="Arial" w:eastAsia="Arial" w:hAnsi="Arial"/>
                <w:sz w:val="16"/>
                <w:szCs w:val="16"/>
                <w:color w:val="auto"/>
                <w:w w:val="89"/>
              </w:rPr>
              <w:t>Leased &amp; Owned</w:t>
            </w:r>
          </w:p>
        </w:tc>
      </w:tr>
      <w:tr>
        <w:trPr>
          <w:trHeight w:val="203"/>
        </w:trPr>
        <w:tc>
          <w:tcPr>
            <w:tcW w:w="3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320" w:type="dxa"/>
            <w:vAlign w:val="bottom"/>
            <w:gridSpan w:val="2"/>
          </w:tcPr>
          <w:p>
            <w:pPr>
              <w:ind w:left="20"/>
              <w:spacing w:after="0"/>
              <w:rPr>
                <w:sz w:val="20"/>
                <w:szCs w:val="20"/>
                <w:color w:val="auto"/>
              </w:rPr>
            </w:pPr>
            <w:r>
              <w:rPr>
                <w:rFonts w:ascii="Arial" w:cs="Arial" w:eastAsia="Arial" w:hAnsi="Arial"/>
                <w:sz w:val="16"/>
                <w:szCs w:val="16"/>
                <w:color w:val="auto"/>
              </w:rPr>
              <w:t>warehouse</w:t>
            </w:r>
          </w:p>
        </w:tc>
        <w:tc>
          <w:tcPr>
            <w:tcW w:w="2620" w:type="dxa"/>
            <w:vAlign w:val="bottom"/>
            <w:gridSpan w:val="2"/>
          </w:tcPr>
          <w:p>
            <w:pPr>
              <w:ind w:left="20"/>
              <w:spacing w:after="0"/>
              <w:rPr>
                <w:sz w:val="20"/>
                <w:szCs w:val="20"/>
                <w:color w:val="auto"/>
              </w:rPr>
            </w:pPr>
            <w:r>
              <w:rPr>
                <w:rFonts w:ascii="Arial" w:cs="Arial" w:eastAsia="Arial" w:hAnsi="Arial"/>
                <w:sz w:val="16"/>
                <w:szCs w:val="16"/>
                <w:color w:val="auto"/>
              </w:rPr>
              <w:t>Storage and Terminal Solutions</w:t>
            </w:r>
          </w:p>
        </w:tc>
        <w:tc>
          <w:tcPr>
            <w:tcW w:w="1180" w:type="dxa"/>
            <w:vAlign w:val="bottom"/>
          </w:tcPr>
          <w:p>
            <w:pPr>
              <w:spacing w:after="0"/>
              <w:rPr>
                <w:sz w:val="17"/>
                <w:szCs w:val="17"/>
                <w:color w:val="auto"/>
              </w:rPr>
            </w:pPr>
          </w:p>
        </w:tc>
      </w:tr>
      <w:tr>
        <w:trPr>
          <w:trHeight w:val="213"/>
        </w:trPr>
        <w:tc>
          <w:tcPr>
            <w:tcW w:w="33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Pittsburgh, Pennsylvania</w:t>
            </w:r>
          </w:p>
        </w:tc>
        <w:tc>
          <w:tcPr>
            <w:tcW w:w="33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Regional office</w:t>
            </w:r>
          </w:p>
        </w:tc>
        <w:tc>
          <w:tcPr>
            <w:tcW w:w="2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All segments</w:t>
            </w:r>
          </w:p>
        </w:tc>
        <w:tc>
          <w:tcPr>
            <w:tcW w:w="1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3"/>
              </w:rPr>
              <w:t>Leased</w:t>
            </w:r>
          </w:p>
        </w:tc>
      </w:tr>
      <w:tr>
        <w:trPr>
          <w:trHeight w:val="161"/>
        </w:trPr>
        <w:tc>
          <w:tcPr>
            <w:tcW w:w="3380" w:type="dxa"/>
            <w:vAlign w:val="bottom"/>
            <w:gridSpan w:val="2"/>
          </w:tcPr>
          <w:p>
            <w:pPr>
              <w:ind w:left="20"/>
              <w:spacing w:after="0" w:line="161" w:lineRule="exact"/>
              <w:rPr>
                <w:sz w:val="20"/>
                <w:szCs w:val="20"/>
                <w:color w:val="auto"/>
              </w:rPr>
            </w:pPr>
            <w:r>
              <w:rPr>
                <w:rFonts w:ascii="Arial" w:cs="Arial" w:eastAsia="Arial" w:hAnsi="Arial"/>
                <w:sz w:val="16"/>
                <w:szCs w:val="16"/>
                <w:color w:val="auto"/>
              </w:rPr>
              <w:t>Somerset, New Jersey</w:t>
            </w:r>
          </w:p>
        </w:tc>
        <w:tc>
          <w:tcPr>
            <w:tcW w:w="3320" w:type="dxa"/>
            <w:vAlign w:val="bottom"/>
            <w:gridSpan w:val="2"/>
          </w:tcPr>
          <w:p>
            <w:pPr>
              <w:ind w:left="20"/>
              <w:spacing w:after="0" w:line="161" w:lineRule="exact"/>
              <w:rPr>
                <w:sz w:val="20"/>
                <w:szCs w:val="20"/>
                <w:color w:val="auto"/>
              </w:rPr>
            </w:pPr>
            <w:r>
              <w:rPr>
                <w:rFonts w:ascii="Arial" w:cs="Arial" w:eastAsia="Arial" w:hAnsi="Arial"/>
                <w:sz w:val="16"/>
                <w:szCs w:val="16"/>
                <w:color w:val="auto"/>
              </w:rPr>
              <w:t>Regional office and warehouse</w:t>
            </w:r>
          </w:p>
        </w:tc>
        <w:tc>
          <w:tcPr>
            <w:tcW w:w="2620" w:type="dxa"/>
            <w:vAlign w:val="bottom"/>
            <w:gridSpan w:val="2"/>
          </w:tcPr>
          <w:p>
            <w:pPr>
              <w:ind w:left="20"/>
              <w:spacing w:after="0" w:line="161" w:lineRule="exact"/>
              <w:rPr>
                <w:sz w:val="20"/>
                <w:szCs w:val="20"/>
                <w:color w:val="auto"/>
              </w:rPr>
            </w:pPr>
            <w:r>
              <w:rPr>
                <w:rFonts w:ascii="Arial" w:cs="Arial" w:eastAsia="Arial" w:hAnsi="Arial"/>
                <w:sz w:val="16"/>
                <w:szCs w:val="16"/>
                <w:color w:val="auto"/>
              </w:rPr>
              <w:t>Utility and Power Infrastructure,</w:t>
            </w:r>
          </w:p>
        </w:tc>
        <w:tc>
          <w:tcPr>
            <w:tcW w:w="1180" w:type="dxa"/>
            <w:vAlign w:val="bottom"/>
          </w:tcPr>
          <w:p>
            <w:pPr>
              <w:jc w:val="center"/>
              <w:spacing w:after="0" w:line="161" w:lineRule="exact"/>
              <w:rPr>
                <w:sz w:val="20"/>
                <w:szCs w:val="20"/>
                <w:color w:val="auto"/>
              </w:rPr>
            </w:pPr>
            <w:r>
              <w:rPr>
                <w:rFonts w:ascii="Arial" w:cs="Arial" w:eastAsia="Arial" w:hAnsi="Arial"/>
                <w:sz w:val="16"/>
                <w:szCs w:val="16"/>
                <w:color w:val="auto"/>
                <w:w w:val="83"/>
              </w:rPr>
              <w:t>Leased</w:t>
            </w:r>
          </w:p>
        </w:tc>
      </w:tr>
      <w:tr>
        <w:trPr>
          <w:trHeight w:val="203"/>
        </w:trPr>
        <w:tc>
          <w:tcPr>
            <w:tcW w:w="3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20" w:type="dxa"/>
            <w:vAlign w:val="bottom"/>
            <w:gridSpan w:val="2"/>
          </w:tcPr>
          <w:p>
            <w:pPr>
              <w:ind w:left="20"/>
              <w:spacing w:after="0"/>
              <w:rPr>
                <w:sz w:val="20"/>
                <w:szCs w:val="20"/>
                <w:color w:val="auto"/>
              </w:rPr>
            </w:pPr>
            <w:r>
              <w:rPr>
                <w:rFonts w:ascii="Arial" w:cs="Arial" w:eastAsia="Arial" w:hAnsi="Arial"/>
                <w:sz w:val="16"/>
                <w:szCs w:val="16"/>
                <w:color w:val="auto"/>
              </w:rPr>
              <w:t>Process and Industrial Facilities</w:t>
            </w:r>
          </w:p>
        </w:tc>
        <w:tc>
          <w:tcPr>
            <w:tcW w:w="1180" w:type="dxa"/>
            <w:vAlign w:val="bottom"/>
          </w:tcPr>
          <w:p>
            <w:pPr>
              <w:spacing w:after="0"/>
              <w:rPr>
                <w:sz w:val="17"/>
                <w:szCs w:val="17"/>
                <w:color w:val="auto"/>
              </w:rPr>
            </w:pPr>
          </w:p>
        </w:tc>
      </w:tr>
      <w:tr>
        <w:trPr>
          <w:trHeight w:val="213"/>
        </w:trPr>
        <w:tc>
          <w:tcPr>
            <w:tcW w:w="33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Temperance, Michigan</w:t>
            </w:r>
          </w:p>
        </w:tc>
        <w:tc>
          <w:tcPr>
            <w:tcW w:w="33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Regional office and warehouse</w:t>
            </w:r>
          </w:p>
        </w:tc>
        <w:tc>
          <w:tcPr>
            <w:tcW w:w="2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Storage and Terminal Solutions</w:t>
            </w:r>
          </w:p>
        </w:tc>
        <w:tc>
          <w:tcPr>
            <w:tcW w:w="1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6"/>
              </w:rPr>
              <w:t>Owned</w:t>
            </w:r>
          </w:p>
        </w:tc>
      </w:tr>
      <w:tr>
        <w:trPr>
          <w:trHeight w:val="161"/>
        </w:trPr>
        <w:tc>
          <w:tcPr>
            <w:tcW w:w="3380" w:type="dxa"/>
            <w:vAlign w:val="bottom"/>
            <w:gridSpan w:val="2"/>
          </w:tcPr>
          <w:p>
            <w:pPr>
              <w:ind w:left="20"/>
              <w:spacing w:after="0" w:line="161" w:lineRule="exact"/>
              <w:rPr>
                <w:sz w:val="20"/>
                <w:szCs w:val="20"/>
                <w:color w:val="auto"/>
              </w:rPr>
            </w:pPr>
            <w:r>
              <w:rPr>
                <w:rFonts w:ascii="Arial" w:cs="Arial" w:eastAsia="Arial" w:hAnsi="Arial"/>
                <w:sz w:val="16"/>
                <w:szCs w:val="16"/>
                <w:color w:val="auto"/>
              </w:rPr>
              <w:t>Tucson, Arizona</w:t>
            </w:r>
          </w:p>
        </w:tc>
        <w:tc>
          <w:tcPr>
            <w:tcW w:w="3320" w:type="dxa"/>
            <w:vAlign w:val="bottom"/>
            <w:gridSpan w:val="2"/>
          </w:tcPr>
          <w:p>
            <w:pPr>
              <w:ind w:left="20"/>
              <w:spacing w:after="0" w:line="161" w:lineRule="exact"/>
              <w:rPr>
                <w:sz w:val="20"/>
                <w:szCs w:val="20"/>
                <w:color w:val="auto"/>
              </w:rPr>
            </w:pPr>
            <w:r>
              <w:rPr>
                <w:rFonts w:ascii="Arial" w:cs="Arial" w:eastAsia="Arial" w:hAnsi="Arial"/>
                <w:sz w:val="16"/>
                <w:szCs w:val="16"/>
                <w:color w:val="auto"/>
              </w:rPr>
              <w:t>Regional office and warehouse</w:t>
            </w:r>
          </w:p>
        </w:tc>
        <w:tc>
          <w:tcPr>
            <w:tcW w:w="2620" w:type="dxa"/>
            <w:vAlign w:val="bottom"/>
            <w:gridSpan w:val="2"/>
          </w:tcPr>
          <w:p>
            <w:pPr>
              <w:ind w:left="20"/>
              <w:spacing w:after="0" w:line="161" w:lineRule="exact"/>
              <w:rPr>
                <w:sz w:val="20"/>
                <w:szCs w:val="20"/>
                <w:color w:val="auto"/>
              </w:rPr>
            </w:pPr>
            <w:r>
              <w:rPr>
                <w:rFonts w:ascii="Arial" w:cs="Arial" w:eastAsia="Arial" w:hAnsi="Arial"/>
                <w:sz w:val="16"/>
                <w:szCs w:val="16"/>
                <w:color w:val="auto"/>
              </w:rPr>
              <w:t>Process and Industrial Facilities,</w:t>
            </w:r>
          </w:p>
        </w:tc>
        <w:tc>
          <w:tcPr>
            <w:tcW w:w="1180" w:type="dxa"/>
            <w:vAlign w:val="bottom"/>
          </w:tcPr>
          <w:p>
            <w:pPr>
              <w:jc w:val="center"/>
              <w:spacing w:after="0" w:line="161" w:lineRule="exact"/>
              <w:rPr>
                <w:sz w:val="20"/>
                <w:szCs w:val="20"/>
                <w:color w:val="auto"/>
              </w:rPr>
            </w:pPr>
            <w:r>
              <w:rPr>
                <w:rFonts w:ascii="Arial" w:cs="Arial" w:eastAsia="Arial" w:hAnsi="Arial"/>
                <w:sz w:val="16"/>
                <w:szCs w:val="16"/>
                <w:color w:val="auto"/>
                <w:w w:val="83"/>
              </w:rPr>
              <w:t>Leased</w:t>
            </w:r>
          </w:p>
        </w:tc>
      </w:tr>
      <w:tr>
        <w:trPr>
          <w:trHeight w:val="203"/>
        </w:trPr>
        <w:tc>
          <w:tcPr>
            <w:tcW w:w="3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20" w:type="dxa"/>
            <w:vAlign w:val="bottom"/>
            <w:gridSpan w:val="2"/>
          </w:tcPr>
          <w:p>
            <w:pPr>
              <w:ind w:left="20"/>
              <w:spacing w:after="0"/>
              <w:rPr>
                <w:sz w:val="20"/>
                <w:szCs w:val="20"/>
                <w:color w:val="auto"/>
              </w:rPr>
            </w:pPr>
            <w:r>
              <w:rPr>
                <w:rFonts w:ascii="Arial" w:cs="Arial" w:eastAsia="Arial" w:hAnsi="Arial"/>
                <w:sz w:val="16"/>
                <w:szCs w:val="16"/>
                <w:color w:val="auto"/>
              </w:rPr>
              <w:t>Storage and Terminal Solutions</w:t>
            </w:r>
          </w:p>
        </w:tc>
        <w:tc>
          <w:tcPr>
            <w:tcW w:w="1180" w:type="dxa"/>
            <w:vAlign w:val="bottom"/>
          </w:tcPr>
          <w:p>
            <w:pPr>
              <w:spacing w:after="0"/>
              <w:rPr>
                <w:sz w:val="17"/>
                <w:szCs w:val="17"/>
                <w:color w:val="auto"/>
              </w:rPr>
            </w:pPr>
          </w:p>
        </w:tc>
      </w:tr>
      <w:tr>
        <w:trPr>
          <w:trHeight w:val="213"/>
        </w:trPr>
        <w:tc>
          <w:tcPr>
            <w:tcW w:w="338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International:</w:t>
            </w:r>
          </w:p>
        </w:tc>
        <w:tc>
          <w:tcPr>
            <w:tcW w:w="2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07"/>
        </w:trPr>
        <w:tc>
          <w:tcPr>
            <w:tcW w:w="3380" w:type="dxa"/>
            <w:vAlign w:val="bottom"/>
            <w:gridSpan w:val="2"/>
          </w:tcPr>
          <w:p>
            <w:pPr>
              <w:ind w:left="20"/>
              <w:spacing w:after="0"/>
              <w:rPr>
                <w:sz w:val="20"/>
                <w:szCs w:val="20"/>
                <w:color w:val="auto"/>
              </w:rPr>
            </w:pPr>
            <w:r>
              <w:rPr>
                <w:rFonts w:ascii="Arial" w:cs="Arial" w:eastAsia="Arial" w:hAnsi="Arial"/>
                <w:sz w:val="16"/>
                <w:szCs w:val="16"/>
                <w:color w:val="auto"/>
              </w:rPr>
              <w:t>Burlington, Ontario, Canada</w:t>
            </w:r>
          </w:p>
        </w:tc>
        <w:tc>
          <w:tcPr>
            <w:tcW w:w="3320" w:type="dxa"/>
            <w:vAlign w:val="bottom"/>
            <w:gridSpan w:val="2"/>
          </w:tcPr>
          <w:p>
            <w:pPr>
              <w:ind w:left="20"/>
              <w:spacing w:after="0"/>
              <w:rPr>
                <w:sz w:val="20"/>
                <w:szCs w:val="20"/>
                <w:color w:val="auto"/>
              </w:rPr>
            </w:pPr>
            <w:r>
              <w:rPr>
                <w:rFonts w:ascii="Arial" w:cs="Arial" w:eastAsia="Arial" w:hAnsi="Arial"/>
                <w:sz w:val="16"/>
                <w:szCs w:val="16"/>
                <w:color w:val="auto"/>
              </w:rPr>
              <w:t>Regional office</w:t>
            </w:r>
          </w:p>
        </w:tc>
        <w:tc>
          <w:tcPr>
            <w:tcW w:w="2620" w:type="dxa"/>
            <w:vAlign w:val="bottom"/>
            <w:gridSpan w:val="2"/>
          </w:tcPr>
          <w:p>
            <w:pPr>
              <w:ind w:left="20"/>
              <w:spacing w:after="0"/>
              <w:rPr>
                <w:sz w:val="20"/>
                <w:szCs w:val="20"/>
                <w:color w:val="auto"/>
              </w:rPr>
            </w:pPr>
            <w:r>
              <w:rPr>
                <w:rFonts w:ascii="Arial" w:cs="Arial" w:eastAsia="Arial" w:hAnsi="Arial"/>
                <w:sz w:val="16"/>
                <w:szCs w:val="16"/>
                <w:color w:val="auto"/>
              </w:rPr>
              <w:t>All segments</w:t>
            </w:r>
          </w:p>
        </w:tc>
        <w:tc>
          <w:tcPr>
            <w:tcW w:w="1180" w:type="dxa"/>
            <w:vAlign w:val="bottom"/>
          </w:tcPr>
          <w:p>
            <w:pPr>
              <w:jc w:val="center"/>
              <w:spacing w:after="0"/>
              <w:rPr>
                <w:sz w:val="20"/>
                <w:szCs w:val="20"/>
                <w:color w:val="auto"/>
              </w:rPr>
            </w:pPr>
            <w:r>
              <w:rPr>
                <w:rFonts w:ascii="Arial" w:cs="Arial" w:eastAsia="Arial" w:hAnsi="Arial"/>
                <w:sz w:val="16"/>
                <w:szCs w:val="16"/>
                <w:color w:val="auto"/>
                <w:w w:val="86"/>
              </w:rPr>
              <w:t>Owned</w:t>
            </w:r>
          </w:p>
        </w:tc>
      </w:tr>
      <w:tr>
        <w:trPr>
          <w:trHeight w:val="213"/>
        </w:trPr>
        <w:tc>
          <w:tcPr>
            <w:tcW w:w="33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Leduc, Alberta, Canada</w:t>
            </w:r>
          </w:p>
        </w:tc>
        <w:tc>
          <w:tcPr>
            <w:tcW w:w="33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Regional office and warehouse</w:t>
            </w:r>
          </w:p>
        </w:tc>
        <w:tc>
          <w:tcPr>
            <w:tcW w:w="2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Storage and Terminal Solutions</w:t>
            </w:r>
          </w:p>
        </w:tc>
        <w:tc>
          <w:tcPr>
            <w:tcW w:w="1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3"/>
              </w:rPr>
              <w:t>Leased</w:t>
            </w:r>
          </w:p>
        </w:tc>
      </w:tr>
      <w:tr>
        <w:trPr>
          <w:trHeight w:val="207"/>
        </w:trPr>
        <w:tc>
          <w:tcPr>
            <w:tcW w:w="3380" w:type="dxa"/>
            <w:vAlign w:val="bottom"/>
            <w:gridSpan w:val="2"/>
          </w:tcPr>
          <w:p>
            <w:pPr>
              <w:ind w:left="20"/>
              <w:spacing w:after="0"/>
              <w:rPr>
                <w:sz w:val="20"/>
                <w:szCs w:val="20"/>
                <w:color w:val="auto"/>
              </w:rPr>
            </w:pPr>
            <w:r>
              <w:rPr>
                <w:rFonts w:ascii="Arial" w:cs="Arial" w:eastAsia="Arial" w:hAnsi="Arial"/>
                <w:sz w:val="16"/>
                <w:szCs w:val="16"/>
                <w:color w:val="auto"/>
              </w:rPr>
              <w:t>Sarnia, Ontario, Canada</w:t>
            </w:r>
          </w:p>
        </w:tc>
        <w:tc>
          <w:tcPr>
            <w:tcW w:w="3320" w:type="dxa"/>
            <w:vAlign w:val="bottom"/>
            <w:gridSpan w:val="2"/>
          </w:tcPr>
          <w:p>
            <w:pPr>
              <w:ind w:left="20"/>
              <w:spacing w:after="0"/>
              <w:rPr>
                <w:sz w:val="20"/>
                <w:szCs w:val="20"/>
                <w:color w:val="auto"/>
              </w:rPr>
            </w:pPr>
            <w:r>
              <w:rPr>
                <w:rFonts w:ascii="Arial" w:cs="Arial" w:eastAsia="Arial" w:hAnsi="Arial"/>
                <w:sz w:val="16"/>
                <w:szCs w:val="16"/>
                <w:color w:val="auto"/>
              </w:rPr>
              <w:t>Regional office and warehouse</w:t>
            </w:r>
          </w:p>
        </w:tc>
        <w:tc>
          <w:tcPr>
            <w:tcW w:w="2620" w:type="dxa"/>
            <w:vAlign w:val="bottom"/>
            <w:gridSpan w:val="2"/>
          </w:tcPr>
          <w:p>
            <w:pPr>
              <w:ind w:left="20"/>
              <w:spacing w:after="0"/>
              <w:rPr>
                <w:sz w:val="20"/>
                <w:szCs w:val="20"/>
                <w:color w:val="auto"/>
              </w:rPr>
            </w:pPr>
            <w:r>
              <w:rPr>
                <w:rFonts w:ascii="Arial" w:cs="Arial" w:eastAsia="Arial" w:hAnsi="Arial"/>
                <w:sz w:val="16"/>
                <w:szCs w:val="16"/>
                <w:color w:val="auto"/>
              </w:rPr>
              <w:t>Storage and Terminal Solutions</w:t>
            </w:r>
          </w:p>
        </w:tc>
        <w:tc>
          <w:tcPr>
            <w:tcW w:w="1180" w:type="dxa"/>
            <w:vAlign w:val="bottom"/>
          </w:tcPr>
          <w:p>
            <w:pPr>
              <w:jc w:val="center"/>
              <w:spacing w:after="0"/>
              <w:rPr>
                <w:sz w:val="20"/>
                <w:szCs w:val="20"/>
                <w:color w:val="auto"/>
              </w:rPr>
            </w:pPr>
            <w:r>
              <w:rPr>
                <w:rFonts w:ascii="Arial" w:cs="Arial" w:eastAsia="Arial" w:hAnsi="Arial"/>
                <w:sz w:val="16"/>
                <w:szCs w:val="16"/>
                <w:color w:val="auto"/>
                <w:w w:val="86"/>
              </w:rPr>
              <w:t>Owned</w:t>
            </w:r>
          </w:p>
        </w:tc>
      </w:tr>
      <w:tr>
        <w:trPr>
          <w:trHeight w:val="164"/>
        </w:trPr>
        <w:tc>
          <w:tcPr>
            <w:tcW w:w="3380" w:type="dxa"/>
            <w:vAlign w:val="bottom"/>
            <w:gridSpan w:val="2"/>
            <w:shd w:val="clear" w:color="auto" w:fill="CCEEFF"/>
          </w:tcPr>
          <w:p>
            <w:pPr>
              <w:ind w:left="20"/>
              <w:spacing w:after="0" w:line="164" w:lineRule="exact"/>
              <w:rPr>
                <w:sz w:val="20"/>
                <w:szCs w:val="20"/>
                <w:color w:val="auto"/>
              </w:rPr>
            </w:pPr>
            <w:r>
              <w:rPr>
                <w:rFonts w:ascii="Arial" w:cs="Arial" w:eastAsia="Arial" w:hAnsi="Arial"/>
                <w:sz w:val="16"/>
                <w:szCs w:val="16"/>
                <w:color w:val="auto"/>
              </w:rPr>
              <w:t>Paju-si, Gyeonggi-do, South Korea</w:t>
            </w:r>
          </w:p>
        </w:tc>
        <w:tc>
          <w:tcPr>
            <w:tcW w:w="3320" w:type="dxa"/>
            <w:vAlign w:val="bottom"/>
            <w:gridSpan w:val="2"/>
            <w:shd w:val="clear" w:color="auto" w:fill="CCEEFF"/>
          </w:tcPr>
          <w:p>
            <w:pPr>
              <w:ind w:left="20"/>
              <w:spacing w:after="0" w:line="164" w:lineRule="exact"/>
              <w:rPr>
                <w:sz w:val="20"/>
                <w:szCs w:val="20"/>
                <w:color w:val="auto"/>
              </w:rPr>
            </w:pPr>
            <w:r>
              <w:rPr>
                <w:rFonts w:ascii="Arial" w:cs="Arial" w:eastAsia="Arial" w:hAnsi="Arial"/>
                <w:sz w:val="16"/>
                <w:szCs w:val="16"/>
                <w:color w:val="auto"/>
              </w:rPr>
              <w:t>Fabrication facility, regional office and</w:t>
            </w:r>
          </w:p>
        </w:tc>
        <w:tc>
          <w:tcPr>
            <w:tcW w:w="2620" w:type="dxa"/>
            <w:vAlign w:val="bottom"/>
            <w:gridSpan w:val="2"/>
            <w:shd w:val="clear" w:color="auto" w:fill="CCEEFF"/>
          </w:tcPr>
          <w:p>
            <w:pPr>
              <w:ind w:left="20"/>
              <w:spacing w:after="0" w:line="164" w:lineRule="exact"/>
              <w:rPr>
                <w:sz w:val="20"/>
                <w:szCs w:val="20"/>
                <w:color w:val="auto"/>
              </w:rPr>
            </w:pPr>
            <w:r>
              <w:rPr>
                <w:rFonts w:ascii="Arial" w:cs="Arial" w:eastAsia="Arial" w:hAnsi="Arial"/>
                <w:sz w:val="16"/>
                <w:szCs w:val="16"/>
                <w:color w:val="auto"/>
              </w:rPr>
              <w:t>Storage and Terminal Solutions</w:t>
            </w:r>
          </w:p>
        </w:tc>
        <w:tc>
          <w:tcPr>
            <w:tcW w:w="1180" w:type="dxa"/>
            <w:vAlign w:val="bottom"/>
            <w:shd w:val="clear" w:color="auto" w:fill="CCEEFF"/>
          </w:tcPr>
          <w:p>
            <w:pPr>
              <w:jc w:val="center"/>
              <w:spacing w:after="0" w:line="164" w:lineRule="exact"/>
              <w:rPr>
                <w:sz w:val="20"/>
                <w:szCs w:val="20"/>
                <w:color w:val="auto"/>
              </w:rPr>
            </w:pPr>
            <w:r>
              <w:rPr>
                <w:rFonts w:ascii="Arial" w:cs="Arial" w:eastAsia="Arial" w:hAnsi="Arial"/>
                <w:sz w:val="16"/>
                <w:szCs w:val="16"/>
                <w:color w:val="auto"/>
                <w:w w:val="86"/>
              </w:rPr>
              <w:t>Owned</w:t>
            </w:r>
          </w:p>
        </w:tc>
      </w:tr>
      <w:tr>
        <w:trPr>
          <w:trHeight w:val="207"/>
        </w:trPr>
        <w:tc>
          <w:tcPr>
            <w:tcW w:w="3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3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warehouse</w:t>
            </w:r>
          </w:p>
        </w:tc>
        <w:tc>
          <w:tcPr>
            <w:tcW w:w="2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03"/>
        </w:trPr>
        <w:tc>
          <w:tcPr>
            <w:tcW w:w="3380" w:type="dxa"/>
            <w:vAlign w:val="bottom"/>
            <w:gridSpan w:val="2"/>
          </w:tcPr>
          <w:p>
            <w:pPr>
              <w:ind w:left="20"/>
              <w:spacing w:after="0"/>
              <w:rPr>
                <w:sz w:val="20"/>
                <w:szCs w:val="20"/>
                <w:color w:val="auto"/>
              </w:rPr>
            </w:pPr>
            <w:r>
              <w:rPr>
                <w:rFonts w:ascii="Arial" w:cs="Arial" w:eastAsia="Arial" w:hAnsi="Arial"/>
                <w:sz w:val="16"/>
                <w:szCs w:val="16"/>
                <w:color w:val="auto"/>
              </w:rPr>
              <w:t>Sydney, New South Wales, Australia</w:t>
            </w:r>
          </w:p>
        </w:tc>
        <w:tc>
          <w:tcPr>
            <w:tcW w:w="3320" w:type="dxa"/>
            <w:vAlign w:val="bottom"/>
            <w:gridSpan w:val="2"/>
          </w:tcPr>
          <w:p>
            <w:pPr>
              <w:ind w:left="20"/>
              <w:spacing w:after="0"/>
              <w:rPr>
                <w:sz w:val="20"/>
                <w:szCs w:val="20"/>
                <w:color w:val="auto"/>
              </w:rPr>
            </w:pPr>
            <w:r>
              <w:rPr>
                <w:rFonts w:ascii="Arial" w:cs="Arial" w:eastAsia="Arial" w:hAnsi="Arial"/>
                <w:sz w:val="16"/>
                <w:szCs w:val="16"/>
                <w:color w:val="auto"/>
              </w:rPr>
              <w:t>Regional office</w:t>
            </w:r>
          </w:p>
        </w:tc>
        <w:tc>
          <w:tcPr>
            <w:tcW w:w="2620" w:type="dxa"/>
            <w:vAlign w:val="bottom"/>
            <w:gridSpan w:val="2"/>
          </w:tcPr>
          <w:p>
            <w:pPr>
              <w:ind w:left="20"/>
              <w:spacing w:after="0"/>
              <w:rPr>
                <w:sz w:val="20"/>
                <w:szCs w:val="20"/>
                <w:color w:val="auto"/>
              </w:rPr>
            </w:pPr>
            <w:r>
              <w:rPr>
                <w:rFonts w:ascii="Arial" w:cs="Arial" w:eastAsia="Arial" w:hAnsi="Arial"/>
                <w:sz w:val="16"/>
                <w:szCs w:val="16"/>
                <w:color w:val="auto"/>
              </w:rPr>
              <w:t>Storage and Terminal Solutions</w:t>
            </w:r>
          </w:p>
        </w:tc>
        <w:tc>
          <w:tcPr>
            <w:tcW w:w="1180" w:type="dxa"/>
            <w:vAlign w:val="bottom"/>
          </w:tcPr>
          <w:p>
            <w:pPr>
              <w:jc w:val="center"/>
              <w:spacing w:after="0"/>
              <w:rPr>
                <w:sz w:val="20"/>
                <w:szCs w:val="20"/>
                <w:color w:val="auto"/>
              </w:rPr>
            </w:pPr>
            <w:r>
              <w:rPr>
                <w:rFonts w:ascii="Arial" w:cs="Arial" w:eastAsia="Arial" w:hAnsi="Arial"/>
                <w:sz w:val="16"/>
                <w:szCs w:val="16"/>
                <w:color w:val="auto"/>
                <w:w w:val="83"/>
              </w:rPr>
              <w:t>Leased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370205</wp:posOffset>
            </wp:positionV>
            <wp:extent cx="79946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994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40" w:hanging="299"/>
        <w:spacing w:after="0"/>
        <w:tabs>
          <w:tab w:leader="none" w:pos="5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We constructed certain facilities on land acquired through ground leases with renewal options.</w:t>
      </w:r>
    </w:p>
    <w:p>
      <w:pPr>
        <w:spacing w:after="0" w:line="239" w:lineRule="exact"/>
        <w:rPr>
          <w:sz w:val="20"/>
          <w:szCs w:val="20"/>
          <w:color w:val="auto"/>
        </w:rPr>
      </w:pPr>
    </w:p>
    <w:p>
      <w:pPr>
        <w:spacing w:after="0" w:line="289" w:lineRule="auto"/>
        <w:rPr>
          <w:sz w:val="20"/>
          <w:szCs w:val="20"/>
          <w:color w:val="auto"/>
        </w:rPr>
      </w:pPr>
      <w:r>
        <w:rPr>
          <w:rFonts w:ascii="Arial" w:cs="Arial" w:eastAsia="Arial" w:hAnsi="Arial"/>
          <w:sz w:val="17"/>
          <w:szCs w:val="17"/>
          <w:color w:val="auto"/>
        </w:rPr>
        <w:t>In addition to the locations listed above, we have smaller regional locations and temporary office facilities at numerous customer locations throughout the United States and Canada.</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3" w:name="page24"/>
    <w:bookmarkEnd w:id="2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Legal Proceedings</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a party to a number of legal proceedings. We believe that the nature and number of these proceedings are typical for a company of our size engaged in our type of business and that none of these proceedings will result in a material effect on our business, results of operations, financial condition, cash flows or liquidity.</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Mine Safety Disclosures</w:t>
      </w:r>
    </w:p>
    <w:p>
      <w:pPr>
        <w:spacing w:after="0" w:line="17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Section 1503 of the Dodd-Frank Wall Street Reform and Consumer Protection Act (the "Dodd-Frank Act") requires domestic mine operators to disclose violations and orders issued under the Federal Mine Safety and Health Act of 1977 (the "Mine Act") by the federal Mine Safety and Health Administration. We do not act as owner of any mines, but as a result of our performing services or construction at mine sites as an independent contractor, we may be considered an "operator" within the meaning of the Mine Act.</w:t>
      </w:r>
    </w:p>
    <w:p>
      <w:pPr>
        <w:spacing w:after="0" w:line="124"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Information concerning mine safety violations or other regulatory matters required to be disclosed in this annual report under Section 1503(a) of the Dodd-Frank Act and Item 104 of Regulation S-K is included in Exhibit 95 to this Annual Report on Form 10-K.</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4" w:name="page25"/>
    <w:bookmarkEnd w:id="2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5300"/>
        <w:spacing w:after="0"/>
        <w:rPr>
          <w:sz w:val="20"/>
          <w:szCs w:val="20"/>
          <w:color w:val="auto"/>
        </w:rPr>
      </w:pPr>
      <w:r>
        <w:rPr>
          <w:rFonts w:ascii="Arial" w:cs="Arial" w:eastAsia="Arial" w:hAnsi="Arial"/>
          <w:sz w:val="17"/>
          <w:szCs w:val="17"/>
          <w:b w:val="1"/>
          <w:bCs w:val="1"/>
          <w:color w:val="auto"/>
        </w:rPr>
        <w:t>PART II</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5. Market for Registrant’s Common Equity, Related Stockholder Matters and Issuer Purchases of Equity Securities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 Information</w:t>
      </w:r>
    </w:p>
    <w:p>
      <w:pPr>
        <w:spacing w:after="0" w:line="178" w:lineRule="exact"/>
        <w:rPr>
          <w:sz w:val="20"/>
          <w:szCs w:val="20"/>
          <w:color w:val="auto"/>
        </w:rPr>
      </w:pPr>
    </w:p>
    <w:p>
      <w:pPr>
        <w:jc w:val="both"/>
        <w:spacing w:after="0" w:line="322" w:lineRule="auto"/>
        <w:rPr>
          <w:sz w:val="20"/>
          <w:szCs w:val="20"/>
          <w:color w:val="auto"/>
        </w:rPr>
      </w:pPr>
      <w:r>
        <w:rPr>
          <w:rFonts w:ascii="Arial" w:cs="Arial" w:eastAsia="Arial" w:hAnsi="Arial"/>
          <w:sz w:val="16"/>
          <w:szCs w:val="16"/>
          <w:color w:val="auto"/>
        </w:rPr>
        <w:t>Our common stock trades on the NASDAQ Global Select Market under the trading symbol "MTRX". Substantially all of our stockholders maintain their shares in "street name" accounts and are not individually stockholders of record. As of July 31, 2021, there were 20 holders of record of our common stock.</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Dividend Policy</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never paid cash dividends on our common stock and the terms of our Credit Agreement limit dividends to stock dividends only (see Item 8. Financial Statements and Supplementary Data, Note 5 - Debt for more information about our Credit Agreement). Any future dividend payments will depend on the terms of our Credit Agreement, our financial condition, capital requirements and earnings as well as other relevant factors.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Issuer Purchases of Equity Securities</w:t>
      </w:r>
    </w:p>
    <w:p>
      <w:pPr>
        <w:spacing w:after="0" w:line="178" w:lineRule="exact"/>
        <w:rPr>
          <w:sz w:val="20"/>
          <w:szCs w:val="20"/>
          <w:color w:val="auto"/>
        </w:rPr>
      </w:pPr>
    </w:p>
    <w:p>
      <w:pPr>
        <w:jc w:val="both"/>
        <w:spacing w:after="0" w:line="305" w:lineRule="auto"/>
        <w:rPr>
          <w:sz w:val="20"/>
          <w:szCs w:val="20"/>
          <w:color w:val="auto"/>
        </w:rPr>
      </w:pPr>
      <w:r>
        <w:rPr>
          <w:rFonts w:ascii="Arial" w:cs="Arial" w:eastAsia="Arial" w:hAnsi="Arial"/>
          <w:sz w:val="15"/>
          <w:szCs w:val="15"/>
          <w:color w:val="auto"/>
        </w:rPr>
        <w:t>The terms of our Credit Agreement limit share repurchases to $2.5 million per fiscal year provided that that we do not violate our Fixed Charge Coverage Ratio financial covenant. We may repurchase common stock pursuant to the Stock Buyback Program, which was approved by the board of directors in November 2018. Under the program, the aggregate number of shares repurchased may not exceed 2,707,175 shares. We may repurchase our stock from time to time in the open market at prevailing market prices or in privately negotiated transactions and are not obligated to purchase any shares. The program will continue unless and until it is modified or revoked by the Board of Directors. We made no repurchases under the program in the fourth quarter of fiscal 2021 and have no current plans to repurchase stock in the near-term. As of June 30, 2021, there were 1,349,037 shares available for purchase under the Stock Buyback Program.</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Performance Graph</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The following Performance Graph and related information shall not be deemed “soliciting material” or to be “filed” with the Securities and Exchange Commission, nor shall such information be incorporated by reference into any future filing under the Securities Act of 1933 or Securities Exchange Act of 1934, each as amended, except to the extent that we specifically incorporate it by reference into such filing.</w:t>
      </w:r>
    </w:p>
    <w:p>
      <w:pPr>
        <w:spacing w:after="0" w:line="12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following graph compares, for the period from June 30, 2016 to June 30, 2021, the cumulative stockholder return on our common stock with the cumulative total return of the NASDAQ Composite Index, the Dow Jones U.S. Heavy Construction Index, and the S&amp;P Construction &amp; Engineering Index. We intend to replace the S&amp;P Construction &amp; Engineering Index with the Dow Jones U.S. Heavy Construction Index beginning in fiscal 2022 to be more consistent with the indexes to which our peers compare themselves.</w:t>
      </w:r>
    </w:p>
    <w:p>
      <w:pPr>
        <w:spacing w:after="0" w:line="12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graph below assumes an investment of $100 (with reinvestment of all dividends) in our common stock, the NASDAQ Composite Index, the Dow Jones U.S. Heavy Construction Index, and the S&amp;P Construction &amp; Engineering Index on June 30, 2016 and tracks their relative performance through June 30, 2021. The stock price performance reflected in the following graph is not necessarily indicative of future stock performance.</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5" w:name="page26"/>
    <w:bookmarkEnd w:id="25"/>
    <w:p>
      <w:pPr>
        <w:spacing w:after="0"/>
        <w:rPr>
          <w:sz w:val="20"/>
          <w:szCs w:val="20"/>
          <w:color w:val="auto"/>
        </w:rPr>
      </w:pPr>
      <w:r>
        <w:rPr>
          <w:rFonts w:ascii="Arial" w:cs="Arial" w:eastAsia="Arial" w:hAnsi="Arial"/>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1193800</wp:posOffset>
            </wp:positionH>
            <wp:positionV relativeFrom="paragraph">
              <wp:posOffset>458470</wp:posOffset>
            </wp:positionV>
            <wp:extent cx="4763135" cy="43630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763135" cy="4363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6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33"/>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r>
      <w:tr>
        <w:trPr>
          <w:trHeight w:val="181"/>
        </w:trPr>
        <w:tc>
          <w:tcPr>
            <w:tcW w:w="36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2021</w:t>
            </w:r>
          </w:p>
        </w:tc>
      </w:tr>
      <w:tr>
        <w:trPr>
          <w:trHeight w:val="217"/>
        </w:trPr>
        <w:tc>
          <w:tcPr>
            <w:tcW w:w="3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Matrix Service Company</w:t>
            </w: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56.70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111.28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122.86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58.94</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63.67</w:t>
            </w:r>
          </w:p>
        </w:tc>
      </w:tr>
      <w:tr>
        <w:trPr>
          <w:trHeight w:val="223"/>
        </w:trPr>
        <w:tc>
          <w:tcPr>
            <w:tcW w:w="3620" w:type="dxa"/>
            <w:vAlign w:val="bottom"/>
          </w:tcPr>
          <w:p>
            <w:pPr>
              <w:ind w:left="20"/>
              <w:spacing w:after="0"/>
              <w:rPr>
                <w:sz w:val="20"/>
                <w:szCs w:val="20"/>
                <w:color w:val="auto"/>
              </w:rPr>
            </w:pPr>
            <w:r>
              <w:rPr>
                <w:rFonts w:ascii="Arial" w:cs="Arial" w:eastAsia="Arial" w:hAnsi="Arial"/>
                <w:sz w:val="17"/>
                <w:szCs w:val="17"/>
                <w:color w:val="auto"/>
              </w:rPr>
              <w:t>NASDAQ Composite</w:t>
            </w: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100.00</w:t>
            </w:r>
          </w:p>
        </w:tc>
        <w:tc>
          <w:tcPr>
            <w:tcW w:w="100" w:type="dxa"/>
            <w:vAlign w:val="bottom"/>
          </w:tcPr>
          <w:p>
            <w:pPr>
              <w:spacing w:after="0"/>
              <w:rPr>
                <w:sz w:val="19"/>
                <w:szCs w:val="19"/>
                <w:color w:val="auto"/>
              </w:rPr>
            </w:pPr>
          </w:p>
        </w:tc>
        <w:tc>
          <w:tcPr>
            <w:tcW w:w="300" w:type="dxa"/>
            <w:vAlign w:val="bottom"/>
          </w:tcPr>
          <w:p>
            <w:pPr>
              <w:jc w:val="right"/>
              <w:ind w:right="93"/>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128.30</w:t>
            </w:r>
          </w:p>
        </w:tc>
        <w:tc>
          <w:tcPr>
            <w:tcW w:w="100" w:type="dxa"/>
            <w:vAlign w:val="bottom"/>
          </w:tcPr>
          <w:p>
            <w:pPr>
              <w:spacing w:after="0"/>
              <w:rPr>
                <w:sz w:val="19"/>
                <w:szCs w:val="19"/>
                <w:color w:val="auto"/>
              </w:rPr>
            </w:pP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158.57</w:t>
            </w:r>
          </w:p>
        </w:tc>
        <w:tc>
          <w:tcPr>
            <w:tcW w:w="100" w:type="dxa"/>
            <w:vAlign w:val="bottom"/>
          </w:tcPr>
          <w:p>
            <w:pPr>
              <w:spacing w:after="0"/>
              <w:rPr>
                <w:sz w:val="19"/>
                <w:szCs w:val="19"/>
                <w:color w:val="auto"/>
              </w:rPr>
            </w:pPr>
          </w:p>
        </w:tc>
        <w:tc>
          <w:tcPr>
            <w:tcW w:w="320" w:type="dxa"/>
            <w:vAlign w:val="bottom"/>
          </w:tcPr>
          <w:p>
            <w:pPr>
              <w:jc w:val="right"/>
              <w:ind w:right="133"/>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170.91</w:t>
            </w:r>
          </w:p>
        </w:tc>
        <w:tc>
          <w:tcPr>
            <w:tcW w:w="80" w:type="dxa"/>
            <w:vAlign w:val="bottom"/>
          </w:tcPr>
          <w:p>
            <w:pPr>
              <w:spacing w:after="0"/>
              <w:rPr>
                <w:sz w:val="19"/>
                <w:szCs w:val="19"/>
                <w:color w:val="auto"/>
              </w:rPr>
            </w:pP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216.96</w:t>
            </w:r>
          </w:p>
        </w:tc>
        <w:tc>
          <w:tcPr>
            <w:tcW w:w="80" w:type="dxa"/>
            <w:vAlign w:val="bottom"/>
          </w:tcPr>
          <w:p>
            <w:pPr>
              <w:spacing w:after="0"/>
              <w:rPr>
                <w:sz w:val="19"/>
                <w:szCs w:val="19"/>
                <w:color w:val="auto"/>
              </w:rPr>
            </w:pPr>
          </w:p>
        </w:tc>
        <w:tc>
          <w:tcPr>
            <w:tcW w:w="300" w:type="dxa"/>
            <w:vAlign w:val="bottom"/>
          </w:tcPr>
          <w:p>
            <w:pPr>
              <w:jc w:val="right"/>
              <w:ind w:right="93"/>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315.10</w:t>
            </w:r>
          </w:p>
        </w:tc>
      </w:tr>
      <w:tr>
        <w:trPr>
          <w:trHeight w:val="223"/>
        </w:trPr>
        <w:tc>
          <w:tcPr>
            <w:tcW w:w="3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S&amp;P Construction &amp; Engineering</w:t>
            </w: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110.34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121.21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126.69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128.70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225.71</w:t>
            </w:r>
          </w:p>
        </w:tc>
      </w:tr>
      <w:tr>
        <w:trPr>
          <w:trHeight w:val="222"/>
        </w:trPr>
        <w:tc>
          <w:tcPr>
            <w:tcW w:w="3620" w:type="dxa"/>
            <w:vAlign w:val="bottom"/>
          </w:tcPr>
          <w:p>
            <w:pPr>
              <w:ind w:left="20"/>
              <w:spacing w:after="0"/>
              <w:rPr>
                <w:sz w:val="20"/>
                <w:szCs w:val="20"/>
                <w:color w:val="auto"/>
              </w:rPr>
            </w:pPr>
            <w:r>
              <w:rPr>
                <w:rFonts w:ascii="Arial" w:cs="Arial" w:eastAsia="Arial" w:hAnsi="Arial"/>
                <w:sz w:val="17"/>
                <w:szCs w:val="17"/>
                <w:color w:val="auto"/>
              </w:rPr>
              <w:t>Dow Jones US Heavy Construction</w:t>
            </w: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100.00</w:t>
            </w:r>
          </w:p>
        </w:tc>
        <w:tc>
          <w:tcPr>
            <w:tcW w:w="100" w:type="dxa"/>
            <w:vAlign w:val="bottom"/>
          </w:tcPr>
          <w:p>
            <w:pPr>
              <w:spacing w:after="0"/>
              <w:rPr>
                <w:sz w:val="19"/>
                <w:szCs w:val="19"/>
                <w:color w:val="auto"/>
              </w:rPr>
            </w:pPr>
          </w:p>
        </w:tc>
        <w:tc>
          <w:tcPr>
            <w:tcW w:w="300" w:type="dxa"/>
            <w:vAlign w:val="bottom"/>
          </w:tcPr>
          <w:p>
            <w:pPr>
              <w:jc w:val="right"/>
              <w:ind w:right="93"/>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106.22</w:t>
            </w:r>
          </w:p>
        </w:tc>
        <w:tc>
          <w:tcPr>
            <w:tcW w:w="100" w:type="dxa"/>
            <w:vAlign w:val="bottom"/>
          </w:tcPr>
          <w:p>
            <w:pPr>
              <w:spacing w:after="0"/>
              <w:rPr>
                <w:sz w:val="19"/>
                <w:szCs w:val="19"/>
                <w:color w:val="auto"/>
              </w:rPr>
            </w:pP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114.10</w:t>
            </w:r>
          </w:p>
        </w:tc>
        <w:tc>
          <w:tcPr>
            <w:tcW w:w="100" w:type="dxa"/>
            <w:vAlign w:val="bottom"/>
          </w:tcPr>
          <w:p>
            <w:pPr>
              <w:spacing w:after="0"/>
              <w:rPr>
                <w:sz w:val="19"/>
                <w:szCs w:val="19"/>
                <w:color w:val="auto"/>
              </w:rPr>
            </w:pPr>
          </w:p>
        </w:tc>
        <w:tc>
          <w:tcPr>
            <w:tcW w:w="320" w:type="dxa"/>
            <w:vAlign w:val="bottom"/>
          </w:tcPr>
          <w:p>
            <w:pPr>
              <w:jc w:val="right"/>
              <w:ind w:right="133"/>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120.55</w:t>
            </w:r>
          </w:p>
        </w:tc>
        <w:tc>
          <w:tcPr>
            <w:tcW w:w="80" w:type="dxa"/>
            <w:vAlign w:val="bottom"/>
          </w:tcPr>
          <w:p>
            <w:pPr>
              <w:spacing w:after="0"/>
              <w:rPr>
                <w:sz w:val="19"/>
                <w:szCs w:val="19"/>
                <w:color w:val="auto"/>
              </w:rPr>
            </w:pP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104.68</w:t>
            </w:r>
          </w:p>
        </w:tc>
        <w:tc>
          <w:tcPr>
            <w:tcW w:w="80" w:type="dxa"/>
            <w:vAlign w:val="bottom"/>
          </w:tcPr>
          <w:p>
            <w:pPr>
              <w:spacing w:after="0"/>
              <w:rPr>
                <w:sz w:val="19"/>
                <w:szCs w:val="19"/>
                <w:color w:val="auto"/>
              </w:rPr>
            </w:pPr>
          </w:p>
        </w:tc>
        <w:tc>
          <w:tcPr>
            <w:tcW w:w="300" w:type="dxa"/>
            <w:vAlign w:val="bottom"/>
          </w:tcPr>
          <w:p>
            <w:pPr>
              <w:jc w:val="right"/>
              <w:ind w:right="93"/>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190.54</w:t>
            </w:r>
          </w:p>
        </w:tc>
      </w:tr>
      <w:tr>
        <w:trPr>
          <w:trHeight w:val="826"/>
        </w:trPr>
        <w:tc>
          <w:tcPr>
            <w:tcW w:w="3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ind w:right="296"/>
              <w:spacing w:after="0"/>
              <w:rPr>
                <w:sz w:val="20"/>
                <w:szCs w:val="20"/>
                <w:color w:val="auto"/>
              </w:rPr>
            </w:pPr>
            <w:r>
              <w:rPr>
                <w:rFonts w:ascii="Arial" w:cs="Arial" w:eastAsia="Arial" w:hAnsi="Arial"/>
                <w:sz w:val="17"/>
                <w:szCs w:val="17"/>
                <w:color w:val="auto"/>
              </w:rPr>
              <w:t>25</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12"/>
        </w:trPr>
        <w:tc>
          <w:tcPr>
            <w:tcW w:w="36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6" w:name="page27"/>
    <w:bookmarkEnd w:id="2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 Selected Financial Data</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Selected Financial Data</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percentages and per share data)</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8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88"/>
              </w:rPr>
              <w:t>Fiscal Years Ended</w:t>
            </w: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38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160"/>
              <w:spacing w:after="0" w:line="130" w:lineRule="exact"/>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11"/>
                <w:szCs w:val="11"/>
                <w:color w:val="auto"/>
              </w:rPr>
            </w:pPr>
          </w:p>
        </w:tc>
        <w:tc>
          <w:tcPr>
            <w:tcW w:w="1220" w:type="dxa"/>
            <w:vAlign w:val="bottom"/>
            <w:gridSpan w:val="2"/>
          </w:tcPr>
          <w:p>
            <w:pPr>
              <w:ind w:left="160"/>
              <w:spacing w:after="0" w:line="130" w:lineRule="exact"/>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1"/>
                <w:szCs w:val="11"/>
                <w:color w:val="auto"/>
              </w:rPr>
            </w:pPr>
          </w:p>
        </w:tc>
        <w:tc>
          <w:tcPr>
            <w:tcW w:w="1380" w:type="dxa"/>
            <w:vAlign w:val="bottom"/>
            <w:gridSpan w:val="2"/>
          </w:tcPr>
          <w:p>
            <w:pPr>
              <w:jc w:val="center"/>
              <w:ind w:right="240"/>
              <w:spacing w:after="0" w:line="130" w:lineRule="exact"/>
              <w:rPr>
                <w:sz w:val="20"/>
                <w:szCs w:val="20"/>
                <w:color w:val="auto"/>
              </w:rPr>
            </w:pPr>
            <w:r>
              <w:rPr>
                <w:rFonts w:ascii="Arial" w:cs="Arial" w:eastAsia="Arial" w:hAnsi="Arial"/>
                <w:sz w:val="14"/>
                <w:szCs w:val="14"/>
                <w:b w:val="1"/>
                <w:bCs w:val="1"/>
                <w:color w:val="auto"/>
                <w:w w:val="89"/>
              </w:rPr>
              <w:t>June 30,</w:t>
            </w:r>
          </w:p>
        </w:tc>
        <w:tc>
          <w:tcPr>
            <w:tcW w:w="280" w:type="dxa"/>
            <w:vAlign w:val="bottom"/>
          </w:tcPr>
          <w:p>
            <w:pPr>
              <w:spacing w:after="0"/>
              <w:rPr>
                <w:sz w:val="11"/>
                <w:szCs w:val="11"/>
                <w:color w:val="auto"/>
              </w:rPr>
            </w:pPr>
          </w:p>
        </w:tc>
        <w:tc>
          <w:tcPr>
            <w:tcW w:w="1220" w:type="dxa"/>
            <w:vAlign w:val="bottom"/>
            <w:gridSpan w:val="2"/>
          </w:tcPr>
          <w:p>
            <w:pPr>
              <w:ind w:left="160"/>
              <w:spacing w:after="0" w:line="130" w:lineRule="exact"/>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11"/>
                <w:szCs w:val="11"/>
                <w:color w:val="auto"/>
              </w:rPr>
            </w:pPr>
          </w:p>
        </w:tc>
        <w:tc>
          <w:tcPr>
            <w:tcW w:w="1120" w:type="dxa"/>
            <w:vAlign w:val="bottom"/>
          </w:tcPr>
          <w:p>
            <w:pPr>
              <w:jc w:val="right"/>
              <w:ind w:right="354"/>
              <w:spacing w:after="0" w:line="130" w:lineRule="exact"/>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83"/>
        </w:trPr>
        <w:tc>
          <w:tcPr>
            <w:tcW w:w="386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17"/>
        </w:trPr>
        <w:tc>
          <w:tcPr>
            <w:tcW w:w="3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673,398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1,100,938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1,416,680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1,091,553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1,197,509</w:t>
            </w:r>
          </w:p>
        </w:tc>
        <w:tc>
          <w:tcPr>
            <w:tcW w:w="0" w:type="dxa"/>
            <w:vAlign w:val="bottom"/>
          </w:tcPr>
          <w:p>
            <w:pPr>
              <w:spacing w:after="0"/>
              <w:rPr>
                <w:sz w:val="1"/>
                <w:szCs w:val="1"/>
                <w:color w:val="auto"/>
              </w:rPr>
            </w:pPr>
          </w:p>
        </w:tc>
      </w:tr>
      <w:tr>
        <w:trPr>
          <w:trHeight w:val="223"/>
        </w:trPr>
        <w:tc>
          <w:tcPr>
            <w:tcW w:w="3860" w:type="dxa"/>
            <w:vAlign w:val="bottom"/>
          </w:tcPr>
          <w:p>
            <w:pPr>
              <w:ind w:left="20"/>
              <w:spacing w:after="0"/>
              <w:rPr>
                <w:sz w:val="20"/>
                <w:szCs w:val="20"/>
                <w:color w:val="auto"/>
              </w:rPr>
            </w:pPr>
            <w:r>
              <w:rPr>
                <w:rFonts w:ascii="Arial" w:cs="Arial" w:eastAsia="Arial" w:hAnsi="Arial"/>
                <w:sz w:val="17"/>
                <w:szCs w:val="17"/>
                <w:color w:val="auto"/>
              </w:rPr>
              <w:t>Cost of revenue</w:t>
            </w:r>
          </w:p>
        </w:tc>
        <w:tc>
          <w:tcPr>
            <w:tcW w:w="280" w:type="dxa"/>
            <w:vAlign w:val="bottom"/>
          </w:tcPr>
          <w:p>
            <w:pPr>
              <w:spacing w:after="0"/>
              <w:rPr>
                <w:sz w:val="19"/>
                <w:szCs w:val="19"/>
                <w:color w:val="auto"/>
              </w:rPr>
            </w:pPr>
          </w:p>
        </w:tc>
        <w:tc>
          <w:tcPr>
            <w:tcW w:w="1100" w:type="dxa"/>
            <w:vAlign w:val="bottom"/>
          </w:tcPr>
          <w:p>
            <w:pPr>
              <w:jc w:val="right"/>
              <w:ind w:right="134"/>
              <w:spacing w:after="0"/>
              <w:rPr>
                <w:sz w:val="20"/>
                <w:szCs w:val="20"/>
                <w:color w:val="auto"/>
              </w:rPr>
            </w:pPr>
            <w:r>
              <w:rPr>
                <w:rFonts w:ascii="Arial" w:cs="Arial" w:eastAsia="Arial" w:hAnsi="Arial"/>
                <w:sz w:val="17"/>
                <w:szCs w:val="17"/>
                <w:color w:val="auto"/>
              </w:rPr>
              <w:t>640,633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ind w:right="134"/>
              <w:spacing w:after="0"/>
              <w:rPr>
                <w:sz w:val="20"/>
                <w:szCs w:val="20"/>
                <w:color w:val="auto"/>
              </w:rPr>
            </w:pPr>
            <w:r>
              <w:rPr>
                <w:rFonts w:ascii="Arial" w:cs="Arial" w:eastAsia="Arial" w:hAnsi="Arial"/>
                <w:sz w:val="17"/>
                <w:szCs w:val="17"/>
                <w:color w:val="auto"/>
              </w:rPr>
              <w:t>998,762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ind w:right="115"/>
              <w:spacing w:after="0"/>
              <w:rPr>
                <w:sz w:val="20"/>
                <w:szCs w:val="20"/>
                <w:color w:val="auto"/>
              </w:rPr>
            </w:pPr>
            <w:r>
              <w:rPr>
                <w:rFonts w:ascii="Arial" w:cs="Arial" w:eastAsia="Arial" w:hAnsi="Arial"/>
                <w:sz w:val="17"/>
                <w:szCs w:val="17"/>
                <w:color w:val="auto"/>
              </w:rPr>
              <w:t>1,284,729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ind w:right="134"/>
              <w:spacing w:after="0"/>
              <w:rPr>
                <w:sz w:val="20"/>
                <w:szCs w:val="20"/>
                <w:color w:val="auto"/>
              </w:rPr>
            </w:pPr>
            <w:r>
              <w:rPr>
                <w:rFonts w:ascii="Arial" w:cs="Arial" w:eastAsia="Arial" w:hAnsi="Arial"/>
                <w:sz w:val="17"/>
                <w:szCs w:val="17"/>
                <w:color w:val="auto"/>
              </w:rPr>
              <w:t>999,617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ind w:right="134"/>
              <w:spacing w:after="0"/>
              <w:rPr>
                <w:sz w:val="20"/>
                <w:szCs w:val="20"/>
                <w:color w:val="auto"/>
              </w:rPr>
            </w:pPr>
            <w:r>
              <w:rPr>
                <w:rFonts w:ascii="Arial" w:cs="Arial" w:eastAsia="Arial" w:hAnsi="Arial"/>
                <w:sz w:val="17"/>
                <w:szCs w:val="17"/>
                <w:color w:val="auto"/>
              </w:rPr>
              <w:t>1,116,506</w:t>
            </w:r>
          </w:p>
        </w:tc>
        <w:tc>
          <w:tcPr>
            <w:tcW w:w="0" w:type="dxa"/>
            <w:vAlign w:val="bottom"/>
          </w:tcPr>
          <w:p>
            <w:pPr>
              <w:spacing w:after="0"/>
              <w:rPr>
                <w:sz w:val="1"/>
                <w:szCs w:val="1"/>
                <w:color w:val="auto"/>
              </w:rPr>
            </w:pPr>
          </w:p>
        </w:tc>
      </w:tr>
      <w:tr>
        <w:trPr>
          <w:trHeight w:val="223"/>
        </w:trPr>
        <w:tc>
          <w:tcPr>
            <w:tcW w:w="3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profit</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32,765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102,176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131,951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91,936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81,003</w:t>
            </w:r>
          </w:p>
        </w:tc>
        <w:tc>
          <w:tcPr>
            <w:tcW w:w="0" w:type="dxa"/>
            <w:vAlign w:val="bottom"/>
          </w:tcPr>
          <w:p>
            <w:pPr>
              <w:spacing w:after="0"/>
              <w:rPr>
                <w:sz w:val="1"/>
                <w:szCs w:val="1"/>
                <w:color w:val="auto"/>
              </w:rPr>
            </w:pPr>
          </w:p>
        </w:tc>
      </w:tr>
      <w:tr>
        <w:trPr>
          <w:trHeight w:val="223"/>
        </w:trPr>
        <w:tc>
          <w:tcPr>
            <w:tcW w:w="3860" w:type="dxa"/>
            <w:vAlign w:val="bottom"/>
          </w:tcPr>
          <w:p>
            <w:pPr>
              <w:ind w:left="20"/>
              <w:spacing w:after="0"/>
              <w:rPr>
                <w:sz w:val="20"/>
                <w:szCs w:val="20"/>
                <w:color w:val="auto"/>
              </w:rPr>
            </w:pPr>
            <w:r>
              <w:rPr>
                <w:rFonts w:ascii="Arial" w:cs="Arial" w:eastAsia="Arial" w:hAnsi="Arial"/>
                <w:sz w:val="17"/>
                <w:szCs w:val="17"/>
                <w:color w:val="auto"/>
              </w:rPr>
              <w:t>Gross margin %</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4.9 %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9.3 %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9.3 %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8.4 %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6.8 %</w:t>
            </w:r>
          </w:p>
        </w:tc>
        <w:tc>
          <w:tcPr>
            <w:tcW w:w="0" w:type="dxa"/>
            <w:vAlign w:val="bottom"/>
          </w:tcPr>
          <w:p>
            <w:pPr>
              <w:spacing w:after="0"/>
              <w:rPr>
                <w:sz w:val="1"/>
                <w:szCs w:val="1"/>
                <w:color w:val="auto"/>
              </w:rPr>
            </w:pPr>
          </w:p>
        </w:tc>
      </w:tr>
      <w:tr>
        <w:trPr>
          <w:trHeight w:val="223"/>
        </w:trPr>
        <w:tc>
          <w:tcPr>
            <w:tcW w:w="3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Selling, general and administrative expenses</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69,756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86,276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94,021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84,417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76,144</w:t>
            </w:r>
          </w:p>
        </w:tc>
        <w:tc>
          <w:tcPr>
            <w:tcW w:w="0" w:type="dxa"/>
            <w:vAlign w:val="bottom"/>
          </w:tcPr>
          <w:p>
            <w:pPr>
              <w:spacing w:after="0"/>
              <w:rPr>
                <w:sz w:val="1"/>
                <w:szCs w:val="1"/>
                <w:color w:val="auto"/>
              </w:rPr>
            </w:pPr>
          </w:p>
        </w:tc>
      </w:tr>
      <w:tr>
        <w:trPr>
          <w:trHeight w:val="223"/>
        </w:trPr>
        <w:tc>
          <w:tcPr>
            <w:tcW w:w="3860" w:type="dxa"/>
            <w:vAlign w:val="bottom"/>
          </w:tcPr>
          <w:p>
            <w:pPr>
              <w:ind w:left="20"/>
              <w:spacing w:after="0"/>
              <w:rPr>
                <w:sz w:val="20"/>
                <w:szCs w:val="20"/>
                <w:color w:val="auto"/>
              </w:rPr>
            </w:pPr>
            <w:r>
              <w:rPr>
                <w:rFonts w:ascii="Arial" w:cs="Arial" w:eastAsia="Arial" w:hAnsi="Arial"/>
                <w:sz w:val="17"/>
                <w:szCs w:val="17"/>
                <w:color w:val="auto"/>
              </w:rPr>
              <w:t>Selling, general and administrative %</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10.4 %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7.8 %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6.6 %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7.7 %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6.4 %</w:t>
            </w:r>
          </w:p>
        </w:tc>
        <w:tc>
          <w:tcPr>
            <w:tcW w:w="0" w:type="dxa"/>
            <w:vAlign w:val="bottom"/>
          </w:tcPr>
          <w:p>
            <w:pPr>
              <w:spacing w:after="0"/>
              <w:rPr>
                <w:sz w:val="1"/>
                <w:szCs w:val="1"/>
                <w:color w:val="auto"/>
              </w:rPr>
            </w:pPr>
          </w:p>
        </w:tc>
      </w:tr>
      <w:tr>
        <w:trPr>
          <w:trHeight w:val="223"/>
        </w:trPr>
        <w:tc>
          <w:tcPr>
            <w:tcW w:w="3860" w:type="dxa"/>
            <w:vAlign w:val="bottom"/>
            <w:shd w:val="clear" w:color="auto" w:fill="CCEEFF"/>
          </w:tcPr>
          <w:p>
            <w:pPr>
              <w:ind w:left="20"/>
              <w:spacing w:after="0"/>
              <w:rPr>
                <w:sz w:val="20"/>
                <w:szCs w:val="20"/>
                <w:color w:val="auto"/>
              </w:rPr>
            </w:pPr>
            <w:r>
              <w:rPr>
                <w:rFonts w:ascii="Arial" w:cs="Arial" w:eastAsia="Arial" w:hAnsi="Arial"/>
                <w:sz w:val="17"/>
                <w:szCs w:val="17"/>
                <w:color w:val="auto"/>
                <w:w w:val="97"/>
              </w:rPr>
              <w:t>Intangible asset impairments and restructuring costs</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6,756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52,525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17,998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3860" w:type="dxa"/>
            <w:vAlign w:val="bottom"/>
          </w:tcPr>
          <w:p>
            <w:pPr>
              <w:ind w:left="20"/>
              <w:spacing w:after="0"/>
              <w:rPr>
                <w:sz w:val="20"/>
                <w:szCs w:val="20"/>
                <w:color w:val="auto"/>
              </w:rPr>
            </w:pPr>
            <w:r>
              <w:rPr>
                <w:rFonts w:ascii="Arial" w:cs="Arial" w:eastAsia="Arial" w:hAnsi="Arial"/>
                <w:sz w:val="17"/>
                <w:szCs w:val="17"/>
                <w:color w:val="auto"/>
              </w:rPr>
              <w:t>Operating income (loss)</w:t>
            </w:r>
          </w:p>
        </w:tc>
        <w:tc>
          <w:tcPr>
            <w:tcW w:w="280" w:type="dxa"/>
            <w:vAlign w:val="bottom"/>
          </w:tcPr>
          <w:p>
            <w:pPr>
              <w:spacing w:after="0"/>
              <w:rPr>
                <w:sz w:val="19"/>
                <w:szCs w:val="19"/>
                <w:color w:val="auto"/>
              </w:rPr>
            </w:pPr>
          </w:p>
        </w:tc>
        <w:tc>
          <w:tcPr>
            <w:tcW w:w="1100" w:type="dxa"/>
            <w:vAlign w:val="bottom"/>
          </w:tcPr>
          <w:p>
            <w:pPr>
              <w:jc w:val="right"/>
              <w:ind w:right="94"/>
              <w:spacing w:after="0"/>
              <w:rPr>
                <w:sz w:val="20"/>
                <w:szCs w:val="20"/>
                <w:color w:val="auto"/>
              </w:rPr>
            </w:pPr>
            <w:r>
              <w:rPr>
                <w:rFonts w:ascii="Arial" w:cs="Arial" w:eastAsia="Arial" w:hAnsi="Arial"/>
                <w:sz w:val="17"/>
                <w:szCs w:val="17"/>
                <w:color w:val="auto"/>
              </w:rPr>
              <w:t>(43,747)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ind w:right="94"/>
              <w:spacing w:after="0"/>
              <w:rPr>
                <w:sz w:val="20"/>
                <w:szCs w:val="20"/>
                <w:color w:val="auto"/>
              </w:rPr>
            </w:pPr>
            <w:r>
              <w:rPr>
                <w:rFonts w:ascii="Arial" w:cs="Arial" w:eastAsia="Arial" w:hAnsi="Arial"/>
                <w:sz w:val="17"/>
                <w:szCs w:val="17"/>
                <w:color w:val="auto"/>
              </w:rPr>
              <w:t>(36,625)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ind w:right="115"/>
              <w:spacing w:after="0"/>
              <w:rPr>
                <w:sz w:val="20"/>
                <w:szCs w:val="20"/>
                <w:color w:val="auto"/>
              </w:rPr>
            </w:pPr>
            <w:r>
              <w:rPr>
                <w:rFonts w:ascii="Arial" w:cs="Arial" w:eastAsia="Arial" w:hAnsi="Arial"/>
                <w:sz w:val="17"/>
                <w:szCs w:val="17"/>
                <w:color w:val="auto"/>
              </w:rPr>
              <w:t>37,930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ind w:right="94"/>
              <w:spacing w:after="0"/>
              <w:rPr>
                <w:sz w:val="20"/>
                <w:szCs w:val="20"/>
                <w:color w:val="auto"/>
              </w:rPr>
            </w:pPr>
            <w:r>
              <w:rPr>
                <w:rFonts w:ascii="Arial" w:cs="Arial" w:eastAsia="Arial" w:hAnsi="Arial"/>
                <w:sz w:val="17"/>
                <w:szCs w:val="17"/>
                <w:color w:val="auto"/>
              </w:rPr>
              <w:t>(10,479)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ind w:right="134"/>
              <w:spacing w:after="0"/>
              <w:rPr>
                <w:sz w:val="20"/>
                <w:szCs w:val="20"/>
                <w:color w:val="auto"/>
              </w:rPr>
            </w:pPr>
            <w:r>
              <w:rPr>
                <w:rFonts w:ascii="Arial" w:cs="Arial" w:eastAsia="Arial" w:hAnsi="Arial"/>
                <w:sz w:val="17"/>
                <w:szCs w:val="17"/>
                <w:color w:val="auto"/>
              </w:rPr>
              <w:t>4,859</w:t>
            </w:r>
          </w:p>
        </w:tc>
        <w:tc>
          <w:tcPr>
            <w:tcW w:w="0" w:type="dxa"/>
            <w:vAlign w:val="bottom"/>
          </w:tcPr>
          <w:p>
            <w:pPr>
              <w:spacing w:after="0"/>
              <w:rPr>
                <w:sz w:val="1"/>
                <w:szCs w:val="1"/>
                <w:color w:val="auto"/>
              </w:rPr>
            </w:pPr>
          </w:p>
        </w:tc>
      </w:tr>
      <w:tr>
        <w:trPr>
          <w:trHeight w:val="223"/>
        </w:trPr>
        <w:tc>
          <w:tcPr>
            <w:tcW w:w="3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income (loss) %</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0.4 %</w:t>
            </w:r>
          </w:p>
        </w:tc>
        <w:tc>
          <w:tcPr>
            <w:tcW w:w="0" w:type="dxa"/>
            <w:vAlign w:val="bottom"/>
          </w:tcPr>
          <w:p>
            <w:pPr>
              <w:spacing w:after="0"/>
              <w:rPr>
                <w:sz w:val="1"/>
                <w:szCs w:val="1"/>
                <w:color w:val="auto"/>
              </w:rPr>
            </w:pPr>
          </w:p>
        </w:tc>
      </w:tr>
      <w:tr>
        <w:trPr>
          <w:trHeight w:val="171"/>
        </w:trPr>
        <w:tc>
          <w:tcPr>
            <w:tcW w:w="3860" w:type="dxa"/>
            <w:vAlign w:val="bottom"/>
          </w:tcPr>
          <w:p>
            <w:pPr>
              <w:ind w:left="20"/>
              <w:spacing w:after="0" w:line="172" w:lineRule="exact"/>
              <w:rPr>
                <w:sz w:val="20"/>
                <w:szCs w:val="20"/>
                <w:color w:val="auto"/>
              </w:rPr>
            </w:pPr>
            <w:r>
              <w:rPr>
                <w:rFonts w:ascii="Arial" w:cs="Arial" w:eastAsia="Arial" w:hAnsi="Arial"/>
                <w:sz w:val="17"/>
                <w:szCs w:val="17"/>
                <w:color w:val="auto"/>
              </w:rPr>
              <w:t>Net income (loss) attributable to Matrix Service</w:t>
            </w:r>
          </w:p>
        </w:tc>
        <w:tc>
          <w:tcPr>
            <w:tcW w:w="280" w:type="dxa"/>
            <w:vAlign w:val="bottom"/>
          </w:tcPr>
          <w:p>
            <w:pPr>
              <w:spacing w:after="0"/>
              <w:rPr>
                <w:sz w:val="14"/>
                <w:szCs w:val="14"/>
                <w:color w:val="auto"/>
              </w:rPr>
            </w:pPr>
          </w:p>
        </w:tc>
        <w:tc>
          <w:tcPr>
            <w:tcW w:w="1100" w:type="dxa"/>
            <w:vAlign w:val="bottom"/>
            <w:vMerge w:val="restart"/>
          </w:tcPr>
          <w:p>
            <w:pPr>
              <w:jc w:val="right"/>
              <w:ind w:right="94"/>
              <w:spacing w:after="0"/>
              <w:rPr>
                <w:sz w:val="20"/>
                <w:szCs w:val="20"/>
                <w:color w:val="auto"/>
              </w:rPr>
            </w:pPr>
            <w:r>
              <w:rPr>
                <w:rFonts w:ascii="Arial" w:cs="Arial" w:eastAsia="Arial" w:hAnsi="Arial"/>
                <w:sz w:val="17"/>
                <w:szCs w:val="17"/>
                <w:color w:val="auto"/>
              </w:rPr>
              <w:t>(31,224)</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vMerge w:val="restart"/>
          </w:tcPr>
          <w:p>
            <w:pPr>
              <w:jc w:val="right"/>
              <w:ind w:right="94"/>
              <w:spacing w:after="0"/>
              <w:rPr>
                <w:sz w:val="20"/>
                <w:szCs w:val="20"/>
                <w:color w:val="auto"/>
              </w:rPr>
            </w:pPr>
            <w:r>
              <w:rPr>
                <w:rFonts w:ascii="Arial" w:cs="Arial" w:eastAsia="Arial" w:hAnsi="Arial"/>
                <w:sz w:val="17"/>
                <w:szCs w:val="17"/>
                <w:color w:val="auto"/>
              </w:rPr>
              <w:t>(33,074)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vMerge w:val="restart"/>
          </w:tcPr>
          <w:p>
            <w:pPr>
              <w:jc w:val="right"/>
              <w:ind w:right="115"/>
              <w:spacing w:after="0"/>
              <w:rPr>
                <w:sz w:val="20"/>
                <w:szCs w:val="20"/>
                <w:color w:val="auto"/>
              </w:rPr>
            </w:pPr>
            <w:r>
              <w:rPr>
                <w:rFonts w:ascii="Arial" w:cs="Arial" w:eastAsia="Arial" w:hAnsi="Arial"/>
                <w:sz w:val="17"/>
                <w:szCs w:val="17"/>
                <w:color w:val="auto"/>
              </w:rPr>
              <w:t>27,982</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vMerge w:val="restart"/>
          </w:tcPr>
          <w:p>
            <w:pPr>
              <w:jc w:val="right"/>
              <w:ind w:right="94"/>
              <w:spacing w:after="0"/>
              <w:rPr>
                <w:sz w:val="20"/>
                <w:szCs w:val="20"/>
                <w:color w:val="auto"/>
              </w:rPr>
            </w:pPr>
            <w:r>
              <w:rPr>
                <w:rFonts w:ascii="Arial" w:cs="Arial" w:eastAsia="Arial" w:hAnsi="Arial"/>
                <w:sz w:val="17"/>
                <w:szCs w:val="17"/>
                <w:color w:val="auto"/>
              </w:rPr>
              <w:t>(11,480)</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vMerge w:val="restart"/>
          </w:tcPr>
          <w:p>
            <w:pPr>
              <w:jc w:val="right"/>
              <w:ind w:right="74"/>
              <w:spacing w:after="0"/>
              <w:rPr>
                <w:sz w:val="20"/>
                <w:szCs w:val="20"/>
                <w:color w:val="auto"/>
              </w:rPr>
            </w:pPr>
            <w:r>
              <w:rPr>
                <w:rFonts w:ascii="Arial" w:cs="Arial" w:eastAsia="Arial" w:hAnsi="Arial"/>
                <w:sz w:val="17"/>
                <w:szCs w:val="17"/>
                <w:color w:val="auto"/>
              </w:rPr>
              <w:t>(183)</w:t>
            </w:r>
          </w:p>
        </w:tc>
        <w:tc>
          <w:tcPr>
            <w:tcW w:w="0" w:type="dxa"/>
            <w:vAlign w:val="bottom"/>
          </w:tcPr>
          <w:p>
            <w:pPr>
              <w:spacing w:after="0"/>
              <w:rPr>
                <w:sz w:val="1"/>
                <w:szCs w:val="1"/>
                <w:color w:val="auto"/>
              </w:rPr>
            </w:pPr>
          </w:p>
        </w:tc>
      </w:tr>
      <w:tr>
        <w:trPr>
          <w:trHeight w:val="222"/>
        </w:trPr>
        <w:tc>
          <w:tcPr>
            <w:tcW w:w="3860" w:type="dxa"/>
            <w:vAlign w:val="bottom"/>
          </w:tcPr>
          <w:p>
            <w:pPr>
              <w:ind w:left="20"/>
              <w:spacing w:after="0"/>
              <w:rPr>
                <w:sz w:val="20"/>
                <w:szCs w:val="20"/>
                <w:color w:val="auto"/>
              </w:rPr>
            </w:pPr>
            <w:r>
              <w:rPr>
                <w:rFonts w:ascii="Arial" w:cs="Arial" w:eastAsia="Arial" w:hAnsi="Arial"/>
                <w:sz w:val="17"/>
                <w:szCs w:val="17"/>
                <w:color w:val="auto"/>
              </w:rPr>
              <w:t>Company</w:t>
            </w:r>
          </w:p>
        </w:tc>
        <w:tc>
          <w:tcPr>
            <w:tcW w:w="28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Earnings (loss) per share-basic</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(1.18)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(1.24)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1.04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(0.43)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(0.01)</w:t>
            </w:r>
          </w:p>
        </w:tc>
        <w:tc>
          <w:tcPr>
            <w:tcW w:w="0" w:type="dxa"/>
            <w:vAlign w:val="bottom"/>
          </w:tcPr>
          <w:p>
            <w:pPr>
              <w:spacing w:after="0"/>
              <w:rPr>
                <w:sz w:val="1"/>
                <w:szCs w:val="1"/>
                <w:color w:val="auto"/>
              </w:rPr>
            </w:pPr>
          </w:p>
        </w:tc>
      </w:tr>
      <w:tr>
        <w:trPr>
          <w:trHeight w:val="223"/>
        </w:trPr>
        <w:tc>
          <w:tcPr>
            <w:tcW w:w="3860" w:type="dxa"/>
            <w:vAlign w:val="bottom"/>
          </w:tcPr>
          <w:p>
            <w:pPr>
              <w:ind w:left="20"/>
              <w:spacing w:after="0"/>
              <w:rPr>
                <w:sz w:val="20"/>
                <w:szCs w:val="20"/>
                <w:color w:val="auto"/>
              </w:rPr>
            </w:pPr>
            <w:r>
              <w:rPr>
                <w:rFonts w:ascii="Arial" w:cs="Arial" w:eastAsia="Arial" w:hAnsi="Arial"/>
                <w:sz w:val="17"/>
                <w:szCs w:val="17"/>
                <w:color w:val="auto"/>
              </w:rPr>
              <w:t>Earnings (loss) per share-diluted</w:t>
            </w:r>
          </w:p>
        </w:tc>
        <w:tc>
          <w:tcPr>
            <w:tcW w:w="280" w:type="dxa"/>
            <w:vAlign w:val="bottom"/>
          </w:tcPr>
          <w:p>
            <w:pPr>
              <w:spacing w:after="0"/>
              <w:rPr>
                <w:sz w:val="19"/>
                <w:szCs w:val="19"/>
                <w:color w:val="auto"/>
              </w:rPr>
            </w:pPr>
          </w:p>
        </w:tc>
        <w:tc>
          <w:tcPr>
            <w:tcW w:w="1100" w:type="dxa"/>
            <w:vAlign w:val="bottom"/>
          </w:tcPr>
          <w:p>
            <w:pPr>
              <w:jc w:val="right"/>
              <w:ind w:right="94"/>
              <w:spacing w:after="0"/>
              <w:rPr>
                <w:sz w:val="20"/>
                <w:szCs w:val="20"/>
                <w:color w:val="auto"/>
              </w:rPr>
            </w:pPr>
            <w:r>
              <w:rPr>
                <w:rFonts w:ascii="Arial" w:cs="Arial" w:eastAsia="Arial" w:hAnsi="Arial"/>
                <w:sz w:val="17"/>
                <w:szCs w:val="17"/>
                <w:color w:val="auto"/>
              </w:rPr>
              <w:t>(1.18)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ind w:right="94"/>
              <w:spacing w:after="0"/>
              <w:rPr>
                <w:sz w:val="20"/>
                <w:szCs w:val="20"/>
                <w:color w:val="auto"/>
              </w:rPr>
            </w:pPr>
            <w:r>
              <w:rPr>
                <w:rFonts w:ascii="Arial" w:cs="Arial" w:eastAsia="Arial" w:hAnsi="Arial"/>
                <w:sz w:val="17"/>
                <w:szCs w:val="17"/>
                <w:color w:val="auto"/>
              </w:rPr>
              <w:t>(1.24)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ind w:right="115"/>
              <w:spacing w:after="0"/>
              <w:rPr>
                <w:sz w:val="20"/>
                <w:szCs w:val="20"/>
                <w:color w:val="auto"/>
              </w:rPr>
            </w:pPr>
            <w:r>
              <w:rPr>
                <w:rFonts w:ascii="Arial" w:cs="Arial" w:eastAsia="Arial" w:hAnsi="Arial"/>
                <w:sz w:val="17"/>
                <w:szCs w:val="17"/>
                <w:color w:val="auto"/>
              </w:rPr>
              <w:t>1.01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ind w:right="94"/>
              <w:spacing w:after="0"/>
              <w:rPr>
                <w:sz w:val="20"/>
                <w:szCs w:val="20"/>
                <w:color w:val="auto"/>
              </w:rPr>
            </w:pPr>
            <w:r>
              <w:rPr>
                <w:rFonts w:ascii="Arial" w:cs="Arial" w:eastAsia="Arial" w:hAnsi="Arial"/>
                <w:sz w:val="17"/>
                <w:szCs w:val="17"/>
                <w:color w:val="auto"/>
              </w:rPr>
              <w:t>(0.43)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ind w:right="74"/>
              <w:spacing w:after="0"/>
              <w:rPr>
                <w:sz w:val="20"/>
                <w:szCs w:val="20"/>
                <w:color w:val="auto"/>
              </w:rPr>
            </w:pPr>
            <w:r>
              <w:rPr>
                <w:rFonts w:ascii="Arial" w:cs="Arial" w:eastAsia="Arial" w:hAnsi="Arial"/>
                <w:sz w:val="17"/>
                <w:szCs w:val="17"/>
                <w:color w:val="auto"/>
              </w:rPr>
              <w:t>(0.01)</w:t>
            </w:r>
          </w:p>
        </w:tc>
        <w:tc>
          <w:tcPr>
            <w:tcW w:w="0" w:type="dxa"/>
            <w:vAlign w:val="bottom"/>
          </w:tcPr>
          <w:p>
            <w:pPr>
              <w:spacing w:after="0"/>
              <w:rPr>
                <w:sz w:val="1"/>
                <w:szCs w:val="1"/>
                <w:color w:val="auto"/>
              </w:rPr>
            </w:pPr>
          </w:p>
        </w:tc>
      </w:tr>
      <w:tr>
        <w:trPr>
          <w:trHeight w:val="223"/>
        </w:trPr>
        <w:tc>
          <w:tcPr>
            <w:tcW w:w="3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Working capital</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137,817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159,213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141,811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118,581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139,654</w:t>
            </w:r>
          </w:p>
        </w:tc>
        <w:tc>
          <w:tcPr>
            <w:tcW w:w="0" w:type="dxa"/>
            <w:vAlign w:val="bottom"/>
          </w:tcPr>
          <w:p>
            <w:pPr>
              <w:spacing w:after="0"/>
              <w:rPr>
                <w:sz w:val="1"/>
                <w:szCs w:val="1"/>
                <w:color w:val="auto"/>
              </w:rPr>
            </w:pPr>
          </w:p>
        </w:tc>
      </w:tr>
      <w:tr>
        <w:trPr>
          <w:trHeight w:val="223"/>
        </w:trPr>
        <w:tc>
          <w:tcPr>
            <w:tcW w:w="3860" w:type="dxa"/>
            <w:vAlign w:val="bottom"/>
          </w:tcPr>
          <w:p>
            <w:pPr>
              <w:ind w:left="20"/>
              <w:spacing w:after="0"/>
              <w:rPr>
                <w:sz w:val="20"/>
                <w:szCs w:val="20"/>
                <w:color w:val="auto"/>
              </w:rPr>
            </w:pPr>
            <w:r>
              <w:rPr>
                <w:rFonts w:ascii="Arial" w:cs="Arial" w:eastAsia="Arial" w:hAnsi="Arial"/>
                <w:sz w:val="17"/>
                <w:szCs w:val="17"/>
                <w:color w:val="auto"/>
              </w:rPr>
              <w:t>Total assets</w:t>
            </w:r>
          </w:p>
        </w:tc>
        <w:tc>
          <w:tcPr>
            <w:tcW w:w="280" w:type="dxa"/>
            <w:vAlign w:val="bottom"/>
          </w:tcPr>
          <w:p>
            <w:pPr>
              <w:spacing w:after="0"/>
              <w:rPr>
                <w:sz w:val="19"/>
                <w:szCs w:val="19"/>
                <w:color w:val="auto"/>
              </w:rPr>
            </w:pPr>
          </w:p>
        </w:tc>
        <w:tc>
          <w:tcPr>
            <w:tcW w:w="1100" w:type="dxa"/>
            <w:vAlign w:val="bottom"/>
          </w:tcPr>
          <w:p>
            <w:pPr>
              <w:jc w:val="right"/>
              <w:ind w:right="134"/>
              <w:spacing w:after="0"/>
              <w:rPr>
                <w:sz w:val="20"/>
                <w:szCs w:val="20"/>
                <w:color w:val="auto"/>
              </w:rPr>
            </w:pPr>
            <w:r>
              <w:rPr>
                <w:rFonts w:ascii="Arial" w:cs="Arial" w:eastAsia="Arial" w:hAnsi="Arial"/>
                <w:sz w:val="17"/>
                <w:szCs w:val="17"/>
                <w:color w:val="auto"/>
              </w:rPr>
              <w:t>467,556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ind w:right="134"/>
              <w:spacing w:after="0"/>
              <w:rPr>
                <w:sz w:val="20"/>
                <w:szCs w:val="20"/>
                <w:color w:val="auto"/>
              </w:rPr>
            </w:pPr>
            <w:r>
              <w:rPr>
                <w:rFonts w:ascii="Arial" w:cs="Arial" w:eastAsia="Arial" w:hAnsi="Arial"/>
                <w:sz w:val="17"/>
                <w:szCs w:val="17"/>
                <w:color w:val="auto"/>
              </w:rPr>
              <w:t>517,310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ind w:right="115"/>
              <w:spacing w:after="0"/>
              <w:rPr>
                <w:sz w:val="20"/>
                <w:szCs w:val="20"/>
                <w:color w:val="auto"/>
              </w:rPr>
            </w:pPr>
            <w:r>
              <w:rPr>
                <w:rFonts w:ascii="Arial" w:cs="Arial" w:eastAsia="Arial" w:hAnsi="Arial"/>
                <w:sz w:val="17"/>
                <w:szCs w:val="17"/>
                <w:color w:val="auto"/>
              </w:rPr>
              <w:t>633,394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ind w:right="134"/>
              <w:spacing w:after="0"/>
              <w:rPr>
                <w:sz w:val="20"/>
                <w:szCs w:val="20"/>
                <w:color w:val="auto"/>
              </w:rPr>
            </w:pPr>
            <w:r>
              <w:rPr>
                <w:rFonts w:ascii="Arial" w:cs="Arial" w:eastAsia="Arial" w:hAnsi="Arial"/>
                <w:sz w:val="17"/>
                <w:szCs w:val="17"/>
                <w:color w:val="auto"/>
              </w:rPr>
              <w:t>558,033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ind w:right="134"/>
              <w:spacing w:after="0"/>
              <w:rPr>
                <w:sz w:val="20"/>
                <w:szCs w:val="20"/>
                <w:color w:val="auto"/>
              </w:rPr>
            </w:pPr>
            <w:r>
              <w:rPr>
                <w:rFonts w:ascii="Arial" w:cs="Arial" w:eastAsia="Arial" w:hAnsi="Arial"/>
                <w:sz w:val="17"/>
                <w:szCs w:val="17"/>
                <w:color w:val="auto"/>
              </w:rPr>
              <w:t>586,030</w:t>
            </w:r>
          </w:p>
        </w:tc>
        <w:tc>
          <w:tcPr>
            <w:tcW w:w="0" w:type="dxa"/>
            <w:vAlign w:val="bottom"/>
          </w:tcPr>
          <w:p>
            <w:pPr>
              <w:spacing w:after="0"/>
              <w:rPr>
                <w:sz w:val="1"/>
                <w:szCs w:val="1"/>
                <w:color w:val="auto"/>
              </w:rPr>
            </w:pPr>
          </w:p>
        </w:tc>
      </w:tr>
      <w:tr>
        <w:trPr>
          <w:trHeight w:val="223"/>
        </w:trPr>
        <w:tc>
          <w:tcPr>
            <w:tcW w:w="3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Long-term debt</w:t>
            </w: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9,208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5,347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44,682</w:t>
            </w:r>
          </w:p>
        </w:tc>
        <w:tc>
          <w:tcPr>
            <w:tcW w:w="0" w:type="dxa"/>
            <w:vAlign w:val="bottom"/>
          </w:tcPr>
          <w:p>
            <w:pPr>
              <w:spacing w:after="0"/>
              <w:rPr>
                <w:sz w:val="1"/>
                <w:szCs w:val="1"/>
                <w:color w:val="auto"/>
              </w:rPr>
            </w:pPr>
          </w:p>
        </w:tc>
      </w:tr>
      <w:tr>
        <w:trPr>
          <w:trHeight w:val="223"/>
        </w:trPr>
        <w:tc>
          <w:tcPr>
            <w:tcW w:w="3860" w:type="dxa"/>
            <w:vAlign w:val="bottom"/>
          </w:tcPr>
          <w:p>
            <w:pPr>
              <w:ind w:left="20"/>
              <w:spacing w:after="0"/>
              <w:rPr>
                <w:sz w:val="20"/>
                <w:szCs w:val="20"/>
                <w:color w:val="auto"/>
              </w:rPr>
            </w:pPr>
            <w:r>
              <w:rPr>
                <w:rFonts w:ascii="Arial" w:cs="Arial" w:eastAsia="Arial" w:hAnsi="Arial"/>
                <w:sz w:val="17"/>
                <w:szCs w:val="17"/>
                <w:color w:val="auto"/>
              </w:rPr>
              <w:t>Capital expenditures</w:t>
            </w:r>
          </w:p>
        </w:tc>
        <w:tc>
          <w:tcPr>
            <w:tcW w:w="280" w:type="dxa"/>
            <w:vAlign w:val="bottom"/>
          </w:tcPr>
          <w:p>
            <w:pPr>
              <w:spacing w:after="0"/>
              <w:rPr>
                <w:sz w:val="19"/>
                <w:szCs w:val="19"/>
                <w:color w:val="auto"/>
              </w:rPr>
            </w:pPr>
          </w:p>
        </w:tc>
        <w:tc>
          <w:tcPr>
            <w:tcW w:w="1100" w:type="dxa"/>
            <w:vAlign w:val="bottom"/>
          </w:tcPr>
          <w:p>
            <w:pPr>
              <w:jc w:val="right"/>
              <w:ind w:right="134"/>
              <w:spacing w:after="0"/>
              <w:rPr>
                <w:sz w:val="20"/>
                <w:szCs w:val="20"/>
                <w:color w:val="auto"/>
              </w:rPr>
            </w:pPr>
            <w:r>
              <w:rPr>
                <w:rFonts w:ascii="Arial" w:cs="Arial" w:eastAsia="Arial" w:hAnsi="Arial"/>
                <w:sz w:val="17"/>
                <w:szCs w:val="17"/>
                <w:color w:val="auto"/>
              </w:rPr>
              <w:t>4,354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ind w:right="134"/>
              <w:spacing w:after="0"/>
              <w:rPr>
                <w:sz w:val="20"/>
                <w:szCs w:val="20"/>
                <w:color w:val="auto"/>
              </w:rPr>
            </w:pPr>
            <w:r>
              <w:rPr>
                <w:rFonts w:ascii="Arial" w:cs="Arial" w:eastAsia="Arial" w:hAnsi="Arial"/>
                <w:sz w:val="17"/>
                <w:szCs w:val="17"/>
                <w:color w:val="auto"/>
              </w:rPr>
              <w:t>18,539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ind w:right="115"/>
              <w:spacing w:after="0"/>
              <w:rPr>
                <w:sz w:val="20"/>
                <w:szCs w:val="20"/>
                <w:color w:val="auto"/>
              </w:rPr>
            </w:pPr>
            <w:r>
              <w:rPr>
                <w:rFonts w:ascii="Arial" w:cs="Arial" w:eastAsia="Arial" w:hAnsi="Arial"/>
                <w:sz w:val="17"/>
                <w:szCs w:val="17"/>
                <w:color w:val="auto"/>
              </w:rPr>
              <w:t>19,558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ind w:right="134"/>
              <w:spacing w:after="0"/>
              <w:rPr>
                <w:sz w:val="20"/>
                <w:szCs w:val="20"/>
                <w:color w:val="auto"/>
              </w:rPr>
            </w:pPr>
            <w:r>
              <w:rPr>
                <w:rFonts w:ascii="Arial" w:cs="Arial" w:eastAsia="Arial" w:hAnsi="Arial"/>
                <w:sz w:val="17"/>
                <w:szCs w:val="17"/>
                <w:color w:val="auto"/>
              </w:rPr>
              <w:t>8,711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ind w:right="134"/>
              <w:spacing w:after="0"/>
              <w:rPr>
                <w:sz w:val="20"/>
                <w:szCs w:val="20"/>
                <w:color w:val="auto"/>
              </w:rPr>
            </w:pPr>
            <w:r>
              <w:rPr>
                <w:rFonts w:ascii="Arial" w:cs="Arial" w:eastAsia="Arial" w:hAnsi="Arial"/>
                <w:sz w:val="17"/>
                <w:szCs w:val="17"/>
                <w:color w:val="auto"/>
              </w:rPr>
              <w:t>11,908</w:t>
            </w:r>
          </w:p>
        </w:tc>
        <w:tc>
          <w:tcPr>
            <w:tcW w:w="0" w:type="dxa"/>
            <w:vAlign w:val="bottom"/>
          </w:tcPr>
          <w:p>
            <w:pPr>
              <w:spacing w:after="0"/>
              <w:rPr>
                <w:sz w:val="1"/>
                <w:szCs w:val="1"/>
                <w:color w:val="auto"/>
              </w:rPr>
            </w:pPr>
          </w:p>
        </w:tc>
      </w:tr>
      <w:tr>
        <w:trPr>
          <w:trHeight w:val="223"/>
        </w:trPr>
        <w:tc>
          <w:tcPr>
            <w:tcW w:w="3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flows provided (used) by operations</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(2,971)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44,085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41,394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74,671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(18,746)</w:t>
            </w:r>
          </w:p>
        </w:tc>
        <w:tc>
          <w:tcPr>
            <w:tcW w:w="0" w:type="dxa"/>
            <w:vAlign w:val="bottom"/>
          </w:tcPr>
          <w:p>
            <w:pPr>
              <w:spacing w:after="0"/>
              <w:rPr>
                <w:sz w:val="1"/>
                <w:szCs w:val="1"/>
                <w:color w:val="auto"/>
              </w:rPr>
            </w:pPr>
          </w:p>
        </w:tc>
      </w:tr>
      <w:tr>
        <w:trPr>
          <w:trHeight w:val="222"/>
        </w:trPr>
        <w:tc>
          <w:tcPr>
            <w:tcW w:w="3860" w:type="dxa"/>
            <w:vAlign w:val="bottom"/>
          </w:tcPr>
          <w:p>
            <w:pPr>
              <w:ind w:left="20"/>
              <w:spacing w:after="0"/>
              <w:rPr>
                <w:sz w:val="20"/>
                <w:szCs w:val="20"/>
                <w:color w:val="auto"/>
              </w:rPr>
            </w:pPr>
            <w:r>
              <w:rPr>
                <w:rFonts w:ascii="Arial" w:cs="Arial" w:eastAsia="Arial" w:hAnsi="Arial"/>
                <w:sz w:val="17"/>
                <w:szCs w:val="17"/>
                <w:color w:val="auto"/>
              </w:rPr>
              <w:t>Backlog</w:t>
            </w:r>
          </w:p>
        </w:tc>
        <w:tc>
          <w:tcPr>
            <w:tcW w:w="280" w:type="dxa"/>
            <w:vAlign w:val="bottom"/>
          </w:tcPr>
          <w:p>
            <w:pPr>
              <w:spacing w:after="0"/>
              <w:rPr>
                <w:sz w:val="19"/>
                <w:szCs w:val="19"/>
                <w:color w:val="auto"/>
              </w:rPr>
            </w:pPr>
          </w:p>
        </w:tc>
        <w:tc>
          <w:tcPr>
            <w:tcW w:w="1100" w:type="dxa"/>
            <w:vAlign w:val="bottom"/>
          </w:tcPr>
          <w:p>
            <w:pPr>
              <w:jc w:val="right"/>
              <w:ind w:right="134"/>
              <w:spacing w:after="0"/>
              <w:rPr>
                <w:sz w:val="20"/>
                <w:szCs w:val="20"/>
                <w:color w:val="auto"/>
              </w:rPr>
            </w:pPr>
            <w:r>
              <w:rPr>
                <w:rFonts w:ascii="Arial" w:cs="Arial" w:eastAsia="Arial" w:hAnsi="Arial"/>
                <w:sz w:val="17"/>
                <w:szCs w:val="17"/>
                <w:color w:val="auto"/>
              </w:rPr>
              <w:t>462,561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ind w:right="134"/>
              <w:spacing w:after="0"/>
              <w:rPr>
                <w:sz w:val="20"/>
                <w:szCs w:val="20"/>
                <w:color w:val="auto"/>
              </w:rPr>
            </w:pPr>
            <w:r>
              <w:rPr>
                <w:rFonts w:ascii="Arial" w:cs="Arial" w:eastAsia="Arial" w:hAnsi="Arial"/>
                <w:sz w:val="17"/>
                <w:szCs w:val="17"/>
                <w:color w:val="auto"/>
              </w:rPr>
              <w:t>758,465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ind w:right="115"/>
              <w:spacing w:after="0"/>
              <w:rPr>
                <w:sz w:val="20"/>
                <w:szCs w:val="20"/>
                <w:color w:val="auto"/>
              </w:rPr>
            </w:pPr>
            <w:r>
              <w:rPr>
                <w:rFonts w:ascii="Arial" w:cs="Arial" w:eastAsia="Arial" w:hAnsi="Arial"/>
                <w:sz w:val="17"/>
                <w:szCs w:val="17"/>
                <w:color w:val="auto"/>
              </w:rPr>
              <w:t>1,098,349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ind w:right="134"/>
              <w:spacing w:after="0"/>
              <w:rPr>
                <w:sz w:val="20"/>
                <w:szCs w:val="20"/>
                <w:color w:val="auto"/>
              </w:rPr>
            </w:pPr>
            <w:r>
              <w:rPr>
                <w:rFonts w:ascii="Arial" w:cs="Arial" w:eastAsia="Arial" w:hAnsi="Arial"/>
                <w:sz w:val="17"/>
                <w:szCs w:val="17"/>
                <w:color w:val="auto"/>
              </w:rPr>
              <w:t>1,218,596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ind w:right="134"/>
              <w:spacing w:after="0"/>
              <w:rPr>
                <w:sz w:val="20"/>
                <w:szCs w:val="20"/>
                <w:color w:val="auto"/>
              </w:rPr>
            </w:pPr>
            <w:r>
              <w:rPr>
                <w:rFonts w:ascii="Arial" w:cs="Arial" w:eastAsia="Arial" w:hAnsi="Arial"/>
                <w:sz w:val="17"/>
                <w:szCs w:val="17"/>
                <w:color w:val="auto"/>
              </w:rPr>
              <w:t>682,273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5"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090909"/>
        </w:rPr>
        <w:t>Refer to the Results of Operations section included in Item 7 of this Annual Report on Form 10-K for a discussion of the operating results for the fiscal year ended 2021 in comparison to the fiscal year ended 2020.</w:t>
      </w:r>
    </w:p>
    <w:p>
      <w:pPr>
        <w:spacing w:after="0" w:line="3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 Management’s Discussion and Analysis of Financial Condition and Results of Operations</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Management’s discussion and analysis of our financial condition and results of operations is based on our consolidated financial statements, which have been prepared in accordance with accounting principles generally accepted in the United States (“GAAP”). GAAP represents a comprehensive set of accounting and disclosure rules and requirements, the application of which requires management judgments and estimates including, in certain circumstances, choices between acceptable GAAP alternatives. The preparation of these consolidated financial statements requires management to make estimates and assumptions that affect the reported amounts of assets and liabilities and disclosure of contingent assets and liabilities, if any, at the date of the financial statements, and the reported amounts of revenue and expenses during the reporting period. We base our estimates on historical experience and various other assumptions that are believed to be reasonable under the circumstances. Actual results could differ from these estimates under different assumptions or conditions. Note 1- Summary of Significant Accounting Policies of the Notes to Consolidated Financial Statements included in Part II, Item 8 - Financial Statements and Supplementary Data in this Annual Report on Form 10-K, contains a comprehensive summary of our significant accounting policies. The following is a discussion of our most critical accounting policies, estimates, judgments and uncertainties that are inherent in our application of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7" w:name="page28"/>
    <w:bookmarkEnd w:id="2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 in Reportable Segments</w:t>
      </w:r>
    </w:p>
    <w:p>
      <w:pPr>
        <w:spacing w:after="0" w:line="277" w:lineRule="exact"/>
        <w:rPr>
          <w:sz w:val="20"/>
          <w:szCs w:val="20"/>
          <w:color w:val="auto"/>
        </w:rPr>
      </w:pPr>
    </w:p>
    <w:p>
      <w:pPr>
        <w:spacing w:after="0" w:line="322" w:lineRule="auto"/>
        <w:rPr>
          <w:sz w:val="20"/>
          <w:szCs w:val="20"/>
          <w:color w:val="auto"/>
        </w:rPr>
      </w:pPr>
      <w:r>
        <w:rPr>
          <w:rFonts w:ascii="Arial" w:cs="Arial" w:eastAsia="Arial" w:hAnsi="Arial"/>
          <w:sz w:val="16"/>
          <w:szCs w:val="16"/>
          <w:color w:val="auto"/>
        </w:rPr>
        <w:t>Due to changing markets facing our clients and to better align our financial reporting with our long-term strategic growth areas, we began reporting our financial results under new reportable segments effective July 1, 2020. The new reportable segments along with a description of each are as follows:</w:t>
      </w:r>
    </w:p>
    <w:p>
      <w:pPr>
        <w:spacing w:after="0" w:line="77" w:lineRule="exact"/>
        <w:rPr>
          <w:sz w:val="20"/>
          <w:szCs w:val="20"/>
          <w:color w:val="auto"/>
        </w:rPr>
      </w:pPr>
    </w:p>
    <w:p>
      <w:pPr>
        <w:jc w:val="both"/>
        <w:ind w:left="640" w:hanging="320"/>
        <w:spacing w:after="0" w:line="317" w:lineRule="auto"/>
        <w:tabs>
          <w:tab w:leader="none" w:pos="635" w:val="left"/>
        </w:tabs>
        <w:numPr>
          <w:ilvl w:val="0"/>
          <w:numId w:val="18"/>
        </w:numPr>
        <w:rPr>
          <w:rFonts w:ascii="Arial" w:cs="Arial" w:eastAsia="Arial" w:hAnsi="Arial"/>
          <w:sz w:val="15"/>
          <w:szCs w:val="15"/>
          <w:color w:val="auto"/>
        </w:rPr>
      </w:pPr>
      <w:r>
        <w:rPr>
          <w:rFonts w:ascii="Arial" w:cs="Arial" w:eastAsia="Arial" w:hAnsi="Arial"/>
          <w:sz w:val="15"/>
          <w:szCs w:val="15"/>
          <w:b w:val="1"/>
          <w:bCs w:val="1"/>
          <w:u w:val="single" w:color="auto"/>
          <w:color w:val="auto"/>
        </w:rPr>
        <w:t>Utility and Power Infrastructure</w:t>
      </w:r>
      <w:r>
        <w:rPr>
          <w:rFonts w:ascii="Arial" w:cs="Arial" w:eastAsia="Arial" w:hAnsi="Arial"/>
          <w:sz w:val="15"/>
          <w:szCs w:val="15"/>
          <w:color w:val="auto"/>
        </w:rPr>
        <w:t>: consists of power delivery services provided to investor owned utilities, including construction of new substations,</w:t>
      </w:r>
      <w:r>
        <w:rPr>
          <w:rFonts w:ascii="Arial" w:cs="Arial" w:eastAsia="Arial" w:hAnsi="Arial"/>
          <w:sz w:val="15"/>
          <w:szCs w:val="15"/>
          <w:b w:val="1"/>
          <w:bCs w:val="1"/>
          <w:color w:val="auto"/>
        </w:rPr>
        <w:t xml:space="preserve"> </w:t>
      </w:r>
      <w:r>
        <w:rPr>
          <w:rFonts w:ascii="Arial" w:cs="Arial" w:eastAsia="Arial" w:hAnsi="Arial"/>
          <w:sz w:val="15"/>
          <w:szCs w:val="15"/>
          <w:color w:val="auto"/>
        </w:rPr>
        <w:t>upgrades of existing substations, transmission and distribution line installations, upgrades and maintenance, as well as emergency and storm restoration services. We also provide construction and maintenance services to a variety of power generation facilities, including natural gas fired facilities in simple or combined cycle configuration and provide engineering, fabrication, and construction services for LNG utility peak shaving facilities.</w:t>
      </w:r>
    </w:p>
    <w:p>
      <w:pPr>
        <w:spacing w:after="0" w:line="85" w:lineRule="exact"/>
        <w:rPr>
          <w:rFonts w:ascii="Arial" w:cs="Arial" w:eastAsia="Arial" w:hAnsi="Arial"/>
          <w:sz w:val="15"/>
          <w:szCs w:val="15"/>
          <w:color w:val="auto"/>
        </w:rPr>
      </w:pPr>
    </w:p>
    <w:p>
      <w:pPr>
        <w:jc w:val="both"/>
        <w:ind w:left="640" w:hanging="320"/>
        <w:spacing w:after="0" w:line="267" w:lineRule="auto"/>
        <w:tabs>
          <w:tab w:leader="none" w:pos="635" w:val="left"/>
        </w:tabs>
        <w:numPr>
          <w:ilvl w:val="0"/>
          <w:numId w:val="18"/>
        </w:numPr>
        <w:rPr>
          <w:rFonts w:ascii="Arial" w:cs="Arial" w:eastAsia="Arial" w:hAnsi="Arial"/>
          <w:sz w:val="17"/>
          <w:szCs w:val="17"/>
          <w:color w:val="auto"/>
        </w:rPr>
      </w:pPr>
      <w:r>
        <w:rPr>
          <w:rFonts w:ascii="Arial" w:cs="Arial" w:eastAsia="Arial" w:hAnsi="Arial"/>
          <w:sz w:val="17"/>
          <w:szCs w:val="17"/>
          <w:b w:val="1"/>
          <w:bCs w:val="1"/>
          <w:u w:val="single" w:color="auto"/>
          <w:color w:val="auto"/>
        </w:rPr>
        <w:t>Process and Industrial Facilities</w:t>
      </w:r>
      <w:r>
        <w:rPr>
          <w:rFonts w:ascii="Arial" w:cs="Arial" w:eastAsia="Arial" w:hAnsi="Arial"/>
          <w:sz w:val="17"/>
          <w:szCs w:val="17"/>
          <w:color w:val="auto"/>
        </w:rPr>
        <w:t>: primarily serves customers in the downstream and midstream petroleum industries who are engaged in refining</w:t>
      </w:r>
      <w:r>
        <w:rPr>
          <w:rFonts w:ascii="Arial" w:cs="Arial" w:eastAsia="Arial" w:hAnsi="Arial"/>
          <w:sz w:val="17"/>
          <w:szCs w:val="17"/>
          <w:b w:val="1"/>
          <w:bCs w:val="1"/>
          <w:color w:val="auto"/>
        </w:rPr>
        <w:t xml:space="preserve"> </w:t>
      </w:r>
      <w:r>
        <w:rPr>
          <w:rFonts w:ascii="Arial" w:cs="Arial" w:eastAsia="Arial" w:hAnsi="Arial"/>
          <w:sz w:val="17"/>
          <w:szCs w:val="17"/>
          <w:color w:val="auto"/>
        </w:rPr>
        <w:t>crude oil and processing, fractionating, and marketing of natural gas and natural gas liquids. We also serve customers in various other industries such as petrochemical, sulfur, mining and minerals companies engaged primarily in the extraction of non-ferrous metals, aerospace and defense, cement, agriculture, and other industrial customers. Our services include plant maintenance, turnarounds, industrial cleaning services, engineering, fabrication, and capital construction.</w:t>
      </w:r>
    </w:p>
    <w:p>
      <w:pPr>
        <w:spacing w:after="0" w:line="119" w:lineRule="exact"/>
        <w:rPr>
          <w:rFonts w:ascii="Arial" w:cs="Arial" w:eastAsia="Arial" w:hAnsi="Arial"/>
          <w:sz w:val="17"/>
          <w:szCs w:val="17"/>
          <w:color w:val="auto"/>
        </w:rPr>
      </w:pPr>
    </w:p>
    <w:p>
      <w:pPr>
        <w:jc w:val="both"/>
        <w:ind w:left="640" w:hanging="320"/>
        <w:spacing w:after="0" w:line="265" w:lineRule="auto"/>
        <w:tabs>
          <w:tab w:leader="none" w:pos="635" w:val="left"/>
        </w:tabs>
        <w:numPr>
          <w:ilvl w:val="0"/>
          <w:numId w:val="18"/>
        </w:numPr>
        <w:rPr>
          <w:rFonts w:ascii="Arial" w:cs="Arial" w:eastAsia="Arial" w:hAnsi="Arial"/>
          <w:sz w:val="17"/>
          <w:szCs w:val="17"/>
          <w:color w:val="auto"/>
        </w:rPr>
      </w:pPr>
      <w:r>
        <w:rPr>
          <w:rFonts w:ascii="Arial" w:cs="Arial" w:eastAsia="Arial" w:hAnsi="Arial"/>
          <w:sz w:val="17"/>
          <w:szCs w:val="17"/>
          <w:b w:val="1"/>
          <w:bCs w:val="1"/>
          <w:u w:val="single" w:color="auto"/>
          <w:color w:val="auto"/>
        </w:rPr>
        <w:t>Storage and Terminal Solutions</w:t>
      </w:r>
      <w:r>
        <w:rPr>
          <w:rFonts w:ascii="Arial" w:cs="Arial" w:eastAsia="Arial" w:hAnsi="Arial"/>
          <w:sz w:val="17"/>
          <w:szCs w:val="17"/>
          <w:color w:val="auto"/>
        </w:rPr>
        <w:t>: consists of work related to aboveground storage tanks and terminals. We also include work related to cryogenic and</w:t>
      </w:r>
      <w:r>
        <w:rPr>
          <w:rFonts w:ascii="Arial" w:cs="Arial" w:eastAsia="Arial" w:hAnsi="Arial"/>
          <w:sz w:val="17"/>
          <w:szCs w:val="17"/>
          <w:b w:val="1"/>
          <w:bCs w:val="1"/>
          <w:color w:val="auto"/>
        </w:rPr>
        <w:t xml:space="preserve"> </w:t>
      </w:r>
      <w:r>
        <w:rPr>
          <w:rFonts w:ascii="Arial" w:cs="Arial" w:eastAsia="Arial" w:hAnsi="Arial"/>
          <w:sz w:val="17"/>
          <w:szCs w:val="17"/>
          <w:color w:val="auto"/>
        </w:rPr>
        <w:t>other specialty storage tanks and terminals, including LNG, liquid nitrogen/liquid oxygen, liquid petroleum, hydrogen and other specialty vessels such as spheres in this segment, as well work related to marine structures and truck and rail loading/offloading facilities. Our services include engineering, fabrication, construction, and maintenance and repair, which includes planned and emergency services for both tanks and full terminals. Finally, we offer tank products, including geodesic domes, aluminum internal floating roofs, floating suction and skimmer systems, roof drain systems and floating roof seals.</w:t>
      </w:r>
    </w:p>
    <w:p>
      <w:pPr>
        <w:spacing w:after="0" w:line="206" w:lineRule="exact"/>
        <w:rPr>
          <w:sz w:val="20"/>
          <w:szCs w:val="20"/>
          <w:color w:val="auto"/>
        </w:rPr>
      </w:pPr>
    </w:p>
    <w:p>
      <w:pPr>
        <w:jc w:val="both"/>
        <w:spacing w:after="0" w:line="322" w:lineRule="auto"/>
        <w:rPr>
          <w:sz w:val="20"/>
          <w:szCs w:val="20"/>
          <w:color w:val="auto"/>
        </w:rPr>
      </w:pPr>
      <w:r>
        <w:rPr>
          <w:rFonts w:ascii="Arial" w:cs="Arial" w:eastAsia="Arial" w:hAnsi="Arial"/>
          <w:sz w:val="16"/>
          <w:szCs w:val="16"/>
          <w:color w:val="auto"/>
        </w:rPr>
        <w:t>All prior period segment information has been restated to conform with our new reportable segments. In addition, beginning July 1, 2020, we separately report corporate selling, general and administrative expenses and other corporate expenses that were previously allocated to the segments.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Overview</w:t>
      </w:r>
    </w:p>
    <w:p>
      <w:pPr>
        <w:spacing w:after="0" w:line="17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majority of the work for all segments is performed in the United States, with 10.2% of revenue generated internationally during fiscal 2021, 7.3% in fiscal 2020 and 3.4% in fiscal 2019. The percentage of revenue generated internationally increased in fiscal 2021 compared to fiscal 2020 and fiscal 2019 due to higher levels of work in Canada.</w:t>
      </w:r>
    </w:p>
    <w:p>
      <w:pPr>
        <w:spacing w:after="0" w:line="120"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Significant period to period changes in revenue, gross profits and operating results between fiscal 2021 and fiscal 2020 and fiscal 2020 and fiscal 2019 are discussed below on a consolidated basis and for each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8" w:name="page29"/>
    <w:bookmarkEnd w:id="2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Matrix Service Company</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Results of Operations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Utility and Power</w:t>
            </w:r>
          </w:p>
        </w:tc>
        <w:tc>
          <w:tcPr>
            <w:tcW w:w="200" w:type="dxa"/>
            <w:vAlign w:val="bottom"/>
          </w:tcPr>
          <w:p>
            <w:pPr>
              <w:spacing w:after="0"/>
              <w:rPr>
                <w:sz w:val="14"/>
                <w:szCs w:val="14"/>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Process and</w:t>
            </w:r>
          </w:p>
        </w:tc>
        <w:tc>
          <w:tcPr>
            <w:tcW w:w="220" w:type="dxa"/>
            <w:vAlign w:val="bottom"/>
          </w:tcPr>
          <w:p>
            <w:pPr>
              <w:spacing w:after="0"/>
              <w:rPr>
                <w:sz w:val="14"/>
                <w:szCs w:val="1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Storage and</w:t>
            </w:r>
          </w:p>
        </w:tc>
        <w:tc>
          <w:tcPr>
            <w:tcW w:w="220" w:type="dxa"/>
            <w:vAlign w:val="bottom"/>
          </w:tcPr>
          <w:p>
            <w:pPr>
              <w:spacing w:after="0"/>
              <w:rPr>
                <w:sz w:val="14"/>
                <w:szCs w:val="14"/>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Corporate</w:t>
            </w:r>
          </w:p>
        </w:tc>
        <w:tc>
          <w:tcPr>
            <w:tcW w:w="280" w:type="dxa"/>
            <w:vAlign w:val="bottom"/>
          </w:tcPr>
          <w:p>
            <w:pPr>
              <w:spacing w:after="0"/>
              <w:rPr>
                <w:sz w:val="14"/>
                <w:szCs w:val="14"/>
                <w:color w:val="auto"/>
              </w:rPr>
            </w:pPr>
          </w:p>
        </w:tc>
        <w:tc>
          <w:tcPr>
            <w:tcW w:w="110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3"/>
        </w:trPr>
        <w:tc>
          <w:tcPr>
            <w:tcW w:w="4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Infrastructure</w:t>
            </w:r>
          </w:p>
        </w:tc>
        <w:tc>
          <w:tcPr>
            <w:tcW w:w="14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Industrial Facilities</w:t>
            </w:r>
          </w:p>
        </w:tc>
        <w:tc>
          <w:tcPr>
            <w:tcW w:w="14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Terminal Solutions</w:t>
            </w:r>
          </w:p>
        </w:tc>
        <w:tc>
          <w:tcPr>
            <w:tcW w:w="22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Fiscal Year 2021</w:t>
            </w:r>
          </w:p>
        </w:tc>
        <w:tc>
          <w:tcPr>
            <w:tcW w:w="12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120" w:type="dxa"/>
            <w:vAlign w:val="bottom"/>
          </w:tcPr>
          <w:p>
            <w:pPr>
              <w:ind w:left="20"/>
              <w:spacing w:after="0"/>
              <w:rPr>
                <w:sz w:val="20"/>
                <w:szCs w:val="20"/>
                <w:color w:val="auto"/>
              </w:rPr>
            </w:pPr>
            <w:r>
              <w:rPr>
                <w:rFonts w:ascii="Arial" w:cs="Arial" w:eastAsia="Arial" w:hAnsi="Arial"/>
                <w:sz w:val="17"/>
                <w:szCs w:val="17"/>
                <w:color w:val="auto"/>
              </w:rPr>
              <w:t>Consolidated revenue</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ind w:right="134"/>
              <w:spacing w:after="0"/>
              <w:rPr>
                <w:sz w:val="20"/>
                <w:szCs w:val="20"/>
                <w:color w:val="auto"/>
              </w:rPr>
            </w:pPr>
            <w:r>
              <w:rPr>
                <w:rFonts w:ascii="Arial" w:cs="Arial" w:eastAsia="Arial" w:hAnsi="Arial"/>
                <w:sz w:val="17"/>
                <w:szCs w:val="17"/>
                <w:color w:val="auto"/>
              </w:rPr>
              <w:t>210,052</w:t>
            </w:r>
          </w:p>
        </w:tc>
        <w:tc>
          <w:tcPr>
            <w:tcW w:w="100" w:type="dxa"/>
            <w:vAlign w:val="bottom"/>
          </w:tcPr>
          <w:p>
            <w:pPr>
              <w:spacing w:after="0"/>
              <w:rPr>
                <w:sz w:val="19"/>
                <w:szCs w:val="19"/>
                <w:color w:val="auto"/>
              </w:rPr>
            </w:pPr>
          </w:p>
        </w:tc>
        <w:tc>
          <w:tcPr>
            <w:tcW w:w="200" w:type="dxa"/>
            <w:vAlign w:val="bottom"/>
          </w:tcPr>
          <w:p>
            <w:pPr>
              <w:jc w:val="right"/>
              <w:ind w:right="17"/>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ind w:right="133"/>
              <w:spacing w:after="0"/>
              <w:rPr>
                <w:sz w:val="20"/>
                <w:szCs w:val="20"/>
                <w:color w:val="auto"/>
              </w:rPr>
            </w:pPr>
            <w:r>
              <w:rPr>
                <w:rFonts w:ascii="Arial" w:cs="Arial" w:eastAsia="Arial" w:hAnsi="Arial"/>
                <w:sz w:val="17"/>
                <w:szCs w:val="17"/>
                <w:color w:val="auto"/>
              </w:rPr>
              <w:t>199,917</w:t>
            </w:r>
          </w:p>
        </w:tc>
        <w:tc>
          <w:tcPr>
            <w:tcW w:w="100" w:type="dxa"/>
            <w:vAlign w:val="bottom"/>
          </w:tcPr>
          <w:p>
            <w:pPr>
              <w:spacing w:after="0"/>
              <w:rPr>
                <w:sz w:val="19"/>
                <w:szCs w:val="19"/>
                <w:color w:val="auto"/>
              </w:rPr>
            </w:pPr>
          </w:p>
        </w:tc>
        <w:tc>
          <w:tcPr>
            <w:tcW w:w="22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133"/>
              <w:spacing w:after="0"/>
              <w:rPr>
                <w:sz w:val="20"/>
                <w:szCs w:val="20"/>
                <w:color w:val="auto"/>
              </w:rPr>
            </w:pPr>
            <w:r>
              <w:rPr>
                <w:rFonts w:ascii="Arial" w:cs="Arial" w:eastAsia="Arial" w:hAnsi="Arial"/>
                <w:sz w:val="17"/>
                <w:szCs w:val="17"/>
                <w:color w:val="auto"/>
              </w:rPr>
              <w:t>263,429</w:t>
            </w:r>
          </w:p>
        </w:tc>
        <w:tc>
          <w:tcPr>
            <w:tcW w:w="100" w:type="dxa"/>
            <w:vAlign w:val="bottom"/>
          </w:tcPr>
          <w:p>
            <w:pPr>
              <w:spacing w:after="0"/>
              <w:rPr>
                <w:sz w:val="19"/>
                <w:szCs w:val="19"/>
                <w:color w:val="auto"/>
              </w:rPr>
            </w:pP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120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ind w:right="133"/>
              <w:spacing w:after="0"/>
              <w:rPr>
                <w:sz w:val="20"/>
                <w:szCs w:val="20"/>
                <w:color w:val="auto"/>
              </w:rPr>
            </w:pPr>
            <w:r>
              <w:rPr>
                <w:rFonts w:ascii="Arial" w:cs="Arial" w:eastAsia="Arial" w:hAnsi="Arial"/>
                <w:sz w:val="17"/>
                <w:szCs w:val="17"/>
                <w:color w:val="auto"/>
              </w:rPr>
              <w:t>673,398</w:t>
            </w:r>
          </w:p>
        </w:tc>
        <w:tc>
          <w:tcPr>
            <w:tcW w:w="0" w:type="dxa"/>
            <w:vAlign w:val="bottom"/>
          </w:tcPr>
          <w:p>
            <w:pPr>
              <w:spacing w:after="0"/>
              <w:rPr>
                <w:sz w:val="1"/>
                <w:szCs w:val="1"/>
                <w:color w:val="auto"/>
              </w:rPr>
            </w:pPr>
          </w:p>
        </w:tc>
      </w:tr>
      <w:tr>
        <w:trPr>
          <w:trHeight w:val="223"/>
        </w:trPr>
        <w:tc>
          <w:tcPr>
            <w:tcW w:w="4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profit</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1,506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17,642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13,617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32,765</w:t>
            </w:r>
          </w:p>
        </w:tc>
        <w:tc>
          <w:tcPr>
            <w:tcW w:w="0" w:type="dxa"/>
            <w:vAlign w:val="bottom"/>
          </w:tcPr>
          <w:p>
            <w:pPr>
              <w:spacing w:after="0"/>
              <w:rPr>
                <w:sz w:val="1"/>
                <w:szCs w:val="1"/>
                <w:color w:val="auto"/>
              </w:rPr>
            </w:pPr>
          </w:p>
        </w:tc>
      </w:tr>
      <w:tr>
        <w:trPr>
          <w:trHeight w:val="223"/>
        </w:trPr>
        <w:tc>
          <w:tcPr>
            <w:tcW w:w="4120" w:type="dxa"/>
            <w:vAlign w:val="bottom"/>
          </w:tcPr>
          <w:p>
            <w:pPr>
              <w:ind w:left="20"/>
              <w:spacing w:after="0"/>
              <w:rPr>
                <w:sz w:val="20"/>
                <w:szCs w:val="20"/>
                <w:color w:val="auto"/>
              </w:rPr>
            </w:pPr>
            <w:r>
              <w:rPr>
                <w:rFonts w:ascii="Arial" w:cs="Arial" w:eastAsia="Arial" w:hAnsi="Arial"/>
                <w:sz w:val="17"/>
                <w:szCs w:val="17"/>
                <w:color w:val="auto"/>
              </w:rPr>
              <w:t>Gross profit %</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0.7 %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8.8 %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5.2 %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ind w:left="700"/>
              <w:spacing w:after="0"/>
              <w:rPr>
                <w:sz w:val="20"/>
                <w:szCs w:val="20"/>
                <w:color w:val="auto"/>
              </w:rPr>
            </w:pPr>
            <w:r>
              <w:rPr>
                <w:rFonts w:ascii="Arial" w:cs="Arial" w:eastAsia="Arial" w:hAnsi="Arial"/>
                <w:sz w:val="17"/>
                <w:szCs w:val="17"/>
                <w:color w:val="auto"/>
              </w:rPr>
              <w:t>— %</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4.9 %</w:t>
            </w:r>
          </w:p>
        </w:tc>
        <w:tc>
          <w:tcPr>
            <w:tcW w:w="0" w:type="dxa"/>
            <w:vAlign w:val="bottom"/>
          </w:tcPr>
          <w:p>
            <w:pPr>
              <w:spacing w:after="0"/>
              <w:rPr>
                <w:sz w:val="1"/>
                <w:szCs w:val="1"/>
                <w:color w:val="auto"/>
              </w:rPr>
            </w:pPr>
          </w:p>
        </w:tc>
      </w:tr>
      <w:tr>
        <w:trPr>
          <w:trHeight w:val="223"/>
        </w:trPr>
        <w:tc>
          <w:tcPr>
            <w:tcW w:w="4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Selling, general and administrative expenses</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9,882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14,756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18,644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26,474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69,756</w:t>
            </w:r>
          </w:p>
        </w:tc>
        <w:tc>
          <w:tcPr>
            <w:tcW w:w="0" w:type="dxa"/>
            <w:vAlign w:val="bottom"/>
          </w:tcPr>
          <w:p>
            <w:pPr>
              <w:spacing w:after="0"/>
              <w:rPr>
                <w:sz w:val="1"/>
                <w:szCs w:val="1"/>
                <w:color w:val="auto"/>
              </w:rPr>
            </w:pPr>
          </w:p>
        </w:tc>
      </w:tr>
      <w:tr>
        <w:trPr>
          <w:trHeight w:val="223"/>
        </w:trPr>
        <w:tc>
          <w:tcPr>
            <w:tcW w:w="4120" w:type="dxa"/>
            <w:vAlign w:val="bottom"/>
          </w:tcPr>
          <w:p>
            <w:pPr>
              <w:ind w:left="20"/>
              <w:spacing w:after="0"/>
              <w:rPr>
                <w:sz w:val="20"/>
                <w:szCs w:val="20"/>
                <w:color w:val="auto"/>
              </w:rPr>
            </w:pPr>
            <w:r>
              <w:rPr>
                <w:rFonts w:ascii="Arial" w:cs="Arial" w:eastAsia="Arial" w:hAnsi="Arial"/>
                <w:sz w:val="17"/>
                <w:szCs w:val="17"/>
                <w:color w:val="auto"/>
              </w:rPr>
              <w:t>Restructuring costs</w:t>
            </w:r>
          </w:p>
        </w:tc>
        <w:tc>
          <w:tcPr>
            <w:tcW w:w="120" w:type="dxa"/>
            <w:vAlign w:val="bottom"/>
          </w:tcPr>
          <w:p>
            <w:pPr>
              <w:spacing w:after="0"/>
              <w:rPr>
                <w:sz w:val="19"/>
                <w:szCs w:val="19"/>
                <w:color w:val="auto"/>
              </w:rPr>
            </w:pPr>
          </w:p>
        </w:tc>
        <w:tc>
          <w:tcPr>
            <w:tcW w:w="1240" w:type="dxa"/>
            <w:vAlign w:val="bottom"/>
          </w:tcPr>
          <w:p>
            <w:pPr>
              <w:jc w:val="right"/>
              <w:ind w:right="134"/>
              <w:spacing w:after="0"/>
              <w:rPr>
                <w:sz w:val="20"/>
                <w:szCs w:val="20"/>
                <w:color w:val="auto"/>
              </w:rPr>
            </w:pPr>
            <w:r>
              <w:rPr>
                <w:rFonts w:ascii="Arial" w:cs="Arial" w:eastAsia="Arial" w:hAnsi="Arial"/>
                <w:sz w:val="17"/>
                <w:szCs w:val="17"/>
                <w:color w:val="auto"/>
              </w:rPr>
              <w:t>1,312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ind w:right="133"/>
              <w:spacing w:after="0"/>
              <w:rPr>
                <w:sz w:val="20"/>
                <w:szCs w:val="20"/>
                <w:color w:val="auto"/>
              </w:rPr>
            </w:pPr>
            <w:r>
              <w:rPr>
                <w:rFonts w:ascii="Arial" w:cs="Arial" w:eastAsia="Arial" w:hAnsi="Arial"/>
                <w:sz w:val="17"/>
                <w:szCs w:val="17"/>
                <w:color w:val="auto"/>
              </w:rPr>
              <w:t>3,807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ind w:right="133"/>
              <w:spacing w:after="0"/>
              <w:rPr>
                <w:sz w:val="20"/>
                <w:szCs w:val="20"/>
                <w:color w:val="auto"/>
              </w:rPr>
            </w:pPr>
            <w:r>
              <w:rPr>
                <w:rFonts w:ascii="Arial" w:cs="Arial" w:eastAsia="Arial" w:hAnsi="Arial"/>
                <w:sz w:val="17"/>
                <w:szCs w:val="17"/>
                <w:color w:val="auto"/>
              </w:rPr>
              <w:t>1,391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ind w:right="113"/>
              <w:spacing w:after="0"/>
              <w:rPr>
                <w:sz w:val="20"/>
                <w:szCs w:val="20"/>
                <w:color w:val="auto"/>
              </w:rPr>
            </w:pPr>
            <w:r>
              <w:rPr>
                <w:rFonts w:ascii="Arial" w:cs="Arial" w:eastAsia="Arial" w:hAnsi="Arial"/>
                <w:sz w:val="17"/>
                <w:szCs w:val="17"/>
                <w:color w:val="auto"/>
              </w:rPr>
              <w:t>246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ind w:right="133"/>
              <w:spacing w:after="0"/>
              <w:rPr>
                <w:sz w:val="20"/>
                <w:szCs w:val="20"/>
                <w:color w:val="auto"/>
              </w:rPr>
            </w:pPr>
            <w:r>
              <w:rPr>
                <w:rFonts w:ascii="Arial" w:cs="Arial" w:eastAsia="Arial" w:hAnsi="Arial"/>
                <w:sz w:val="17"/>
                <w:szCs w:val="17"/>
                <w:color w:val="auto"/>
              </w:rPr>
              <w:t>6,756</w:t>
            </w:r>
          </w:p>
        </w:tc>
        <w:tc>
          <w:tcPr>
            <w:tcW w:w="0" w:type="dxa"/>
            <w:vAlign w:val="bottom"/>
          </w:tcPr>
          <w:p>
            <w:pPr>
              <w:spacing w:after="0"/>
              <w:rPr>
                <w:sz w:val="1"/>
                <w:szCs w:val="1"/>
                <w:color w:val="auto"/>
              </w:rPr>
            </w:pPr>
          </w:p>
        </w:tc>
      </w:tr>
      <w:tr>
        <w:trPr>
          <w:trHeight w:val="223"/>
        </w:trPr>
        <w:tc>
          <w:tcPr>
            <w:tcW w:w="4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loss</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(9,688)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(921)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(6,418)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(26,720)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(43,747)</w:t>
            </w:r>
          </w:p>
        </w:tc>
        <w:tc>
          <w:tcPr>
            <w:tcW w:w="0" w:type="dxa"/>
            <w:vAlign w:val="bottom"/>
          </w:tcPr>
          <w:p>
            <w:pPr>
              <w:spacing w:after="0"/>
              <w:rPr>
                <w:sz w:val="1"/>
                <w:szCs w:val="1"/>
                <w:color w:val="auto"/>
              </w:rPr>
            </w:pPr>
          </w:p>
        </w:tc>
      </w:tr>
      <w:tr>
        <w:trPr>
          <w:trHeight w:val="223"/>
        </w:trPr>
        <w:tc>
          <w:tcPr>
            <w:tcW w:w="4120" w:type="dxa"/>
            <w:vAlign w:val="bottom"/>
          </w:tcPr>
          <w:p>
            <w:pPr>
              <w:ind w:left="20"/>
              <w:spacing w:after="0"/>
              <w:rPr>
                <w:sz w:val="20"/>
                <w:szCs w:val="20"/>
                <w:color w:val="auto"/>
              </w:rPr>
            </w:pPr>
            <w:r>
              <w:rPr>
                <w:rFonts w:ascii="Arial" w:cs="Arial" w:eastAsia="Arial" w:hAnsi="Arial"/>
                <w:sz w:val="17"/>
                <w:szCs w:val="17"/>
                <w:color w:val="auto"/>
              </w:rPr>
              <w:t>Operating loss %</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(4.6)%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(0.5)%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ind w:left="700"/>
              <w:spacing w:after="0"/>
              <w:rPr>
                <w:sz w:val="20"/>
                <w:szCs w:val="20"/>
                <w:color w:val="auto"/>
              </w:rPr>
            </w:pPr>
            <w:r>
              <w:rPr>
                <w:rFonts w:ascii="Arial" w:cs="Arial" w:eastAsia="Arial" w:hAnsi="Arial"/>
                <w:sz w:val="17"/>
                <w:szCs w:val="17"/>
                <w:color w:val="auto"/>
              </w:rPr>
              <w:t>— %</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(6.5)%</w:t>
            </w:r>
          </w:p>
        </w:tc>
        <w:tc>
          <w:tcPr>
            <w:tcW w:w="0" w:type="dxa"/>
            <w:vAlign w:val="bottom"/>
          </w:tcPr>
          <w:p>
            <w:pPr>
              <w:spacing w:after="0"/>
              <w:rPr>
                <w:sz w:val="1"/>
                <w:szCs w:val="1"/>
                <w:color w:val="auto"/>
              </w:rPr>
            </w:pPr>
          </w:p>
        </w:tc>
      </w:tr>
      <w:tr>
        <w:trPr>
          <w:trHeight w:val="223"/>
        </w:trPr>
        <w:tc>
          <w:tcPr>
            <w:tcW w:w="41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Fiscal Year 2020</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20" w:type="dxa"/>
            <w:vAlign w:val="bottom"/>
          </w:tcPr>
          <w:p>
            <w:pPr>
              <w:ind w:left="20"/>
              <w:spacing w:after="0"/>
              <w:rPr>
                <w:sz w:val="20"/>
                <w:szCs w:val="20"/>
                <w:color w:val="auto"/>
              </w:rPr>
            </w:pPr>
            <w:r>
              <w:rPr>
                <w:rFonts w:ascii="Arial" w:cs="Arial" w:eastAsia="Arial" w:hAnsi="Arial"/>
                <w:sz w:val="17"/>
                <w:szCs w:val="17"/>
                <w:color w:val="auto"/>
              </w:rPr>
              <w:t>Consolidated revenue</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ind w:right="134"/>
              <w:spacing w:after="0"/>
              <w:rPr>
                <w:sz w:val="20"/>
                <w:szCs w:val="20"/>
                <w:color w:val="auto"/>
              </w:rPr>
            </w:pPr>
            <w:r>
              <w:rPr>
                <w:rFonts w:ascii="Arial" w:cs="Arial" w:eastAsia="Arial" w:hAnsi="Arial"/>
                <w:sz w:val="17"/>
                <w:szCs w:val="17"/>
                <w:color w:val="auto"/>
              </w:rPr>
              <w:t>212,001</w:t>
            </w:r>
          </w:p>
        </w:tc>
        <w:tc>
          <w:tcPr>
            <w:tcW w:w="100" w:type="dxa"/>
            <w:vAlign w:val="bottom"/>
          </w:tcPr>
          <w:p>
            <w:pPr>
              <w:spacing w:after="0"/>
              <w:rPr>
                <w:sz w:val="19"/>
                <w:szCs w:val="19"/>
                <w:color w:val="auto"/>
              </w:rPr>
            </w:pPr>
          </w:p>
        </w:tc>
        <w:tc>
          <w:tcPr>
            <w:tcW w:w="200" w:type="dxa"/>
            <w:vAlign w:val="bottom"/>
          </w:tcPr>
          <w:p>
            <w:pPr>
              <w:jc w:val="right"/>
              <w:ind w:right="17"/>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ind w:right="133"/>
              <w:spacing w:after="0"/>
              <w:rPr>
                <w:sz w:val="20"/>
                <w:szCs w:val="20"/>
                <w:color w:val="auto"/>
              </w:rPr>
            </w:pPr>
            <w:r>
              <w:rPr>
                <w:rFonts w:ascii="Arial" w:cs="Arial" w:eastAsia="Arial" w:hAnsi="Arial"/>
                <w:sz w:val="17"/>
                <w:szCs w:val="17"/>
                <w:color w:val="auto"/>
              </w:rPr>
              <w:t>421,871</w:t>
            </w:r>
          </w:p>
        </w:tc>
        <w:tc>
          <w:tcPr>
            <w:tcW w:w="100" w:type="dxa"/>
            <w:vAlign w:val="bottom"/>
          </w:tcPr>
          <w:p>
            <w:pPr>
              <w:spacing w:after="0"/>
              <w:rPr>
                <w:sz w:val="19"/>
                <w:szCs w:val="19"/>
                <w:color w:val="auto"/>
              </w:rPr>
            </w:pPr>
          </w:p>
        </w:tc>
        <w:tc>
          <w:tcPr>
            <w:tcW w:w="22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133"/>
              <w:spacing w:after="0"/>
              <w:rPr>
                <w:sz w:val="20"/>
                <w:szCs w:val="20"/>
                <w:color w:val="auto"/>
              </w:rPr>
            </w:pPr>
            <w:r>
              <w:rPr>
                <w:rFonts w:ascii="Arial" w:cs="Arial" w:eastAsia="Arial" w:hAnsi="Arial"/>
                <w:sz w:val="17"/>
                <w:szCs w:val="17"/>
                <w:color w:val="auto"/>
              </w:rPr>
              <w:t>467,066</w:t>
            </w:r>
          </w:p>
        </w:tc>
        <w:tc>
          <w:tcPr>
            <w:tcW w:w="100" w:type="dxa"/>
            <w:vAlign w:val="bottom"/>
          </w:tcPr>
          <w:p>
            <w:pPr>
              <w:spacing w:after="0"/>
              <w:rPr>
                <w:sz w:val="19"/>
                <w:szCs w:val="19"/>
                <w:color w:val="auto"/>
              </w:rPr>
            </w:pP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120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ind w:right="133"/>
              <w:spacing w:after="0"/>
              <w:rPr>
                <w:sz w:val="20"/>
                <w:szCs w:val="20"/>
                <w:color w:val="auto"/>
              </w:rPr>
            </w:pPr>
            <w:r>
              <w:rPr>
                <w:rFonts w:ascii="Arial" w:cs="Arial" w:eastAsia="Arial" w:hAnsi="Arial"/>
                <w:sz w:val="17"/>
                <w:szCs w:val="17"/>
                <w:color w:val="auto"/>
              </w:rPr>
              <w:t>1,100,938</w:t>
            </w:r>
          </w:p>
        </w:tc>
        <w:tc>
          <w:tcPr>
            <w:tcW w:w="0" w:type="dxa"/>
            <w:vAlign w:val="bottom"/>
          </w:tcPr>
          <w:p>
            <w:pPr>
              <w:spacing w:after="0"/>
              <w:rPr>
                <w:sz w:val="1"/>
                <w:szCs w:val="1"/>
                <w:color w:val="auto"/>
              </w:rPr>
            </w:pPr>
          </w:p>
        </w:tc>
      </w:tr>
      <w:tr>
        <w:trPr>
          <w:trHeight w:val="223"/>
        </w:trPr>
        <w:tc>
          <w:tcPr>
            <w:tcW w:w="4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profit (loss)</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7,081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36,349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61,413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(2,667)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102,176</w:t>
            </w:r>
          </w:p>
        </w:tc>
        <w:tc>
          <w:tcPr>
            <w:tcW w:w="0" w:type="dxa"/>
            <w:vAlign w:val="bottom"/>
          </w:tcPr>
          <w:p>
            <w:pPr>
              <w:spacing w:after="0"/>
              <w:rPr>
                <w:sz w:val="1"/>
                <w:szCs w:val="1"/>
                <w:color w:val="auto"/>
              </w:rPr>
            </w:pPr>
          </w:p>
        </w:tc>
      </w:tr>
      <w:tr>
        <w:trPr>
          <w:trHeight w:val="223"/>
        </w:trPr>
        <w:tc>
          <w:tcPr>
            <w:tcW w:w="4120" w:type="dxa"/>
            <w:vAlign w:val="bottom"/>
          </w:tcPr>
          <w:p>
            <w:pPr>
              <w:ind w:left="20"/>
              <w:spacing w:after="0"/>
              <w:rPr>
                <w:sz w:val="20"/>
                <w:szCs w:val="20"/>
                <w:color w:val="auto"/>
              </w:rPr>
            </w:pPr>
            <w:r>
              <w:rPr>
                <w:rFonts w:ascii="Arial" w:cs="Arial" w:eastAsia="Arial" w:hAnsi="Arial"/>
                <w:sz w:val="17"/>
                <w:szCs w:val="17"/>
                <w:color w:val="auto"/>
              </w:rPr>
              <w:t>Gross profit %</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3.3 %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8.6 %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13.1 %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ind w:left="700"/>
              <w:spacing w:after="0"/>
              <w:rPr>
                <w:sz w:val="20"/>
                <w:szCs w:val="20"/>
                <w:color w:val="auto"/>
              </w:rPr>
            </w:pPr>
            <w:r>
              <w:rPr>
                <w:rFonts w:ascii="Arial" w:cs="Arial" w:eastAsia="Arial" w:hAnsi="Arial"/>
                <w:sz w:val="17"/>
                <w:szCs w:val="17"/>
                <w:color w:val="auto"/>
              </w:rPr>
              <w:t>— %</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9.3 %</w:t>
            </w:r>
          </w:p>
        </w:tc>
        <w:tc>
          <w:tcPr>
            <w:tcW w:w="0" w:type="dxa"/>
            <w:vAlign w:val="bottom"/>
          </w:tcPr>
          <w:p>
            <w:pPr>
              <w:spacing w:after="0"/>
              <w:rPr>
                <w:sz w:val="1"/>
                <w:szCs w:val="1"/>
                <w:color w:val="auto"/>
              </w:rPr>
            </w:pPr>
          </w:p>
        </w:tc>
      </w:tr>
      <w:tr>
        <w:trPr>
          <w:trHeight w:val="223"/>
        </w:trPr>
        <w:tc>
          <w:tcPr>
            <w:tcW w:w="4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Selling, general and administrative expenses</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10,047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24,266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26,386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25,577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86,276</w:t>
            </w:r>
          </w:p>
        </w:tc>
        <w:tc>
          <w:tcPr>
            <w:tcW w:w="0" w:type="dxa"/>
            <w:vAlign w:val="bottom"/>
          </w:tcPr>
          <w:p>
            <w:pPr>
              <w:spacing w:after="0"/>
              <w:rPr>
                <w:sz w:val="1"/>
                <w:szCs w:val="1"/>
                <w:color w:val="auto"/>
              </w:rPr>
            </w:pPr>
          </w:p>
        </w:tc>
      </w:tr>
      <w:tr>
        <w:trPr>
          <w:trHeight w:val="223"/>
        </w:trPr>
        <w:tc>
          <w:tcPr>
            <w:tcW w:w="4120" w:type="dxa"/>
            <w:vAlign w:val="bottom"/>
          </w:tcPr>
          <w:p>
            <w:pPr>
              <w:ind w:left="20"/>
              <w:spacing w:after="0"/>
              <w:rPr>
                <w:sz w:val="20"/>
                <w:szCs w:val="20"/>
                <w:color w:val="auto"/>
              </w:rPr>
            </w:pPr>
            <w:r>
              <w:rPr>
                <w:rFonts w:ascii="Arial" w:cs="Arial" w:eastAsia="Arial" w:hAnsi="Arial"/>
                <w:sz w:val="17"/>
                <w:szCs w:val="17"/>
                <w:color w:val="auto"/>
              </w:rPr>
              <w:t>Intangible asset impairments and restructuring costs</w:t>
            </w:r>
          </w:p>
        </w:tc>
        <w:tc>
          <w:tcPr>
            <w:tcW w:w="120" w:type="dxa"/>
            <w:vAlign w:val="bottom"/>
          </w:tcPr>
          <w:p>
            <w:pPr>
              <w:spacing w:after="0"/>
              <w:rPr>
                <w:sz w:val="19"/>
                <w:szCs w:val="19"/>
                <w:color w:val="auto"/>
              </w:rPr>
            </w:pPr>
          </w:p>
        </w:tc>
        <w:tc>
          <w:tcPr>
            <w:tcW w:w="1240" w:type="dxa"/>
            <w:vAlign w:val="bottom"/>
          </w:tcPr>
          <w:p>
            <w:pPr>
              <w:jc w:val="right"/>
              <w:ind w:right="134"/>
              <w:spacing w:after="0"/>
              <w:rPr>
                <w:sz w:val="20"/>
                <w:szCs w:val="20"/>
                <w:color w:val="auto"/>
              </w:rPr>
            </w:pPr>
            <w:r>
              <w:rPr>
                <w:rFonts w:ascii="Arial" w:cs="Arial" w:eastAsia="Arial" w:hAnsi="Arial"/>
                <w:sz w:val="17"/>
                <w:szCs w:val="17"/>
                <w:color w:val="auto"/>
              </w:rPr>
              <w:t>27,625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ind w:right="133"/>
              <w:spacing w:after="0"/>
              <w:rPr>
                <w:sz w:val="20"/>
                <w:szCs w:val="20"/>
                <w:color w:val="auto"/>
              </w:rPr>
            </w:pPr>
            <w:r>
              <w:rPr>
                <w:rFonts w:ascii="Arial" w:cs="Arial" w:eastAsia="Arial" w:hAnsi="Arial"/>
                <w:sz w:val="17"/>
                <w:szCs w:val="17"/>
                <w:color w:val="auto"/>
              </w:rPr>
              <w:t>22,914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ind w:right="133"/>
              <w:spacing w:after="0"/>
              <w:rPr>
                <w:sz w:val="20"/>
                <w:szCs w:val="20"/>
                <w:color w:val="auto"/>
              </w:rPr>
            </w:pPr>
            <w:r>
              <w:rPr>
                <w:rFonts w:ascii="Arial" w:cs="Arial" w:eastAsia="Arial" w:hAnsi="Arial"/>
                <w:sz w:val="17"/>
                <w:szCs w:val="17"/>
                <w:color w:val="auto"/>
              </w:rPr>
              <w:t>1,066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ind w:right="113"/>
              <w:spacing w:after="0"/>
              <w:rPr>
                <w:sz w:val="20"/>
                <w:szCs w:val="20"/>
                <w:color w:val="auto"/>
              </w:rPr>
            </w:pPr>
            <w:r>
              <w:rPr>
                <w:rFonts w:ascii="Arial" w:cs="Arial" w:eastAsia="Arial" w:hAnsi="Arial"/>
                <w:sz w:val="17"/>
                <w:szCs w:val="17"/>
                <w:color w:val="auto"/>
              </w:rPr>
              <w:t>920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ind w:right="133"/>
              <w:spacing w:after="0"/>
              <w:rPr>
                <w:sz w:val="20"/>
                <w:szCs w:val="20"/>
                <w:color w:val="auto"/>
              </w:rPr>
            </w:pPr>
            <w:r>
              <w:rPr>
                <w:rFonts w:ascii="Arial" w:cs="Arial" w:eastAsia="Arial" w:hAnsi="Arial"/>
                <w:sz w:val="17"/>
                <w:szCs w:val="17"/>
                <w:color w:val="auto"/>
              </w:rPr>
              <w:t>52,525</w:t>
            </w:r>
          </w:p>
        </w:tc>
        <w:tc>
          <w:tcPr>
            <w:tcW w:w="0" w:type="dxa"/>
            <w:vAlign w:val="bottom"/>
          </w:tcPr>
          <w:p>
            <w:pPr>
              <w:spacing w:after="0"/>
              <w:rPr>
                <w:sz w:val="1"/>
                <w:szCs w:val="1"/>
                <w:color w:val="auto"/>
              </w:rPr>
            </w:pPr>
          </w:p>
        </w:tc>
      </w:tr>
      <w:tr>
        <w:trPr>
          <w:trHeight w:val="223"/>
        </w:trPr>
        <w:tc>
          <w:tcPr>
            <w:tcW w:w="4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income (loss)</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(30,591)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(10,831)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33,961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(29,164)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(36,625)</w:t>
            </w:r>
          </w:p>
        </w:tc>
        <w:tc>
          <w:tcPr>
            <w:tcW w:w="0" w:type="dxa"/>
            <w:vAlign w:val="bottom"/>
          </w:tcPr>
          <w:p>
            <w:pPr>
              <w:spacing w:after="0"/>
              <w:rPr>
                <w:sz w:val="1"/>
                <w:szCs w:val="1"/>
                <w:color w:val="auto"/>
              </w:rPr>
            </w:pPr>
          </w:p>
        </w:tc>
      </w:tr>
      <w:tr>
        <w:trPr>
          <w:trHeight w:val="223"/>
        </w:trPr>
        <w:tc>
          <w:tcPr>
            <w:tcW w:w="4120" w:type="dxa"/>
            <w:vAlign w:val="bottom"/>
          </w:tcPr>
          <w:p>
            <w:pPr>
              <w:ind w:left="20"/>
              <w:spacing w:after="0"/>
              <w:rPr>
                <w:sz w:val="20"/>
                <w:szCs w:val="20"/>
                <w:color w:val="auto"/>
              </w:rPr>
            </w:pPr>
            <w:r>
              <w:rPr>
                <w:rFonts w:ascii="Arial" w:cs="Arial" w:eastAsia="Arial" w:hAnsi="Arial"/>
                <w:sz w:val="17"/>
                <w:szCs w:val="17"/>
                <w:color w:val="auto"/>
              </w:rPr>
              <w:t>Operating income (loss) %</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(14.4)%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7.3 %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ind w:left="700"/>
              <w:spacing w:after="0"/>
              <w:rPr>
                <w:sz w:val="20"/>
                <w:szCs w:val="20"/>
                <w:color w:val="auto"/>
              </w:rPr>
            </w:pPr>
            <w:r>
              <w:rPr>
                <w:rFonts w:ascii="Arial" w:cs="Arial" w:eastAsia="Arial" w:hAnsi="Arial"/>
                <w:sz w:val="17"/>
                <w:szCs w:val="17"/>
                <w:color w:val="auto"/>
              </w:rPr>
              <w:t>— %</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(3.3)%</w:t>
            </w:r>
          </w:p>
        </w:tc>
        <w:tc>
          <w:tcPr>
            <w:tcW w:w="0" w:type="dxa"/>
            <w:vAlign w:val="bottom"/>
          </w:tcPr>
          <w:p>
            <w:pPr>
              <w:spacing w:after="0"/>
              <w:rPr>
                <w:sz w:val="1"/>
                <w:szCs w:val="1"/>
                <w:color w:val="auto"/>
              </w:rPr>
            </w:pPr>
          </w:p>
        </w:tc>
      </w:tr>
      <w:tr>
        <w:trPr>
          <w:trHeight w:val="171"/>
        </w:trPr>
        <w:tc>
          <w:tcPr>
            <w:tcW w:w="4120" w:type="dxa"/>
            <w:vAlign w:val="bottom"/>
            <w:shd w:val="clear" w:color="auto" w:fill="CCEEFF"/>
          </w:tcPr>
          <w:p>
            <w:pPr>
              <w:ind w:left="20"/>
              <w:spacing w:after="0" w:line="171" w:lineRule="exact"/>
              <w:rPr>
                <w:sz w:val="20"/>
                <w:szCs w:val="20"/>
                <w:color w:val="auto"/>
              </w:rPr>
            </w:pPr>
            <w:r>
              <w:rPr>
                <w:rFonts w:ascii="Arial" w:cs="Arial" w:eastAsia="Arial" w:hAnsi="Arial"/>
                <w:sz w:val="17"/>
                <w:szCs w:val="17"/>
                <w:b w:val="1"/>
                <w:bCs w:val="1"/>
                <w:color w:val="auto"/>
              </w:rPr>
              <w:t>Variances Fiscal Year 2021 to Fiscal Year 2020</w:t>
            </w: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1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Increase/(Decrease)</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20" w:type="dxa"/>
            <w:vAlign w:val="bottom"/>
          </w:tcPr>
          <w:p>
            <w:pPr>
              <w:ind w:left="20"/>
              <w:spacing w:after="0"/>
              <w:rPr>
                <w:sz w:val="20"/>
                <w:szCs w:val="20"/>
                <w:color w:val="auto"/>
              </w:rPr>
            </w:pPr>
            <w:r>
              <w:rPr>
                <w:rFonts w:ascii="Arial" w:cs="Arial" w:eastAsia="Arial" w:hAnsi="Arial"/>
                <w:sz w:val="17"/>
                <w:szCs w:val="17"/>
                <w:color w:val="auto"/>
              </w:rPr>
              <w:t>Consolidated revenue</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ind w:right="94"/>
              <w:spacing w:after="0"/>
              <w:rPr>
                <w:sz w:val="20"/>
                <w:szCs w:val="20"/>
                <w:color w:val="auto"/>
              </w:rPr>
            </w:pPr>
            <w:r>
              <w:rPr>
                <w:rFonts w:ascii="Arial" w:cs="Arial" w:eastAsia="Arial" w:hAnsi="Arial"/>
                <w:sz w:val="17"/>
                <w:szCs w:val="17"/>
                <w:color w:val="auto"/>
              </w:rPr>
              <w:t>(1,949)</w:t>
            </w:r>
          </w:p>
        </w:tc>
        <w:tc>
          <w:tcPr>
            <w:tcW w:w="100" w:type="dxa"/>
            <w:vAlign w:val="bottom"/>
          </w:tcPr>
          <w:p>
            <w:pPr>
              <w:spacing w:after="0"/>
              <w:rPr>
                <w:sz w:val="19"/>
                <w:szCs w:val="19"/>
                <w:color w:val="auto"/>
              </w:rPr>
            </w:pPr>
          </w:p>
        </w:tc>
        <w:tc>
          <w:tcPr>
            <w:tcW w:w="200" w:type="dxa"/>
            <w:vAlign w:val="bottom"/>
          </w:tcPr>
          <w:p>
            <w:pPr>
              <w:jc w:val="right"/>
              <w:ind w:right="17"/>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ind w:right="73"/>
              <w:spacing w:after="0"/>
              <w:rPr>
                <w:sz w:val="20"/>
                <w:szCs w:val="20"/>
                <w:color w:val="auto"/>
              </w:rPr>
            </w:pPr>
            <w:r>
              <w:rPr>
                <w:rFonts w:ascii="Arial" w:cs="Arial" w:eastAsia="Arial" w:hAnsi="Arial"/>
                <w:sz w:val="17"/>
                <w:szCs w:val="17"/>
                <w:color w:val="auto"/>
              </w:rPr>
              <w:t>(221,954)</w:t>
            </w:r>
          </w:p>
        </w:tc>
        <w:tc>
          <w:tcPr>
            <w:tcW w:w="100" w:type="dxa"/>
            <w:vAlign w:val="bottom"/>
          </w:tcPr>
          <w:p>
            <w:pPr>
              <w:spacing w:after="0"/>
              <w:rPr>
                <w:sz w:val="19"/>
                <w:szCs w:val="19"/>
                <w:color w:val="auto"/>
              </w:rPr>
            </w:pPr>
          </w:p>
        </w:tc>
        <w:tc>
          <w:tcPr>
            <w:tcW w:w="22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93"/>
              <w:spacing w:after="0"/>
              <w:rPr>
                <w:sz w:val="20"/>
                <w:szCs w:val="20"/>
                <w:color w:val="auto"/>
              </w:rPr>
            </w:pPr>
            <w:r>
              <w:rPr>
                <w:rFonts w:ascii="Arial" w:cs="Arial" w:eastAsia="Arial" w:hAnsi="Arial"/>
                <w:sz w:val="17"/>
                <w:szCs w:val="17"/>
                <w:color w:val="auto"/>
              </w:rPr>
              <w:t>(203,637)</w:t>
            </w:r>
          </w:p>
        </w:tc>
        <w:tc>
          <w:tcPr>
            <w:tcW w:w="100" w:type="dxa"/>
            <w:vAlign w:val="bottom"/>
          </w:tcPr>
          <w:p>
            <w:pPr>
              <w:spacing w:after="0"/>
              <w:rPr>
                <w:sz w:val="19"/>
                <w:szCs w:val="19"/>
                <w:color w:val="auto"/>
              </w:rPr>
            </w:pP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120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ind w:right="73"/>
              <w:spacing w:after="0"/>
              <w:rPr>
                <w:sz w:val="20"/>
                <w:szCs w:val="20"/>
                <w:color w:val="auto"/>
              </w:rPr>
            </w:pPr>
            <w:r>
              <w:rPr>
                <w:rFonts w:ascii="Arial" w:cs="Arial" w:eastAsia="Arial" w:hAnsi="Arial"/>
                <w:sz w:val="17"/>
                <w:szCs w:val="17"/>
                <w:color w:val="auto"/>
              </w:rPr>
              <w:t>(427,540)</w:t>
            </w:r>
          </w:p>
        </w:tc>
        <w:tc>
          <w:tcPr>
            <w:tcW w:w="0" w:type="dxa"/>
            <w:vAlign w:val="bottom"/>
          </w:tcPr>
          <w:p>
            <w:pPr>
              <w:spacing w:after="0"/>
              <w:rPr>
                <w:sz w:val="1"/>
                <w:szCs w:val="1"/>
                <w:color w:val="auto"/>
              </w:rPr>
            </w:pPr>
          </w:p>
        </w:tc>
      </w:tr>
      <w:tr>
        <w:trPr>
          <w:trHeight w:val="223"/>
        </w:trPr>
        <w:tc>
          <w:tcPr>
            <w:tcW w:w="4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profit</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(5,575)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(18,707)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(47,796)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2,667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(69,411)</w:t>
            </w:r>
          </w:p>
        </w:tc>
        <w:tc>
          <w:tcPr>
            <w:tcW w:w="0" w:type="dxa"/>
            <w:vAlign w:val="bottom"/>
          </w:tcPr>
          <w:p>
            <w:pPr>
              <w:spacing w:after="0"/>
              <w:rPr>
                <w:sz w:val="1"/>
                <w:szCs w:val="1"/>
                <w:color w:val="auto"/>
              </w:rPr>
            </w:pPr>
          </w:p>
        </w:tc>
      </w:tr>
      <w:tr>
        <w:trPr>
          <w:trHeight w:val="223"/>
        </w:trPr>
        <w:tc>
          <w:tcPr>
            <w:tcW w:w="4120" w:type="dxa"/>
            <w:vAlign w:val="bottom"/>
          </w:tcPr>
          <w:p>
            <w:pPr>
              <w:ind w:left="20"/>
              <w:spacing w:after="0"/>
              <w:rPr>
                <w:sz w:val="20"/>
                <w:szCs w:val="20"/>
                <w:color w:val="auto"/>
              </w:rPr>
            </w:pPr>
            <w:r>
              <w:rPr>
                <w:rFonts w:ascii="Arial" w:cs="Arial" w:eastAsia="Arial" w:hAnsi="Arial"/>
                <w:sz w:val="17"/>
                <w:szCs w:val="17"/>
                <w:color w:val="auto"/>
              </w:rPr>
              <w:t>Selling, general and administrative expenses</w:t>
            </w:r>
          </w:p>
        </w:tc>
        <w:tc>
          <w:tcPr>
            <w:tcW w:w="120" w:type="dxa"/>
            <w:vAlign w:val="bottom"/>
          </w:tcPr>
          <w:p>
            <w:pPr>
              <w:spacing w:after="0"/>
              <w:rPr>
                <w:sz w:val="19"/>
                <w:szCs w:val="19"/>
                <w:color w:val="auto"/>
              </w:rPr>
            </w:pPr>
          </w:p>
        </w:tc>
        <w:tc>
          <w:tcPr>
            <w:tcW w:w="1240" w:type="dxa"/>
            <w:vAlign w:val="bottom"/>
          </w:tcPr>
          <w:p>
            <w:pPr>
              <w:jc w:val="right"/>
              <w:ind w:right="94"/>
              <w:spacing w:after="0"/>
              <w:rPr>
                <w:sz w:val="20"/>
                <w:szCs w:val="20"/>
                <w:color w:val="auto"/>
              </w:rPr>
            </w:pPr>
            <w:r>
              <w:rPr>
                <w:rFonts w:ascii="Arial" w:cs="Arial" w:eastAsia="Arial" w:hAnsi="Arial"/>
                <w:sz w:val="17"/>
                <w:szCs w:val="17"/>
                <w:color w:val="auto"/>
              </w:rPr>
              <w:t>(165)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ind w:right="73"/>
              <w:spacing w:after="0"/>
              <w:rPr>
                <w:sz w:val="20"/>
                <w:szCs w:val="20"/>
                <w:color w:val="auto"/>
              </w:rPr>
            </w:pPr>
            <w:r>
              <w:rPr>
                <w:rFonts w:ascii="Arial" w:cs="Arial" w:eastAsia="Arial" w:hAnsi="Arial"/>
                <w:sz w:val="17"/>
                <w:szCs w:val="17"/>
                <w:color w:val="auto"/>
              </w:rPr>
              <w:t>(9,510)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ind w:right="93"/>
              <w:spacing w:after="0"/>
              <w:rPr>
                <w:sz w:val="20"/>
                <w:szCs w:val="20"/>
                <w:color w:val="auto"/>
              </w:rPr>
            </w:pPr>
            <w:r>
              <w:rPr>
                <w:rFonts w:ascii="Arial" w:cs="Arial" w:eastAsia="Arial" w:hAnsi="Arial"/>
                <w:sz w:val="17"/>
                <w:szCs w:val="17"/>
                <w:color w:val="auto"/>
              </w:rPr>
              <w:t>(7,742)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ind w:right="113"/>
              <w:spacing w:after="0"/>
              <w:rPr>
                <w:sz w:val="20"/>
                <w:szCs w:val="20"/>
                <w:color w:val="auto"/>
              </w:rPr>
            </w:pPr>
            <w:r>
              <w:rPr>
                <w:rFonts w:ascii="Arial" w:cs="Arial" w:eastAsia="Arial" w:hAnsi="Arial"/>
                <w:sz w:val="17"/>
                <w:szCs w:val="17"/>
                <w:color w:val="auto"/>
              </w:rPr>
              <w:t>897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ind w:right="73"/>
              <w:spacing w:after="0"/>
              <w:rPr>
                <w:sz w:val="20"/>
                <w:szCs w:val="20"/>
                <w:color w:val="auto"/>
              </w:rPr>
            </w:pPr>
            <w:r>
              <w:rPr>
                <w:rFonts w:ascii="Arial" w:cs="Arial" w:eastAsia="Arial" w:hAnsi="Arial"/>
                <w:sz w:val="17"/>
                <w:szCs w:val="17"/>
                <w:color w:val="auto"/>
              </w:rPr>
              <w:t>(16,520)</w:t>
            </w:r>
          </w:p>
        </w:tc>
        <w:tc>
          <w:tcPr>
            <w:tcW w:w="0" w:type="dxa"/>
            <w:vAlign w:val="bottom"/>
          </w:tcPr>
          <w:p>
            <w:pPr>
              <w:spacing w:after="0"/>
              <w:rPr>
                <w:sz w:val="1"/>
                <w:szCs w:val="1"/>
                <w:color w:val="auto"/>
              </w:rPr>
            </w:pPr>
          </w:p>
        </w:tc>
      </w:tr>
      <w:tr>
        <w:trPr>
          <w:trHeight w:val="223"/>
        </w:trPr>
        <w:tc>
          <w:tcPr>
            <w:tcW w:w="4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Intangible asset impairments and restructuring costs</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(26,313)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(19,107)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325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(674)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(45,769)</w:t>
            </w:r>
          </w:p>
        </w:tc>
        <w:tc>
          <w:tcPr>
            <w:tcW w:w="0" w:type="dxa"/>
            <w:vAlign w:val="bottom"/>
          </w:tcPr>
          <w:p>
            <w:pPr>
              <w:spacing w:after="0"/>
              <w:rPr>
                <w:sz w:val="1"/>
                <w:szCs w:val="1"/>
                <w:color w:val="auto"/>
              </w:rPr>
            </w:pPr>
          </w:p>
        </w:tc>
      </w:tr>
      <w:tr>
        <w:trPr>
          <w:trHeight w:val="222"/>
        </w:trPr>
        <w:tc>
          <w:tcPr>
            <w:tcW w:w="4120" w:type="dxa"/>
            <w:vAlign w:val="bottom"/>
          </w:tcPr>
          <w:p>
            <w:pPr>
              <w:ind w:left="20"/>
              <w:spacing w:after="0"/>
              <w:rPr>
                <w:sz w:val="20"/>
                <w:szCs w:val="20"/>
                <w:color w:val="auto"/>
              </w:rPr>
            </w:pPr>
            <w:r>
              <w:rPr>
                <w:rFonts w:ascii="Arial" w:cs="Arial" w:eastAsia="Arial" w:hAnsi="Arial"/>
                <w:sz w:val="17"/>
                <w:szCs w:val="17"/>
                <w:color w:val="auto"/>
              </w:rPr>
              <w:t>Operating income (loss)</w:t>
            </w:r>
          </w:p>
        </w:tc>
        <w:tc>
          <w:tcPr>
            <w:tcW w:w="120" w:type="dxa"/>
            <w:vAlign w:val="bottom"/>
          </w:tcPr>
          <w:p>
            <w:pPr>
              <w:spacing w:after="0"/>
              <w:rPr>
                <w:sz w:val="19"/>
                <w:szCs w:val="19"/>
                <w:color w:val="auto"/>
              </w:rPr>
            </w:pPr>
          </w:p>
        </w:tc>
        <w:tc>
          <w:tcPr>
            <w:tcW w:w="1240" w:type="dxa"/>
            <w:vAlign w:val="bottom"/>
          </w:tcPr>
          <w:p>
            <w:pPr>
              <w:jc w:val="right"/>
              <w:ind w:right="134"/>
              <w:spacing w:after="0"/>
              <w:rPr>
                <w:sz w:val="20"/>
                <w:szCs w:val="20"/>
                <w:color w:val="auto"/>
              </w:rPr>
            </w:pPr>
            <w:r>
              <w:rPr>
                <w:rFonts w:ascii="Arial" w:cs="Arial" w:eastAsia="Arial" w:hAnsi="Arial"/>
                <w:sz w:val="17"/>
                <w:szCs w:val="17"/>
                <w:color w:val="auto"/>
              </w:rPr>
              <w:t>20,903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ind w:right="133"/>
              <w:spacing w:after="0"/>
              <w:rPr>
                <w:sz w:val="20"/>
                <w:szCs w:val="20"/>
                <w:color w:val="auto"/>
              </w:rPr>
            </w:pPr>
            <w:r>
              <w:rPr>
                <w:rFonts w:ascii="Arial" w:cs="Arial" w:eastAsia="Arial" w:hAnsi="Arial"/>
                <w:sz w:val="17"/>
                <w:szCs w:val="17"/>
                <w:color w:val="auto"/>
              </w:rPr>
              <w:t>9,910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ind w:right="93"/>
              <w:spacing w:after="0"/>
              <w:rPr>
                <w:sz w:val="20"/>
                <w:szCs w:val="20"/>
                <w:color w:val="auto"/>
              </w:rPr>
            </w:pPr>
            <w:r>
              <w:rPr>
                <w:rFonts w:ascii="Arial" w:cs="Arial" w:eastAsia="Arial" w:hAnsi="Arial"/>
                <w:sz w:val="17"/>
                <w:szCs w:val="17"/>
                <w:color w:val="auto"/>
              </w:rPr>
              <w:t>(40,379)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ind w:right="113"/>
              <w:spacing w:after="0"/>
              <w:rPr>
                <w:sz w:val="20"/>
                <w:szCs w:val="20"/>
                <w:color w:val="auto"/>
              </w:rPr>
            </w:pPr>
            <w:r>
              <w:rPr>
                <w:rFonts w:ascii="Arial" w:cs="Arial" w:eastAsia="Arial" w:hAnsi="Arial"/>
                <w:sz w:val="17"/>
                <w:szCs w:val="17"/>
                <w:color w:val="auto"/>
              </w:rPr>
              <w:t>2,444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ind w:right="73"/>
              <w:spacing w:after="0"/>
              <w:rPr>
                <w:sz w:val="20"/>
                <w:szCs w:val="20"/>
                <w:color w:val="auto"/>
              </w:rPr>
            </w:pPr>
            <w:r>
              <w:rPr>
                <w:rFonts w:ascii="Arial" w:cs="Arial" w:eastAsia="Arial" w:hAnsi="Arial"/>
                <w:sz w:val="17"/>
                <w:szCs w:val="17"/>
                <w:color w:val="auto"/>
              </w:rPr>
              <w:t>(7,122)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9" w:name="page30"/>
    <w:bookmarkEnd w:id="2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Matrix Service Company</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Results of Operations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Utility and Power</w:t>
            </w:r>
          </w:p>
        </w:tc>
        <w:tc>
          <w:tcPr>
            <w:tcW w:w="200" w:type="dxa"/>
            <w:vAlign w:val="bottom"/>
          </w:tcPr>
          <w:p>
            <w:pPr>
              <w:spacing w:after="0"/>
              <w:rPr>
                <w:sz w:val="14"/>
                <w:szCs w:val="14"/>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Process and</w:t>
            </w:r>
          </w:p>
        </w:tc>
        <w:tc>
          <w:tcPr>
            <w:tcW w:w="220" w:type="dxa"/>
            <w:vAlign w:val="bottom"/>
          </w:tcPr>
          <w:p>
            <w:pPr>
              <w:spacing w:after="0"/>
              <w:rPr>
                <w:sz w:val="14"/>
                <w:szCs w:val="1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Storage and</w:t>
            </w:r>
          </w:p>
        </w:tc>
        <w:tc>
          <w:tcPr>
            <w:tcW w:w="220" w:type="dxa"/>
            <w:vAlign w:val="bottom"/>
          </w:tcPr>
          <w:p>
            <w:pPr>
              <w:spacing w:after="0"/>
              <w:rPr>
                <w:sz w:val="14"/>
                <w:szCs w:val="14"/>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Corporate</w:t>
            </w:r>
          </w:p>
        </w:tc>
        <w:tc>
          <w:tcPr>
            <w:tcW w:w="280" w:type="dxa"/>
            <w:vAlign w:val="bottom"/>
          </w:tcPr>
          <w:p>
            <w:pPr>
              <w:spacing w:after="0"/>
              <w:rPr>
                <w:sz w:val="14"/>
                <w:szCs w:val="14"/>
                <w:color w:val="auto"/>
              </w:rPr>
            </w:pPr>
          </w:p>
        </w:tc>
        <w:tc>
          <w:tcPr>
            <w:tcW w:w="1100" w:type="dxa"/>
            <w:vAlign w:val="bottom"/>
            <w:vMerge w:val="restart"/>
          </w:tcPr>
          <w:p>
            <w:pPr>
              <w:jc w:val="right"/>
              <w:ind w:right="45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3"/>
        </w:trPr>
        <w:tc>
          <w:tcPr>
            <w:tcW w:w="4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Infrastructure</w:t>
            </w:r>
          </w:p>
        </w:tc>
        <w:tc>
          <w:tcPr>
            <w:tcW w:w="14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Industrial Facilities</w:t>
            </w:r>
          </w:p>
        </w:tc>
        <w:tc>
          <w:tcPr>
            <w:tcW w:w="14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Terminal Solutions</w:t>
            </w:r>
          </w:p>
        </w:tc>
        <w:tc>
          <w:tcPr>
            <w:tcW w:w="22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Fiscal Year 2020</w:t>
            </w:r>
          </w:p>
        </w:tc>
        <w:tc>
          <w:tcPr>
            <w:tcW w:w="12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120" w:type="dxa"/>
            <w:vAlign w:val="bottom"/>
          </w:tcPr>
          <w:p>
            <w:pPr>
              <w:ind w:left="20"/>
              <w:spacing w:after="0"/>
              <w:rPr>
                <w:sz w:val="20"/>
                <w:szCs w:val="20"/>
                <w:color w:val="auto"/>
              </w:rPr>
            </w:pPr>
            <w:r>
              <w:rPr>
                <w:rFonts w:ascii="Arial" w:cs="Arial" w:eastAsia="Arial" w:hAnsi="Arial"/>
                <w:sz w:val="17"/>
                <w:szCs w:val="17"/>
                <w:color w:val="auto"/>
              </w:rPr>
              <w:t>Consolidated revenue</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ind w:right="134"/>
              <w:spacing w:after="0"/>
              <w:rPr>
                <w:sz w:val="20"/>
                <w:szCs w:val="20"/>
                <w:color w:val="auto"/>
              </w:rPr>
            </w:pPr>
            <w:r>
              <w:rPr>
                <w:rFonts w:ascii="Arial" w:cs="Arial" w:eastAsia="Arial" w:hAnsi="Arial"/>
                <w:sz w:val="17"/>
                <w:szCs w:val="17"/>
                <w:color w:val="auto"/>
              </w:rPr>
              <w:t>212,001</w:t>
            </w:r>
          </w:p>
        </w:tc>
        <w:tc>
          <w:tcPr>
            <w:tcW w:w="100" w:type="dxa"/>
            <w:vAlign w:val="bottom"/>
          </w:tcPr>
          <w:p>
            <w:pPr>
              <w:spacing w:after="0"/>
              <w:rPr>
                <w:sz w:val="19"/>
                <w:szCs w:val="19"/>
                <w:color w:val="auto"/>
              </w:rPr>
            </w:pPr>
          </w:p>
        </w:tc>
        <w:tc>
          <w:tcPr>
            <w:tcW w:w="200" w:type="dxa"/>
            <w:vAlign w:val="bottom"/>
          </w:tcPr>
          <w:p>
            <w:pPr>
              <w:jc w:val="right"/>
              <w:ind w:right="17"/>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ind w:right="134"/>
              <w:spacing w:after="0"/>
              <w:rPr>
                <w:sz w:val="20"/>
                <w:szCs w:val="20"/>
                <w:color w:val="auto"/>
              </w:rPr>
            </w:pPr>
            <w:r>
              <w:rPr>
                <w:rFonts w:ascii="Arial" w:cs="Arial" w:eastAsia="Arial" w:hAnsi="Arial"/>
                <w:sz w:val="17"/>
                <w:szCs w:val="17"/>
                <w:color w:val="auto"/>
              </w:rPr>
              <w:t>421,871</w:t>
            </w:r>
          </w:p>
        </w:tc>
        <w:tc>
          <w:tcPr>
            <w:tcW w:w="100" w:type="dxa"/>
            <w:vAlign w:val="bottom"/>
          </w:tcPr>
          <w:p>
            <w:pPr>
              <w:spacing w:after="0"/>
              <w:rPr>
                <w:sz w:val="19"/>
                <w:szCs w:val="19"/>
                <w:color w:val="auto"/>
              </w:rPr>
            </w:pPr>
          </w:p>
        </w:tc>
        <w:tc>
          <w:tcPr>
            <w:tcW w:w="22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134"/>
              <w:spacing w:after="0"/>
              <w:rPr>
                <w:sz w:val="20"/>
                <w:szCs w:val="20"/>
                <w:color w:val="auto"/>
              </w:rPr>
            </w:pPr>
            <w:r>
              <w:rPr>
                <w:rFonts w:ascii="Arial" w:cs="Arial" w:eastAsia="Arial" w:hAnsi="Arial"/>
                <w:sz w:val="17"/>
                <w:szCs w:val="17"/>
                <w:color w:val="auto"/>
              </w:rPr>
              <w:t>467,066</w:t>
            </w:r>
          </w:p>
        </w:tc>
        <w:tc>
          <w:tcPr>
            <w:tcW w:w="100" w:type="dxa"/>
            <w:vAlign w:val="bottom"/>
          </w:tcPr>
          <w:p>
            <w:pPr>
              <w:spacing w:after="0"/>
              <w:rPr>
                <w:sz w:val="19"/>
                <w:szCs w:val="19"/>
                <w:color w:val="auto"/>
              </w:rPr>
            </w:pP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120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ind w:right="134"/>
              <w:spacing w:after="0"/>
              <w:rPr>
                <w:sz w:val="20"/>
                <w:szCs w:val="20"/>
                <w:color w:val="auto"/>
              </w:rPr>
            </w:pPr>
            <w:r>
              <w:rPr>
                <w:rFonts w:ascii="Arial" w:cs="Arial" w:eastAsia="Arial" w:hAnsi="Arial"/>
                <w:sz w:val="17"/>
                <w:szCs w:val="17"/>
                <w:color w:val="auto"/>
              </w:rPr>
              <w:t>1,100,938</w:t>
            </w:r>
          </w:p>
        </w:tc>
        <w:tc>
          <w:tcPr>
            <w:tcW w:w="0" w:type="dxa"/>
            <w:vAlign w:val="bottom"/>
          </w:tcPr>
          <w:p>
            <w:pPr>
              <w:spacing w:after="0"/>
              <w:rPr>
                <w:sz w:val="1"/>
                <w:szCs w:val="1"/>
                <w:color w:val="auto"/>
              </w:rPr>
            </w:pPr>
          </w:p>
        </w:tc>
      </w:tr>
      <w:tr>
        <w:trPr>
          <w:trHeight w:val="223"/>
        </w:trPr>
        <w:tc>
          <w:tcPr>
            <w:tcW w:w="4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profit (loss)</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7,081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36,349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61,413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(2,667)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102,176</w:t>
            </w:r>
          </w:p>
        </w:tc>
        <w:tc>
          <w:tcPr>
            <w:tcW w:w="0" w:type="dxa"/>
            <w:vAlign w:val="bottom"/>
          </w:tcPr>
          <w:p>
            <w:pPr>
              <w:spacing w:after="0"/>
              <w:rPr>
                <w:sz w:val="1"/>
                <w:szCs w:val="1"/>
                <w:color w:val="auto"/>
              </w:rPr>
            </w:pPr>
          </w:p>
        </w:tc>
      </w:tr>
      <w:tr>
        <w:trPr>
          <w:trHeight w:val="223"/>
        </w:trPr>
        <w:tc>
          <w:tcPr>
            <w:tcW w:w="4120" w:type="dxa"/>
            <w:vAlign w:val="bottom"/>
          </w:tcPr>
          <w:p>
            <w:pPr>
              <w:ind w:left="20"/>
              <w:spacing w:after="0"/>
              <w:rPr>
                <w:sz w:val="20"/>
                <w:szCs w:val="20"/>
                <w:color w:val="auto"/>
              </w:rPr>
            </w:pPr>
            <w:r>
              <w:rPr>
                <w:rFonts w:ascii="Arial" w:cs="Arial" w:eastAsia="Arial" w:hAnsi="Arial"/>
                <w:sz w:val="17"/>
                <w:szCs w:val="17"/>
                <w:color w:val="auto"/>
              </w:rPr>
              <w:t>Gross profit %</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3.3 %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8.6 %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13.1 %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ind w:left="700"/>
              <w:spacing w:after="0"/>
              <w:rPr>
                <w:sz w:val="20"/>
                <w:szCs w:val="20"/>
                <w:color w:val="auto"/>
              </w:rPr>
            </w:pPr>
            <w:r>
              <w:rPr>
                <w:rFonts w:ascii="Arial" w:cs="Arial" w:eastAsia="Arial" w:hAnsi="Arial"/>
                <w:sz w:val="17"/>
                <w:szCs w:val="17"/>
                <w:color w:val="auto"/>
              </w:rPr>
              <w:t>— %</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9.3 %</w:t>
            </w:r>
          </w:p>
        </w:tc>
        <w:tc>
          <w:tcPr>
            <w:tcW w:w="0" w:type="dxa"/>
            <w:vAlign w:val="bottom"/>
          </w:tcPr>
          <w:p>
            <w:pPr>
              <w:spacing w:after="0"/>
              <w:rPr>
                <w:sz w:val="1"/>
                <w:szCs w:val="1"/>
                <w:color w:val="auto"/>
              </w:rPr>
            </w:pPr>
          </w:p>
        </w:tc>
      </w:tr>
      <w:tr>
        <w:trPr>
          <w:trHeight w:val="223"/>
        </w:trPr>
        <w:tc>
          <w:tcPr>
            <w:tcW w:w="4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Selling, general and administrative expenses</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10,047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24,266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26,386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25,577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86,276</w:t>
            </w:r>
          </w:p>
        </w:tc>
        <w:tc>
          <w:tcPr>
            <w:tcW w:w="0" w:type="dxa"/>
            <w:vAlign w:val="bottom"/>
          </w:tcPr>
          <w:p>
            <w:pPr>
              <w:spacing w:after="0"/>
              <w:rPr>
                <w:sz w:val="1"/>
                <w:szCs w:val="1"/>
                <w:color w:val="auto"/>
              </w:rPr>
            </w:pPr>
          </w:p>
        </w:tc>
      </w:tr>
      <w:tr>
        <w:trPr>
          <w:trHeight w:val="223"/>
        </w:trPr>
        <w:tc>
          <w:tcPr>
            <w:tcW w:w="4120" w:type="dxa"/>
            <w:vAlign w:val="bottom"/>
          </w:tcPr>
          <w:p>
            <w:pPr>
              <w:ind w:left="20"/>
              <w:spacing w:after="0"/>
              <w:rPr>
                <w:sz w:val="20"/>
                <w:szCs w:val="20"/>
                <w:color w:val="auto"/>
              </w:rPr>
            </w:pPr>
            <w:r>
              <w:rPr>
                <w:rFonts w:ascii="Arial" w:cs="Arial" w:eastAsia="Arial" w:hAnsi="Arial"/>
                <w:sz w:val="17"/>
                <w:szCs w:val="17"/>
                <w:color w:val="auto"/>
              </w:rPr>
              <w:t>Intangible asset impairments and restructuring costs</w:t>
            </w:r>
          </w:p>
        </w:tc>
        <w:tc>
          <w:tcPr>
            <w:tcW w:w="120" w:type="dxa"/>
            <w:vAlign w:val="bottom"/>
          </w:tcPr>
          <w:p>
            <w:pPr>
              <w:spacing w:after="0"/>
              <w:rPr>
                <w:sz w:val="19"/>
                <w:szCs w:val="19"/>
                <w:color w:val="auto"/>
              </w:rPr>
            </w:pPr>
          </w:p>
        </w:tc>
        <w:tc>
          <w:tcPr>
            <w:tcW w:w="1240" w:type="dxa"/>
            <w:vAlign w:val="bottom"/>
          </w:tcPr>
          <w:p>
            <w:pPr>
              <w:jc w:val="right"/>
              <w:ind w:right="134"/>
              <w:spacing w:after="0"/>
              <w:rPr>
                <w:sz w:val="20"/>
                <w:szCs w:val="20"/>
                <w:color w:val="auto"/>
              </w:rPr>
            </w:pPr>
            <w:r>
              <w:rPr>
                <w:rFonts w:ascii="Arial" w:cs="Arial" w:eastAsia="Arial" w:hAnsi="Arial"/>
                <w:sz w:val="17"/>
                <w:szCs w:val="17"/>
                <w:color w:val="auto"/>
              </w:rPr>
              <w:t>27,625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ind w:right="134"/>
              <w:spacing w:after="0"/>
              <w:rPr>
                <w:sz w:val="20"/>
                <w:szCs w:val="20"/>
                <w:color w:val="auto"/>
              </w:rPr>
            </w:pPr>
            <w:r>
              <w:rPr>
                <w:rFonts w:ascii="Arial" w:cs="Arial" w:eastAsia="Arial" w:hAnsi="Arial"/>
                <w:sz w:val="17"/>
                <w:szCs w:val="17"/>
                <w:color w:val="auto"/>
              </w:rPr>
              <w:t>22,914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ind w:right="134"/>
              <w:spacing w:after="0"/>
              <w:rPr>
                <w:sz w:val="20"/>
                <w:szCs w:val="20"/>
                <w:color w:val="auto"/>
              </w:rPr>
            </w:pPr>
            <w:r>
              <w:rPr>
                <w:rFonts w:ascii="Arial" w:cs="Arial" w:eastAsia="Arial" w:hAnsi="Arial"/>
                <w:sz w:val="17"/>
                <w:szCs w:val="17"/>
                <w:color w:val="auto"/>
              </w:rPr>
              <w:t>1,066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ind w:right="114"/>
              <w:spacing w:after="0"/>
              <w:rPr>
                <w:sz w:val="20"/>
                <w:szCs w:val="20"/>
                <w:color w:val="auto"/>
              </w:rPr>
            </w:pPr>
            <w:r>
              <w:rPr>
                <w:rFonts w:ascii="Arial" w:cs="Arial" w:eastAsia="Arial" w:hAnsi="Arial"/>
                <w:sz w:val="17"/>
                <w:szCs w:val="17"/>
                <w:color w:val="auto"/>
              </w:rPr>
              <w:t>920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ind w:right="134"/>
              <w:spacing w:after="0"/>
              <w:rPr>
                <w:sz w:val="20"/>
                <w:szCs w:val="20"/>
                <w:color w:val="auto"/>
              </w:rPr>
            </w:pPr>
            <w:r>
              <w:rPr>
                <w:rFonts w:ascii="Arial" w:cs="Arial" w:eastAsia="Arial" w:hAnsi="Arial"/>
                <w:sz w:val="17"/>
                <w:szCs w:val="17"/>
                <w:color w:val="auto"/>
              </w:rPr>
              <w:t>52,525</w:t>
            </w:r>
          </w:p>
        </w:tc>
        <w:tc>
          <w:tcPr>
            <w:tcW w:w="0" w:type="dxa"/>
            <w:vAlign w:val="bottom"/>
          </w:tcPr>
          <w:p>
            <w:pPr>
              <w:spacing w:after="0"/>
              <w:rPr>
                <w:sz w:val="1"/>
                <w:szCs w:val="1"/>
                <w:color w:val="auto"/>
              </w:rPr>
            </w:pPr>
          </w:p>
        </w:tc>
      </w:tr>
      <w:tr>
        <w:trPr>
          <w:trHeight w:val="223"/>
        </w:trPr>
        <w:tc>
          <w:tcPr>
            <w:tcW w:w="4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income (loss)</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(30,591)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(10,831)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33,961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(29,164)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(36,625)</w:t>
            </w:r>
          </w:p>
        </w:tc>
        <w:tc>
          <w:tcPr>
            <w:tcW w:w="0" w:type="dxa"/>
            <w:vAlign w:val="bottom"/>
          </w:tcPr>
          <w:p>
            <w:pPr>
              <w:spacing w:after="0"/>
              <w:rPr>
                <w:sz w:val="1"/>
                <w:szCs w:val="1"/>
                <w:color w:val="auto"/>
              </w:rPr>
            </w:pPr>
          </w:p>
        </w:tc>
      </w:tr>
      <w:tr>
        <w:trPr>
          <w:trHeight w:val="223"/>
        </w:trPr>
        <w:tc>
          <w:tcPr>
            <w:tcW w:w="4120" w:type="dxa"/>
            <w:vAlign w:val="bottom"/>
          </w:tcPr>
          <w:p>
            <w:pPr>
              <w:ind w:left="20"/>
              <w:spacing w:after="0"/>
              <w:rPr>
                <w:sz w:val="20"/>
                <w:szCs w:val="20"/>
                <w:color w:val="auto"/>
              </w:rPr>
            </w:pPr>
            <w:r>
              <w:rPr>
                <w:rFonts w:ascii="Arial" w:cs="Arial" w:eastAsia="Arial" w:hAnsi="Arial"/>
                <w:sz w:val="17"/>
                <w:szCs w:val="17"/>
                <w:color w:val="auto"/>
              </w:rPr>
              <w:t>Operating income (loss) %</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(14.4)%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7.3 %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ind w:left="700"/>
              <w:spacing w:after="0"/>
              <w:rPr>
                <w:sz w:val="20"/>
                <w:szCs w:val="20"/>
                <w:color w:val="auto"/>
              </w:rPr>
            </w:pPr>
            <w:r>
              <w:rPr>
                <w:rFonts w:ascii="Arial" w:cs="Arial" w:eastAsia="Arial" w:hAnsi="Arial"/>
                <w:sz w:val="17"/>
                <w:szCs w:val="17"/>
                <w:color w:val="auto"/>
              </w:rPr>
              <w:t>— %</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(3.3)%</w:t>
            </w:r>
          </w:p>
        </w:tc>
        <w:tc>
          <w:tcPr>
            <w:tcW w:w="0" w:type="dxa"/>
            <w:vAlign w:val="bottom"/>
          </w:tcPr>
          <w:p>
            <w:pPr>
              <w:spacing w:after="0"/>
              <w:rPr>
                <w:sz w:val="1"/>
                <w:szCs w:val="1"/>
                <w:color w:val="auto"/>
              </w:rPr>
            </w:pPr>
          </w:p>
        </w:tc>
      </w:tr>
      <w:tr>
        <w:trPr>
          <w:trHeight w:val="223"/>
        </w:trPr>
        <w:tc>
          <w:tcPr>
            <w:tcW w:w="41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Fiscal Year 2019</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20" w:type="dxa"/>
            <w:vAlign w:val="bottom"/>
          </w:tcPr>
          <w:p>
            <w:pPr>
              <w:ind w:left="20"/>
              <w:spacing w:after="0"/>
              <w:rPr>
                <w:sz w:val="20"/>
                <w:szCs w:val="20"/>
                <w:color w:val="auto"/>
              </w:rPr>
            </w:pPr>
            <w:r>
              <w:rPr>
                <w:rFonts w:ascii="Arial" w:cs="Arial" w:eastAsia="Arial" w:hAnsi="Arial"/>
                <w:sz w:val="17"/>
                <w:szCs w:val="17"/>
                <w:color w:val="auto"/>
              </w:rPr>
              <w:t>Consolidated revenue</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ind w:right="134"/>
              <w:spacing w:after="0"/>
              <w:rPr>
                <w:sz w:val="20"/>
                <w:szCs w:val="20"/>
                <w:color w:val="auto"/>
              </w:rPr>
            </w:pPr>
            <w:r>
              <w:rPr>
                <w:rFonts w:ascii="Arial" w:cs="Arial" w:eastAsia="Arial" w:hAnsi="Arial"/>
                <w:sz w:val="17"/>
                <w:szCs w:val="17"/>
                <w:color w:val="auto"/>
              </w:rPr>
              <w:t>249,867</w:t>
            </w:r>
          </w:p>
        </w:tc>
        <w:tc>
          <w:tcPr>
            <w:tcW w:w="100" w:type="dxa"/>
            <w:vAlign w:val="bottom"/>
          </w:tcPr>
          <w:p>
            <w:pPr>
              <w:spacing w:after="0"/>
              <w:rPr>
                <w:sz w:val="19"/>
                <w:szCs w:val="19"/>
                <w:color w:val="auto"/>
              </w:rPr>
            </w:pPr>
          </w:p>
        </w:tc>
        <w:tc>
          <w:tcPr>
            <w:tcW w:w="200" w:type="dxa"/>
            <w:vAlign w:val="bottom"/>
          </w:tcPr>
          <w:p>
            <w:pPr>
              <w:jc w:val="right"/>
              <w:ind w:right="17"/>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ind w:right="134"/>
              <w:spacing w:after="0"/>
              <w:rPr>
                <w:sz w:val="20"/>
                <w:szCs w:val="20"/>
                <w:color w:val="auto"/>
              </w:rPr>
            </w:pPr>
            <w:r>
              <w:rPr>
                <w:rFonts w:ascii="Arial" w:cs="Arial" w:eastAsia="Arial" w:hAnsi="Arial"/>
                <w:sz w:val="17"/>
                <w:szCs w:val="17"/>
                <w:color w:val="auto"/>
              </w:rPr>
              <w:t>654,014</w:t>
            </w:r>
          </w:p>
        </w:tc>
        <w:tc>
          <w:tcPr>
            <w:tcW w:w="100" w:type="dxa"/>
            <w:vAlign w:val="bottom"/>
          </w:tcPr>
          <w:p>
            <w:pPr>
              <w:spacing w:after="0"/>
              <w:rPr>
                <w:sz w:val="19"/>
                <w:szCs w:val="19"/>
                <w:color w:val="auto"/>
              </w:rPr>
            </w:pPr>
          </w:p>
        </w:tc>
        <w:tc>
          <w:tcPr>
            <w:tcW w:w="22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134"/>
              <w:spacing w:after="0"/>
              <w:rPr>
                <w:sz w:val="20"/>
                <w:szCs w:val="20"/>
                <w:color w:val="auto"/>
              </w:rPr>
            </w:pPr>
            <w:r>
              <w:rPr>
                <w:rFonts w:ascii="Arial" w:cs="Arial" w:eastAsia="Arial" w:hAnsi="Arial"/>
                <w:sz w:val="17"/>
                <w:szCs w:val="17"/>
                <w:color w:val="auto"/>
              </w:rPr>
              <w:t>512,799</w:t>
            </w:r>
          </w:p>
        </w:tc>
        <w:tc>
          <w:tcPr>
            <w:tcW w:w="100" w:type="dxa"/>
            <w:vAlign w:val="bottom"/>
          </w:tcPr>
          <w:p>
            <w:pPr>
              <w:spacing w:after="0"/>
              <w:rPr>
                <w:sz w:val="19"/>
                <w:szCs w:val="19"/>
                <w:color w:val="auto"/>
              </w:rPr>
            </w:pP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120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ind w:right="134"/>
              <w:spacing w:after="0"/>
              <w:rPr>
                <w:sz w:val="20"/>
                <w:szCs w:val="20"/>
                <w:color w:val="auto"/>
              </w:rPr>
            </w:pPr>
            <w:r>
              <w:rPr>
                <w:rFonts w:ascii="Arial" w:cs="Arial" w:eastAsia="Arial" w:hAnsi="Arial"/>
                <w:sz w:val="17"/>
                <w:szCs w:val="17"/>
                <w:color w:val="auto"/>
              </w:rPr>
              <w:t>1,416,680</w:t>
            </w:r>
          </w:p>
        </w:tc>
        <w:tc>
          <w:tcPr>
            <w:tcW w:w="0" w:type="dxa"/>
            <w:vAlign w:val="bottom"/>
          </w:tcPr>
          <w:p>
            <w:pPr>
              <w:spacing w:after="0"/>
              <w:rPr>
                <w:sz w:val="1"/>
                <w:szCs w:val="1"/>
                <w:color w:val="auto"/>
              </w:rPr>
            </w:pPr>
          </w:p>
        </w:tc>
      </w:tr>
      <w:tr>
        <w:trPr>
          <w:trHeight w:val="223"/>
        </w:trPr>
        <w:tc>
          <w:tcPr>
            <w:tcW w:w="4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profit (loss)</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21,161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58,853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54,600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(2,663)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131,951</w:t>
            </w:r>
          </w:p>
        </w:tc>
        <w:tc>
          <w:tcPr>
            <w:tcW w:w="0" w:type="dxa"/>
            <w:vAlign w:val="bottom"/>
          </w:tcPr>
          <w:p>
            <w:pPr>
              <w:spacing w:after="0"/>
              <w:rPr>
                <w:sz w:val="1"/>
                <w:szCs w:val="1"/>
                <w:color w:val="auto"/>
              </w:rPr>
            </w:pPr>
          </w:p>
        </w:tc>
      </w:tr>
      <w:tr>
        <w:trPr>
          <w:trHeight w:val="223"/>
        </w:trPr>
        <w:tc>
          <w:tcPr>
            <w:tcW w:w="4120" w:type="dxa"/>
            <w:vAlign w:val="bottom"/>
          </w:tcPr>
          <w:p>
            <w:pPr>
              <w:ind w:left="20"/>
              <w:spacing w:after="0"/>
              <w:rPr>
                <w:sz w:val="20"/>
                <w:szCs w:val="20"/>
                <w:color w:val="auto"/>
              </w:rPr>
            </w:pPr>
            <w:r>
              <w:rPr>
                <w:rFonts w:ascii="Arial" w:cs="Arial" w:eastAsia="Arial" w:hAnsi="Arial"/>
                <w:sz w:val="17"/>
                <w:szCs w:val="17"/>
                <w:color w:val="auto"/>
              </w:rPr>
              <w:t>Gross profit %</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8.5 %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9.0 %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10.6 %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ind w:left="700"/>
              <w:spacing w:after="0"/>
              <w:rPr>
                <w:sz w:val="20"/>
                <w:szCs w:val="20"/>
                <w:color w:val="auto"/>
              </w:rPr>
            </w:pPr>
            <w:r>
              <w:rPr>
                <w:rFonts w:ascii="Arial" w:cs="Arial" w:eastAsia="Arial" w:hAnsi="Arial"/>
                <w:sz w:val="17"/>
                <w:szCs w:val="17"/>
                <w:color w:val="auto"/>
              </w:rPr>
              <w:t>— %</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9.3 %</w:t>
            </w:r>
          </w:p>
        </w:tc>
        <w:tc>
          <w:tcPr>
            <w:tcW w:w="0" w:type="dxa"/>
            <w:vAlign w:val="bottom"/>
          </w:tcPr>
          <w:p>
            <w:pPr>
              <w:spacing w:after="0"/>
              <w:rPr>
                <w:sz w:val="1"/>
                <w:szCs w:val="1"/>
                <w:color w:val="auto"/>
              </w:rPr>
            </w:pPr>
          </w:p>
        </w:tc>
      </w:tr>
      <w:tr>
        <w:trPr>
          <w:trHeight w:val="223"/>
        </w:trPr>
        <w:tc>
          <w:tcPr>
            <w:tcW w:w="4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Selling, general and administrative expenses</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9,842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26,932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30,319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26,928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94,021</w:t>
            </w:r>
          </w:p>
        </w:tc>
        <w:tc>
          <w:tcPr>
            <w:tcW w:w="0" w:type="dxa"/>
            <w:vAlign w:val="bottom"/>
          </w:tcPr>
          <w:p>
            <w:pPr>
              <w:spacing w:after="0"/>
              <w:rPr>
                <w:sz w:val="1"/>
                <w:szCs w:val="1"/>
                <w:color w:val="auto"/>
              </w:rPr>
            </w:pPr>
          </w:p>
        </w:tc>
      </w:tr>
      <w:tr>
        <w:trPr>
          <w:trHeight w:val="223"/>
        </w:trPr>
        <w:tc>
          <w:tcPr>
            <w:tcW w:w="4120" w:type="dxa"/>
            <w:vAlign w:val="bottom"/>
          </w:tcPr>
          <w:p>
            <w:pPr>
              <w:ind w:left="20"/>
              <w:spacing w:after="0"/>
              <w:rPr>
                <w:sz w:val="20"/>
                <w:szCs w:val="20"/>
                <w:color w:val="auto"/>
              </w:rPr>
            </w:pPr>
            <w:r>
              <w:rPr>
                <w:rFonts w:ascii="Arial" w:cs="Arial" w:eastAsia="Arial" w:hAnsi="Arial"/>
                <w:sz w:val="17"/>
                <w:szCs w:val="17"/>
                <w:color w:val="auto"/>
              </w:rPr>
              <w:t>Operating income (loss)</w:t>
            </w:r>
          </w:p>
        </w:tc>
        <w:tc>
          <w:tcPr>
            <w:tcW w:w="120" w:type="dxa"/>
            <w:vAlign w:val="bottom"/>
          </w:tcPr>
          <w:p>
            <w:pPr>
              <w:spacing w:after="0"/>
              <w:rPr>
                <w:sz w:val="19"/>
                <w:szCs w:val="19"/>
                <w:color w:val="auto"/>
              </w:rPr>
            </w:pPr>
          </w:p>
        </w:tc>
        <w:tc>
          <w:tcPr>
            <w:tcW w:w="1240" w:type="dxa"/>
            <w:vAlign w:val="bottom"/>
          </w:tcPr>
          <w:p>
            <w:pPr>
              <w:jc w:val="right"/>
              <w:ind w:right="134"/>
              <w:spacing w:after="0"/>
              <w:rPr>
                <w:sz w:val="20"/>
                <w:szCs w:val="20"/>
                <w:color w:val="auto"/>
              </w:rPr>
            </w:pPr>
            <w:r>
              <w:rPr>
                <w:rFonts w:ascii="Arial" w:cs="Arial" w:eastAsia="Arial" w:hAnsi="Arial"/>
                <w:sz w:val="17"/>
                <w:szCs w:val="17"/>
                <w:color w:val="auto"/>
              </w:rPr>
              <w:t>11,319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ind w:right="134"/>
              <w:spacing w:after="0"/>
              <w:rPr>
                <w:sz w:val="20"/>
                <w:szCs w:val="20"/>
                <w:color w:val="auto"/>
              </w:rPr>
            </w:pPr>
            <w:r>
              <w:rPr>
                <w:rFonts w:ascii="Arial" w:cs="Arial" w:eastAsia="Arial" w:hAnsi="Arial"/>
                <w:sz w:val="17"/>
                <w:szCs w:val="17"/>
                <w:color w:val="auto"/>
              </w:rPr>
              <w:t>31,921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ind w:right="134"/>
              <w:spacing w:after="0"/>
              <w:rPr>
                <w:sz w:val="20"/>
                <w:szCs w:val="20"/>
                <w:color w:val="auto"/>
              </w:rPr>
            </w:pPr>
            <w:r>
              <w:rPr>
                <w:rFonts w:ascii="Arial" w:cs="Arial" w:eastAsia="Arial" w:hAnsi="Arial"/>
                <w:sz w:val="17"/>
                <w:szCs w:val="17"/>
                <w:color w:val="auto"/>
              </w:rPr>
              <w:t>24,281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ind w:right="74"/>
              <w:spacing w:after="0"/>
              <w:rPr>
                <w:sz w:val="20"/>
                <w:szCs w:val="20"/>
                <w:color w:val="auto"/>
              </w:rPr>
            </w:pPr>
            <w:r>
              <w:rPr>
                <w:rFonts w:ascii="Arial" w:cs="Arial" w:eastAsia="Arial" w:hAnsi="Arial"/>
                <w:sz w:val="17"/>
                <w:szCs w:val="17"/>
                <w:color w:val="auto"/>
              </w:rPr>
              <w:t>(29,591)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ind w:right="134"/>
              <w:spacing w:after="0"/>
              <w:rPr>
                <w:sz w:val="20"/>
                <w:szCs w:val="20"/>
                <w:color w:val="auto"/>
              </w:rPr>
            </w:pPr>
            <w:r>
              <w:rPr>
                <w:rFonts w:ascii="Arial" w:cs="Arial" w:eastAsia="Arial" w:hAnsi="Arial"/>
                <w:sz w:val="17"/>
                <w:szCs w:val="17"/>
                <w:color w:val="auto"/>
              </w:rPr>
              <w:t>37,930</w:t>
            </w:r>
          </w:p>
        </w:tc>
        <w:tc>
          <w:tcPr>
            <w:tcW w:w="0" w:type="dxa"/>
            <w:vAlign w:val="bottom"/>
          </w:tcPr>
          <w:p>
            <w:pPr>
              <w:spacing w:after="0"/>
              <w:rPr>
                <w:sz w:val="1"/>
                <w:szCs w:val="1"/>
                <w:color w:val="auto"/>
              </w:rPr>
            </w:pPr>
          </w:p>
        </w:tc>
      </w:tr>
      <w:tr>
        <w:trPr>
          <w:trHeight w:val="223"/>
        </w:trPr>
        <w:tc>
          <w:tcPr>
            <w:tcW w:w="4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income %</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700"/>
              <w:spacing w:after="0"/>
              <w:rPr>
                <w:sz w:val="20"/>
                <w:szCs w:val="20"/>
                <w:color w:val="auto"/>
              </w:rPr>
            </w:pPr>
            <w:r>
              <w:rPr>
                <w:rFonts w:ascii="Arial" w:cs="Arial" w:eastAsia="Arial" w:hAnsi="Arial"/>
                <w:sz w:val="17"/>
                <w:szCs w:val="17"/>
                <w:color w:val="auto"/>
              </w:rPr>
              <w:t>— %</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2.7 %</w:t>
            </w:r>
          </w:p>
        </w:tc>
        <w:tc>
          <w:tcPr>
            <w:tcW w:w="0" w:type="dxa"/>
            <w:vAlign w:val="bottom"/>
          </w:tcPr>
          <w:p>
            <w:pPr>
              <w:spacing w:after="0"/>
              <w:rPr>
                <w:sz w:val="1"/>
                <w:szCs w:val="1"/>
                <w:color w:val="auto"/>
              </w:rPr>
            </w:pPr>
          </w:p>
        </w:tc>
      </w:tr>
      <w:tr>
        <w:trPr>
          <w:trHeight w:val="170"/>
        </w:trPr>
        <w:tc>
          <w:tcPr>
            <w:tcW w:w="4120" w:type="dxa"/>
            <w:vAlign w:val="bottom"/>
          </w:tcPr>
          <w:p>
            <w:pPr>
              <w:ind w:left="20"/>
              <w:spacing w:after="0" w:line="171" w:lineRule="exact"/>
              <w:rPr>
                <w:sz w:val="20"/>
                <w:szCs w:val="20"/>
                <w:color w:val="auto"/>
              </w:rPr>
            </w:pPr>
            <w:r>
              <w:rPr>
                <w:rFonts w:ascii="Arial" w:cs="Arial" w:eastAsia="Arial" w:hAnsi="Arial"/>
                <w:sz w:val="17"/>
                <w:szCs w:val="17"/>
                <w:b w:val="1"/>
                <w:bCs w:val="1"/>
                <w:color w:val="auto"/>
              </w:rPr>
              <w:t>Variances Fiscal Year 2020 to Fiscal Year 2019</w:t>
            </w: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120" w:type="dxa"/>
            <w:vAlign w:val="bottom"/>
          </w:tcPr>
          <w:p>
            <w:pPr>
              <w:ind w:left="20"/>
              <w:spacing w:after="0"/>
              <w:rPr>
                <w:sz w:val="20"/>
                <w:szCs w:val="20"/>
                <w:color w:val="auto"/>
              </w:rPr>
            </w:pPr>
            <w:r>
              <w:rPr>
                <w:rFonts w:ascii="Arial" w:cs="Arial" w:eastAsia="Arial" w:hAnsi="Arial"/>
                <w:sz w:val="17"/>
                <w:szCs w:val="17"/>
                <w:b w:val="1"/>
                <w:bCs w:val="1"/>
                <w:color w:val="auto"/>
              </w:rPr>
              <w:t>Increase/(Decrease)</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Consolidated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(37,866)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(232,143)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(45,733)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(315,742)</w:t>
            </w:r>
          </w:p>
        </w:tc>
        <w:tc>
          <w:tcPr>
            <w:tcW w:w="0" w:type="dxa"/>
            <w:vAlign w:val="bottom"/>
          </w:tcPr>
          <w:p>
            <w:pPr>
              <w:spacing w:after="0"/>
              <w:rPr>
                <w:sz w:val="1"/>
                <w:szCs w:val="1"/>
                <w:color w:val="auto"/>
              </w:rPr>
            </w:pPr>
          </w:p>
        </w:tc>
      </w:tr>
      <w:tr>
        <w:trPr>
          <w:trHeight w:val="223"/>
        </w:trPr>
        <w:tc>
          <w:tcPr>
            <w:tcW w:w="4120" w:type="dxa"/>
            <w:vAlign w:val="bottom"/>
          </w:tcPr>
          <w:p>
            <w:pPr>
              <w:ind w:left="20"/>
              <w:spacing w:after="0"/>
              <w:rPr>
                <w:sz w:val="20"/>
                <w:szCs w:val="20"/>
                <w:color w:val="auto"/>
              </w:rPr>
            </w:pPr>
            <w:r>
              <w:rPr>
                <w:rFonts w:ascii="Arial" w:cs="Arial" w:eastAsia="Arial" w:hAnsi="Arial"/>
                <w:sz w:val="17"/>
                <w:szCs w:val="17"/>
                <w:color w:val="auto"/>
              </w:rPr>
              <w:t>Gross profit (loss)</w:t>
            </w:r>
          </w:p>
        </w:tc>
        <w:tc>
          <w:tcPr>
            <w:tcW w:w="120" w:type="dxa"/>
            <w:vAlign w:val="bottom"/>
          </w:tcPr>
          <w:p>
            <w:pPr>
              <w:spacing w:after="0"/>
              <w:rPr>
                <w:sz w:val="19"/>
                <w:szCs w:val="19"/>
                <w:color w:val="auto"/>
              </w:rPr>
            </w:pPr>
          </w:p>
        </w:tc>
        <w:tc>
          <w:tcPr>
            <w:tcW w:w="1240" w:type="dxa"/>
            <w:vAlign w:val="bottom"/>
          </w:tcPr>
          <w:p>
            <w:pPr>
              <w:jc w:val="right"/>
              <w:ind w:right="94"/>
              <w:spacing w:after="0"/>
              <w:rPr>
                <w:sz w:val="20"/>
                <w:szCs w:val="20"/>
                <w:color w:val="auto"/>
              </w:rPr>
            </w:pPr>
            <w:r>
              <w:rPr>
                <w:rFonts w:ascii="Arial" w:cs="Arial" w:eastAsia="Arial" w:hAnsi="Arial"/>
                <w:sz w:val="17"/>
                <w:szCs w:val="17"/>
                <w:color w:val="auto"/>
              </w:rPr>
              <w:t>(14,080)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ind w:right="74"/>
              <w:spacing w:after="0"/>
              <w:rPr>
                <w:sz w:val="20"/>
                <w:szCs w:val="20"/>
                <w:color w:val="auto"/>
              </w:rPr>
            </w:pPr>
            <w:r>
              <w:rPr>
                <w:rFonts w:ascii="Arial" w:cs="Arial" w:eastAsia="Arial" w:hAnsi="Arial"/>
                <w:sz w:val="17"/>
                <w:szCs w:val="17"/>
                <w:color w:val="auto"/>
              </w:rPr>
              <w:t>(22,504)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ind w:right="134"/>
              <w:spacing w:after="0"/>
              <w:rPr>
                <w:sz w:val="20"/>
                <w:szCs w:val="20"/>
                <w:color w:val="auto"/>
              </w:rPr>
            </w:pPr>
            <w:r>
              <w:rPr>
                <w:rFonts w:ascii="Arial" w:cs="Arial" w:eastAsia="Arial" w:hAnsi="Arial"/>
                <w:sz w:val="17"/>
                <w:szCs w:val="17"/>
                <w:color w:val="auto"/>
              </w:rPr>
              <w:t>6,813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ind w:right="74"/>
              <w:spacing w:after="0"/>
              <w:rPr>
                <w:sz w:val="20"/>
                <w:szCs w:val="20"/>
                <w:color w:val="auto"/>
              </w:rPr>
            </w:pPr>
            <w:r>
              <w:rPr>
                <w:rFonts w:ascii="Arial" w:cs="Arial" w:eastAsia="Arial" w:hAnsi="Arial"/>
                <w:sz w:val="17"/>
                <w:szCs w:val="17"/>
                <w:color w:val="auto"/>
              </w:rPr>
              <w:t>(4)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ind w:right="74"/>
              <w:spacing w:after="0"/>
              <w:rPr>
                <w:sz w:val="20"/>
                <w:szCs w:val="20"/>
                <w:color w:val="auto"/>
              </w:rPr>
            </w:pPr>
            <w:r>
              <w:rPr>
                <w:rFonts w:ascii="Arial" w:cs="Arial" w:eastAsia="Arial" w:hAnsi="Arial"/>
                <w:sz w:val="17"/>
                <w:szCs w:val="17"/>
                <w:color w:val="auto"/>
              </w:rPr>
              <w:t>(29,775)</w:t>
            </w:r>
          </w:p>
        </w:tc>
        <w:tc>
          <w:tcPr>
            <w:tcW w:w="0" w:type="dxa"/>
            <w:vAlign w:val="bottom"/>
          </w:tcPr>
          <w:p>
            <w:pPr>
              <w:spacing w:after="0"/>
              <w:rPr>
                <w:sz w:val="1"/>
                <w:szCs w:val="1"/>
                <w:color w:val="auto"/>
              </w:rPr>
            </w:pPr>
          </w:p>
        </w:tc>
      </w:tr>
      <w:tr>
        <w:trPr>
          <w:trHeight w:val="223"/>
        </w:trPr>
        <w:tc>
          <w:tcPr>
            <w:tcW w:w="4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Selling, general and administrative expenses</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205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(2,666)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(3,933)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(1,351)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(7,745)</w:t>
            </w:r>
          </w:p>
        </w:tc>
        <w:tc>
          <w:tcPr>
            <w:tcW w:w="0" w:type="dxa"/>
            <w:vAlign w:val="bottom"/>
          </w:tcPr>
          <w:p>
            <w:pPr>
              <w:spacing w:after="0"/>
              <w:rPr>
                <w:sz w:val="1"/>
                <w:szCs w:val="1"/>
                <w:color w:val="auto"/>
              </w:rPr>
            </w:pPr>
          </w:p>
        </w:tc>
      </w:tr>
      <w:tr>
        <w:trPr>
          <w:trHeight w:val="223"/>
        </w:trPr>
        <w:tc>
          <w:tcPr>
            <w:tcW w:w="4120" w:type="dxa"/>
            <w:vAlign w:val="bottom"/>
          </w:tcPr>
          <w:p>
            <w:pPr>
              <w:ind w:left="20"/>
              <w:spacing w:after="0"/>
              <w:rPr>
                <w:sz w:val="20"/>
                <w:szCs w:val="20"/>
                <w:color w:val="auto"/>
              </w:rPr>
            </w:pPr>
            <w:r>
              <w:rPr>
                <w:rFonts w:ascii="Arial" w:cs="Arial" w:eastAsia="Arial" w:hAnsi="Arial"/>
                <w:sz w:val="17"/>
                <w:szCs w:val="17"/>
                <w:color w:val="auto"/>
              </w:rPr>
              <w:t>Intangible asset impairments and restructuring costs</w:t>
            </w:r>
          </w:p>
        </w:tc>
        <w:tc>
          <w:tcPr>
            <w:tcW w:w="120" w:type="dxa"/>
            <w:vAlign w:val="bottom"/>
          </w:tcPr>
          <w:p>
            <w:pPr>
              <w:spacing w:after="0"/>
              <w:rPr>
                <w:sz w:val="19"/>
                <w:szCs w:val="19"/>
                <w:color w:val="auto"/>
              </w:rPr>
            </w:pPr>
          </w:p>
        </w:tc>
        <w:tc>
          <w:tcPr>
            <w:tcW w:w="1240" w:type="dxa"/>
            <w:vAlign w:val="bottom"/>
          </w:tcPr>
          <w:p>
            <w:pPr>
              <w:jc w:val="right"/>
              <w:ind w:right="134"/>
              <w:spacing w:after="0"/>
              <w:rPr>
                <w:sz w:val="20"/>
                <w:szCs w:val="20"/>
                <w:color w:val="auto"/>
              </w:rPr>
            </w:pPr>
            <w:r>
              <w:rPr>
                <w:rFonts w:ascii="Arial" w:cs="Arial" w:eastAsia="Arial" w:hAnsi="Arial"/>
                <w:sz w:val="17"/>
                <w:szCs w:val="17"/>
                <w:color w:val="auto"/>
              </w:rPr>
              <w:t>27,625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ind w:right="134"/>
              <w:spacing w:after="0"/>
              <w:rPr>
                <w:sz w:val="20"/>
                <w:szCs w:val="20"/>
                <w:color w:val="auto"/>
              </w:rPr>
            </w:pPr>
            <w:r>
              <w:rPr>
                <w:rFonts w:ascii="Arial" w:cs="Arial" w:eastAsia="Arial" w:hAnsi="Arial"/>
                <w:sz w:val="17"/>
                <w:szCs w:val="17"/>
                <w:color w:val="auto"/>
              </w:rPr>
              <w:t>22,914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ind w:right="134"/>
              <w:spacing w:after="0"/>
              <w:rPr>
                <w:sz w:val="20"/>
                <w:szCs w:val="20"/>
                <w:color w:val="auto"/>
              </w:rPr>
            </w:pPr>
            <w:r>
              <w:rPr>
                <w:rFonts w:ascii="Arial" w:cs="Arial" w:eastAsia="Arial" w:hAnsi="Arial"/>
                <w:sz w:val="17"/>
                <w:szCs w:val="17"/>
                <w:color w:val="auto"/>
              </w:rPr>
              <w:t>1,066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ind w:right="114"/>
              <w:spacing w:after="0"/>
              <w:rPr>
                <w:sz w:val="20"/>
                <w:szCs w:val="20"/>
                <w:color w:val="auto"/>
              </w:rPr>
            </w:pPr>
            <w:r>
              <w:rPr>
                <w:rFonts w:ascii="Arial" w:cs="Arial" w:eastAsia="Arial" w:hAnsi="Arial"/>
                <w:sz w:val="17"/>
                <w:szCs w:val="17"/>
                <w:color w:val="auto"/>
              </w:rPr>
              <w:t>920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ind w:right="134"/>
              <w:spacing w:after="0"/>
              <w:rPr>
                <w:sz w:val="20"/>
                <w:szCs w:val="20"/>
                <w:color w:val="auto"/>
              </w:rPr>
            </w:pPr>
            <w:r>
              <w:rPr>
                <w:rFonts w:ascii="Arial" w:cs="Arial" w:eastAsia="Arial" w:hAnsi="Arial"/>
                <w:sz w:val="17"/>
                <w:szCs w:val="17"/>
                <w:color w:val="auto"/>
              </w:rPr>
              <w:t>52,525</w:t>
            </w:r>
          </w:p>
        </w:tc>
        <w:tc>
          <w:tcPr>
            <w:tcW w:w="0" w:type="dxa"/>
            <w:vAlign w:val="bottom"/>
          </w:tcPr>
          <w:p>
            <w:pPr>
              <w:spacing w:after="0"/>
              <w:rPr>
                <w:sz w:val="1"/>
                <w:szCs w:val="1"/>
                <w:color w:val="auto"/>
              </w:rPr>
            </w:pPr>
          </w:p>
        </w:tc>
      </w:tr>
      <w:tr>
        <w:trPr>
          <w:trHeight w:val="223"/>
        </w:trPr>
        <w:tc>
          <w:tcPr>
            <w:tcW w:w="4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income (loss)</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(41,910)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(42,752)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9,680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427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(74,555)</w:t>
            </w: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Operational Update</w:t>
      </w:r>
    </w:p>
    <w:p>
      <w:pPr>
        <w:spacing w:after="0" w:line="17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Throughout the course of the COVID-19 pandemic, our top priority has been to maintain a safe working environment for all field and office employees, customers and business partners. Our project teams, in coordination with our clients, are monitoring the impact of new variants of COVID-19 and continue to operate under enhanced work processes to protect the health and safety of everyone on our job sites.</w:t>
      </w:r>
    </w:p>
    <w:p>
      <w:pPr>
        <w:spacing w:after="0" w:line="12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Since the beginning of the pandemic we have reduced our cost structure in excess of $60 million, or approximately 25%, with a third of those reductions related to SG&amp;A and the rest related to construction overhead, which is included in cost of revenue in the Consolidated Statements of Income. In order to achieve these cost savings, we incurred $14.0 million of restructuring costs during fiscal 2020 and $6.8 million during fiscal 2021. Despite these significant reductions in construction overhead, our revenue volume in fiscal 2021 did not allow for complete recovery of overhead, which reduced gross margin.</w:t>
      </w:r>
    </w:p>
    <w:p>
      <w:pPr>
        <w:spacing w:after="0" w:line="10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fiscal 2021, we engaged a third party consultant to help us perform a strategic review of our end markets in support of updating our business strategy and to ensure that our organizational structure is properly designed to support our updated strategy. Based on the preliminary results of this review, we believe there are opportunities for us to be more competitive, which will require organizational and process changes and will likely result in additional restructuring costs. We expect to substantially complete this initiative in fiscal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0" w:name="page31"/>
    <w:bookmarkEnd w:id="3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7"/>
          <w:szCs w:val="17"/>
          <w:color w:val="auto"/>
        </w:rPr>
        <w:t>In order to more clearly depict our core profitability, the following tables present our operating results after certain adjustments: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Reconciliation of Adjusted Net Income (Loss) and Diluted Earnings (Loss) per Common Share</w:t>
      </w:r>
      <w:r>
        <w:rPr>
          <w:rFonts w:ascii="Arial" w:cs="Arial" w:eastAsia="Arial" w:hAnsi="Arial"/>
          <w:sz w:val="22"/>
          <w:szCs w:val="22"/>
          <w:b w:val="1"/>
          <w:bCs w:val="1"/>
          <w:color w:val="auto"/>
          <w:vertAlign w:val="superscript"/>
        </w:rPr>
        <w:t>(1)</w:t>
      </w:r>
    </w:p>
    <w:p>
      <w:pPr>
        <w:jc w:val="center"/>
        <w:spacing w:after="0"/>
        <w:rPr>
          <w:sz w:val="20"/>
          <w:szCs w:val="20"/>
          <w:color w:val="auto"/>
        </w:rPr>
      </w:pPr>
      <w:r>
        <w:rPr>
          <w:rFonts w:ascii="Arial" w:cs="Arial" w:eastAsia="Arial" w:hAnsi="Arial"/>
          <w:sz w:val="17"/>
          <w:szCs w:val="17"/>
          <w:b w:val="1"/>
          <w:bCs w:val="1"/>
          <w:color w:val="auto"/>
        </w:rPr>
        <w:t>(In thousands, except per share data)</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88"/>
              </w:rPr>
              <w:t>Fiscal Years Ended</w:t>
            </w: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181"/>
        </w:trPr>
        <w:tc>
          <w:tcPr>
            <w:tcW w:w="7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 2021</w:t>
            </w:r>
          </w:p>
        </w:tc>
        <w:tc>
          <w:tcPr>
            <w:tcW w:w="180" w:type="dxa"/>
            <w:vAlign w:val="bottom"/>
          </w:tcPr>
          <w:p>
            <w:pPr>
              <w:spacing w:after="0"/>
              <w:rPr>
                <w:sz w:val="15"/>
                <w:szCs w:val="15"/>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June 30, 2020</w:t>
            </w:r>
          </w:p>
        </w:tc>
        <w:tc>
          <w:tcPr>
            <w:tcW w:w="160" w:type="dxa"/>
            <w:vAlign w:val="bottom"/>
          </w:tcPr>
          <w:p>
            <w:pPr>
              <w:spacing w:after="0"/>
              <w:rPr>
                <w:sz w:val="15"/>
                <w:szCs w:val="15"/>
                <w:color w:val="auto"/>
              </w:rPr>
            </w:pPr>
          </w:p>
        </w:tc>
        <w:tc>
          <w:tcPr>
            <w:tcW w:w="1140" w:type="dxa"/>
            <w:vAlign w:val="bottom"/>
          </w:tcPr>
          <w:p>
            <w:pPr>
              <w:jc w:val="right"/>
              <w:ind w:right="155"/>
              <w:spacing w:after="0"/>
              <w:rPr>
                <w:sz w:val="20"/>
                <w:szCs w:val="20"/>
                <w:color w:val="auto"/>
              </w:rPr>
            </w:pPr>
            <w:r>
              <w:rPr>
                <w:rFonts w:ascii="Arial" w:cs="Arial" w:eastAsia="Arial" w:hAnsi="Arial"/>
                <w:sz w:val="14"/>
                <w:szCs w:val="14"/>
                <w:b w:val="1"/>
                <w:bCs w:val="1"/>
                <w:color w:val="auto"/>
                <w:w w:val="96"/>
              </w:rPr>
              <w:t>June 30, 2019</w:t>
            </w:r>
          </w:p>
        </w:tc>
      </w:tr>
      <w:tr>
        <w:trPr>
          <w:trHeight w:val="217"/>
        </w:trPr>
        <w:tc>
          <w:tcPr>
            <w:tcW w:w="7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income (loss), as reported</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(31,224)</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(33,074)</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27,982</w:t>
            </w:r>
          </w:p>
        </w:tc>
      </w:tr>
      <w:tr>
        <w:trPr>
          <w:trHeight w:val="223"/>
        </w:trPr>
        <w:tc>
          <w:tcPr>
            <w:tcW w:w="7120" w:type="dxa"/>
            <w:vAlign w:val="bottom"/>
          </w:tcPr>
          <w:p>
            <w:pPr>
              <w:ind w:left="340"/>
              <w:spacing w:after="0"/>
              <w:rPr>
                <w:sz w:val="20"/>
                <w:szCs w:val="20"/>
                <w:color w:val="auto"/>
              </w:rPr>
            </w:pPr>
            <w:r>
              <w:rPr>
                <w:rFonts w:ascii="Arial" w:cs="Arial" w:eastAsia="Arial" w:hAnsi="Arial"/>
                <w:sz w:val="17"/>
                <w:szCs w:val="17"/>
                <w:color w:val="auto"/>
              </w:rPr>
              <w:t>Restructuring costs incurred</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6,756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14,010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71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Goodwill and intangible asset impairments</w:t>
            </w: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38,515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7120" w:type="dxa"/>
            <w:vAlign w:val="bottom"/>
            <w:tcBorders>
              <w:bottom w:val="single" w:sz="8" w:color="CCEEFF"/>
            </w:tcBorders>
          </w:tcPr>
          <w:p>
            <w:pPr>
              <w:ind w:left="340"/>
              <w:spacing w:after="0"/>
              <w:rPr>
                <w:sz w:val="20"/>
                <w:szCs w:val="20"/>
                <w:color w:val="auto"/>
              </w:rPr>
            </w:pPr>
            <w:r>
              <w:rPr>
                <w:rFonts w:ascii="Arial" w:cs="Arial" w:eastAsia="Arial" w:hAnsi="Arial"/>
                <w:sz w:val="17"/>
                <w:szCs w:val="17"/>
                <w:color w:val="auto"/>
              </w:rPr>
              <w:t>Tax impact of adjustments and other net tax items</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(1,739)</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(8,644)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41"/>
        </w:trPr>
        <w:tc>
          <w:tcPr>
            <w:tcW w:w="7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Adjusted net income (loss)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(26,207)</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10,807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27,982</w:t>
            </w: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08"/>
        </w:trPr>
        <w:tc>
          <w:tcPr>
            <w:tcW w:w="7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48"/>
        </w:trPr>
        <w:tc>
          <w:tcPr>
            <w:tcW w:w="7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Loss per fully diluted share, as reported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(1.18)</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1.01</w:t>
            </w: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195"/>
        </w:trPr>
        <w:tc>
          <w:tcPr>
            <w:tcW w:w="7120" w:type="dxa"/>
            <w:vAlign w:val="bottom"/>
          </w:tcPr>
          <w:p>
            <w:pPr>
              <w:ind w:left="20"/>
              <w:spacing w:after="0"/>
              <w:rPr>
                <w:sz w:val="20"/>
                <w:szCs w:val="20"/>
                <w:color w:val="auto"/>
              </w:rPr>
            </w:pPr>
            <w:r>
              <w:rPr>
                <w:rFonts w:ascii="Arial" w:cs="Arial" w:eastAsia="Arial" w:hAnsi="Arial"/>
                <w:sz w:val="17"/>
                <w:szCs w:val="17"/>
                <w:color w:val="auto"/>
              </w:rPr>
              <w:t>Adjusted earnings (loss) per fully diluted share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(0.99)</w:t>
            </w:r>
          </w:p>
        </w:tc>
        <w:tc>
          <w:tcPr>
            <w:tcW w:w="80" w:type="dxa"/>
            <w:vAlign w:val="bottom"/>
          </w:tcPr>
          <w:p>
            <w:pPr>
              <w:spacing w:after="0"/>
              <w:rPr>
                <w:sz w:val="16"/>
                <w:szCs w:val="16"/>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0.40</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1.01</w:t>
            </w:r>
          </w:p>
        </w:tc>
      </w:tr>
      <w:tr>
        <w:trPr>
          <w:trHeight w:val="20"/>
        </w:trPr>
        <w:tc>
          <w:tcPr>
            <w:tcW w:w="7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107950</wp:posOffset>
            </wp:positionV>
            <wp:extent cx="79946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99465" cy="8255"/>
                    </a:xfrm>
                    <a:prstGeom prst="rect">
                      <a:avLst/>
                    </a:prstGeom>
                    <a:noFill/>
                  </pic:spPr>
                </pic:pic>
              </a:graphicData>
            </a:graphic>
          </wp:anchor>
        </w:drawing>
      </w:r>
    </w:p>
    <w:p>
      <w:pPr>
        <w:spacing w:after="0" w:line="224" w:lineRule="exact"/>
        <w:rPr>
          <w:sz w:val="20"/>
          <w:szCs w:val="20"/>
          <w:color w:val="auto"/>
        </w:rPr>
      </w:pPr>
    </w:p>
    <w:p>
      <w:pPr>
        <w:jc w:val="both"/>
        <w:ind w:left="560" w:hanging="319"/>
        <w:spacing w:after="0" w:line="264" w:lineRule="auto"/>
        <w:tabs>
          <w:tab w:leader="none" w:pos="552" w:val="left"/>
        </w:tabs>
        <w:numPr>
          <w:ilvl w:val="0"/>
          <w:numId w:val="19"/>
        </w:numPr>
        <w:rPr>
          <w:rFonts w:ascii="Arial" w:cs="Arial" w:eastAsia="Arial" w:hAnsi="Arial"/>
          <w:sz w:val="13"/>
          <w:szCs w:val="13"/>
          <w:color w:val="auto"/>
        </w:rPr>
      </w:pPr>
      <w:r>
        <w:rPr>
          <w:rFonts w:ascii="Arial" w:cs="Arial" w:eastAsia="Arial" w:hAnsi="Arial"/>
          <w:sz w:val="13"/>
          <w:szCs w:val="13"/>
          <w:color w:val="auto"/>
        </w:rPr>
        <w:t>This table presents non-GAAP financial measures of our adjusted net income (loss) and adjusted diluted earnings (loss) per common share for fiscal 2021, 2020 and 2019. The most directly comparable financial measures are net loss and net loss per diluted share, respectively, presented in the Consolidated Statements of Income. We have presented these non-GAAP financial measures because we believe they more clearly depict our core operating results during the periods presented and provide a more comparable measure of our operating results to other companies considered to be in similar businesses. Since adjusted net income (loss) and adjusted diluted earnings (loss) per common share are not measures of performance calculated in accordance with GAAP, they should be considered in addition to, rather than as a substitute for, the most directly comparable GAAP financial measures.</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Reconciliation of Net Income (Loss) to Adjusted EBITDA</w:t>
      </w:r>
      <w:r>
        <w:rPr>
          <w:rFonts w:ascii="Arial" w:cs="Arial" w:eastAsia="Arial" w:hAnsi="Arial"/>
          <w:sz w:val="22"/>
          <w:szCs w:val="22"/>
          <w:b w:val="1"/>
          <w:bCs w:val="1"/>
          <w:color w:val="auto"/>
          <w:vertAlign w:val="superscript"/>
        </w:rPr>
        <w:t>(1)</w:t>
      </w:r>
    </w:p>
    <w:p>
      <w:pPr>
        <w:spacing w:after="0" w:line="281" w:lineRule="exact"/>
        <w:rPr>
          <w:sz w:val="20"/>
          <w:szCs w:val="20"/>
          <w:color w:val="auto"/>
        </w:rPr>
      </w:pPr>
    </w:p>
    <w:tbl>
      <w:tblPr>
        <w:tblLayout w:type="fixed"/>
        <w:tblInd w:w="120" w:type="dxa"/>
        <w:tblCellMar>
          <w:top w:w="0" w:type="dxa"/>
          <w:left w:w="0" w:type="dxa"/>
          <w:bottom w:w="0" w:type="dxa"/>
          <w:right w:w="0" w:type="dxa"/>
        </w:tblCellMar>
      </w:tblPr>
      <w:tr>
        <w:trPr>
          <w:trHeight w:val="188"/>
        </w:trPr>
        <w:tc>
          <w:tcPr>
            <w:tcW w:w="68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0"/>
              </w:rPr>
              <w:t>Fiscal Years Ended</w:t>
            </w: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129"/>
        </w:trPr>
        <w:tc>
          <w:tcPr>
            <w:tcW w:w="6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2"/>
          </w:tcPr>
          <w:p>
            <w:pPr>
              <w:ind w:left="160"/>
              <w:spacing w:after="0" w:line="130" w:lineRule="exact"/>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1"/>
                <w:szCs w:val="11"/>
                <w:color w:val="auto"/>
              </w:rPr>
            </w:pPr>
          </w:p>
        </w:tc>
        <w:tc>
          <w:tcPr>
            <w:tcW w:w="1240" w:type="dxa"/>
            <w:vAlign w:val="bottom"/>
            <w:gridSpan w:val="2"/>
          </w:tcPr>
          <w:p>
            <w:pPr>
              <w:jc w:val="center"/>
              <w:ind w:right="280"/>
              <w:spacing w:after="0" w:line="130" w:lineRule="exact"/>
              <w:rPr>
                <w:sz w:val="20"/>
                <w:szCs w:val="20"/>
                <w:color w:val="auto"/>
              </w:rPr>
            </w:pPr>
            <w:r>
              <w:rPr>
                <w:rFonts w:ascii="Arial" w:cs="Arial" w:eastAsia="Arial" w:hAnsi="Arial"/>
                <w:sz w:val="14"/>
                <w:szCs w:val="14"/>
                <w:b w:val="1"/>
                <w:bCs w:val="1"/>
                <w:color w:val="auto"/>
                <w:w w:val="85"/>
              </w:rPr>
              <w:t>June 30,</w:t>
            </w:r>
          </w:p>
        </w:tc>
        <w:tc>
          <w:tcPr>
            <w:tcW w:w="260" w:type="dxa"/>
            <w:vAlign w:val="bottom"/>
          </w:tcPr>
          <w:p>
            <w:pPr>
              <w:spacing w:after="0"/>
              <w:rPr>
                <w:sz w:val="11"/>
                <w:szCs w:val="11"/>
                <w:color w:val="auto"/>
              </w:rPr>
            </w:pPr>
          </w:p>
        </w:tc>
        <w:tc>
          <w:tcPr>
            <w:tcW w:w="1060" w:type="dxa"/>
            <w:vAlign w:val="bottom"/>
          </w:tcPr>
          <w:p>
            <w:pPr>
              <w:jc w:val="right"/>
              <w:ind w:right="336"/>
              <w:spacing w:after="0" w:line="130" w:lineRule="exact"/>
              <w:rPr>
                <w:sz w:val="20"/>
                <w:szCs w:val="20"/>
                <w:color w:val="auto"/>
              </w:rPr>
            </w:pPr>
            <w:r>
              <w:rPr>
                <w:rFonts w:ascii="Arial" w:cs="Arial" w:eastAsia="Arial" w:hAnsi="Arial"/>
                <w:sz w:val="14"/>
                <w:szCs w:val="14"/>
                <w:b w:val="1"/>
                <w:bCs w:val="1"/>
                <w:color w:val="auto"/>
              </w:rPr>
              <w:t>June 30,</w:t>
            </w:r>
          </w:p>
        </w:tc>
      </w:tr>
      <w:tr>
        <w:trPr>
          <w:trHeight w:val="183"/>
        </w:trPr>
        <w:tc>
          <w:tcPr>
            <w:tcW w:w="68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2019</w:t>
            </w:r>
          </w:p>
        </w:tc>
      </w:tr>
      <w:tr>
        <w:trPr>
          <w:trHeight w:val="177"/>
        </w:trPr>
        <w:tc>
          <w:tcPr>
            <w:tcW w:w="6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(in thousands)</w:t>
            </w: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23"/>
        </w:trPr>
        <w:tc>
          <w:tcPr>
            <w:tcW w:w="6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 (loss)</w:t>
            </w: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(31,224)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(33,074)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27,982</w:t>
            </w:r>
          </w:p>
        </w:tc>
      </w:tr>
      <w:tr>
        <w:trPr>
          <w:trHeight w:val="223"/>
        </w:trPr>
        <w:tc>
          <w:tcPr>
            <w:tcW w:w="6880" w:type="dxa"/>
            <w:vAlign w:val="bottom"/>
          </w:tcPr>
          <w:p>
            <w:pPr>
              <w:ind w:left="20"/>
              <w:spacing w:after="0"/>
              <w:rPr>
                <w:sz w:val="20"/>
                <w:szCs w:val="20"/>
                <w:color w:val="auto"/>
              </w:rPr>
            </w:pPr>
            <w:r>
              <w:rPr>
                <w:rFonts w:ascii="Arial" w:cs="Arial" w:eastAsia="Arial" w:hAnsi="Arial"/>
                <w:sz w:val="17"/>
                <w:szCs w:val="17"/>
                <w:color w:val="auto"/>
              </w:rPr>
              <w:t>Goodwill and other intangible asset impairment</w:t>
            </w:r>
          </w:p>
        </w:tc>
        <w:tc>
          <w:tcPr>
            <w:tcW w:w="24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38,515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6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Restructuring costs</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6,756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14,010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6880" w:type="dxa"/>
            <w:vAlign w:val="bottom"/>
          </w:tcPr>
          <w:p>
            <w:pPr>
              <w:ind w:left="20"/>
              <w:spacing w:after="0"/>
              <w:rPr>
                <w:sz w:val="20"/>
                <w:szCs w:val="20"/>
                <w:color w:val="auto"/>
              </w:rPr>
            </w:pPr>
            <w:r>
              <w:rPr>
                <w:rFonts w:ascii="Arial" w:cs="Arial" w:eastAsia="Arial" w:hAnsi="Arial"/>
                <w:sz w:val="17"/>
                <w:szCs w:val="17"/>
                <w:color w:val="auto"/>
              </w:rPr>
              <w:t>Stock-based compensation</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8,156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9,877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11,908</w:t>
            </w:r>
          </w:p>
        </w:tc>
      </w:tr>
      <w:tr>
        <w:trPr>
          <w:trHeight w:val="223"/>
        </w:trPr>
        <w:tc>
          <w:tcPr>
            <w:tcW w:w="6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expense</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1,296</w:t>
            </w:r>
          </w:p>
        </w:tc>
      </w:tr>
      <w:tr>
        <w:trPr>
          <w:trHeight w:val="223"/>
        </w:trPr>
        <w:tc>
          <w:tcPr>
            <w:tcW w:w="6880" w:type="dxa"/>
            <w:vAlign w:val="bottom"/>
          </w:tcPr>
          <w:p>
            <w:pPr>
              <w:ind w:left="20"/>
              <w:spacing w:after="0"/>
              <w:rPr>
                <w:sz w:val="20"/>
                <w:szCs w:val="20"/>
                <w:color w:val="auto"/>
              </w:rPr>
            </w:pPr>
            <w:r>
              <w:rPr>
                <w:rFonts w:ascii="Arial" w:cs="Arial" w:eastAsia="Arial" w:hAnsi="Arial"/>
                <w:sz w:val="17"/>
                <w:szCs w:val="17"/>
                <w:color w:val="auto"/>
              </w:rPr>
              <w:t>Provision (benefit) for federal, state and foreign income taxes</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(12,039)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(3,570)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10,430</w:t>
            </w:r>
          </w:p>
        </w:tc>
      </w:tr>
      <w:tr>
        <w:trPr>
          <w:trHeight w:val="223"/>
        </w:trPr>
        <w:tc>
          <w:tcPr>
            <w:tcW w:w="6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Depreciation and amortization</w:t>
            </w: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17,858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19,124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18,224</w:t>
            </w:r>
          </w:p>
        </w:tc>
      </w:tr>
      <w:tr>
        <w:trPr>
          <w:trHeight w:val="216"/>
        </w:trPr>
        <w:tc>
          <w:tcPr>
            <w:tcW w:w="6880" w:type="dxa"/>
            <w:vAlign w:val="bottom"/>
          </w:tcPr>
          <w:p>
            <w:pPr>
              <w:ind w:left="20"/>
              <w:spacing w:after="0"/>
              <w:rPr>
                <w:sz w:val="20"/>
                <w:szCs w:val="20"/>
                <w:color w:val="auto"/>
              </w:rPr>
            </w:pPr>
            <w:r>
              <w:rPr>
                <w:rFonts w:ascii="Arial" w:cs="Arial" w:eastAsia="Arial" w:hAnsi="Arial"/>
                <w:sz w:val="17"/>
                <w:szCs w:val="17"/>
                <w:color w:val="auto"/>
              </w:rPr>
              <w:t>Adjusted EBITDA</w:t>
            </w:r>
          </w:p>
        </w:tc>
        <w:tc>
          <w:tcPr>
            <w:tcW w:w="24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(8,934)</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46,479</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69,840</w:t>
            </w:r>
          </w:p>
        </w:tc>
      </w:tr>
      <w:tr>
        <w:trPr>
          <w:trHeight w:val="20"/>
        </w:trPr>
        <w:tc>
          <w:tcPr>
            <w:tcW w:w="6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274955</wp:posOffset>
            </wp:positionV>
            <wp:extent cx="79946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99465" cy="8255"/>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jc w:val="both"/>
        <w:ind w:left="560" w:hanging="319"/>
        <w:spacing w:after="0" w:line="238" w:lineRule="auto"/>
        <w:tabs>
          <w:tab w:leader="none" w:pos="552"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This table presents Adjusted EBITDA, which we define as net income (loss) before impairment of goodwill and other intangible assets, restructuring costs, stock-based compensation expense, interest expense, income taxes, depreciation and amortization, because it is used by the financial community as a method of measuring our performance and of evaluating the market value of companies considered to be in similar businesses. We believe that the line item on our Consolidated Statements of Income entitled “Net income (loss)” is the most directly comparable GAAP measure to Adjusted EBITDA. Since Adjusted EBITDA is not a measure of performance calculated in accordance with GAAP, it should not be considered in isolation of, or as a substitute for, net earnings as an indicator of operating performance. Adjusted EBITDA, as we calculate it, may not be comparable to similarly titled measures employed by other companies. In addition, this measure is not a measure of our ability to fund our cash needs. As Adjusted EBITDA excludes certain financial information compared with net income (loss), the most directly comparable GAAP financial measure, users of this financial information should consider the type of events and transactions that are excluded. Adjusted EBITDA has certain material limitations as follows:</w:t>
      </w:r>
    </w:p>
    <w:p>
      <w:pPr>
        <w:spacing w:after="0" w:line="217" w:lineRule="exact"/>
        <w:rPr>
          <w:rFonts w:ascii="Arial" w:cs="Arial" w:eastAsia="Arial" w:hAnsi="Arial"/>
          <w:sz w:val="14"/>
          <w:szCs w:val="14"/>
          <w:color w:val="auto"/>
        </w:rPr>
      </w:pPr>
    </w:p>
    <w:p>
      <w:pPr>
        <w:ind w:left="1580" w:hanging="316"/>
        <w:spacing w:after="0" w:line="275" w:lineRule="auto"/>
        <w:tabs>
          <w:tab w:leader="none" w:pos="1576" w:val="left"/>
        </w:tabs>
        <w:numPr>
          <w:ilvl w:val="1"/>
          <w:numId w:val="20"/>
        </w:numPr>
        <w:rPr>
          <w:rFonts w:ascii="Arial" w:cs="Arial" w:eastAsia="Arial" w:hAnsi="Arial"/>
          <w:sz w:val="13"/>
          <w:szCs w:val="13"/>
          <w:color w:val="auto"/>
        </w:rPr>
      </w:pPr>
      <w:r>
        <w:rPr>
          <w:rFonts w:ascii="Arial" w:cs="Arial" w:eastAsia="Arial" w:hAnsi="Arial"/>
          <w:sz w:val="13"/>
          <w:szCs w:val="13"/>
          <w:color w:val="auto"/>
        </w:rPr>
        <w:t>It does not include impairments to goodwill and other intangible assets. While impairments to intangible assets are non-cash expenses in the period recognized, cash or other consideration was still transferred in exchange for the intangible assets in the period of the acquisition. Any measure that excludes impairments to intangible assets has material limitations since these expenses represent the loss of an asset that was acquired in exchange for cash or other assets.</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1" w:name="page32"/>
    <w:bookmarkEnd w:id="3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ind w:left="1580" w:right="80" w:hanging="316"/>
        <w:spacing w:after="0" w:line="260" w:lineRule="auto"/>
        <w:tabs>
          <w:tab w:leader="none" w:pos="1576" w:val="left"/>
        </w:tabs>
        <w:numPr>
          <w:ilvl w:val="0"/>
          <w:numId w:val="21"/>
        </w:numPr>
        <w:rPr>
          <w:rFonts w:ascii="Arial" w:cs="Arial" w:eastAsia="Arial" w:hAnsi="Arial"/>
          <w:sz w:val="14"/>
          <w:szCs w:val="14"/>
          <w:color w:val="auto"/>
        </w:rPr>
      </w:pPr>
      <w:r>
        <w:rPr>
          <w:rFonts w:ascii="Arial" w:cs="Arial" w:eastAsia="Arial" w:hAnsi="Arial"/>
          <w:sz w:val="14"/>
          <w:szCs w:val="14"/>
          <w:color w:val="auto"/>
        </w:rPr>
        <w:t>It does not include restructuring costs. Restructuring costs represent material costs that we incurred and are oftentimes cash expenses. Therefore, any measure that excludes restructuring costs has material limitations.</w:t>
      </w:r>
    </w:p>
    <w:p>
      <w:pPr>
        <w:spacing w:after="0" w:line="201" w:lineRule="exact"/>
        <w:rPr>
          <w:rFonts w:ascii="Arial" w:cs="Arial" w:eastAsia="Arial" w:hAnsi="Arial"/>
          <w:sz w:val="14"/>
          <w:szCs w:val="14"/>
          <w:color w:val="auto"/>
        </w:rPr>
      </w:pPr>
    </w:p>
    <w:p>
      <w:pPr>
        <w:jc w:val="both"/>
        <w:ind w:left="1580" w:right="20" w:hanging="316"/>
        <w:spacing w:after="0" w:line="247" w:lineRule="auto"/>
        <w:tabs>
          <w:tab w:leader="none" w:pos="1576" w:val="left"/>
        </w:tabs>
        <w:numPr>
          <w:ilvl w:val="0"/>
          <w:numId w:val="21"/>
        </w:numPr>
        <w:rPr>
          <w:rFonts w:ascii="Arial" w:cs="Arial" w:eastAsia="Arial" w:hAnsi="Arial"/>
          <w:sz w:val="14"/>
          <w:szCs w:val="14"/>
          <w:color w:val="auto"/>
        </w:rPr>
      </w:pPr>
      <w:r>
        <w:rPr>
          <w:rFonts w:ascii="Arial" w:cs="Arial" w:eastAsia="Arial" w:hAnsi="Arial"/>
          <w:sz w:val="14"/>
          <w:szCs w:val="14"/>
          <w:color w:val="auto"/>
        </w:rPr>
        <w:t>It does not include stock-based compensation. Stock-based compensation represents material amounts of equity that are awarded to our employees and directors for services rendered. While the expense is non-cash, we release vested shares out of our treasury stock, which has historically been replenished by using cash to periodically repurchase our stock. Therefore, any measure that excludes stock-based compensation has material limitations.</w:t>
      </w:r>
    </w:p>
    <w:p>
      <w:pPr>
        <w:spacing w:after="0" w:line="211" w:lineRule="exact"/>
        <w:rPr>
          <w:rFonts w:ascii="Arial" w:cs="Arial" w:eastAsia="Arial" w:hAnsi="Arial"/>
          <w:sz w:val="14"/>
          <w:szCs w:val="14"/>
          <w:color w:val="auto"/>
        </w:rPr>
      </w:pPr>
    </w:p>
    <w:p>
      <w:pPr>
        <w:ind w:left="1580" w:right="60" w:hanging="316"/>
        <w:spacing w:after="0" w:line="275" w:lineRule="auto"/>
        <w:tabs>
          <w:tab w:leader="none" w:pos="1576" w:val="left"/>
        </w:tabs>
        <w:numPr>
          <w:ilvl w:val="0"/>
          <w:numId w:val="21"/>
        </w:numPr>
        <w:rPr>
          <w:rFonts w:ascii="Arial" w:cs="Arial" w:eastAsia="Arial" w:hAnsi="Arial"/>
          <w:sz w:val="13"/>
          <w:szCs w:val="13"/>
          <w:color w:val="auto"/>
        </w:rPr>
      </w:pPr>
      <w:r>
        <w:rPr>
          <w:rFonts w:ascii="Arial" w:cs="Arial" w:eastAsia="Arial" w:hAnsi="Arial"/>
          <w:sz w:val="13"/>
          <w:szCs w:val="13"/>
          <w:color w:val="auto"/>
        </w:rPr>
        <w:t>It does not include interest expense. Because we have borrowed money to finance our operations and to acquire businesses, pay commitment fees to maintain our senior secured revolving credit facility, and incur fees to issue letters of credit under the senior secured revolving credit facility, interest expense is a necessary and ongoing part of our costs and has assisted us in generating revenue. Therefore, any measure that excludes interest expense has material limitations.</w:t>
      </w:r>
    </w:p>
    <w:p>
      <w:pPr>
        <w:spacing w:after="0" w:line="194" w:lineRule="exact"/>
        <w:rPr>
          <w:rFonts w:ascii="Arial" w:cs="Arial" w:eastAsia="Arial" w:hAnsi="Arial"/>
          <w:sz w:val="13"/>
          <w:szCs w:val="13"/>
          <w:color w:val="auto"/>
        </w:rPr>
      </w:pPr>
    </w:p>
    <w:p>
      <w:pPr>
        <w:ind w:left="1580" w:right="380" w:hanging="316"/>
        <w:spacing w:after="0" w:line="260" w:lineRule="auto"/>
        <w:tabs>
          <w:tab w:leader="none" w:pos="1576" w:val="left"/>
        </w:tabs>
        <w:numPr>
          <w:ilvl w:val="0"/>
          <w:numId w:val="21"/>
        </w:numPr>
        <w:rPr>
          <w:rFonts w:ascii="Arial" w:cs="Arial" w:eastAsia="Arial" w:hAnsi="Arial"/>
          <w:sz w:val="14"/>
          <w:szCs w:val="14"/>
          <w:color w:val="auto"/>
        </w:rPr>
      </w:pPr>
      <w:r>
        <w:rPr>
          <w:rFonts w:ascii="Arial" w:cs="Arial" w:eastAsia="Arial" w:hAnsi="Arial"/>
          <w:sz w:val="14"/>
          <w:szCs w:val="14"/>
          <w:color w:val="auto"/>
        </w:rPr>
        <w:t>It does not include income taxes. Because the payment of income taxes is a necessary and ongoing part of our operations, any measure that excludes income taxes has material limitations.</w:t>
      </w:r>
    </w:p>
    <w:p>
      <w:pPr>
        <w:spacing w:after="0" w:line="201" w:lineRule="exact"/>
        <w:rPr>
          <w:rFonts w:ascii="Arial" w:cs="Arial" w:eastAsia="Arial" w:hAnsi="Arial"/>
          <w:sz w:val="14"/>
          <w:szCs w:val="14"/>
          <w:color w:val="auto"/>
        </w:rPr>
      </w:pPr>
    </w:p>
    <w:p>
      <w:pPr>
        <w:ind w:left="1580" w:right="400" w:hanging="316"/>
        <w:spacing w:after="0" w:line="299" w:lineRule="auto"/>
        <w:tabs>
          <w:tab w:leader="none" w:pos="1576" w:val="left"/>
        </w:tabs>
        <w:numPr>
          <w:ilvl w:val="0"/>
          <w:numId w:val="21"/>
        </w:numPr>
        <w:rPr>
          <w:rFonts w:ascii="Arial" w:cs="Arial" w:eastAsia="Arial" w:hAnsi="Arial"/>
          <w:sz w:val="13"/>
          <w:szCs w:val="13"/>
          <w:color w:val="auto"/>
        </w:rPr>
      </w:pPr>
      <w:r>
        <w:rPr>
          <w:rFonts w:ascii="Arial" w:cs="Arial" w:eastAsia="Arial" w:hAnsi="Arial"/>
          <w:sz w:val="13"/>
          <w:szCs w:val="13"/>
          <w:color w:val="auto"/>
        </w:rPr>
        <w:t>It does not include depreciation or amortization expense. Because we use capital and intangible assets to generate revenue, depreciation and amortization expense is a necessary element of our cost structure. Therefore, any measure that excludes depreciation or amortization expense has material limitations.</w:t>
      </w:r>
    </w:p>
    <w:p>
      <w:pPr>
        <w:spacing w:after="0" w:line="3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Fiscal 2021 Versus Fiscal 2020</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Consolidated</w:t>
      </w:r>
    </w:p>
    <w:p>
      <w:pPr>
        <w:spacing w:after="0" w:line="17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Consolidated revenue was $673.4 million for the fiscal year ended June 30, 2021, compared to $1.101 billion in fiscal 2020. On a segment basis, revenue decreased for the Process and Industrial Facilities, Storage and Terminal Solutions, and Utility and Power Infrastructure segments by $222.0 million, $203.7 million, and $1.9 million respectively.</w:t>
      </w:r>
    </w:p>
    <w:p>
      <w:pPr>
        <w:spacing w:after="0" w:line="120"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Consolidated gross profit was $32.8 million in fiscal 2021 compared to $102.2 million in fiscal 2020. Gross margin was 4.9% in fiscal 2021 compared to 9.3% in fiscal 2020. Gross margins in fiscal 2021 were negatively impacted by lower than forecasted volume, which led to under recovery of construction overhead costs, lower than previously forecasted margins on large capital projects in the Utility and Power Infrastructure and Storage and Terminal Solutions segments, and an unfavorable settlement on a contract dispute in the Storage and Terminal Solutions segment. Gross margins in fiscal 2020 were the result of strong project execution, offset by the under recovery of construction overhead costs due to lower than anticipated revenue volume, particularly in the fourth quarter as the COVID-19 pandemic began impacting our operations.</w:t>
      </w:r>
    </w:p>
    <w:p>
      <w:pPr>
        <w:spacing w:after="0" w:line="126"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Consolidated SG&amp;A expenses were $69.8 million in fiscal 2021 compared to $86.3 million in fiscal 2020. The decrease in fiscal 2021 was primarily attributable to implemented cost reductions.</w:t>
      </w:r>
    </w:p>
    <w:p>
      <w:pPr>
        <w:spacing w:after="0" w:line="106"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We recorded non-cash goodwill and other intangible asset impairments of $38.5 million during the second quarter of fiscal 2020. See Item 8. Financial Statements, Note 4 - Goodwill and Other Intangible Assets for more information about the impairments.</w:t>
      </w:r>
    </w:p>
    <w:p>
      <w:pPr>
        <w:spacing w:after="0" w:line="10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a result of actions taken to reduce our cost structure, we recorded $6.8 million and $14.0 million of restructuring costs in fiscal 2021 and fiscal 2020, respectively. See "Operational Update" in this Results of Operations section and Item 8. Financial Statements and Supplementary Data, Note 14 - Restructuring Costs, for more information.</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Interest expense was $1.6 million in fiscal 2021 and fiscal 2020. Interest income was $0.1 million during fiscal 2021 compared to $1.3 million in fiscal 2020.</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The decrease in interest income was primarily due to lower interest rates in the current period.</w:t>
      </w:r>
    </w:p>
    <w:p>
      <w:pPr>
        <w:spacing w:after="0" w:line="16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Our effective tax rate for fiscal 2021 was 27.8% compared to 9.7% in fiscal 2020. Through provisions in the CARES Act, we have an income tax benefit of $5.2 million from the ability to carryback the fiscal 2021 federal net operating loss to a period with a higher statutory federal income tax rate. The carryback benefit was offset by $2.8 million of valuation allowances on various deferred tax assets and $1.8 million of excess tax expense related to the vesting of stock-based compensation. The effective tax rate for fiscal 2020 was negatively impacted by $3.1 million of valuation allowances placed on deferred tax assets that were created by net operating loss carryforwards and other tax credits primarily in Canada, the non-deductible portion of the goodwill impairments that would have resulted in a $1.8 million reduction of income tax expense, and $1.7 million of other non-deductible expenses. These negative impacts were partially offset by $1.8 million of research and development and other tax credits.</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color w:val="auto"/>
        </w:rPr>
        <w:t>In fiscal 2021 and 2020, net loss was $31.2 million and $33.1 million, respectively; or $1.18 and $1.24 per fully diluted share,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2" w:name="page33"/>
    <w:bookmarkEnd w:id="3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Utility and Power Infrastructure</w:t>
      </w:r>
    </w:p>
    <w:p>
      <w:pPr>
        <w:spacing w:after="0" w:line="17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Revenue for the Utility and Power Infrastructure segment decreased $1.9 million to $210.1 million in fiscal 2021 compared to $212.0 million in fiscal 2020. The decrease is primarily due lower volume of power delivery and power generation work, partially offset by a higher volume of LNG utility peak shaving work.</w:t>
      </w:r>
    </w:p>
    <w:p>
      <w:pPr>
        <w:spacing w:after="0" w:line="120"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The segment gross margin was 0.7% in fiscal 2021 compared to 3.3% in fiscal 2020. Our results of operations in fiscal 2021 were materially impacted by increases in the forecasted costs to complete a large capital project. This project reduced gross profit by $5.8 million in fiscal 2021. The changes in estimate were due to lower than previously forecasted productivity caused by excessive rain at the project site, the continuing impact of COVID-19, and rework which led to higher costs and schedule compression. This project was nearly complete at year-end and we are performing start-up and commissioning work in the first quarter of fiscal 2022. In addition, segment gross margin was negatively impacted by low volume, which led to the under recovery of construction overhead costs. These negative impacts were partially offset by good project execution in the remainder of the segment. The fiscal 2020 segment gross margin was negatively impacted by poor execution in the first and second quarters, including a lower than previously expected margin on a capital project due to costs to remediate faulty equipment designed by a subcontractor. In addition, low volume led to the under recovery of construction overhead costs.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Process and Industrial Facilities</w:t>
      </w:r>
    </w:p>
    <w:p>
      <w:pPr>
        <w:spacing w:after="0" w:line="17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Revenue for the Process and Industrial Facilities segment was $199.9 million in fiscal 2021 compared to $421.9 million in fiscal 2020. The decrease of $222.0 million is primarily due to our strategic exit from the domestic iron and steel industry in the third quarter of fiscal 2020, lower volume of midstream natural gas projects, and the completion of a small number of major capital projects. The decrease was partially offset by an increase in refinery turnaround and maintenance work, primarily in the fourth quarter.</w:t>
      </w:r>
    </w:p>
    <w:p>
      <w:pPr>
        <w:spacing w:after="0" w:line="124"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The segment gross margin was 8.8% in fiscal 2021 compared to 8.6% in fiscal 2020. Segment gross margin in fiscal 2021 was positively impacted by strong project execution and the positive impact of a one-time workers' compensation item recorded in the second quarter, but these positive impacts were partially offset by lower revenue volume, which led to the under recovery of construction overhead costs. The fiscal 2020 segment gross margin was supported by good project execution on both capital and repair and maintenance iron and steel projects in the first and second quarters, partially offset by a lower volume of turnaround work, which led to the under recovery of construction overhead costs.</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Storage and Terminal Solutions</w:t>
      </w:r>
    </w:p>
    <w:p>
      <w:pPr>
        <w:spacing w:after="0" w:line="17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Revenue for the Storage and Terminal Solutions segment was $263.4 million in fiscal 2021 compared to $467.1 million in fiscal 2020, a decrease of $203.7 million. The decrease in segment revenue is primarily a result of lower volume of crude oil tank and terminal capital work and lower repair and maintenance work.</w:t>
      </w:r>
    </w:p>
    <w:p>
      <w:pPr>
        <w:spacing w:after="0" w:line="12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segment gross margin was 5.2% in fiscal 2021 compared to 13.1% in fiscal 2020. The fiscal 2021 segment gross margin was negatively impacted by increases in the costs to complete a large crude oil terminal project, partially offset by an increase in the estimated recovery of those costs. During the third quarter, we achieved mechanical completion on the project, demobilized and completed our assessment of unpriced change orders. The project's financial impact for fiscal 2021 was a $3.8 million reduction to gross profit. In addition, a settlement on a contract dispute over the construction of a crude oil terminal negatively impacted gross profit by $2.9 million in the fourth quarter. The settlement resulted in a cash receipt of $8.9 million in the first quarter of fiscal 2022, which enabled us to avoid future legal costs and litigation risk. Fiscal 2021 gross margin was also negatively impacted by low volume, which led to the under recovery of construction overhead costs.</w:t>
      </w:r>
    </w:p>
    <w:p>
      <w:pPr>
        <w:spacing w:after="0" w:line="132"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The fiscal 2020 segment gross margin was positively impacted by strong project execution on large capital projects and higher volume than fiscal 2021, which resulted in better recovery of construction overhead costs.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Corporate</w:t>
      </w:r>
    </w:p>
    <w:p>
      <w:pPr>
        <w:spacing w:after="0" w:line="172"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Unallocated corporate expenses were $26.7 million during fiscal 2021 compared to $29.2 million in the same period last year. The decrease is primarily attributable to cost reductions we implemented.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3" w:name="page34"/>
    <w:bookmarkEnd w:id="3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Fiscal 2020 Versus Fiscal 2019</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Consolidated</w:t>
      </w:r>
    </w:p>
    <w:p>
      <w:pPr>
        <w:spacing w:after="0" w:line="17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Consolidated revenue was $1.101 billion for the fiscal year ended June 30, 2020, compared to $1.417 billion in fiscal 2019. On a segment basis, revenue decreased for the Process and Industrial Facilities, Storage and Terminal Solutions, and Utility and Power Infrastructure segments by $232.1 million, $45.7 million, and $37.9 million, respectively.</w:t>
      </w:r>
    </w:p>
    <w:p>
      <w:pPr>
        <w:spacing w:after="0" w:line="12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Consolidated gross profit was $102.2 million in fiscal 2020 compared to $132.0 million in fiscal 2019. Gross margin was 9.3% in fiscal 2020 and fiscal 2019. Gross margins in fiscal 2020 are the result of strong project execution, offset by the under recovery of construction overhead costs due to lower than anticipated revenue volume, particularly in the fourth quarter. Fiscal 2019 was positively impacted by higher revenue volume, which led to an over recovery of construction overhead costs.</w:t>
      </w:r>
    </w:p>
    <w:p>
      <w:pPr>
        <w:spacing w:after="0" w:line="12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Consolidated SG&amp;A expenses were $86.3 million in fiscal 2020 compared to $94.0 million in fiscal 2019. The decrease in fiscal 2020 was primarily attributable to lower incentive compensation due to weaker operating results in fiscal 2020 and savings from the business improvement plan described in Item 8. Financial Statements, Note 14 - Restructuring Costs.</w:t>
      </w:r>
    </w:p>
    <w:p>
      <w:pPr>
        <w:spacing w:after="0" w:line="12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recorded non-cash goodwill and other intangible asset impairments of $38.5 million during the second quarter of fiscal 2020. See Item 8. Financial Statements, Note 4 - Goodwill and Other Intangible Assets for more information about the impairments. In addition, we recorded $14.0 million of restructuring costs in the third and fourth quarters of fiscal 2020 due to actions taken under our business improvement plan. See Operational Update in this Results of Operations section and Item 8. Financial Statements, Note 14 - Restructuring Costs, for more information.</w:t>
      </w:r>
    </w:p>
    <w:p>
      <w:pPr>
        <w:spacing w:after="0" w:line="12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Interest expense was $1.6 million in fiscal 2020 and $1.3 million in fiscal 2019. The increase in interest expense was primarily due to a higher average debt balance during fiscal 2020, partially offset by lower interest rates in fiscal 2020. Interest income was $1.3 million during fiscal 2020 compared to $1.2 million in fiscal 2019 due to an increase in our average cash balance during fiscal 2020, partially offset by lower interest rates in fiscal 2020.</w:t>
      </w:r>
    </w:p>
    <w:p>
      <w:pPr>
        <w:spacing w:after="0" w:line="101"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Our effective tax rate for fiscal 2020 was 9.7% compared to 27.2% in fiscal 2019. The tax benefit for fiscal 2020 was negatively impacted by a $3.1 million of valuation allowances placed on deferred tax assets that were created by net operating loss carryforwards and other tax credits primarily in Canada, the non-deductible portion of the goodwill impairments that would have resulted in a $1.8 million reduction of income tax expense, and $1.7 million of other non-deductible expenses. These negative impacts were partially offset by $1.8 million of research and development and other tax credits. The effective tax rate in fiscal 2019 was negatively impacted by $4.5 million of valuation allowances placed on net operating loss carryforwards and foreign tax credits generated by our branch operations in Canada, and $1.2 million of non-deductible expenses. These negative impacts were largely offset by the reversal of $3.5 million of branch liabilities associated with the valuation allowances placed on our Canadian branch net operating loss carryforwards and foreign tax credits, $2.0 million of research and development and other tax credits and $0.3 million of excess tax benefits related to the vesting of stock-based compensation. A full analysis of our provision for income taxes is included in Item 8. Financial Statements and Supplementary Data, Note 6 - Income Taxes.</w:t>
      </w:r>
    </w:p>
    <w:p>
      <w:pPr>
        <w:spacing w:after="0" w:line="199"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In fiscal 2020, net loss was $33.1 million, or $1.24 per fully diluted share, compared to net income of $28.0 million, or $1.01 per fully diluted share, in fiscal 2019.</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Utility and Power Infrastructure</w:t>
      </w:r>
    </w:p>
    <w:p>
      <w:pPr>
        <w:spacing w:after="0" w:line="172"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Revenue for the Utility and Power Infrastructure segment decreased $37.9 million to $212.0 million in fiscal 2020 compared to $249.9 million in fiscal 2019. The decrease is primarily due to lower volume of power delivery and power generation work. The segment gross margin was 3.3% in fiscal 2020 compared to 8.5% in fiscal 2019. The fiscal 2020 segment gross margin was negatively impacted by poor execution in the first and second quarters and lower volume throughout the year, which led to the under recovery of construction overhead costs. The segment gross margin in fiscal 2019 was positively impacted by strong project execution on power generation package work, partially offset by lower than previously forecasted margins on a limited number of power delivery projects and proceeds from the settlement of a customer dispute that were less than previously anticipated.</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Process and Industrial Facilities</w:t>
      </w:r>
    </w:p>
    <w:p>
      <w:pPr>
        <w:spacing w:after="0" w:line="17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Revenue for the Process and Industrial Facilities segment was $421.9 million in fiscal 2020 compared to $654.0 million in fiscal 2019. The decrease of $232.1 million is primarily due to our strategic exit from the domestic iron and steel industry in the third quarter of fiscal 2020, and lower volume of turnaround, refinery maintenance, and thermal vacuum chamber work.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4" w:name="page35"/>
    <w:bookmarkEnd w:id="3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segment gross margin was 8.6% in fiscal 2020 compared to 9.0% in fiscal 2019. The fiscal 2020 segment gross margin was negatively impacted by sharply lower volume and under recovery of overhead costs during the second half of the year due to the wind down of the domestic iron and steel business. The fiscal 2019 segment gross margin was negatively impacted by a lower than previously forecasted margin on a thermal vacuum chamber project, partially offset by good project execution in the remainder of the segment and higher volume, which led to the over recovery of construction overhead costs.</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Storage and Terminal Solutions</w:t>
      </w:r>
    </w:p>
    <w:p>
      <w:pPr>
        <w:spacing w:after="0" w:line="172"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Revenue for the Storage and Terminal Solutions segment was $467.1 million in fiscal 2020 compared to $512.8 million in fiscal 2019, a decrease of $45.7 million. The decrease in segment revenue is primarily a result of lower volume of crude oil tank and terminal capital work. The segment gross margin was 13.1% in fiscal 2020 compared to 10.6% in fiscal 2019. The fiscal 2020 segment gross margin was positively impacted by strong project execution on large capital projects. During the first half of fiscal 2019, the segment gross margin was negatively impacted by the wind down of lower margin work awarded in a highly competitive environment and lower than previously forecasted margins on a limited number of those projects.</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Corporate</w:t>
      </w:r>
    </w:p>
    <w:p>
      <w:pPr>
        <w:spacing w:after="0" w:line="172"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Unallocated corporate expenses were $29.2 million during fiscal 2020 compared to $29.6 million in the same period last year. The decrease is primarily attributable to cost reductions we implemented in the second half of fiscal 2020.</w:t>
      </w:r>
    </w:p>
    <w:p>
      <w:pPr>
        <w:sectPr>
          <w:pgSz w:w="11900" w:h="16838" w:orient="portrait"/>
          <w:cols w:equalWidth="0" w:num="1">
            <w:col w:w="11240"/>
          </w:cols>
          <w:pgMar w:left="320" w:top="1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78105</wp:posOffset>
            </wp:positionV>
            <wp:extent cx="716153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Overview</w:t>
      </w:r>
    </w:p>
    <w:p>
      <w:pPr>
        <w:spacing w:after="0" w:line="17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define liquidity as the ongoing ability to pay our liabilities as they become due, fund business operations and meet all monetary contractual obligations. Our primary sources of liquidity as of June 30, 2021 were cash and cash equivalents of $83.9 million and cash flows from operations. On September 9, 2021, we entered into a new Credit Agreement, which had availability of $25.9 million as of the closing date of the agreement. See the "ABL Credit Facility" section below for more information about our new Credit Agreement.</w:t>
      </w:r>
    </w:p>
    <w:p>
      <w:pPr>
        <w:spacing w:after="0" w:line="12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There continues to be significant uncertainty regarding the near- and intermediate-term business impacts from the COVID-19 pandemic and its disruption of our markets. However, we continue to maintain a strong balance sheet, which we believe is sufficient to support our near- to intermediate-term needs. We are taking the following actions:</w:t>
      </w:r>
    </w:p>
    <w:p>
      <w:pPr>
        <w:spacing w:after="0" w:line="120" w:lineRule="exact"/>
        <w:rPr>
          <w:sz w:val="20"/>
          <w:szCs w:val="20"/>
          <w:color w:val="auto"/>
        </w:rPr>
      </w:pPr>
    </w:p>
    <w:p>
      <w:pPr>
        <w:ind w:left="620" w:hanging="300"/>
        <w:spacing w:after="0"/>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strategic review of business processes and organizational structure;</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proactive management of the cost structure and working capital; and</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eliminating all non-critical capital expenditures.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Factors that routinely impact our short-term liquidity and may impact our long-term liquidity include, but are not limited to:</w:t>
      </w:r>
    </w:p>
    <w:p>
      <w:pPr>
        <w:spacing w:after="0" w:line="250" w:lineRule="exact"/>
        <w:rPr>
          <w:sz w:val="20"/>
          <w:szCs w:val="20"/>
          <w:color w:val="auto"/>
        </w:rPr>
      </w:pPr>
    </w:p>
    <w:p>
      <w:pPr>
        <w:ind w:left="640" w:right="120" w:hanging="320"/>
        <w:spacing w:after="0" w:line="289" w:lineRule="auto"/>
        <w:tabs>
          <w:tab w:leader="none" w:pos="635" w:val="left"/>
        </w:tabs>
        <w:numPr>
          <w:ilvl w:val="0"/>
          <w:numId w:val="23"/>
        </w:numPr>
        <w:rPr>
          <w:rFonts w:ascii="Arial" w:cs="Arial" w:eastAsia="Arial" w:hAnsi="Arial"/>
          <w:sz w:val="17"/>
          <w:szCs w:val="17"/>
          <w:color w:val="auto"/>
        </w:rPr>
      </w:pPr>
      <w:r>
        <w:rPr>
          <w:rFonts w:ascii="Arial" w:cs="Arial" w:eastAsia="Arial" w:hAnsi="Arial"/>
          <w:sz w:val="17"/>
          <w:szCs w:val="17"/>
          <w:color w:val="auto"/>
        </w:rPr>
        <w:t>changes in costs and estimated earnings in excess of billings on uncompleted contracts and billings on uncompleted contracts in excess of costs due to contract terms that determine the timing of billings to customers and the collection of those billings:</w:t>
      </w:r>
    </w:p>
    <w:p>
      <w:pPr>
        <w:spacing w:after="0" w:line="184" w:lineRule="exact"/>
        <w:rPr>
          <w:rFonts w:ascii="Arial" w:cs="Arial" w:eastAsia="Arial" w:hAnsi="Arial"/>
          <w:sz w:val="17"/>
          <w:szCs w:val="17"/>
          <w:color w:val="auto"/>
        </w:rPr>
      </w:pPr>
    </w:p>
    <w:p>
      <w:pPr>
        <w:ind w:left="1260" w:right="120" w:hanging="311"/>
        <w:spacing w:after="0" w:line="289" w:lineRule="auto"/>
        <w:tabs>
          <w:tab w:leader="none" w:pos="1256" w:val="left"/>
        </w:tabs>
        <w:numPr>
          <w:ilvl w:val="1"/>
          <w:numId w:val="23"/>
        </w:numPr>
        <w:rPr>
          <w:rFonts w:ascii="Arial" w:cs="Arial" w:eastAsia="Arial" w:hAnsi="Arial"/>
          <w:sz w:val="17"/>
          <w:szCs w:val="17"/>
          <w:color w:val="auto"/>
        </w:rPr>
      </w:pPr>
      <w:r>
        <w:rPr>
          <w:rFonts w:ascii="Arial" w:cs="Arial" w:eastAsia="Arial" w:hAnsi="Arial"/>
          <w:sz w:val="17"/>
          <w:szCs w:val="17"/>
          <w:color w:val="auto"/>
        </w:rPr>
        <w:t>some cost plus and fixed price customer contracts are billed based on milestones which may require us to incur significant expenditures prior to collections from our customers;</w:t>
      </w:r>
    </w:p>
    <w:p>
      <w:pPr>
        <w:spacing w:after="0" w:line="184" w:lineRule="exact"/>
        <w:rPr>
          <w:rFonts w:ascii="Arial" w:cs="Arial" w:eastAsia="Arial" w:hAnsi="Arial"/>
          <w:sz w:val="17"/>
          <w:szCs w:val="17"/>
          <w:color w:val="auto"/>
        </w:rPr>
      </w:pPr>
    </w:p>
    <w:p>
      <w:pPr>
        <w:ind w:left="1260" w:right="160" w:hanging="311"/>
        <w:spacing w:after="0" w:line="289" w:lineRule="auto"/>
        <w:tabs>
          <w:tab w:leader="none" w:pos="1256" w:val="left"/>
        </w:tabs>
        <w:numPr>
          <w:ilvl w:val="1"/>
          <w:numId w:val="23"/>
        </w:numPr>
        <w:rPr>
          <w:rFonts w:ascii="Arial" w:cs="Arial" w:eastAsia="Arial" w:hAnsi="Arial"/>
          <w:sz w:val="17"/>
          <w:szCs w:val="17"/>
          <w:color w:val="auto"/>
        </w:rPr>
      </w:pPr>
      <w:r>
        <w:rPr>
          <w:rFonts w:ascii="Arial" w:cs="Arial" w:eastAsia="Arial" w:hAnsi="Arial"/>
          <w:sz w:val="17"/>
          <w:szCs w:val="17"/>
          <w:color w:val="auto"/>
        </w:rPr>
        <w:t>some fixed price customer contracts allow for significant upfront billings at the beginning of a project, which temporarily increases liquidity near term;</w:t>
      </w:r>
    </w:p>
    <w:p>
      <w:pPr>
        <w:spacing w:after="0" w:line="184" w:lineRule="exact"/>
        <w:rPr>
          <w:rFonts w:ascii="Arial" w:cs="Arial" w:eastAsia="Arial" w:hAnsi="Arial"/>
          <w:sz w:val="17"/>
          <w:szCs w:val="17"/>
          <w:color w:val="auto"/>
        </w:rPr>
      </w:pPr>
    </w:p>
    <w:p>
      <w:pPr>
        <w:ind w:left="1260" w:right="60" w:hanging="311"/>
        <w:spacing w:after="0" w:line="289" w:lineRule="auto"/>
        <w:tabs>
          <w:tab w:leader="none" w:pos="1256" w:val="left"/>
        </w:tabs>
        <w:numPr>
          <w:ilvl w:val="1"/>
          <w:numId w:val="23"/>
        </w:numPr>
        <w:rPr>
          <w:rFonts w:ascii="Arial" w:cs="Arial" w:eastAsia="Arial" w:hAnsi="Arial"/>
          <w:sz w:val="17"/>
          <w:szCs w:val="17"/>
          <w:color w:val="auto"/>
        </w:rPr>
      </w:pPr>
      <w:r>
        <w:rPr>
          <w:rFonts w:ascii="Arial" w:cs="Arial" w:eastAsia="Arial" w:hAnsi="Arial"/>
          <w:sz w:val="17"/>
          <w:szCs w:val="17"/>
          <w:color w:val="auto"/>
        </w:rPr>
        <w:t>time and material contracts are normally billed in arrears. Therefore, we are routinely required to carry these costs until they can be billed and collected; and</w:t>
      </w:r>
    </w:p>
    <w:p>
      <w:pPr>
        <w:spacing w:after="0" w:line="184" w:lineRule="exact"/>
        <w:rPr>
          <w:rFonts w:ascii="Arial" w:cs="Arial" w:eastAsia="Arial" w:hAnsi="Arial"/>
          <w:sz w:val="17"/>
          <w:szCs w:val="17"/>
          <w:color w:val="auto"/>
        </w:rPr>
      </w:pPr>
    </w:p>
    <w:p>
      <w:pPr>
        <w:ind w:left="1260" w:right="180" w:hanging="311"/>
        <w:spacing w:after="0" w:line="289" w:lineRule="auto"/>
        <w:tabs>
          <w:tab w:leader="none" w:pos="1256" w:val="left"/>
        </w:tabs>
        <w:numPr>
          <w:ilvl w:val="1"/>
          <w:numId w:val="23"/>
        </w:numPr>
        <w:rPr>
          <w:rFonts w:ascii="Arial" w:cs="Arial" w:eastAsia="Arial" w:hAnsi="Arial"/>
          <w:sz w:val="17"/>
          <w:szCs w:val="17"/>
          <w:color w:val="auto"/>
        </w:rPr>
      </w:pPr>
      <w:r>
        <w:rPr>
          <w:rFonts w:ascii="Arial" w:cs="Arial" w:eastAsia="Arial" w:hAnsi="Arial"/>
          <w:sz w:val="17"/>
          <w:szCs w:val="17"/>
          <w:color w:val="auto"/>
        </w:rPr>
        <w:t>some of our large construction projects may require security in the form of letters of credit or significant retentions. The timing of collection of retentions is often uncertain;</w:t>
      </w:r>
    </w:p>
    <w:p>
      <w:pPr>
        <w:spacing w:after="0" w:line="184" w:lineRule="exact"/>
        <w:rPr>
          <w:rFonts w:ascii="Arial" w:cs="Arial" w:eastAsia="Arial" w:hAnsi="Arial"/>
          <w:sz w:val="17"/>
          <w:szCs w:val="17"/>
          <w:color w:val="auto"/>
        </w:rPr>
      </w:pPr>
    </w:p>
    <w:p>
      <w:pPr>
        <w:ind w:left="620" w:hanging="300"/>
        <w:spacing w:after="0"/>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other changes in working capital; and</w:t>
      </w:r>
    </w:p>
    <w:p>
      <w:pPr>
        <w:spacing w:after="0" w:line="250" w:lineRule="exact"/>
        <w:rPr>
          <w:rFonts w:ascii="Arial" w:cs="Arial" w:eastAsia="Arial" w:hAnsi="Arial"/>
          <w:sz w:val="17"/>
          <w:szCs w:val="17"/>
          <w:color w:val="auto"/>
        </w:rPr>
      </w:pPr>
    </w:p>
    <w:p>
      <w:pPr>
        <w:ind w:left="620" w:hanging="300"/>
        <w:spacing w:after="0"/>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capital expenditures.</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Other factors that may impact both short and long-term liquidity include:</w:t>
      </w:r>
    </w:p>
    <w:p>
      <w:pPr>
        <w:spacing w:after="0" w:line="250" w:lineRule="exact"/>
        <w:rPr>
          <w:sz w:val="20"/>
          <w:szCs w:val="20"/>
          <w:color w:val="auto"/>
        </w:rPr>
      </w:pPr>
    </w:p>
    <w:p>
      <w:pPr>
        <w:ind w:left="620" w:hanging="300"/>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contract disputes, which can be significant;</w:t>
      </w:r>
    </w:p>
    <w:p>
      <w:pPr>
        <w:spacing w:after="0" w:line="250" w:lineRule="exact"/>
        <w:rPr>
          <w:rFonts w:ascii="Arial" w:cs="Arial" w:eastAsia="Arial" w:hAnsi="Arial"/>
          <w:sz w:val="17"/>
          <w:szCs w:val="17"/>
          <w:color w:val="auto"/>
        </w:rPr>
      </w:pPr>
    </w:p>
    <w:p>
      <w:pPr>
        <w:ind w:left="640" w:right="20" w:hanging="320"/>
        <w:spacing w:after="0" w:line="289" w:lineRule="auto"/>
        <w:tabs>
          <w:tab w:leader="none" w:pos="635" w:val="left"/>
        </w:tabs>
        <w:numPr>
          <w:ilvl w:val="0"/>
          <w:numId w:val="24"/>
        </w:numPr>
        <w:rPr>
          <w:rFonts w:ascii="Arial" w:cs="Arial" w:eastAsia="Arial" w:hAnsi="Arial"/>
          <w:sz w:val="17"/>
          <w:szCs w:val="17"/>
          <w:color w:val="auto"/>
        </w:rPr>
      </w:pPr>
      <w:r>
        <w:rPr>
          <w:rFonts w:ascii="Arial" w:cs="Arial" w:eastAsia="Arial" w:hAnsi="Arial"/>
          <w:sz w:val="17"/>
          <w:szCs w:val="17"/>
          <w:color w:val="auto"/>
        </w:rPr>
        <w:t>collection issues, including those caused by weak commodity prices, economic slowdowns or other factors which can lead to credit deterioration of our customers;</w:t>
      </w:r>
    </w:p>
    <w:p>
      <w:pPr>
        <w:spacing w:after="0" w:line="184" w:lineRule="exact"/>
        <w:rPr>
          <w:rFonts w:ascii="Arial" w:cs="Arial" w:eastAsia="Arial" w:hAnsi="Arial"/>
          <w:sz w:val="17"/>
          <w:szCs w:val="17"/>
          <w:color w:val="auto"/>
        </w:rPr>
      </w:pPr>
    </w:p>
    <w:p>
      <w:pPr>
        <w:ind w:left="620" w:hanging="300"/>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issuances of letters of credit; and</w:t>
      </w:r>
    </w:p>
    <w:p>
      <w:pPr>
        <w:spacing w:after="0" w:line="250" w:lineRule="exact"/>
        <w:rPr>
          <w:rFonts w:ascii="Arial" w:cs="Arial" w:eastAsia="Arial" w:hAnsi="Arial"/>
          <w:sz w:val="17"/>
          <w:szCs w:val="17"/>
          <w:color w:val="auto"/>
        </w:rPr>
      </w:pPr>
    </w:p>
    <w:p>
      <w:pPr>
        <w:ind w:left="620" w:hanging="300"/>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strategic investments in new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6" w:name="page37"/>
    <w:bookmarkEnd w:id="3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7"/>
          <w:szCs w:val="17"/>
          <w:color w:val="auto"/>
        </w:rPr>
        <w:t>Other factors that may impact long-term liquidity include:</w:t>
      </w:r>
    </w:p>
    <w:p>
      <w:pPr>
        <w:spacing w:after="0" w:line="250" w:lineRule="exact"/>
        <w:rPr>
          <w:sz w:val="20"/>
          <w:szCs w:val="20"/>
          <w:color w:val="auto"/>
        </w:rPr>
      </w:pPr>
    </w:p>
    <w:p>
      <w:pPr>
        <w:ind w:left="620" w:hanging="300"/>
        <w:spacing w:after="0"/>
        <w:tabs>
          <w:tab w:leader="none" w:pos="6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borrowing constraints under our credit facility and maintaining compliance with all covenants contained in the Credit Agreement;</w:t>
      </w:r>
    </w:p>
    <w:p>
      <w:pPr>
        <w:spacing w:after="0" w:line="250" w:lineRule="exact"/>
        <w:rPr>
          <w:rFonts w:ascii="Arial" w:cs="Arial" w:eastAsia="Arial" w:hAnsi="Arial"/>
          <w:sz w:val="17"/>
          <w:szCs w:val="17"/>
          <w:color w:val="auto"/>
        </w:rPr>
      </w:pPr>
    </w:p>
    <w:p>
      <w:pPr>
        <w:ind w:left="620" w:hanging="300"/>
        <w:spacing w:after="0"/>
        <w:tabs>
          <w:tab w:leader="none" w:pos="6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acquisitions and disposals of businesses; and</w:t>
      </w:r>
    </w:p>
    <w:p>
      <w:pPr>
        <w:spacing w:after="0" w:line="250" w:lineRule="exact"/>
        <w:rPr>
          <w:rFonts w:ascii="Arial" w:cs="Arial" w:eastAsia="Arial" w:hAnsi="Arial"/>
          <w:sz w:val="17"/>
          <w:szCs w:val="17"/>
          <w:color w:val="auto"/>
        </w:rPr>
      </w:pPr>
    </w:p>
    <w:p>
      <w:pPr>
        <w:ind w:left="620" w:hanging="300"/>
        <w:spacing w:after="0"/>
        <w:tabs>
          <w:tab w:leader="none" w:pos="6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purchases of shares under our stock buyback program.</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Cash Flows Used by Operating Activities</w:t>
      </w:r>
    </w:p>
    <w:p>
      <w:pPr>
        <w:spacing w:after="0" w:line="172" w:lineRule="exact"/>
        <w:rPr>
          <w:sz w:val="20"/>
          <w:szCs w:val="20"/>
          <w:color w:val="auto"/>
        </w:rPr>
      </w:pPr>
    </w:p>
    <w:p>
      <w:pPr>
        <w:spacing w:after="0" w:line="289" w:lineRule="auto"/>
        <w:rPr>
          <w:sz w:val="20"/>
          <w:szCs w:val="20"/>
          <w:color w:val="auto"/>
        </w:rPr>
      </w:pPr>
      <w:r>
        <w:rPr>
          <w:rFonts w:ascii="Arial" w:cs="Arial" w:eastAsia="Arial" w:hAnsi="Arial"/>
          <w:sz w:val="17"/>
          <w:szCs w:val="17"/>
          <w:color w:val="auto"/>
        </w:rPr>
        <w:t>Cash flows used by operating activities for the fiscal year ended June 30, 2021 totaled $3.0 million. Major components of cash flows used by operating activities for the year ending June 30, 2021 are as follows:</w:t>
      </w:r>
    </w:p>
    <w:p>
      <w:pPr>
        <w:spacing w:after="0" w:line="200" w:lineRule="exact"/>
        <w:rPr>
          <w:sz w:val="20"/>
          <w:szCs w:val="20"/>
          <w:color w:val="auto"/>
        </w:rPr>
      </w:pPr>
    </w:p>
    <w:p>
      <w:pPr>
        <w:spacing w:after="0" w:line="333" w:lineRule="exact"/>
        <w:rPr>
          <w:sz w:val="20"/>
          <w:szCs w:val="20"/>
          <w:color w:val="auto"/>
        </w:rPr>
      </w:pPr>
    </w:p>
    <w:p>
      <w:pPr>
        <w:jc w:val="center"/>
        <w:ind w:right="200"/>
        <w:spacing w:after="0"/>
        <w:rPr>
          <w:sz w:val="20"/>
          <w:szCs w:val="20"/>
          <w:color w:val="auto"/>
        </w:rPr>
      </w:pPr>
      <w:r>
        <w:rPr>
          <w:rFonts w:ascii="Arial" w:cs="Arial" w:eastAsia="Arial" w:hAnsi="Arial"/>
          <w:sz w:val="17"/>
          <w:szCs w:val="17"/>
          <w:b w:val="1"/>
          <w:bCs w:val="1"/>
          <w:color w:val="auto"/>
        </w:rPr>
        <w:t>Net Cash Used by Operating Activities</w:t>
      </w:r>
    </w:p>
    <w:p>
      <w:pPr>
        <w:sectPr>
          <w:pgSz w:w="11900" w:h="16838" w:orient="portrait"/>
          <w:cols w:equalWidth="0" w:num="1">
            <w:col w:w="11240"/>
          </w:cols>
          <w:pgMar w:left="320" w:top="127" w:right="339" w:bottom="1440" w:gutter="0" w:footer="0" w:header="0"/>
        </w:sectPr>
      </w:pPr>
    </w:p>
    <w:p>
      <w:pPr>
        <w:spacing w:after="0" w:line="32" w:lineRule="exact"/>
        <w:rPr>
          <w:sz w:val="20"/>
          <w:szCs w:val="20"/>
          <w:color w:val="auto"/>
        </w:rPr>
      </w:pPr>
    </w:p>
    <w:p>
      <w:pPr>
        <w:jc w:val="right"/>
        <w:ind w:right="216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131445</wp:posOffset>
            </wp:positionV>
            <wp:extent cx="7002780" cy="1416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002780" cy="141605"/>
                    </a:xfrm>
                    <a:prstGeom prst="rect">
                      <a:avLst/>
                    </a:prstGeom>
                    <a:noFill/>
                  </pic:spPr>
                </pic:pic>
              </a:graphicData>
            </a:graphic>
          </wp:anchor>
        </w:drawing>
      </w:r>
    </w:p>
    <w:p>
      <w:pPr>
        <w:spacing w:after="0" w:line="187" w:lineRule="exact"/>
        <w:rPr>
          <w:sz w:val="20"/>
          <w:szCs w:val="20"/>
          <w:color w:val="auto"/>
        </w:rPr>
      </w:pPr>
    </w:p>
    <w:p>
      <w:pPr>
        <w:ind w:left="20"/>
        <w:spacing w:after="0"/>
        <w:rPr>
          <w:sz w:val="20"/>
          <w:szCs w:val="20"/>
          <w:color w:val="auto"/>
        </w:rPr>
      </w:pPr>
      <w:r>
        <w:rPr>
          <w:rFonts w:ascii="Arial" w:cs="Arial" w:eastAsia="Arial" w:hAnsi="Arial"/>
          <w:sz w:val="17"/>
          <w:szCs w:val="17"/>
          <w:color w:val="auto"/>
        </w:rPr>
        <w:t>Net loss</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7"/>
          <w:szCs w:val="17"/>
          <w:color w:val="auto"/>
        </w:rPr>
        <w:t>Non-cash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7002780" cy="1416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002780" cy="14160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Arial" w:cs="Arial" w:eastAsia="Arial" w:hAnsi="Arial"/>
          <w:sz w:val="17"/>
          <w:szCs w:val="17"/>
          <w:color w:val="auto"/>
        </w:rPr>
        <w:t>Deferred income tax</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7"/>
          <w:szCs w:val="17"/>
          <w:color w:val="auto"/>
        </w:rPr>
        <w:t>Cash effect of changes in operating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7002780" cy="1416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002780" cy="14160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Arial" w:cs="Arial" w:eastAsia="Arial" w:hAnsi="Arial"/>
          <w:sz w:val="17"/>
          <w:szCs w:val="17"/>
          <w:color w:val="auto"/>
        </w:rPr>
        <w:t>Other</w:t>
      </w:r>
    </w:p>
    <w:p>
      <w:pPr>
        <w:spacing w:after="0" w:line="67" w:lineRule="exact"/>
        <w:rPr>
          <w:sz w:val="20"/>
          <w:szCs w:val="20"/>
          <w:color w:val="auto"/>
        </w:rPr>
      </w:pPr>
    </w:p>
    <w:p>
      <w:pPr>
        <w:ind w:left="20"/>
        <w:spacing w:after="0"/>
        <w:rPr>
          <w:sz w:val="20"/>
          <w:szCs w:val="20"/>
          <w:color w:val="auto"/>
        </w:rPr>
      </w:pPr>
      <w:r>
        <w:rPr>
          <w:rFonts w:ascii="Arial" w:cs="Arial" w:eastAsia="Arial" w:hAnsi="Arial"/>
          <w:sz w:val="17"/>
          <w:szCs w:val="17"/>
          <w:color w:val="auto"/>
        </w:rPr>
        <w:t>Net cash used by operating activities</w:t>
      </w:r>
    </w:p>
    <w:p>
      <w:pPr>
        <w:spacing w:after="0" w:line="20" w:lineRule="exact"/>
        <w:rPr>
          <w:sz w:val="20"/>
          <w:szCs w:val="20"/>
          <w:color w:val="auto"/>
        </w:rPr>
      </w:pPr>
      <w:r>
        <w:rPr>
          <w:sz w:val="20"/>
          <w:szCs w:val="20"/>
          <w:color w:val="auto"/>
        </w:rPr>
        <w:br w:type="column"/>
      </w:r>
    </w:p>
    <w:p>
      <w:pPr>
        <w:spacing w:after="0" w:line="3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2"/>
        </w:trPr>
        <w:tc>
          <w:tcPr>
            <w:tcW w:w="840" w:type="dxa"/>
            <w:vAlign w:val="bottom"/>
          </w:tcPr>
          <w:p>
            <w:pPr>
              <w:jc w:val="right"/>
              <w:ind w:right="653"/>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(31,224)</w:t>
            </w:r>
          </w:p>
        </w:tc>
      </w:tr>
      <w:tr>
        <w:trPr>
          <w:trHeight w:val="223"/>
        </w:trPr>
        <w:tc>
          <w:tcPr>
            <w:tcW w:w="8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25,352</w:t>
            </w:r>
          </w:p>
        </w:tc>
      </w:tr>
      <w:tr>
        <w:trPr>
          <w:trHeight w:val="223"/>
        </w:trPr>
        <w:tc>
          <w:tcPr>
            <w:tcW w:w="8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889</w:t>
            </w:r>
          </w:p>
        </w:tc>
      </w:tr>
      <w:tr>
        <w:trPr>
          <w:trHeight w:val="223"/>
        </w:trPr>
        <w:tc>
          <w:tcPr>
            <w:tcW w:w="8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1,552</w:t>
            </w:r>
          </w:p>
        </w:tc>
      </w:tr>
      <w:tr>
        <w:trPr>
          <w:trHeight w:val="223"/>
        </w:trPr>
        <w:tc>
          <w:tcPr>
            <w:tcW w:w="8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460</w:t>
            </w:r>
          </w:p>
        </w:tc>
      </w:tr>
      <w:tr>
        <w:trPr>
          <w:trHeight w:val="216"/>
        </w:trPr>
        <w:tc>
          <w:tcPr>
            <w:tcW w:w="840" w:type="dxa"/>
            <w:vAlign w:val="bottom"/>
            <w:tcBorders>
              <w:bottom w:val="single" w:sz="8" w:color="auto"/>
            </w:tcBorders>
          </w:tcPr>
          <w:p>
            <w:pPr>
              <w:jc w:val="right"/>
              <w:ind w:right="653"/>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(2,971)</w:t>
            </w:r>
          </w:p>
        </w:tc>
      </w:tr>
      <w:tr>
        <w:trPr>
          <w:trHeight w:val="20"/>
        </w:trPr>
        <w:tc>
          <w:tcPr>
            <w:tcW w:w="8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120" w:space="720"/>
            <w:col w:w="2400"/>
          </w:cols>
          <w:pgMar w:left="320" w:top="127" w:right="339" w:bottom="1440" w:gutter="0" w:footer="0" w:header="0"/>
          <w:type w:val="continuous"/>
        </w:sect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7"/>
          <w:szCs w:val="17"/>
          <w:color w:val="auto"/>
        </w:rPr>
        <w:t>Cash effect of changes in operating assets and liabilities at June 30, 2021 in comparison to June 30, 2020 include the following:</w:t>
      </w:r>
    </w:p>
    <w:p>
      <w:pPr>
        <w:spacing w:after="0" w:line="172" w:lineRule="exact"/>
        <w:rPr>
          <w:sz w:val="20"/>
          <w:szCs w:val="20"/>
          <w:color w:val="auto"/>
        </w:rPr>
      </w:pPr>
    </w:p>
    <w:p>
      <w:pPr>
        <w:ind w:left="640" w:hanging="320"/>
        <w:spacing w:after="0" w:line="289" w:lineRule="auto"/>
        <w:tabs>
          <w:tab w:leader="none" w:pos="635" w:val="left"/>
        </w:tabs>
        <w:numPr>
          <w:ilvl w:val="0"/>
          <w:numId w:val="26"/>
        </w:numPr>
        <w:rPr>
          <w:rFonts w:ascii="Arial" w:cs="Arial" w:eastAsia="Arial" w:hAnsi="Arial"/>
          <w:sz w:val="17"/>
          <w:szCs w:val="17"/>
          <w:color w:val="auto"/>
        </w:rPr>
      </w:pPr>
      <w:r>
        <w:rPr>
          <w:rFonts w:ascii="Arial" w:cs="Arial" w:eastAsia="Arial" w:hAnsi="Arial"/>
          <w:sz w:val="17"/>
          <w:szCs w:val="17"/>
          <w:color w:val="auto"/>
        </w:rPr>
        <w:t>Accounts receivable, net of credit losses recognized during the period, decreased $11.1 million during fiscal 2021, which increased cash flows from operating activities. The variance is primarily attributable to lower business volume and the timing of billing and collections.</w:t>
      </w:r>
    </w:p>
    <w:p>
      <w:pPr>
        <w:spacing w:after="0" w:line="184" w:lineRule="exact"/>
        <w:rPr>
          <w:rFonts w:ascii="Arial" w:cs="Arial" w:eastAsia="Arial" w:hAnsi="Arial"/>
          <w:sz w:val="17"/>
          <w:szCs w:val="17"/>
          <w:color w:val="auto"/>
        </w:rPr>
      </w:pPr>
    </w:p>
    <w:p>
      <w:pPr>
        <w:jc w:val="both"/>
        <w:ind w:left="640" w:hanging="320"/>
        <w:spacing w:after="0" w:line="268" w:lineRule="auto"/>
        <w:tabs>
          <w:tab w:leader="none" w:pos="635" w:val="left"/>
        </w:tabs>
        <w:numPr>
          <w:ilvl w:val="0"/>
          <w:numId w:val="26"/>
        </w:numPr>
        <w:rPr>
          <w:rFonts w:ascii="Arial" w:cs="Arial" w:eastAsia="Arial" w:hAnsi="Arial"/>
          <w:sz w:val="17"/>
          <w:szCs w:val="17"/>
          <w:color w:val="auto"/>
        </w:rPr>
      </w:pPr>
      <w:r>
        <w:rPr>
          <w:rFonts w:ascii="Arial" w:cs="Arial" w:eastAsia="Arial" w:hAnsi="Arial"/>
          <w:sz w:val="17"/>
          <w:szCs w:val="17"/>
          <w:color w:val="auto"/>
        </w:rPr>
        <w:t>Costs and estimated earnings in excess of billings on uncompleted contracts ("CIE") decreased $28.8 million, which increased cash flows from operating activities. Billings on uncompleted contracts in excess of costs and estimated earnings ("BIE") decreased $8.6 million, which decreased cash flows from operating activities. CIE and BIE balances can experience significant fluctuations based on business volume and the timing of when job costs are incurred and the timing of customer billings and payments.</w:t>
      </w:r>
    </w:p>
    <w:p>
      <w:pPr>
        <w:spacing w:after="0" w:line="202" w:lineRule="exact"/>
        <w:rPr>
          <w:rFonts w:ascii="Arial" w:cs="Arial" w:eastAsia="Arial" w:hAnsi="Arial"/>
          <w:sz w:val="17"/>
          <w:szCs w:val="17"/>
          <w:color w:val="auto"/>
        </w:rPr>
      </w:pPr>
    </w:p>
    <w:p>
      <w:pPr>
        <w:jc w:val="both"/>
        <w:ind w:left="640" w:hanging="320"/>
        <w:spacing w:after="0" w:line="268" w:lineRule="auto"/>
        <w:tabs>
          <w:tab w:leader="none" w:pos="635" w:val="left"/>
        </w:tabs>
        <w:numPr>
          <w:ilvl w:val="0"/>
          <w:numId w:val="26"/>
        </w:numPr>
        <w:rPr>
          <w:rFonts w:ascii="Arial" w:cs="Arial" w:eastAsia="Arial" w:hAnsi="Arial"/>
          <w:sz w:val="17"/>
          <w:szCs w:val="17"/>
          <w:color w:val="auto"/>
        </w:rPr>
      </w:pPr>
      <w:r>
        <w:rPr>
          <w:rFonts w:ascii="Arial" w:cs="Arial" w:eastAsia="Arial" w:hAnsi="Arial"/>
          <w:sz w:val="17"/>
          <w:szCs w:val="17"/>
          <w:color w:val="auto"/>
        </w:rPr>
        <w:t>Inventories, income taxes receivable, other current assets, operating right-of-use lease assets and other assets increased $21.8 million during fiscal 2021, which decreased cash flows from operating activities. These operating assets can fluctuate based on the timing of inventory builds and draw-downs, accrual and receipt of income taxes receivable, prepayments of certain expenses, leasing activity, business volume, and other timing differences.</w:t>
      </w:r>
    </w:p>
    <w:p>
      <w:pPr>
        <w:spacing w:after="0" w:line="202" w:lineRule="exact"/>
        <w:rPr>
          <w:rFonts w:ascii="Arial" w:cs="Arial" w:eastAsia="Arial" w:hAnsi="Arial"/>
          <w:sz w:val="17"/>
          <w:szCs w:val="17"/>
          <w:color w:val="auto"/>
        </w:rPr>
      </w:pPr>
    </w:p>
    <w:p>
      <w:pPr>
        <w:jc w:val="both"/>
        <w:ind w:left="640" w:hanging="320"/>
        <w:spacing w:after="0" w:line="273" w:lineRule="auto"/>
        <w:tabs>
          <w:tab w:leader="none" w:pos="635" w:val="left"/>
        </w:tabs>
        <w:numPr>
          <w:ilvl w:val="0"/>
          <w:numId w:val="26"/>
        </w:numPr>
        <w:rPr>
          <w:rFonts w:ascii="Arial" w:cs="Arial" w:eastAsia="Arial" w:hAnsi="Arial"/>
          <w:sz w:val="17"/>
          <w:szCs w:val="17"/>
          <w:color w:val="auto"/>
        </w:rPr>
      </w:pPr>
      <w:r>
        <w:rPr>
          <w:rFonts w:ascii="Arial" w:cs="Arial" w:eastAsia="Arial" w:hAnsi="Arial"/>
          <w:sz w:val="17"/>
          <w:szCs w:val="17"/>
          <w:color w:val="auto"/>
        </w:rPr>
        <w:t>Accounts payable, accrued wages and benefits, accrued insurance, operating lease liabilities and other accrued expenses decreased by $11.7 million during fiscal 2021, which decreased cash flows from operating activities. These operating liabilities can fluctuate based on the timing of vendor payments, accruals, leasing activities, business volume, and other timing differences.</w:t>
      </w:r>
    </w:p>
    <w:p>
      <w:pPr>
        <w:spacing w:after="0" w:line="198" w:lineRule="exact"/>
        <w:rPr>
          <w:rFonts w:ascii="Arial" w:cs="Arial" w:eastAsia="Arial" w:hAnsi="Arial"/>
          <w:sz w:val="17"/>
          <w:szCs w:val="17"/>
          <w:color w:val="auto"/>
        </w:rPr>
      </w:pPr>
    </w:p>
    <w:p>
      <w:pPr>
        <w:ind w:left="640" w:hanging="320"/>
        <w:spacing w:after="0" w:line="322" w:lineRule="auto"/>
        <w:tabs>
          <w:tab w:leader="none" w:pos="635" w:val="left"/>
        </w:tabs>
        <w:numPr>
          <w:ilvl w:val="0"/>
          <w:numId w:val="26"/>
        </w:numPr>
        <w:rPr>
          <w:rFonts w:ascii="Arial" w:cs="Arial" w:eastAsia="Arial" w:hAnsi="Arial"/>
          <w:sz w:val="16"/>
          <w:szCs w:val="16"/>
          <w:color w:val="auto"/>
        </w:rPr>
      </w:pPr>
      <w:r>
        <w:rPr>
          <w:rFonts w:ascii="Arial" w:cs="Arial" w:eastAsia="Arial" w:hAnsi="Arial"/>
          <w:sz w:val="16"/>
          <w:szCs w:val="16"/>
          <w:color w:val="auto"/>
        </w:rPr>
        <w:t>Other liabilities increased by $3.6 million, which increased cash flows from operating activities. This increase was primarily due to deferred payroll tax associated with the CARES Act. See Part II., Item 8. Financial Statements and Supplementary Data, Note 6 - Income Taxes for more information.</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Cash Flows Used for Investing Activities</w:t>
      </w:r>
    </w:p>
    <w:p>
      <w:pPr>
        <w:spacing w:after="0" w:line="17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Investing activities used $2.3 million of cash in the fiscal year ended June 30, 2021 primarily due to $4.4 million of capital expenditures, partially offset by $2.1 million of proceeds from other asset sales. Capital expenditures consisted of $2.4 million for facilities, office equipment and software, and $2.0 million for construction, fabrication, and transportation equipment.</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Cash Flows Used by Financing Activities</w:t>
      </w:r>
    </w:p>
    <w:p>
      <w:pPr>
        <w:spacing w:after="0" w:line="17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Financing activities used $12.3 million of cash in the fiscal year ended June 30, 2021 primarily due to the net repayment of $9.8 million on our senior secured revolving credit facility, $1.6 million paid to repurchase our stock for payment of withholding taxes due on equity-based compensation, and $1.3 million paid in fees to amend our former credit agreement.</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ABL Credit Facility</w:t>
      </w:r>
    </w:p>
    <w:p>
      <w:pPr>
        <w:spacing w:after="0" w:line="172"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On September 9, 2021, we and our primary U.S. and Canada operating subsidiaries entered into an asset-backed credit agreement (the "ABL Facility") as borrowers with Bank of Montreal, as Administrative Agent, Swing-Line Lender, a Letter of Credit Issuer and a Lender. The ABL Facility is guaranteed by substantially all of our remaining U.S. and Canadian subsidiaries. The ABL Facility provides for available borrowings of up to $100.0 million, which may be increased further by an amount not to exceed $15.0 million, subject to certain conditions, including obtaining additional commitments. The ABL Facility is intended to be used for working capital, capital expenditures, issuances of letters of credit and other lawful purposes. Our obligations under the ABL Facility are secured by a first lien on all our assets and the assets of our co-borrowers and guarantors under the ABL Facility.</w:t>
      </w:r>
    </w:p>
    <w:p>
      <w:pPr>
        <w:spacing w:after="0" w:line="115"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The maximum amount that we may borrow under the ABL Facility is subject to a borrowing base, which is based on restricted cash plus a percentage of the value of certain accounts receivable, inventory and equipment, reduced for certain reserves. We are required to maintain a minimum of $25.0 million of restricted cash at all times, but such amounts are also included in the borrowing base. At September 9, 2021, availability under the ABL Facility was $25.9 million and there were $43.5 million in letters of credit outstanding. The ABL Facility matures and any outstanding amounts become due and payable on September 9, 2026.</w:t>
      </w:r>
    </w:p>
    <w:p>
      <w:pPr>
        <w:spacing w:after="0" w:line="127"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Borrowings under the ABL Facility bear interest through maturity at a variable rate based upon, at our option, an annual rate of either a base rate (“Base Rate”), CDOR rate or a LIBOR rate, plus an applicable margin. The Base Rate is defined as a fluctuating interest rate equal to the greatest of (i) rate of interest announced by Bank of Montreal from time to time as its prime rate; (ii) the U.S. federal funds rate plus 0.50%, and (iii) LIBOR rate for one month period plus 1.00%. Depending on the amount of average availability, the applicable margin is between 1.00% to 1.50% for Base Rate, which includes either U.S. or Canadian prime rate, and between 2.00% and 2.50% for CDOR and LIBOR rate borrowings. Interest is payable either (i) monthly for Base Rate borrowings or</w:t>
      </w:r>
    </w:p>
    <w:p>
      <w:pPr>
        <w:spacing w:after="0" w:line="3" w:lineRule="exact"/>
        <w:rPr>
          <w:sz w:val="20"/>
          <w:szCs w:val="20"/>
          <w:color w:val="auto"/>
        </w:rPr>
      </w:pPr>
    </w:p>
    <w:p>
      <w:pPr>
        <w:ind w:firstLine="5"/>
        <w:spacing w:after="0" w:line="275" w:lineRule="auto"/>
        <w:tabs>
          <w:tab w:leader="none" w:pos="269"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last day of the interest period for LIBOR or CDOR rate borrowings, as set forth in the Credit Agreement. The fee for undrawn amounts is 0.25% per annum and is due quarterly.</w:t>
      </w:r>
    </w:p>
    <w:p>
      <w:pPr>
        <w:spacing w:after="0" w:line="117"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The ABL Facility contains customary conditions to borrowings, events of default and covenants, including, but not limited to, covenants that restrict our ability to sell assets, engage in mergers and acquisitions, incur, assume or permit to exist additional indebtedness and guarantees, create or permit to exist liens, pay cash dividends, issue equity instruments, make distribution or redeem or repurchase capital stock. In the event that our availability is less than the greater of (i) $15.0 million and (ii) 15.00% of the lesser of (1) the current borrowing base and (2) the commitments under the ABL Facility then in effect, a consolidated Fixed Charge Coverage Ratio of at least 1.00 to 1.00 must be maintained.</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Senior Secured Revolving Credit Facility</w:t>
      </w:r>
    </w:p>
    <w:p>
      <w:pPr>
        <w:spacing w:after="0" w:line="17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ABL Facility replaced the Fifth Amended and Restated Credit Agreement (the "Prior Credit Agreement"), that was entered into on November 2, 2020, and subsequently amended on May 4, 2021, by and among us and certain foreign subsidiaries, as Borrowers, various subsidiaries of ours, as Guarantors, JPMorgan Chase Bank, N.A., as Administrative Agent, Sole Lead Arranger and Sole Book Runner, and the other Lenders party thereto. The Prior Credit Agreement provided for a three-year senior secured revolving credit facility of $200.0 million that expired November 2, 2023.</w:t>
      </w:r>
    </w:p>
    <w:p>
      <w:pPr>
        <w:spacing w:after="0" w:line="124"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We had no borrowings and $41.3 million of letters of credit outstanding under the Prior Credit Agreement as of June 30, 2021. We had $9.2 million of borrowings and $34.5 million of letters of credit outstanding under the Prior Credit Agreement as of June 30, 2020.</w:t>
      </w:r>
    </w:p>
    <w:p>
      <w:pPr>
        <w:spacing w:after="0" w:line="106"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Each revolving borrowing under the Prior Credit Agreement bore interest at a rate per annum equal to a base rate, plus a margin of 1.00% to 3.50%. The unused credit facility fee was between 0.35% and 0.50% based on the Leverage Ratio as defined in the Prior Credit Agreement.</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8" w:name="page39"/>
    <w:bookmarkEnd w:id="3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Prior Credit Agreement contained customary financial, negative and affirmative covenants and limited our borrowing availability based on our EBITDA, as it was defined in the Prior Credit Agreement. The Prior Credit Agreement also limited our ability to make acquisitions, repurchase shares, make capital expenditures and dispose of assets.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Dividend Policy</w:t>
      </w:r>
    </w:p>
    <w:p>
      <w:pPr>
        <w:spacing w:after="0" w:line="172" w:lineRule="exact"/>
        <w:rPr>
          <w:sz w:val="20"/>
          <w:szCs w:val="20"/>
          <w:color w:val="auto"/>
        </w:rPr>
      </w:pPr>
    </w:p>
    <w:p>
      <w:pPr>
        <w:jc w:val="both"/>
        <w:spacing w:after="0" w:line="322" w:lineRule="auto"/>
        <w:rPr>
          <w:sz w:val="20"/>
          <w:szCs w:val="20"/>
          <w:color w:val="auto"/>
        </w:rPr>
      </w:pPr>
      <w:r>
        <w:rPr>
          <w:rFonts w:ascii="Arial" w:cs="Arial" w:eastAsia="Arial" w:hAnsi="Arial"/>
          <w:sz w:val="16"/>
          <w:szCs w:val="16"/>
          <w:color w:val="auto"/>
        </w:rPr>
        <w:t>We have never paid cash dividends on our common stock and the terms of our Credit Agreement limit dividends to stock dividends only. Any future dividend payments will depend on the terms of our Credit Agreement, our financial condition, capital requirements and earnings as well as other relevant factors.</w:t>
      </w:r>
    </w:p>
    <w:p>
      <w:pPr>
        <w:spacing w:after="0" w:line="8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Treasury Shares</w:t>
      </w:r>
    </w:p>
    <w:p>
      <w:pPr>
        <w:spacing w:after="0" w:line="172"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The terms of our Credit Agreement limit share repurchases to $2.5 million per fiscal year provided that that we do not violate our Fixed Charge Coverage Ratio financial covenant. We may repurchase common stock pursuant to the Stock Buyback Program, which was approved by the board of directors in November 2018. Under the program, the aggregate number of shares repurchased may not exceed 2,707,175 shares. We may repurchase our stock from time to time in the open market at prevailing market prices or in privately negotiated transactions and are not obligated to purchase any shares. The program will continue unless and until it is modified or revoked by the Board of Directors. We made no repurchases under the program in the fourth quarter of fiscal 2021 and have no current plans to repurchase stock in the near-term.</w:t>
      </w:r>
    </w:p>
    <w:p>
      <w:pPr>
        <w:spacing w:after="0" w:line="12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of June 30, 2021, there were 1,349,037 shares available for repurchase under the Stock Buyback Program. We had 1,338,779 treasury shares as of June 30, 2021 and intend to utilize these treasury shares in connection with equity awards under the our stock incentive plans and for sales to the Employee Stock Purchase Plan.</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Off-Balance Sheet Arrangements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As of June 30, 2021, the following off-balance sheet arrangements were in place to support our ordinary course obligations:</w:t>
      </w: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3"/>
              </w:rPr>
              <w:t>Expiration Period</w:t>
            </w: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2"/>
          </w:tcPr>
          <w:p>
            <w:pPr>
              <w:jc w:val="center"/>
              <w:ind w:right="320"/>
              <w:spacing w:after="0" w:line="130" w:lineRule="exact"/>
              <w:rPr>
                <w:sz w:val="20"/>
                <w:szCs w:val="20"/>
                <w:color w:val="auto"/>
              </w:rPr>
            </w:pPr>
            <w:r>
              <w:rPr>
                <w:rFonts w:ascii="Arial" w:cs="Arial" w:eastAsia="Arial" w:hAnsi="Arial"/>
                <w:sz w:val="14"/>
                <w:szCs w:val="14"/>
                <w:b w:val="1"/>
                <w:bCs w:val="1"/>
                <w:color w:val="auto"/>
                <w:w w:val="93"/>
              </w:rPr>
              <w:t>Less than 1</w:t>
            </w:r>
          </w:p>
        </w:tc>
        <w:tc>
          <w:tcPr>
            <w:tcW w:w="240" w:type="dxa"/>
            <w:vAlign w:val="bottom"/>
          </w:tcPr>
          <w:p>
            <w:pPr>
              <w:spacing w:after="0"/>
              <w:rPr>
                <w:sz w:val="11"/>
                <w:szCs w:val="11"/>
                <w:color w:val="auto"/>
              </w:rPr>
            </w:pPr>
          </w:p>
        </w:tc>
        <w:tc>
          <w:tcPr>
            <w:tcW w:w="11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1–3 Years</w:t>
            </w:r>
          </w:p>
        </w:tc>
        <w:tc>
          <w:tcPr>
            <w:tcW w:w="120" w:type="dxa"/>
            <w:vAlign w:val="bottom"/>
          </w:tcPr>
          <w:p>
            <w:pPr>
              <w:spacing w:after="0"/>
              <w:rPr>
                <w:sz w:val="11"/>
                <w:szCs w:val="11"/>
                <w:color w:val="auto"/>
              </w:rPr>
            </w:pPr>
          </w:p>
        </w:tc>
        <w:tc>
          <w:tcPr>
            <w:tcW w:w="12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8"/>
              </w:rPr>
              <w:t>3–5 Years</w:t>
            </w:r>
          </w:p>
        </w:tc>
        <w:tc>
          <w:tcPr>
            <w:tcW w:w="200" w:type="dxa"/>
            <w:vAlign w:val="bottom"/>
          </w:tcPr>
          <w:p>
            <w:pPr>
              <w:spacing w:after="0"/>
              <w:rPr>
                <w:sz w:val="11"/>
                <w:szCs w:val="11"/>
                <w:color w:val="auto"/>
              </w:rPr>
            </w:pPr>
          </w:p>
        </w:tc>
        <w:tc>
          <w:tcPr>
            <w:tcW w:w="1240" w:type="dxa"/>
            <w:vAlign w:val="bottom"/>
            <w:gridSpan w:val="2"/>
          </w:tcPr>
          <w:p>
            <w:pPr>
              <w:jc w:val="center"/>
              <w:ind w:right="300"/>
              <w:spacing w:after="0" w:line="130" w:lineRule="exact"/>
              <w:rPr>
                <w:sz w:val="20"/>
                <w:szCs w:val="20"/>
                <w:color w:val="auto"/>
              </w:rPr>
            </w:pPr>
            <w:r>
              <w:rPr>
                <w:rFonts w:ascii="Arial" w:cs="Arial" w:eastAsia="Arial" w:hAnsi="Arial"/>
                <w:sz w:val="14"/>
                <w:szCs w:val="14"/>
                <w:b w:val="1"/>
                <w:bCs w:val="1"/>
                <w:color w:val="auto"/>
                <w:w w:val="99"/>
              </w:rPr>
              <w:t>More than 5</w:t>
            </w:r>
          </w:p>
        </w:tc>
        <w:tc>
          <w:tcPr>
            <w:tcW w:w="320" w:type="dxa"/>
            <w:vAlign w:val="bottom"/>
          </w:tcPr>
          <w:p>
            <w:pPr>
              <w:spacing w:after="0"/>
              <w:rPr>
                <w:sz w:val="11"/>
                <w:szCs w:val="11"/>
                <w:color w:val="auto"/>
              </w:rPr>
            </w:pPr>
          </w:p>
        </w:tc>
        <w:tc>
          <w:tcPr>
            <w:tcW w:w="1020" w:type="dxa"/>
            <w:vAlign w:val="bottom"/>
            <w:vMerge w:val="restart"/>
          </w:tcPr>
          <w:p>
            <w:pPr>
              <w:jc w:val="right"/>
              <w:ind w:right="437"/>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2"/>
              </w:rPr>
              <w:t>Year</w:t>
            </w: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2"/>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9"/>
              </w:rPr>
              <w:t>Years</w:t>
            </w: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(In thousands)</w:t>
            </w: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120" w:type="dxa"/>
            <w:vAlign w:val="bottom"/>
            <w:gridSpan w:val="3"/>
            <w:shd w:val="clear" w:color="auto" w:fill="CCEEFF"/>
          </w:tcPr>
          <w:p>
            <w:pPr>
              <w:ind w:left="20"/>
              <w:spacing w:after="0" w:line="223" w:lineRule="exact"/>
              <w:rPr>
                <w:sz w:val="20"/>
                <w:szCs w:val="20"/>
                <w:color w:val="auto"/>
              </w:rPr>
            </w:pPr>
            <w:r>
              <w:rPr>
                <w:rFonts w:ascii="Arial" w:cs="Arial" w:eastAsia="Arial" w:hAnsi="Arial"/>
                <w:sz w:val="17"/>
                <w:szCs w:val="17"/>
                <w:color w:val="auto"/>
              </w:rPr>
              <w:t>Letters of credit</w:t>
            </w:r>
            <w:r>
              <w:rPr>
                <w:rFonts w:ascii="Arial" w:cs="Arial" w:eastAsia="Arial" w:hAnsi="Arial"/>
                <w:sz w:val="22"/>
                <w:szCs w:val="22"/>
                <w:color w:val="auto"/>
                <w:vertAlign w:val="superscript"/>
              </w:rPr>
              <w:t>(1)</w:t>
            </w: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41,314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gridSpan w:val="2"/>
            <w:shd w:val="clear" w:color="auto" w:fill="CCEEFF"/>
          </w:tcPr>
          <w:p>
            <w:pPr>
              <w:ind w:left="94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240" w:type="dxa"/>
            <w:vAlign w:val="bottom"/>
            <w:gridSpan w:val="2"/>
            <w:shd w:val="clear" w:color="auto" w:fill="CCEEFF"/>
          </w:tcPr>
          <w:p>
            <w:pPr>
              <w:ind w:left="90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41,314</w:t>
            </w:r>
          </w:p>
        </w:tc>
        <w:tc>
          <w:tcPr>
            <w:tcW w:w="0" w:type="dxa"/>
            <w:vAlign w:val="bottom"/>
          </w:tcPr>
          <w:p>
            <w:pPr>
              <w:spacing w:after="0"/>
              <w:rPr>
                <w:sz w:val="1"/>
                <w:szCs w:val="1"/>
                <w:color w:val="auto"/>
              </w:rPr>
            </w:pPr>
          </w:p>
        </w:tc>
      </w:tr>
      <w:tr>
        <w:trPr>
          <w:trHeight w:val="223"/>
        </w:trPr>
        <w:tc>
          <w:tcPr>
            <w:tcW w:w="4120" w:type="dxa"/>
            <w:vAlign w:val="bottom"/>
            <w:tcBorders>
              <w:bottom w:val="single" w:sz="8" w:color="CCEEFF"/>
            </w:tcBorders>
            <w:gridSpan w:val="3"/>
          </w:tcPr>
          <w:p>
            <w:pPr>
              <w:ind w:left="20"/>
              <w:spacing w:after="0"/>
              <w:rPr>
                <w:sz w:val="20"/>
                <w:szCs w:val="20"/>
                <w:color w:val="auto"/>
              </w:rPr>
            </w:pPr>
            <w:r>
              <w:rPr>
                <w:rFonts w:ascii="Arial" w:cs="Arial" w:eastAsia="Arial" w:hAnsi="Arial"/>
                <w:sz w:val="17"/>
                <w:szCs w:val="17"/>
                <w:color w:val="auto"/>
              </w:rPr>
              <w:t>Surety bonds</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96,268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ind w:left="940"/>
              <w:spacing w:after="0"/>
              <w:rPr>
                <w:sz w:val="20"/>
                <w:szCs w:val="20"/>
                <w:color w:val="auto"/>
              </w:rPr>
            </w:pPr>
            <w:r>
              <w:rPr>
                <w:rFonts w:ascii="Arial" w:cs="Arial" w:eastAsia="Arial" w:hAnsi="Arial"/>
                <w:sz w:val="17"/>
                <w:szCs w:val="17"/>
                <w:color w:val="auto"/>
              </w:rPr>
              <w:t>20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ind w:left="90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96,824</w:t>
            </w:r>
          </w:p>
        </w:tc>
        <w:tc>
          <w:tcPr>
            <w:tcW w:w="0" w:type="dxa"/>
            <w:vAlign w:val="bottom"/>
          </w:tcPr>
          <w:p>
            <w:pPr>
              <w:spacing w:after="0"/>
              <w:rPr>
                <w:sz w:val="1"/>
                <w:szCs w:val="1"/>
                <w:color w:val="auto"/>
              </w:rPr>
            </w:pPr>
          </w:p>
        </w:tc>
      </w:tr>
      <w:tr>
        <w:trPr>
          <w:trHeight w:val="236"/>
        </w:trPr>
        <w:tc>
          <w:tcPr>
            <w:tcW w:w="412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137,582</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536</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ind w:left="940"/>
              <w:spacing w:after="0"/>
              <w:rPr>
                <w:sz w:val="20"/>
                <w:szCs w:val="20"/>
                <w:color w:val="auto"/>
              </w:rPr>
            </w:pPr>
            <w:r>
              <w:rPr>
                <w:rFonts w:ascii="Arial" w:cs="Arial" w:eastAsia="Arial" w:hAnsi="Arial"/>
                <w:sz w:val="17"/>
                <w:szCs w:val="17"/>
                <w:color w:val="auto"/>
              </w:rPr>
              <w:t>20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240" w:type="dxa"/>
            <w:vAlign w:val="bottom"/>
            <w:gridSpan w:val="2"/>
            <w:shd w:val="clear" w:color="auto" w:fill="CCEEFF"/>
          </w:tcPr>
          <w:p>
            <w:pPr>
              <w:ind w:left="90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138,138</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2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2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22" w:lineRule="exact"/>
        <w:rPr>
          <w:sz w:val="20"/>
          <w:szCs w:val="20"/>
          <w:color w:val="auto"/>
        </w:rPr>
      </w:pPr>
    </w:p>
    <w:p>
      <w:pPr>
        <w:jc w:val="both"/>
        <w:ind w:left="560" w:hanging="319"/>
        <w:spacing w:after="0" w:line="247" w:lineRule="auto"/>
        <w:tabs>
          <w:tab w:leader="none" w:pos="552" w:val="left"/>
        </w:tabs>
        <w:numPr>
          <w:ilvl w:val="0"/>
          <w:numId w:val="28"/>
        </w:numPr>
        <w:rPr>
          <w:rFonts w:ascii="Arial" w:cs="Arial" w:eastAsia="Arial" w:hAnsi="Arial"/>
          <w:sz w:val="14"/>
          <w:szCs w:val="14"/>
          <w:color w:val="auto"/>
        </w:rPr>
      </w:pPr>
      <w:r>
        <w:rPr>
          <w:rFonts w:ascii="Arial" w:cs="Arial" w:eastAsia="Arial" w:hAnsi="Arial"/>
          <w:sz w:val="14"/>
          <w:szCs w:val="14"/>
          <w:color w:val="auto"/>
        </w:rPr>
        <w:t>All letters of credit issued under our senior secured revolving credit facility support our workers’ compensation insurance programs or certain construction contracts. The letters of credit that support our workers’ compensation programs are expected to renew annually through the term of our credit facility. The letters of credit that support construction contracts carry expiration dates into calendar year 2022.</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Contractual Obligations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Contractual obligations at June 30, 2021 are summarized below:</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8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700" w:type="dxa"/>
            <w:vAlign w:val="bottom"/>
            <w:tcBorders>
              <w:bottom w:val="single" w:sz="8" w:color="auto"/>
            </w:tcBorders>
            <w:gridSpan w:val="8"/>
          </w:tcPr>
          <w:p>
            <w:pPr>
              <w:jc w:val="center"/>
              <w:ind w:right="320"/>
              <w:spacing w:after="0"/>
              <w:rPr>
                <w:sz w:val="20"/>
                <w:szCs w:val="20"/>
                <w:color w:val="auto"/>
              </w:rPr>
            </w:pPr>
            <w:r>
              <w:rPr>
                <w:rFonts w:ascii="Arial" w:cs="Arial" w:eastAsia="Arial" w:hAnsi="Arial"/>
                <w:sz w:val="14"/>
                <w:szCs w:val="14"/>
                <w:b w:val="1"/>
                <w:bCs w:val="1"/>
                <w:color w:val="auto"/>
                <w:w w:val="91"/>
              </w:rPr>
              <w:t>Contractual Obligations by Expiration Period</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4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tcPr>
          <w:p>
            <w:pPr>
              <w:jc w:val="center"/>
              <w:ind w:right="260"/>
              <w:spacing w:after="0" w:line="130" w:lineRule="exact"/>
              <w:rPr>
                <w:sz w:val="20"/>
                <w:szCs w:val="20"/>
                <w:color w:val="auto"/>
              </w:rPr>
            </w:pPr>
            <w:r>
              <w:rPr>
                <w:rFonts w:ascii="Arial" w:cs="Arial" w:eastAsia="Arial" w:hAnsi="Arial"/>
                <w:sz w:val="14"/>
                <w:szCs w:val="14"/>
                <w:b w:val="1"/>
                <w:bCs w:val="1"/>
                <w:color w:val="auto"/>
                <w:w w:val="90"/>
              </w:rPr>
              <w:t>Less than 1</w:t>
            </w:r>
          </w:p>
        </w:tc>
        <w:tc>
          <w:tcPr>
            <w:tcW w:w="220" w:type="dxa"/>
            <w:vAlign w:val="bottom"/>
          </w:tcPr>
          <w:p>
            <w:pPr>
              <w:spacing w:after="0"/>
              <w:rPr>
                <w:sz w:val="11"/>
                <w:szCs w:val="11"/>
                <w:color w:val="auto"/>
              </w:rPr>
            </w:pPr>
          </w:p>
        </w:tc>
        <w:tc>
          <w:tcPr>
            <w:tcW w:w="10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1-3 Years</w:t>
            </w:r>
          </w:p>
        </w:tc>
        <w:tc>
          <w:tcPr>
            <w:tcW w:w="140" w:type="dxa"/>
            <w:vAlign w:val="bottom"/>
          </w:tcPr>
          <w:p>
            <w:pPr>
              <w:spacing w:after="0"/>
              <w:rPr>
                <w:sz w:val="11"/>
                <w:szCs w:val="11"/>
                <w:color w:val="auto"/>
              </w:rPr>
            </w:pPr>
          </w:p>
        </w:tc>
        <w:tc>
          <w:tcPr>
            <w:tcW w:w="11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3-5 Years</w:t>
            </w:r>
          </w:p>
        </w:tc>
        <w:tc>
          <w:tcPr>
            <w:tcW w:w="160" w:type="dxa"/>
            <w:vAlign w:val="bottom"/>
          </w:tcPr>
          <w:p>
            <w:pPr>
              <w:spacing w:after="0"/>
              <w:rPr>
                <w:sz w:val="11"/>
                <w:szCs w:val="11"/>
                <w:color w:val="auto"/>
              </w:rPr>
            </w:pPr>
          </w:p>
        </w:tc>
        <w:tc>
          <w:tcPr>
            <w:tcW w:w="1160" w:type="dxa"/>
            <w:vAlign w:val="bottom"/>
            <w:gridSpan w:val="2"/>
          </w:tcPr>
          <w:p>
            <w:pPr>
              <w:jc w:val="center"/>
              <w:ind w:right="260"/>
              <w:spacing w:after="0" w:line="130" w:lineRule="exact"/>
              <w:rPr>
                <w:sz w:val="20"/>
                <w:szCs w:val="20"/>
                <w:color w:val="auto"/>
              </w:rPr>
            </w:pPr>
            <w:r>
              <w:rPr>
                <w:rFonts w:ascii="Arial" w:cs="Arial" w:eastAsia="Arial" w:hAnsi="Arial"/>
                <w:sz w:val="14"/>
                <w:szCs w:val="14"/>
                <w:b w:val="1"/>
                <w:bCs w:val="1"/>
                <w:color w:val="auto"/>
                <w:w w:val="99"/>
              </w:rPr>
              <w:t>More than 5</w:t>
            </w:r>
          </w:p>
        </w:tc>
        <w:tc>
          <w:tcPr>
            <w:tcW w:w="280" w:type="dxa"/>
            <w:vAlign w:val="bottom"/>
          </w:tcPr>
          <w:p>
            <w:pPr>
              <w:spacing w:after="0"/>
              <w:rPr>
                <w:sz w:val="11"/>
                <w:szCs w:val="11"/>
                <w:color w:val="auto"/>
              </w:rPr>
            </w:pPr>
          </w:p>
        </w:tc>
        <w:tc>
          <w:tcPr>
            <w:tcW w:w="920" w:type="dxa"/>
            <w:vAlign w:val="bottom"/>
            <w:vMerge w:val="restart"/>
          </w:tcPr>
          <w:p>
            <w:pPr>
              <w:jc w:val="right"/>
              <w:ind w:right="357"/>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3"/>
        </w:trPr>
        <w:tc>
          <w:tcPr>
            <w:tcW w:w="48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Year</w:t>
            </w: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9"/>
              </w:rPr>
              <w:t>Years</w:t>
            </w: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4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(In thousands)</w:t>
            </w: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leases</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6,548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8,284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6,009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11,224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32,065</w:t>
            </w:r>
          </w:p>
        </w:tc>
        <w:tc>
          <w:tcPr>
            <w:tcW w:w="0" w:type="dxa"/>
            <w:vAlign w:val="bottom"/>
          </w:tcPr>
          <w:p>
            <w:pPr>
              <w:spacing w:after="0"/>
              <w:rPr>
                <w:sz w:val="1"/>
                <w:szCs w:val="1"/>
                <w:color w:val="auto"/>
              </w:rPr>
            </w:pPr>
          </w:p>
        </w:tc>
      </w:tr>
      <w:tr>
        <w:trPr>
          <w:trHeight w:val="223"/>
        </w:trPr>
        <w:tc>
          <w:tcPr>
            <w:tcW w:w="4840" w:type="dxa"/>
            <w:vAlign w:val="bottom"/>
          </w:tcPr>
          <w:p>
            <w:pPr>
              <w:ind w:left="20"/>
              <w:spacing w:after="0"/>
              <w:rPr>
                <w:sz w:val="20"/>
                <w:szCs w:val="20"/>
                <w:color w:val="auto"/>
              </w:rPr>
            </w:pPr>
            <w:r>
              <w:rPr>
                <w:rFonts w:ascii="Arial" w:cs="Arial" w:eastAsia="Arial" w:hAnsi="Arial"/>
                <w:sz w:val="17"/>
                <w:szCs w:val="17"/>
                <w:color w:val="auto"/>
              </w:rPr>
              <w:t>Purchase obligations</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2,951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3,408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6,359</w:t>
            </w:r>
          </w:p>
        </w:tc>
        <w:tc>
          <w:tcPr>
            <w:tcW w:w="0" w:type="dxa"/>
            <w:vAlign w:val="bottom"/>
          </w:tcPr>
          <w:p>
            <w:pPr>
              <w:spacing w:after="0"/>
              <w:rPr>
                <w:sz w:val="1"/>
                <w:szCs w:val="1"/>
                <w:color w:val="auto"/>
              </w:rPr>
            </w:pPr>
          </w:p>
        </w:tc>
      </w:tr>
      <w:tr>
        <w:trPr>
          <w:trHeight w:val="241"/>
        </w:trPr>
        <w:tc>
          <w:tcPr>
            <w:tcW w:w="4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contractual obligations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9,499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11,692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6,009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11,224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38,424</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9" w:name="page40"/>
    <w:bookmarkEnd w:id="3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General Information about our Contracts with Customers</w:t>
      </w:r>
    </w:p>
    <w:p>
      <w:pPr>
        <w:spacing w:after="0" w:line="172"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Our revenue comes from contracts to provide engineering, procurement, fabrication and construction, repair and maintenance and other services. Our engineering, procurement and fabrication and construction services are usually provided in association with capital projects, which are commonly fixed-price contracts that are billed based on project milestones. Our repair and maintenance services typically are cost reimbursable or time and material based contracts and are billed monthly or, for projects of short duration, at the conclusion of the project. The elapsed time from award to completion of performance may exceed one year for capital projects.</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Step 1: Contract Identification</w:t>
      </w:r>
    </w:p>
    <w:p>
      <w:pPr>
        <w:spacing w:after="0" w:line="17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do not recognize revenue unless we have identified a contract with a customer. A contract with a customer exists when it has approval and commitment from both parties, the rights and obligations of the parties are identified, payment terms are identified, the contract has commercial substance, and collectibility is probable. We also evaluate whether a contract should be combined with other contracts and accounted for as a single contract. This evaluation requires judgment and could change the timing of the amount of revenue and profit recorded for a given period.</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Step 2: Identify Performance Obligations</w:t>
      </w:r>
    </w:p>
    <w:p>
      <w:pPr>
        <w:spacing w:after="0" w:line="172"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Next, we identify each performance obligation in the contract. A performance obligation is a promise to provide a distinct good or service or a series of distinct goods or services to the customer. Revenue is recognized separately for each performance obligation in the contract. Many of our contracts have one clearly identifiable performance obligation. However, many of our contracts provide the customer an integrated service that includes two or more of the following services: engineering, procurement, fabrication, construction, repair and maintenance services. For these contracts, we do not consider the integrated services to be distinct within the context of the contract when the separate scopes of work combine into a single commercial objective or capability for the customer. Accordingly, we generally identify one performance obligation in our contracts. The determination of the number of performance obligations in a contract requires significant judgment and could change the timing of the amount of revenue recorded for a given period.</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Step 3: Determine Contract Price</w:t>
      </w:r>
    </w:p>
    <w:p>
      <w:pPr>
        <w:spacing w:after="0" w:line="17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After determining the performance obligations in the contract, we determine the contract price. The contract price is the amount of consideration we expect to receive from the customer for completing the performance obligation(s). In a fixed-price contract, the contract price is a single lump-sum amount. In reimbursable and time and materials based contracts, the contract price is determined by the agreed upon rates or reimbursements for time and materials expended in completing the performance obligation(s) in the contract.</w:t>
      </w:r>
    </w:p>
    <w:p>
      <w:pPr>
        <w:spacing w:after="0" w:line="124"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A number of our contracts contain various cost and performance incentives and penalties that can either increase or decrease the contract price. These variable consideration amounts are generally earned or incurred based on certain performance metrics, most commonly related to project schedule or cost targets. We estimate variable consideration at the most likely amount of additional consideration to be received (or paid in the case of penalties), provided that meeting the variable condition is probable. We include estimated amounts of variable consideration in the contract price to the extent it is probable that a significant reversal of cumulative revenue recognized will not occur when the uncertainty associated with the variable consideration is resolved. Our estimates of variable consideration and determination of whether to include estimated amounts in the contract price are based largely on an assessment of our anticipated performance and all information (historical, current and forecasted) that is reasonably available to us. We reassess the amount of variable consideration each accounting period until the uncertainty associated with the variable consideration is resolved. Changes in the assessed amount of variable consideration are accounted for prospectively as a cumulative adjustment to revenue recognized in the current period.</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Step 4: Assign Contract Price to Performance Obligations</w:t>
      </w:r>
    </w:p>
    <w:p>
      <w:pPr>
        <w:spacing w:after="0" w:line="17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After determining the contract price, we assign such price to the performance obligation(s) in the contract. If a contract has multiple performance obligations, we assign the contract price to each performance obligation based on the stand-alone selling prices of the distinct services that comprise each performance obligation.</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0" w:name="page41"/>
    <w:bookmarkEnd w:id="4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Step 5: Recognize Revenue as Performance Obligations are Satisfied</w:t>
      </w:r>
    </w:p>
    <w:p>
      <w:pPr>
        <w:spacing w:after="0" w:line="172"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We record revenue for contracts with our customers as we satisfy the contracts' performance obligations. We recognize revenue on performance obligations associated with fixed-price contracts for engineering, procurement, fabrication and construction services over time since these services create or enhance assets the customer controls as they are being created or enhanced. We measure progress of satisfying these performance obligations by using the percentage-of-completion method, which is based on costs incurred to date compared to the total estimated costs at completion, since it best depicts the transfer of control of assets being created or enhanced to the customer.</w:t>
      </w:r>
    </w:p>
    <w:p>
      <w:pPr>
        <w:spacing w:after="0" w:line="12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recognize revenue over time for reimbursable and time and material based repair and maintenance contracts since the customer simultaneously receives and consumes the benefit of those services as we perform work under the contract. As a practical expedient allowed under the revenue accounting standards, we record revenue for these contracts in the amount to which we have a right to invoice for the services performed provided that we have a right to consideration from the customer in an amount that corresponds directly with the value of the performance completed to date.</w:t>
      </w:r>
    </w:p>
    <w:p>
      <w:pPr>
        <w:spacing w:after="0" w:line="12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Costs incurred may include direct labor, direct materials, subcontractor costs and indirect costs, such as salaries and benefits, supplies and tools, equipment costs and insurance costs. Indirect costs are charged to projects based upon direct costs and overhead allocation rates per dollar of direct costs incurred or direct labor hours worked. Typically, customer contracts will include standard warranties that provide assurance that products and services will function as expected. We do not sell separate warranties.</w:t>
      </w:r>
    </w:p>
    <w:p>
      <w:pPr>
        <w:spacing w:after="0" w:line="124"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We have numerous contracts that are in various stages of completion which require estimates to determine the forecasted costs at completion. Due to the nature of the work left to be performed on many of our contracts, the estimation of total cost at completion for fixed-price contracts is complex, subject to many variables and requires significant judgment. Estimates of total cost at completion are made each period and changes in these estimates are accounted for prospectively as cumulative adjustments to revenue recognized in the current period. If estimates of costs to complete fixed-price contracts indicate a loss, a provision is made through a contract write-down for the total loss anticipated.</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Change Orders</w:t>
      </w:r>
    </w:p>
    <w:p>
      <w:pPr>
        <w:spacing w:after="0" w:line="172"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Contracts are often modified through change orders, which are changes to the agreed upon scope of work. Most of our change orders, which may be priced or unpriced, are for goods or services that are not distinct from the existing contract due to the significant integration of services provided in the context of the contract and are accounted for as if they were part of that existing contract. The effect of a change order on the contract price and our measure of progress for the performance obligation to which it relates, is recognized as an adjustment to revenue on a cumulative catch-up basis. For unpriced change orders, we estimate the increase or decrease to the contract price using the variable consideration method described in the Step 3: Determine Contract Price paragraph above. Unpriced change orders are more fully discussed in Note 7 - Commitments and Contingencies of the Notes to Financial Statements.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Claims</w:t>
      </w:r>
    </w:p>
    <w:p>
      <w:pPr>
        <w:spacing w:after="0" w:line="172"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Sometimes we seek claims for amounts in excess of the contract price for delays, errors in specifications and designs, contract terminations, change orders in dispute or other causes of additional costs incurred by us. Recognition of amounts as additional contract price related to claims is appropriate only if there is a legal basis for the claim. The determination of our legal basis for a claim requires significant judgment. We estimate the change to the contract price using the variable consideration method described in the Step 3: Determine Contract Price paragraph above. Claims are more fully discussed in Note 7 - Commitments and Contingencies of the Notes to Financial Statements.</w:t>
      </w:r>
    </w:p>
    <w:p>
      <w:pPr>
        <w:spacing w:after="0" w:line="18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Costs and estimated earnings in excess of billings on uncompleted contracts included revenue for unpriced change orders and claims of $14.6 million at June 30, 2021 and $14.5 million at June 30, 2020. The amounts ultimately realized may be significantly different than the recorded amounts resulting in a material adjustment to future earnings. Generally we expect collection of amounts related to unpriced change orders and claims within twelve months. However, customers may not pay these amounts until final resolution of related claims, which may extend beyond one year.</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1" w:name="page42"/>
    <w:bookmarkEnd w:id="4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Goodwill</w:t>
      </w:r>
    </w:p>
    <w:p>
      <w:pPr>
        <w:spacing w:after="0" w:line="17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Goodwill represents the excess of the purchase price of acquisitions over the acquisition date fair value of the net identifiable tangible and intangible assets acquired. In accordance with current accounting guidance, goodwill is not amortized and is tested at least annually for impairment at the reporting unit level, which is a level below our reportable segments.</w:t>
      </w:r>
    </w:p>
    <w:p>
      <w:pPr>
        <w:spacing w:after="0" w:line="120"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We perform our annual impairment test in the fourth quarter of each fiscal year, or in between annual tests whenever events or changes in circumstances indicate the carrying value of goodwill may not be recoverable, to determine whether an impairment exists and to determine the amount of headroom. We define "headroom" as the percentage difference between the fair value of a reporting unit and its carrying value. The goodwill impairment test involves comparing management’s estimate of the fair value of a reporting unit with its carrying value, including goodwill. If the fair value of a reporting unit exceeds its carrying value, then goodwill is not impaired. If the fair value of a reporting unit is less than its carrying value, then goodwill is impaired to the extent of the difference, but the impairment may not exceed the balance of goodwill assigned to that reporting unit.</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We utilize a discounted cash flow analysis, referred to as an income approach, and market multiples, referred to as a market approach, to determine the estimated fair value of our reporting units. For the income approach, significant judgments and assumptions including forecasted project awards, discount rate, anticipated revenue growth rate, gross margins, operating expenses, working capital needs and capital expenditures are inherent in the fair value estimates, which are based on our operating and capital budgets and on our strategic plan. As a result, actual results may differ from the estimates utilized in our income approach. For the market approach, significant judgments and assumptions include the selection of guideline companies, forecasted guideline company EBITDA and our forecasted EBITDA. The use of alternate judgments and/or assumptions could result in a fair value that differs from our estimate and could result in the recognition of additional impairment charges in the financial statements. As a test for reasonableness, we also consider the combined fair values of our reporting units to our market capitalization.</w:t>
      </w:r>
    </w:p>
    <w:p>
      <w:pPr>
        <w:spacing w:after="0" w:line="129"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We performed our annual goodwill impairment test as of May 31, 2021, which resulted in no impairment. The fiscal 2021 test indicated that four reporting units with a combined total of $37.7 million of goodwill as of June 30, 2021 were at higher risk of future impairment than others. If our view of project opportunities or gross margins deteriorates, particularly for the higher risk reporting units, then we may be required to record a material impairment of goodwill.</w:t>
      </w:r>
    </w:p>
    <w:p>
      <w:pPr>
        <w:spacing w:after="0" w:line="10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considered the amount of headroom for each reporting unit when determining whether an impairment existed. The amount of headroom varies by reporting unit. Our significant assumptions, including revenue growth rates, gross margins, discount rate and other factors may change in the future based on the changing economic and competitive environment in which we operate. Assuming that all other components of our fair value estimate remain unchanged, a change in the following assumptions would have the following effect on headroom:</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490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88"/>
              </w:rPr>
              <w:t>Headroom Sensitivity Analysis</w:t>
            </w:r>
          </w:p>
        </w:tc>
        <w:tc>
          <w:tcPr>
            <w:tcW w:w="16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4"/>
        </w:trPr>
        <w:tc>
          <w:tcPr>
            <w:tcW w:w="3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vMerge w:val="restart"/>
          </w:tcPr>
          <w:p>
            <w:pPr>
              <w:jc w:val="center"/>
              <w:ind w:right="116"/>
              <w:spacing w:after="0"/>
              <w:rPr>
                <w:sz w:val="20"/>
                <w:szCs w:val="20"/>
                <w:color w:val="auto"/>
              </w:rPr>
            </w:pPr>
            <w:r>
              <w:rPr>
                <w:rFonts w:ascii="Arial" w:cs="Arial" w:eastAsia="Arial" w:hAnsi="Arial"/>
                <w:sz w:val="16"/>
                <w:szCs w:val="16"/>
                <w:b w:val="1"/>
                <w:bCs w:val="1"/>
                <w:color w:val="auto"/>
                <w:w w:val="87"/>
              </w:rPr>
              <w:t>Goodwill as of June</w:t>
            </w:r>
          </w:p>
        </w:tc>
        <w:tc>
          <w:tcPr>
            <w:tcW w:w="1580" w:type="dxa"/>
            <w:vAlign w:val="bottom"/>
          </w:tcPr>
          <w:p>
            <w:pPr>
              <w:spacing w:after="0"/>
              <w:rPr>
                <w:sz w:val="13"/>
                <w:szCs w:val="13"/>
                <w:color w:val="auto"/>
              </w:rPr>
            </w:pPr>
          </w:p>
        </w:tc>
        <w:tc>
          <w:tcPr>
            <w:tcW w:w="1700" w:type="dxa"/>
            <w:vAlign w:val="bottom"/>
          </w:tcPr>
          <w:p>
            <w:pPr>
              <w:jc w:val="center"/>
              <w:spacing w:after="0" w:line="154" w:lineRule="exact"/>
              <w:rPr>
                <w:sz w:val="20"/>
                <w:szCs w:val="20"/>
                <w:color w:val="auto"/>
              </w:rPr>
            </w:pPr>
            <w:r>
              <w:rPr>
                <w:rFonts w:ascii="Arial" w:cs="Arial" w:eastAsia="Arial" w:hAnsi="Arial"/>
                <w:sz w:val="16"/>
                <w:szCs w:val="16"/>
                <w:b w:val="1"/>
                <w:bCs w:val="1"/>
                <w:color w:val="auto"/>
                <w:w w:val="88"/>
              </w:rPr>
              <w:t>Headroom if Revenue</w:t>
            </w:r>
          </w:p>
        </w:tc>
        <w:tc>
          <w:tcPr>
            <w:tcW w:w="1620" w:type="dxa"/>
            <w:vAlign w:val="bottom"/>
          </w:tcPr>
          <w:p>
            <w:pPr>
              <w:jc w:val="center"/>
              <w:spacing w:after="0" w:line="154" w:lineRule="exact"/>
              <w:rPr>
                <w:sz w:val="20"/>
                <w:szCs w:val="20"/>
                <w:color w:val="auto"/>
              </w:rPr>
            </w:pPr>
            <w:r>
              <w:rPr>
                <w:rFonts w:ascii="Arial" w:cs="Arial" w:eastAsia="Arial" w:hAnsi="Arial"/>
                <w:sz w:val="16"/>
                <w:szCs w:val="16"/>
                <w:b w:val="1"/>
                <w:bCs w:val="1"/>
                <w:color w:val="auto"/>
                <w:w w:val="88"/>
              </w:rPr>
              <w:t>Headroom if Gross</w:t>
            </w:r>
          </w:p>
        </w:tc>
        <w:tc>
          <w:tcPr>
            <w:tcW w:w="16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0"/>
              </w:rPr>
              <w:t>Headroom if Discount</w:t>
            </w:r>
          </w:p>
        </w:tc>
        <w:tc>
          <w:tcPr>
            <w:tcW w:w="0" w:type="dxa"/>
            <w:vAlign w:val="bottom"/>
          </w:tcPr>
          <w:p>
            <w:pPr>
              <w:spacing w:after="0"/>
              <w:rPr>
                <w:sz w:val="1"/>
                <w:szCs w:val="1"/>
                <w:color w:val="auto"/>
              </w:rPr>
            </w:pPr>
          </w:p>
        </w:tc>
      </w:tr>
      <w:tr>
        <w:trPr>
          <w:trHeight w:val="157"/>
        </w:trPr>
        <w:tc>
          <w:tcPr>
            <w:tcW w:w="3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vMerge w:val="continue"/>
          </w:tcPr>
          <w:p>
            <w:pPr>
              <w:spacing w:after="0"/>
              <w:rPr>
                <w:sz w:val="13"/>
                <w:szCs w:val="13"/>
                <w:color w:val="auto"/>
              </w:rPr>
            </w:pPr>
          </w:p>
        </w:tc>
        <w:tc>
          <w:tcPr>
            <w:tcW w:w="1580" w:type="dxa"/>
            <w:vAlign w:val="bottom"/>
          </w:tcPr>
          <w:p>
            <w:pPr>
              <w:spacing w:after="0"/>
              <w:rPr>
                <w:sz w:val="13"/>
                <w:szCs w:val="13"/>
                <w:color w:val="auto"/>
              </w:rPr>
            </w:pPr>
          </w:p>
        </w:tc>
        <w:tc>
          <w:tcPr>
            <w:tcW w:w="170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92"/>
              </w:rPr>
              <w:t>Growth Rate</w:t>
            </w:r>
          </w:p>
        </w:tc>
        <w:tc>
          <w:tcPr>
            <w:tcW w:w="162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99"/>
              </w:rPr>
              <w:t>Margin</w:t>
            </w:r>
          </w:p>
        </w:tc>
        <w:tc>
          <w:tcPr>
            <w:tcW w:w="16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tcPr>
          <w:p>
            <w:pPr>
              <w:jc w:val="center"/>
              <w:ind w:right="156"/>
              <w:spacing w:after="0" w:line="158" w:lineRule="exact"/>
              <w:rPr>
                <w:sz w:val="20"/>
                <w:szCs w:val="20"/>
                <w:color w:val="auto"/>
              </w:rPr>
            </w:pPr>
            <w:r>
              <w:rPr>
                <w:rFonts w:ascii="Arial" w:cs="Arial" w:eastAsia="Arial" w:hAnsi="Arial"/>
                <w:sz w:val="16"/>
                <w:szCs w:val="16"/>
                <w:b w:val="1"/>
                <w:bCs w:val="1"/>
                <w:color w:val="auto"/>
                <w:w w:val="89"/>
              </w:rPr>
              <w:t>30, 2021</w:t>
            </w:r>
          </w:p>
        </w:tc>
        <w:tc>
          <w:tcPr>
            <w:tcW w:w="15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6"/>
              </w:rPr>
              <w:t>Baseline Headroom</w:t>
            </w:r>
          </w:p>
        </w:tc>
        <w:tc>
          <w:tcPr>
            <w:tcW w:w="170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84"/>
              </w:rPr>
              <w:t>Declines by 100 Basis</w:t>
            </w:r>
          </w:p>
        </w:tc>
        <w:tc>
          <w:tcPr>
            <w:tcW w:w="162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86"/>
              </w:rPr>
              <w:t>Declines by 100 Basis</w:t>
            </w:r>
          </w:p>
        </w:tc>
        <w:tc>
          <w:tcPr>
            <w:tcW w:w="162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87"/>
              </w:rPr>
              <w:t>Rate Increases by 100</w:t>
            </w:r>
          </w:p>
        </w:tc>
        <w:tc>
          <w:tcPr>
            <w:tcW w:w="0" w:type="dxa"/>
            <w:vAlign w:val="bottom"/>
          </w:tcPr>
          <w:p>
            <w:pPr>
              <w:spacing w:after="0"/>
              <w:rPr>
                <w:sz w:val="1"/>
                <w:szCs w:val="1"/>
                <w:color w:val="auto"/>
              </w:rPr>
            </w:pPr>
          </w:p>
        </w:tc>
      </w:tr>
      <w:tr>
        <w:trPr>
          <w:trHeight w:val="207"/>
        </w:trPr>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center"/>
              <w:ind w:right="116"/>
              <w:spacing w:after="0"/>
              <w:rPr>
                <w:sz w:val="20"/>
                <w:szCs w:val="20"/>
                <w:color w:val="auto"/>
              </w:rPr>
            </w:pPr>
            <w:r>
              <w:rPr>
                <w:rFonts w:ascii="Arial" w:cs="Arial" w:eastAsia="Arial" w:hAnsi="Arial"/>
                <w:sz w:val="16"/>
                <w:szCs w:val="16"/>
                <w:b w:val="1"/>
                <w:bCs w:val="1"/>
                <w:color w:val="auto"/>
                <w:w w:val="87"/>
              </w:rPr>
              <w:t>(in thousands)</w:t>
            </w:r>
          </w:p>
        </w:tc>
        <w:tc>
          <w:tcPr>
            <w:tcW w:w="1580" w:type="dxa"/>
            <w:vAlign w:val="bottom"/>
            <w:vMerge w:val="continue"/>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w w:val="85"/>
              </w:rPr>
              <w:t>Points</w:t>
            </w:r>
          </w:p>
        </w:tc>
        <w:tc>
          <w:tcPr>
            <w:tcW w:w="1620" w:type="dxa"/>
            <w:vAlign w:val="bottom"/>
          </w:tcPr>
          <w:p>
            <w:pPr>
              <w:jc w:val="center"/>
              <w:spacing w:after="0"/>
              <w:rPr>
                <w:sz w:val="20"/>
                <w:szCs w:val="20"/>
                <w:color w:val="auto"/>
              </w:rPr>
            </w:pPr>
            <w:r>
              <w:rPr>
                <w:rFonts w:ascii="Arial" w:cs="Arial" w:eastAsia="Arial" w:hAnsi="Arial"/>
                <w:sz w:val="16"/>
                <w:szCs w:val="16"/>
                <w:b w:val="1"/>
                <w:bCs w:val="1"/>
                <w:color w:val="auto"/>
                <w:w w:val="85"/>
              </w:rPr>
              <w:t>Points</w:t>
            </w:r>
          </w:p>
        </w:tc>
        <w:tc>
          <w:tcPr>
            <w:tcW w:w="1620" w:type="dxa"/>
            <w:vAlign w:val="bottom"/>
          </w:tcPr>
          <w:p>
            <w:pPr>
              <w:jc w:val="center"/>
              <w:spacing w:after="0"/>
              <w:rPr>
                <w:sz w:val="20"/>
                <w:szCs w:val="20"/>
                <w:color w:val="auto"/>
              </w:rPr>
            </w:pPr>
            <w:r>
              <w:rPr>
                <w:rFonts w:ascii="Arial" w:cs="Arial" w:eastAsia="Arial" w:hAnsi="Arial"/>
                <w:sz w:val="16"/>
                <w:szCs w:val="16"/>
                <w:b w:val="1"/>
                <w:bCs w:val="1"/>
                <w:color w:val="auto"/>
                <w:w w:val="85"/>
              </w:rPr>
              <w:t>Basis Points</w:t>
            </w:r>
          </w:p>
        </w:tc>
        <w:tc>
          <w:tcPr>
            <w:tcW w:w="0" w:type="dxa"/>
            <w:vAlign w:val="bottom"/>
          </w:tcPr>
          <w:p>
            <w:pPr>
              <w:spacing w:after="0"/>
              <w:rPr>
                <w:sz w:val="1"/>
                <w:szCs w:val="1"/>
                <w:color w:val="auto"/>
              </w:rPr>
            </w:pPr>
          </w:p>
        </w:tc>
      </w:tr>
      <w:tr>
        <w:trPr>
          <w:trHeight w:val="226"/>
        </w:trPr>
        <w:tc>
          <w:tcPr>
            <w:tcW w:w="3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Reporting Unit 1</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2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16,821</w:t>
            </w:r>
          </w:p>
        </w:tc>
        <w:tc>
          <w:tcPr>
            <w:tcW w:w="15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40%</w:t>
            </w:r>
          </w:p>
        </w:tc>
        <w:tc>
          <w:tcPr>
            <w:tcW w:w="1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33%</w:t>
            </w:r>
          </w:p>
        </w:tc>
        <w:tc>
          <w:tcPr>
            <w:tcW w:w="16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23%</w:t>
            </w:r>
          </w:p>
        </w:tc>
        <w:tc>
          <w:tcPr>
            <w:tcW w:w="16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30%</w:t>
            </w:r>
          </w:p>
        </w:tc>
        <w:tc>
          <w:tcPr>
            <w:tcW w:w="0" w:type="dxa"/>
            <w:vAlign w:val="bottom"/>
          </w:tcPr>
          <w:p>
            <w:pPr>
              <w:spacing w:after="0"/>
              <w:rPr>
                <w:sz w:val="1"/>
                <w:szCs w:val="1"/>
                <w:color w:val="auto"/>
              </w:rPr>
            </w:pPr>
          </w:p>
        </w:tc>
      </w:tr>
      <w:tr>
        <w:trPr>
          <w:trHeight w:val="223"/>
        </w:trPr>
        <w:tc>
          <w:tcPr>
            <w:tcW w:w="3080" w:type="dxa"/>
            <w:vAlign w:val="bottom"/>
          </w:tcPr>
          <w:p>
            <w:pPr>
              <w:ind w:left="20"/>
              <w:spacing w:after="0"/>
              <w:rPr>
                <w:sz w:val="20"/>
                <w:szCs w:val="20"/>
                <w:color w:val="auto"/>
              </w:rPr>
            </w:pPr>
            <w:r>
              <w:rPr>
                <w:rFonts w:ascii="Arial" w:cs="Arial" w:eastAsia="Arial" w:hAnsi="Arial"/>
                <w:sz w:val="17"/>
                <w:szCs w:val="17"/>
                <w:color w:val="auto"/>
              </w:rPr>
              <w:t>Reporting Unit 2</w:t>
            </w: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520" w:type="dxa"/>
            <w:vAlign w:val="bottom"/>
          </w:tcPr>
          <w:p>
            <w:pPr>
              <w:jc w:val="right"/>
              <w:ind w:right="76"/>
              <w:spacing w:after="0"/>
              <w:rPr>
                <w:sz w:val="20"/>
                <w:szCs w:val="20"/>
                <w:color w:val="auto"/>
              </w:rPr>
            </w:pPr>
            <w:r>
              <w:rPr>
                <w:rFonts w:ascii="Arial" w:cs="Arial" w:eastAsia="Arial" w:hAnsi="Arial"/>
                <w:sz w:val="17"/>
                <w:szCs w:val="17"/>
                <w:color w:val="auto"/>
              </w:rPr>
              <w:t>14,233</w:t>
            </w:r>
          </w:p>
        </w:tc>
        <w:tc>
          <w:tcPr>
            <w:tcW w:w="1580" w:type="dxa"/>
            <w:vAlign w:val="bottom"/>
          </w:tcPr>
          <w:p>
            <w:pPr>
              <w:jc w:val="center"/>
              <w:spacing w:after="0"/>
              <w:rPr>
                <w:sz w:val="20"/>
                <w:szCs w:val="20"/>
                <w:color w:val="auto"/>
              </w:rPr>
            </w:pPr>
            <w:r>
              <w:rPr>
                <w:rFonts w:ascii="Arial" w:cs="Arial" w:eastAsia="Arial" w:hAnsi="Arial"/>
                <w:sz w:val="17"/>
                <w:szCs w:val="17"/>
                <w:color w:val="auto"/>
                <w:w w:val="89"/>
              </w:rPr>
              <w:t>6%</w:t>
            </w:r>
          </w:p>
        </w:tc>
        <w:tc>
          <w:tcPr>
            <w:tcW w:w="1700" w:type="dxa"/>
            <w:vAlign w:val="bottom"/>
          </w:tcPr>
          <w:p>
            <w:pPr>
              <w:jc w:val="center"/>
              <w:spacing w:after="0"/>
              <w:rPr>
                <w:sz w:val="20"/>
                <w:szCs w:val="20"/>
                <w:color w:val="auto"/>
              </w:rPr>
            </w:pPr>
            <w:r>
              <w:rPr>
                <w:rFonts w:ascii="Arial" w:cs="Arial" w:eastAsia="Arial" w:hAnsi="Arial"/>
                <w:sz w:val="17"/>
                <w:szCs w:val="17"/>
                <w:color w:val="auto"/>
                <w:w w:val="97"/>
              </w:rPr>
              <w:t>1%</w:t>
            </w:r>
          </w:p>
        </w:tc>
        <w:tc>
          <w:tcPr>
            <w:tcW w:w="1620" w:type="dxa"/>
            <w:vAlign w:val="bottom"/>
          </w:tcPr>
          <w:p>
            <w:pPr>
              <w:jc w:val="center"/>
              <w:spacing w:after="0"/>
              <w:rPr>
                <w:sz w:val="20"/>
                <w:szCs w:val="20"/>
                <w:color w:val="auto"/>
              </w:rPr>
            </w:pPr>
            <w:r>
              <w:rPr>
                <w:rFonts w:ascii="Arial" w:cs="Arial" w:eastAsia="Arial" w:hAnsi="Arial"/>
                <w:sz w:val="17"/>
                <w:szCs w:val="17"/>
                <w:color w:val="auto"/>
                <w:w w:val="92"/>
              </w:rPr>
              <w:t>-5%</w:t>
            </w:r>
          </w:p>
        </w:tc>
        <w:tc>
          <w:tcPr>
            <w:tcW w:w="1620" w:type="dxa"/>
            <w:vAlign w:val="bottom"/>
          </w:tcPr>
          <w:p>
            <w:pPr>
              <w:jc w:val="center"/>
              <w:spacing w:after="0"/>
              <w:rPr>
                <w:sz w:val="20"/>
                <w:szCs w:val="20"/>
                <w:color w:val="auto"/>
              </w:rPr>
            </w:pPr>
            <w:r>
              <w:rPr>
                <w:rFonts w:ascii="Arial" w:cs="Arial" w:eastAsia="Arial" w:hAnsi="Arial"/>
                <w:sz w:val="17"/>
                <w:szCs w:val="17"/>
                <w:color w:val="auto"/>
                <w:w w:val="99"/>
              </w:rPr>
              <w:t>-4%</w:t>
            </w:r>
          </w:p>
        </w:tc>
        <w:tc>
          <w:tcPr>
            <w:tcW w:w="0" w:type="dxa"/>
            <w:vAlign w:val="bottom"/>
          </w:tcPr>
          <w:p>
            <w:pPr>
              <w:spacing w:after="0"/>
              <w:rPr>
                <w:sz w:val="1"/>
                <w:szCs w:val="1"/>
                <w:color w:val="auto"/>
              </w:rPr>
            </w:pPr>
          </w:p>
        </w:tc>
      </w:tr>
      <w:tr>
        <w:trPr>
          <w:trHeight w:val="223"/>
        </w:trPr>
        <w:tc>
          <w:tcPr>
            <w:tcW w:w="3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Reporting Unit 3</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2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3,946</w:t>
            </w:r>
          </w:p>
        </w:tc>
        <w:tc>
          <w:tcPr>
            <w:tcW w:w="15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12%</w:t>
            </w:r>
          </w:p>
        </w:tc>
        <w:tc>
          <w:tcPr>
            <w:tcW w:w="1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7"/>
              </w:rPr>
              <w:t>3%</w:t>
            </w:r>
          </w:p>
        </w:tc>
        <w:tc>
          <w:tcPr>
            <w:tcW w:w="16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5"/>
              </w:rPr>
              <w:t>-52%</w:t>
            </w:r>
          </w:p>
        </w:tc>
        <w:tc>
          <w:tcPr>
            <w:tcW w:w="16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9"/>
              </w:rPr>
              <w:t>-6%</w:t>
            </w:r>
          </w:p>
        </w:tc>
        <w:tc>
          <w:tcPr>
            <w:tcW w:w="0" w:type="dxa"/>
            <w:vAlign w:val="bottom"/>
          </w:tcPr>
          <w:p>
            <w:pPr>
              <w:spacing w:after="0"/>
              <w:rPr>
                <w:sz w:val="1"/>
                <w:szCs w:val="1"/>
                <w:color w:val="auto"/>
              </w:rPr>
            </w:pPr>
          </w:p>
        </w:tc>
      </w:tr>
      <w:tr>
        <w:trPr>
          <w:trHeight w:val="223"/>
        </w:trPr>
        <w:tc>
          <w:tcPr>
            <w:tcW w:w="3080" w:type="dxa"/>
            <w:vAlign w:val="bottom"/>
          </w:tcPr>
          <w:p>
            <w:pPr>
              <w:ind w:left="20"/>
              <w:spacing w:after="0"/>
              <w:rPr>
                <w:sz w:val="20"/>
                <w:szCs w:val="20"/>
                <w:color w:val="auto"/>
              </w:rPr>
            </w:pPr>
            <w:r>
              <w:rPr>
                <w:rFonts w:ascii="Arial" w:cs="Arial" w:eastAsia="Arial" w:hAnsi="Arial"/>
                <w:sz w:val="17"/>
                <w:szCs w:val="17"/>
                <w:color w:val="auto"/>
              </w:rPr>
              <w:t>Reporting Unit 4</w:t>
            </w: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520" w:type="dxa"/>
            <w:vAlign w:val="bottom"/>
          </w:tcPr>
          <w:p>
            <w:pPr>
              <w:jc w:val="right"/>
              <w:ind w:right="76"/>
              <w:spacing w:after="0"/>
              <w:rPr>
                <w:sz w:val="20"/>
                <w:szCs w:val="20"/>
                <w:color w:val="auto"/>
              </w:rPr>
            </w:pPr>
            <w:r>
              <w:rPr>
                <w:rFonts w:ascii="Arial" w:cs="Arial" w:eastAsia="Arial" w:hAnsi="Arial"/>
                <w:sz w:val="17"/>
                <w:szCs w:val="17"/>
                <w:color w:val="auto"/>
              </w:rPr>
              <w:t>2,659</w:t>
            </w:r>
          </w:p>
        </w:tc>
        <w:tc>
          <w:tcPr>
            <w:tcW w:w="1580" w:type="dxa"/>
            <w:vAlign w:val="bottom"/>
          </w:tcPr>
          <w:p>
            <w:pPr>
              <w:jc w:val="center"/>
              <w:spacing w:after="0"/>
              <w:rPr>
                <w:sz w:val="20"/>
                <w:szCs w:val="20"/>
                <w:color w:val="auto"/>
              </w:rPr>
            </w:pPr>
            <w:r>
              <w:rPr>
                <w:rFonts w:ascii="Arial" w:cs="Arial" w:eastAsia="Arial" w:hAnsi="Arial"/>
                <w:sz w:val="17"/>
                <w:szCs w:val="17"/>
                <w:color w:val="auto"/>
                <w:w w:val="93"/>
              </w:rPr>
              <w:t>24%</w:t>
            </w:r>
          </w:p>
        </w:tc>
        <w:tc>
          <w:tcPr>
            <w:tcW w:w="1700" w:type="dxa"/>
            <w:vAlign w:val="bottom"/>
          </w:tcPr>
          <w:p>
            <w:pPr>
              <w:jc w:val="center"/>
              <w:spacing w:after="0"/>
              <w:rPr>
                <w:sz w:val="20"/>
                <w:szCs w:val="20"/>
                <w:color w:val="auto"/>
              </w:rPr>
            </w:pPr>
            <w:r>
              <w:rPr>
                <w:rFonts w:ascii="Arial" w:cs="Arial" w:eastAsia="Arial" w:hAnsi="Arial"/>
                <w:sz w:val="17"/>
                <w:szCs w:val="17"/>
                <w:color w:val="auto"/>
                <w:w w:val="93"/>
              </w:rPr>
              <w:t>17%</w:t>
            </w:r>
          </w:p>
        </w:tc>
        <w:tc>
          <w:tcPr>
            <w:tcW w:w="1620" w:type="dxa"/>
            <w:vAlign w:val="bottom"/>
          </w:tcPr>
          <w:p>
            <w:pPr>
              <w:jc w:val="center"/>
              <w:spacing w:after="0"/>
              <w:rPr>
                <w:sz w:val="20"/>
                <w:szCs w:val="20"/>
                <w:color w:val="auto"/>
              </w:rPr>
            </w:pPr>
            <w:r>
              <w:rPr>
                <w:rFonts w:ascii="Arial" w:cs="Arial" w:eastAsia="Arial" w:hAnsi="Arial"/>
                <w:sz w:val="17"/>
                <w:szCs w:val="17"/>
                <w:color w:val="auto"/>
                <w:w w:val="97"/>
              </w:rPr>
              <w:t>0%</w:t>
            </w:r>
          </w:p>
        </w:tc>
        <w:tc>
          <w:tcPr>
            <w:tcW w:w="1620" w:type="dxa"/>
            <w:vAlign w:val="bottom"/>
          </w:tcPr>
          <w:p>
            <w:pPr>
              <w:jc w:val="center"/>
              <w:spacing w:after="0"/>
              <w:rPr>
                <w:sz w:val="20"/>
                <w:szCs w:val="20"/>
                <w:color w:val="auto"/>
              </w:rPr>
            </w:pPr>
            <w:r>
              <w:rPr>
                <w:rFonts w:ascii="Arial" w:cs="Arial" w:eastAsia="Arial" w:hAnsi="Arial"/>
                <w:sz w:val="17"/>
                <w:szCs w:val="17"/>
                <w:color w:val="auto"/>
                <w:w w:val="93"/>
              </w:rPr>
              <w:t>15%</w:t>
            </w:r>
          </w:p>
        </w:tc>
        <w:tc>
          <w:tcPr>
            <w:tcW w:w="0" w:type="dxa"/>
            <w:vAlign w:val="bottom"/>
          </w:tcPr>
          <w:p>
            <w:pPr>
              <w:spacing w:after="0"/>
              <w:rPr>
                <w:sz w:val="1"/>
                <w:szCs w:val="1"/>
                <w:color w:val="auto"/>
              </w:rPr>
            </w:pPr>
          </w:p>
        </w:tc>
      </w:tr>
      <w:tr>
        <w:trPr>
          <w:trHeight w:val="223"/>
        </w:trPr>
        <w:tc>
          <w:tcPr>
            <w:tcW w:w="3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All other reporting units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2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22,977</w:t>
            </w:r>
          </w:p>
        </w:tc>
        <w:tc>
          <w:tcPr>
            <w:tcW w:w="15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64% to 114%</w:t>
            </w:r>
          </w:p>
        </w:tc>
        <w:tc>
          <w:tcPr>
            <w:tcW w:w="1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56% to 105%</w:t>
            </w:r>
          </w:p>
        </w:tc>
        <w:tc>
          <w:tcPr>
            <w:tcW w:w="16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10% to 75%</w:t>
            </w:r>
          </w:p>
        </w:tc>
        <w:tc>
          <w:tcPr>
            <w:tcW w:w="16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43% to 99%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2" w:name="page43"/>
    <w:bookmarkEnd w:id="4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172"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We use the asset and liability approach for financial accounting and reporting for income taxes. Deferred income tax assets and liabilities are computed annually for differences between the financial statement and tax bases of assets and liabilities that will result in taxable or deductible amounts in the future based on enacted tax laws and rates applicable to the periods in which the differences are expected to affect taxable income. Valuation allowances based on our judgments and estimates are established when necessary to reduce deferred tax assets to the amount expected to be realized in future operating results. We believe that realization of deferred tax assets in excess of the valuation allowance is more likely than not. Our estimates are based on facts and circumstances in existence as well as interpretations of existing tax regulations and laws applied to the facts and circumstances, with the help of professional tax advisors. Therefore, we estimate and provide for amounts of additional income taxes that may be assessed by the various taxing authorities.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Loss Contingencies</w:t>
      </w:r>
    </w:p>
    <w:p>
      <w:pPr>
        <w:spacing w:after="0" w:line="172"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Various legal actions, claims and other contingencies arise in the normal course of our business. Contingencies are recorded in the consolidated financial statements, or are otherwise disclosed, in accordance with ASC 450-20, “Loss Contingencies”. Specific reserves are provided for loss contingencies to the extent we conclude that a loss is both probable and estimable. We use a case-by-case evaluation of the underlying data and update our evaluation as further information becomes known. We believe that any amounts exceeding our recorded accruals should not materially affect our financial position, results of operations or liquidity. However, the results of litigation are inherently unpredictable and the possibility exists that the ultimate resolution of one or more of these matters could result in a material effect on our financial position, results of operations or liquidity.</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3" w:name="page44"/>
    <w:bookmarkEnd w:id="4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7A. Quantitative and Qualitative Disclosures About Market Risk</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Foreign Currency Risk</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subsidiaries with operations in Canada and South Korea, which use the Canadian Dollar and South Korean Won, respectively, as their functional currencies. We also have a subsidiary with operations in Australia, but its functional currency is the U.S. Dollar since its sales are primarily denominated in U.S. Dollars.</w:t>
      </w:r>
    </w:p>
    <w:p>
      <w:pPr>
        <w:spacing w:after="0" w:line="12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Historically, movements in the Canadian Dollar to U.S. Dollar exchange rate have not significantly impacted our results. Also, we do not expect exchange rate fluctuations in our South Korean and Australian operations to materially impact our financial results since these operations represent an insignificant portion of our consolidated revenue and expenses. However, further growth in our Canadian, South Korean and/or Australian operations and/or significant fluctuations in the Canadian Dollar, South Korean Won and/or Australian Dollar to U.S. Dollar exchange rates could impact our financial results in the future.</w:t>
      </w:r>
    </w:p>
    <w:p>
      <w:pPr>
        <w:spacing w:after="0" w:line="10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Management has not entered into derivative instruments to hedge foreign currency risk, but periodically evaluates the materiality of our foreign currency exposure. To mitigate our risk, on occasion we convert Canadian Dollar balances into U.S. Dollars to settle U.S. Dollar amounts owed by our Canadian operations. A 10% unfavorable change in the Canadian Dollar against the U.S. Dollar would not have had a material impact on our financial results for the fiscal year ended June 30, 2021.</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Commodity Price Risk</w:t>
      </w:r>
    </w:p>
    <w:p>
      <w:pPr>
        <w:spacing w:after="0" w:line="17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have no direct commodity exposure, but we do have exposure to materials derived from certain commodities including steel plate, steel pipe, and copper, which are key materials we use. We mitigate these risks primarily by procuring materials upon contract execution to ensure that our purchase price approximates the costs included in the project estimate, and also by negotiating contract escalation clauses to cover unexpected costs due to fluctuations in materials costs.</w:t>
      </w:r>
    </w:p>
    <w:p>
      <w:pPr>
        <w:spacing w:after="0" w:line="12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ongoing COVID-19 pandemic has resulted in disruptions to global supply chains, which have led to higher prices for some of the materials we need to run our business. We have been proactive with managing our procurement processes to help reduce the impacts of rising materials prices on our business and to help ensure we continue to have the materials we need available. However, rising prices and the potential for materials shortages have interjected additional risk into bidding and executing work profitably.</w:t>
      </w:r>
    </w:p>
    <w:p>
      <w:pPr>
        <w:spacing w:after="0" w:line="124"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The timing of normalization of the global supply chains is uncertain and will depend on several factors, including the speed of recovery from the pandemic, producer capacity, the level of imports, worldwide demand, tariffs on imported goods and other market conditions.</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4" w:name="page45"/>
    <w:bookmarkEnd w:id="4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1020" w:type="dxa"/>
            <w:vAlign w:val="bottom"/>
            <w:gridSpan w:val="16"/>
          </w:tcPr>
          <w:p>
            <w:pPr>
              <w:spacing w:after="0"/>
              <w:rPr>
                <w:sz w:val="20"/>
                <w:szCs w:val="20"/>
                <w:color w:val="auto"/>
              </w:rPr>
            </w:pPr>
            <w:r>
              <w:rPr>
                <w:rFonts w:ascii="Arial" w:cs="Arial" w:eastAsia="Arial" w:hAnsi="Arial"/>
                <w:sz w:val="17"/>
                <w:szCs w:val="17"/>
                <w:b w:val="1"/>
                <w:bCs w:val="1"/>
                <w:color w:val="auto"/>
              </w:rPr>
              <w:t>Item 8. Financial Statements and Supplementary Data</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11000" w:type="dxa"/>
            <w:vAlign w:val="bottom"/>
            <w:gridSpan w:val="15"/>
          </w:tcPr>
          <w:p>
            <w:pPr>
              <w:spacing w:after="0"/>
              <w:rPr>
                <w:sz w:val="20"/>
                <w:szCs w:val="20"/>
                <w:color w:val="auto"/>
              </w:rPr>
            </w:pPr>
            <w:r>
              <w:rPr>
                <w:rFonts w:ascii="Arial" w:cs="Arial" w:eastAsia="Arial" w:hAnsi="Arial"/>
                <w:sz w:val="17"/>
                <w:szCs w:val="17"/>
                <w:color w:val="auto"/>
              </w:rPr>
              <w:t>Financial Statements of the Company</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1"/>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760" w:type="dxa"/>
            <w:vAlign w:val="bottom"/>
            <w:tcBorders>
              <w:bottom w:val="single" w:sz="8" w:color="0000FF"/>
            </w:tcBorders>
            <w:gridSpan w:val="8"/>
          </w:tcPr>
          <w:p>
            <w:pPr>
              <w:spacing w:after="0"/>
              <w:rPr>
                <w:rFonts w:ascii="Arial" w:cs="Arial" w:eastAsia="Arial" w:hAnsi="Arial"/>
                <w:sz w:val="17"/>
                <w:szCs w:val="17"/>
                <w:color w:val="0000FF"/>
                <w:w w:val="93"/>
              </w:rPr>
            </w:pPr>
            <w:hyperlink w:anchor="page45">
              <w:r>
                <w:rPr>
                  <w:rFonts w:ascii="Arial" w:cs="Arial" w:eastAsia="Arial" w:hAnsi="Arial"/>
                  <w:sz w:val="17"/>
                  <w:szCs w:val="17"/>
                  <w:color w:val="0000FF"/>
                  <w:w w:val="93"/>
                </w:rPr>
                <w:t>Management’s Report on Internal Control Over Financial Reporting</w:t>
              </w:r>
            </w:hyperlink>
          </w:p>
        </w:tc>
        <w:tc>
          <w:tcPr>
            <w:tcW w:w="5920" w:type="dxa"/>
            <w:vAlign w:val="bottom"/>
            <w:gridSpan w:val="6"/>
          </w:tcPr>
          <w:p>
            <w:pPr>
              <w:spacing w:after="0"/>
              <w:rPr>
                <w:sz w:val="24"/>
                <w:szCs w:val="24"/>
                <w:color w:val="auto"/>
              </w:rPr>
            </w:pPr>
          </w:p>
        </w:tc>
        <w:tc>
          <w:tcPr>
            <w:tcW w:w="160" w:type="dxa"/>
            <w:vAlign w:val="bottom"/>
            <w:tcBorders>
              <w:bottom w:val="single" w:sz="8" w:color="0000FF"/>
            </w:tcBorders>
          </w:tcPr>
          <w:p>
            <w:pPr>
              <w:jc w:val="right"/>
              <w:spacing w:after="0"/>
              <w:rPr>
                <w:rFonts w:ascii="Arial" w:cs="Arial" w:eastAsia="Arial" w:hAnsi="Arial"/>
                <w:sz w:val="17"/>
                <w:szCs w:val="17"/>
                <w:color w:val="0000FF"/>
                <w:w w:val="73"/>
              </w:rPr>
            </w:pPr>
            <w:hyperlink w:anchor="page45">
              <w:r>
                <w:rPr>
                  <w:rFonts w:ascii="Arial" w:cs="Arial" w:eastAsia="Arial" w:hAnsi="Arial"/>
                  <w:sz w:val="17"/>
                  <w:szCs w:val="17"/>
                  <w:color w:val="0000FF"/>
                  <w:w w:val="73"/>
                </w:rPr>
                <w:t>45</w:t>
              </w:r>
            </w:hyperlink>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80" w:type="dxa"/>
            <w:vAlign w:val="bottom"/>
            <w:gridSpan w:val="14"/>
          </w:tcPr>
          <w:p>
            <w:pPr>
              <w:spacing w:after="0"/>
              <w:rPr>
                <w:sz w:val="20"/>
                <w:szCs w:val="20"/>
                <w:color w:val="auto"/>
              </w:rPr>
            </w:pPr>
            <w:r>
              <w:rPr>
                <w:rFonts w:ascii="Arial" w:cs="Arial" w:eastAsia="Arial" w:hAnsi="Arial"/>
                <w:sz w:val="17"/>
                <w:szCs w:val="17"/>
                <w:color w:val="0000FF"/>
              </w:rPr>
              <w:t>Reports of Independent Registered Public Accounting Firm</w:t>
            </w:r>
          </w:p>
        </w:tc>
        <w:tc>
          <w:tcPr>
            <w:tcW w:w="160" w:type="dxa"/>
            <w:vAlign w:val="bottom"/>
          </w:tcPr>
          <w:p>
            <w:pPr>
              <w:jc w:val="right"/>
              <w:spacing w:after="0"/>
              <w:rPr>
                <w:rFonts w:ascii="Arial" w:cs="Arial" w:eastAsia="Arial" w:hAnsi="Arial"/>
                <w:sz w:val="17"/>
                <w:szCs w:val="17"/>
                <w:color w:val="0000FF"/>
                <w:w w:val="73"/>
              </w:rPr>
            </w:pPr>
            <w:hyperlink w:anchor="page46">
              <w:r>
                <w:rPr>
                  <w:rFonts w:ascii="Arial" w:cs="Arial" w:eastAsia="Arial" w:hAnsi="Arial"/>
                  <w:sz w:val="17"/>
                  <w:szCs w:val="17"/>
                  <w:color w:val="0000FF"/>
                  <w:w w:val="73"/>
                </w:rPr>
                <w:t>46</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820" w:type="dxa"/>
            <w:vAlign w:val="bottom"/>
            <w:tcBorders>
              <w:bottom w:val="single" w:sz="8" w:color="0000FF"/>
            </w:tcBorders>
            <w:gridSpan w:val="9"/>
          </w:tcPr>
          <w:p>
            <w:pPr>
              <w:spacing w:after="0"/>
              <w:rPr>
                <w:rFonts w:ascii="Arial" w:cs="Arial" w:eastAsia="Arial" w:hAnsi="Arial"/>
                <w:sz w:val="17"/>
                <w:szCs w:val="17"/>
                <w:color w:val="0000FF"/>
                <w:w w:val="91"/>
              </w:rPr>
            </w:pPr>
            <w:hyperlink w:anchor="page50">
              <w:r>
                <w:rPr>
                  <w:rFonts w:ascii="Arial" w:cs="Arial" w:eastAsia="Arial" w:hAnsi="Arial"/>
                  <w:sz w:val="17"/>
                  <w:szCs w:val="17"/>
                  <w:color w:val="0000FF"/>
                  <w:w w:val="91"/>
                </w:rPr>
                <w:t>Consolidated Statements of Income for the Fiscal Years Ended June 30, 2021, June 30, 2020, and June 30, 2019</w:t>
              </w:r>
            </w:hyperlink>
          </w:p>
        </w:tc>
        <w:tc>
          <w:tcPr>
            <w:tcW w:w="2540" w:type="dxa"/>
            <w:vAlign w:val="bottom"/>
            <w:gridSpan w:val="4"/>
          </w:tcPr>
          <w:p>
            <w:pPr>
              <w:spacing w:after="0"/>
              <w:rPr>
                <w:sz w:val="22"/>
                <w:szCs w:val="22"/>
                <w:color w:val="auto"/>
              </w:rPr>
            </w:pPr>
          </w:p>
        </w:tc>
        <w:tc>
          <w:tcPr>
            <w:tcW w:w="160" w:type="dxa"/>
            <w:vAlign w:val="bottom"/>
            <w:tcBorders>
              <w:bottom w:val="single" w:sz="8" w:color="0000FF"/>
            </w:tcBorders>
          </w:tcPr>
          <w:p>
            <w:pPr>
              <w:jc w:val="right"/>
              <w:spacing w:after="0"/>
              <w:rPr>
                <w:rFonts w:ascii="Arial" w:cs="Arial" w:eastAsia="Arial" w:hAnsi="Arial"/>
                <w:sz w:val="17"/>
                <w:szCs w:val="17"/>
                <w:color w:val="0000FF"/>
                <w:w w:val="73"/>
              </w:rPr>
            </w:pPr>
            <w:hyperlink w:anchor="page50">
              <w:r>
                <w:rPr>
                  <w:rFonts w:ascii="Arial" w:cs="Arial" w:eastAsia="Arial" w:hAnsi="Arial"/>
                  <w:sz w:val="17"/>
                  <w:szCs w:val="17"/>
                  <w:color w:val="0000FF"/>
                  <w:w w:val="73"/>
                </w:rPr>
                <w:t>50</w:t>
              </w:r>
            </w:hyperlink>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360" w:type="dxa"/>
            <w:vAlign w:val="bottom"/>
            <w:gridSpan w:val="13"/>
          </w:tcPr>
          <w:p>
            <w:pPr>
              <w:spacing w:after="0"/>
              <w:rPr>
                <w:rFonts w:ascii="Arial" w:cs="Arial" w:eastAsia="Arial" w:hAnsi="Arial"/>
                <w:sz w:val="17"/>
                <w:szCs w:val="17"/>
                <w:color w:val="0000FF"/>
              </w:rPr>
            </w:pPr>
            <w:hyperlink w:anchor="page51">
              <w:r>
                <w:rPr>
                  <w:rFonts w:ascii="Arial" w:cs="Arial" w:eastAsia="Arial" w:hAnsi="Arial"/>
                  <w:sz w:val="17"/>
                  <w:szCs w:val="17"/>
                  <w:color w:val="0000FF"/>
                </w:rPr>
                <w:t>Consolidated Statements of Comprehensive Income for the Fiscal Years Ended June 30, 2021, June 30, 2020, and June 30,</w:t>
              </w:r>
            </w:hyperlink>
          </w:p>
        </w:tc>
        <w:tc>
          <w:tcPr>
            <w:tcW w:w="160" w:type="dxa"/>
            <w:vAlign w:val="bottom"/>
            <w:vMerge w:val="restart"/>
          </w:tcPr>
          <w:p>
            <w:pPr>
              <w:jc w:val="right"/>
              <w:spacing w:after="0"/>
              <w:rPr>
                <w:rFonts w:ascii="Arial" w:cs="Arial" w:eastAsia="Arial" w:hAnsi="Arial"/>
                <w:sz w:val="17"/>
                <w:szCs w:val="17"/>
                <w:color w:val="0000FF"/>
                <w:w w:val="73"/>
              </w:rPr>
            </w:pPr>
            <w:hyperlink w:anchor="page51">
              <w:r>
                <w:rPr>
                  <w:rFonts w:ascii="Arial" w:cs="Arial" w:eastAsia="Arial" w:hAnsi="Arial"/>
                  <w:sz w:val="17"/>
                  <w:szCs w:val="17"/>
                  <w:color w:val="0000FF"/>
                  <w:w w:val="73"/>
                </w:rPr>
                <w:t>51</w:t>
              </w:r>
            </w:hyperlink>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640" w:type="dxa"/>
            <w:vAlign w:val="bottom"/>
            <w:gridSpan w:val="2"/>
          </w:tcPr>
          <w:p>
            <w:pPr>
              <w:spacing w:after="0"/>
              <w:rPr>
                <w:sz w:val="13"/>
                <w:szCs w:val="13"/>
                <w:color w:val="auto"/>
              </w:rPr>
            </w:pPr>
          </w:p>
        </w:tc>
        <w:tc>
          <w:tcPr>
            <w:tcW w:w="340" w:type="dxa"/>
            <w:vAlign w:val="bottom"/>
            <w:tcBorders>
              <w:top w:val="single" w:sz="8" w:color="0000FF"/>
              <w:bottom w:val="single" w:sz="8" w:color="0000FF"/>
            </w:tcBorders>
          </w:tcPr>
          <w:p>
            <w:pPr>
              <w:spacing w:after="0" w:line="150" w:lineRule="exact"/>
              <w:rPr>
                <w:rFonts w:ascii="Arial" w:cs="Arial" w:eastAsia="Arial" w:hAnsi="Arial"/>
                <w:sz w:val="17"/>
                <w:szCs w:val="17"/>
                <w:color w:val="0000FF"/>
                <w:w w:val="84"/>
              </w:rPr>
            </w:pPr>
            <w:hyperlink w:anchor="page51">
              <w:r>
                <w:rPr>
                  <w:rFonts w:ascii="Arial" w:cs="Arial" w:eastAsia="Arial" w:hAnsi="Arial"/>
                  <w:sz w:val="17"/>
                  <w:szCs w:val="17"/>
                  <w:color w:val="0000FF"/>
                  <w:w w:val="84"/>
                </w:rPr>
                <w:t>2019</w:t>
              </w:r>
            </w:hyperlink>
          </w:p>
        </w:tc>
        <w:tc>
          <w:tcPr>
            <w:tcW w:w="620" w:type="dxa"/>
            <w:vAlign w:val="bottom"/>
            <w:tcBorders>
              <w:top w:val="single" w:sz="8" w:color="0000FF"/>
            </w:tcBorders>
          </w:tcPr>
          <w:p>
            <w:pPr>
              <w:spacing w:after="0"/>
              <w:rPr>
                <w:sz w:val="13"/>
                <w:szCs w:val="13"/>
                <w:color w:val="auto"/>
              </w:rPr>
            </w:pPr>
          </w:p>
        </w:tc>
        <w:tc>
          <w:tcPr>
            <w:tcW w:w="1020" w:type="dxa"/>
            <w:vAlign w:val="bottom"/>
            <w:tcBorders>
              <w:top w:val="single" w:sz="8" w:color="0000FF"/>
            </w:tcBorders>
          </w:tcPr>
          <w:p>
            <w:pPr>
              <w:spacing w:after="0"/>
              <w:rPr>
                <w:sz w:val="13"/>
                <w:szCs w:val="13"/>
                <w:color w:val="auto"/>
              </w:rPr>
            </w:pPr>
          </w:p>
        </w:tc>
        <w:tc>
          <w:tcPr>
            <w:tcW w:w="82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308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60" w:type="dxa"/>
            <w:vAlign w:val="bottom"/>
            <w:tcBorders>
              <w:bottom w:val="single" w:sz="8" w:color="0000FF"/>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740" w:type="dxa"/>
            <w:vAlign w:val="bottom"/>
            <w:tcBorders>
              <w:bottom w:val="single" w:sz="8" w:color="0000FF"/>
            </w:tcBorders>
            <w:gridSpan w:val="8"/>
          </w:tcPr>
          <w:p>
            <w:pPr>
              <w:spacing w:after="0"/>
              <w:rPr>
                <w:rFonts w:ascii="Arial" w:cs="Arial" w:eastAsia="Arial" w:hAnsi="Arial"/>
                <w:sz w:val="17"/>
                <w:szCs w:val="17"/>
                <w:color w:val="0000FF"/>
                <w:w w:val="90"/>
              </w:rPr>
            </w:pPr>
            <w:hyperlink w:anchor="page52">
              <w:r>
                <w:rPr>
                  <w:rFonts w:ascii="Arial" w:cs="Arial" w:eastAsia="Arial" w:hAnsi="Arial"/>
                  <w:sz w:val="17"/>
                  <w:szCs w:val="17"/>
                  <w:color w:val="0000FF"/>
                  <w:w w:val="90"/>
                </w:rPr>
                <w:t>Consolidated Balance Sheets as of June 30, 2021 and June 30, 2020</w:t>
              </w:r>
            </w:hyperlink>
          </w:p>
        </w:tc>
        <w:tc>
          <w:tcPr>
            <w:tcW w:w="5620" w:type="dxa"/>
            <w:vAlign w:val="bottom"/>
            <w:gridSpan w:val="5"/>
          </w:tcPr>
          <w:p>
            <w:pPr>
              <w:spacing w:after="0"/>
              <w:rPr>
                <w:sz w:val="22"/>
                <w:szCs w:val="22"/>
                <w:color w:val="auto"/>
              </w:rPr>
            </w:pPr>
          </w:p>
        </w:tc>
        <w:tc>
          <w:tcPr>
            <w:tcW w:w="160" w:type="dxa"/>
            <w:vAlign w:val="bottom"/>
            <w:tcBorders>
              <w:bottom w:val="single" w:sz="8" w:color="0000FF"/>
            </w:tcBorders>
          </w:tcPr>
          <w:p>
            <w:pPr>
              <w:jc w:val="right"/>
              <w:spacing w:after="0"/>
              <w:rPr>
                <w:rFonts w:ascii="Arial" w:cs="Arial" w:eastAsia="Arial" w:hAnsi="Arial"/>
                <w:sz w:val="17"/>
                <w:szCs w:val="17"/>
                <w:color w:val="0000FF"/>
                <w:w w:val="73"/>
              </w:rPr>
            </w:pPr>
            <w:hyperlink w:anchor="page52">
              <w:r>
                <w:rPr>
                  <w:rFonts w:ascii="Arial" w:cs="Arial" w:eastAsia="Arial" w:hAnsi="Arial"/>
                  <w:sz w:val="17"/>
                  <w:szCs w:val="17"/>
                  <w:color w:val="0000FF"/>
                  <w:w w:val="73"/>
                </w:rPr>
                <w:t>52</w:t>
              </w:r>
            </w:hyperlink>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120" w:type="dxa"/>
            <w:vAlign w:val="bottom"/>
            <w:tcBorders>
              <w:bottom w:val="single" w:sz="8" w:color="0000FF"/>
            </w:tcBorders>
            <w:gridSpan w:val="10"/>
          </w:tcPr>
          <w:p>
            <w:pPr>
              <w:spacing w:after="0"/>
              <w:rPr>
                <w:rFonts w:ascii="Arial" w:cs="Arial" w:eastAsia="Arial" w:hAnsi="Arial"/>
                <w:sz w:val="17"/>
                <w:szCs w:val="17"/>
                <w:color w:val="0000FF"/>
                <w:w w:val="91"/>
              </w:rPr>
            </w:pPr>
            <w:hyperlink w:anchor="page54">
              <w:r>
                <w:rPr>
                  <w:rFonts w:ascii="Arial" w:cs="Arial" w:eastAsia="Arial" w:hAnsi="Arial"/>
                  <w:sz w:val="17"/>
                  <w:szCs w:val="17"/>
                  <w:color w:val="0000FF"/>
                  <w:w w:val="91"/>
                </w:rPr>
                <w:t>Consolidated Statements of Cash Flows for the Fiscal Years Ended June 30, 2021, June 30, 2020, and June 30, 2019</w:t>
              </w:r>
            </w:hyperlink>
          </w:p>
        </w:tc>
        <w:tc>
          <w:tcPr>
            <w:tcW w:w="2240" w:type="dxa"/>
            <w:vAlign w:val="bottom"/>
            <w:gridSpan w:val="3"/>
          </w:tcPr>
          <w:p>
            <w:pPr>
              <w:spacing w:after="0"/>
              <w:rPr>
                <w:sz w:val="22"/>
                <w:szCs w:val="22"/>
                <w:color w:val="auto"/>
              </w:rPr>
            </w:pPr>
          </w:p>
        </w:tc>
        <w:tc>
          <w:tcPr>
            <w:tcW w:w="160" w:type="dxa"/>
            <w:vAlign w:val="bottom"/>
            <w:tcBorders>
              <w:bottom w:val="single" w:sz="8" w:color="0000FF"/>
            </w:tcBorders>
          </w:tcPr>
          <w:p>
            <w:pPr>
              <w:jc w:val="right"/>
              <w:spacing w:after="0"/>
              <w:rPr>
                <w:rFonts w:ascii="Arial" w:cs="Arial" w:eastAsia="Arial" w:hAnsi="Arial"/>
                <w:sz w:val="17"/>
                <w:szCs w:val="17"/>
                <w:color w:val="0000FF"/>
                <w:w w:val="73"/>
              </w:rPr>
            </w:pPr>
            <w:hyperlink w:anchor="page54">
              <w:r>
                <w:rPr>
                  <w:rFonts w:ascii="Arial" w:cs="Arial" w:eastAsia="Arial" w:hAnsi="Arial"/>
                  <w:sz w:val="17"/>
                  <w:szCs w:val="17"/>
                  <w:color w:val="0000FF"/>
                  <w:w w:val="73"/>
                </w:rPr>
                <w:t>54</w:t>
              </w:r>
            </w:hyperlink>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360" w:type="dxa"/>
            <w:vAlign w:val="bottom"/>
            <w:gridSpan w:val="13"/>
          </w:tcPr>
          <w:p>
            <w:pPr>
              <w:spacing w:after="0"/>
              <w:rPr>
                <w:rFonts w:ascii="Arial" w:cs="Arial" w:eastAsia="Arial" w:hAnsi="Arial"/>
                <w:sz w:val="17"/>
                <w:szCs w:val="17"/>
                <w:color w:val="0000FF"/>
              </w:rPr>
            </w:pPr>
            <w:hyperlink w:anchor="page56">
              <w:r>
                <w:rPr>
                  <w:rFonts w:ascii="Arial" w:cs="Arial" w:eastAsia="Arial" w:hAnsi="Arial"/>
                  <w:sz w:val="17"/>
                  <w:szCs w:val="17"/>
                  <w:color w:val="0000FF"/>
                </w:rPr>
                <w:t>Consolidated Statements of Changes in Stockholders’ Equity for the Fiscal Years Ended June 30, 2021, June 30, 2020, and</w:t>
              </w:r>
            </w:hyperlink>
          </w:p>
        </w:tc>
        <w:tc>
          <w:tcPr>
            <w:tcW w:w="160" w:type="dxa"/>
            <w:vAlign w:val="bottom"/>
            <w:vMerge w:val="restart"/>
          </w:tcPr>
          <w:p>
            <w:pPr>
              <w:jc w:val="right"/>
              <w:spacing w:after="0"/>
              <w:rPr>
                <w:rFonts w:ascii="Arial" w:cs="Arial" w:eastAsia="Arial" w:hAnsi="Arial"/>
                <w:sz w:val="17"/>
                <w:szCs w:val="17"/>
                <w:color w:val="0000FF"/>
                <w:w w:val="73"/>
              </w:rPr>
            </w:pPr>
            <w:hyperlink w:anchor="page56">
              <w:r>
                <w:rPr>
                  <w:rFonts w:ascii="Arial" w:cs="Arial" w:eastAsia="Arial" w:hAnsi="Arial"/>
                  <w:sz w:val="17"/>
                  <w:szCs w:val="17"/>
                  <w:color w:val="0000FF"/>
                  <w:w w:val="73"/>
                </w:rPr>
                <w:t>56</w:t>
              </w:r>
            </w:hyperlink>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580" w:type="dxa"/>
            <w:vAlign w:val="bottom"/>
            <w:tcBorders>
              <w:top w:val="single" w:sz="8" w:color="0000FF"/>
            </w:tcBorders>
            <w:gridSpan w:val="12"/>
          </w:tcPr>
          <w:p>
            <w:pPr>
              <w:spacing w:after="0" w:line="150" w:lineRule="exact"/>
              <w:rPr>
                <w:rFonts w:ascii="Arial" w:cs="Arial" w:eastAsia="Arial" w:hAnsi="Arial"/>
                <w:sz w:val="17"/>
                <w:szCs w:val="17"/>
                <w:color w:val="0000FF"/>
              </w:rPr>
            </w:pPr>
            <w:hyperlink w:anchor="page56">
              <w:r>
                <w:rPr>
                  <w:rFonts w:ascii="Arial" w:cs="Arial" w:eastAsia="Arial" w:hAnsi="Arial"/>
                  <w:sz w:val="17"/>
                  <w:szCs w:val="17"/>
                  <w:color w:val="0000FF"/>
                </w:rPr>
                <w:t>June 30, 2019</w:t>
              </w:r>
            </w:hyperlink>
          </w:p>
        </w:tc>
        <w:tc>
          <w:tcPr>
            <w:tcW w:w="1780" w:type="dxa"/>
            <w:vAlign w:val="bottom"/>
          </w:tcPr>
          <w:p>
            <w:pPr>
              <w:spacing w:after="0"/>
              <w:rPr>
                <w:sz w:val="13"/>
                <w:szCs w:val="13"/>
                <w:color w:val="auto"/>
              </w:rPr>
            </w:pPr>
          </w:p>
        </w:tc>
        <w:tc>
          <w:tcPr>
            <w:tcW w:w="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360" w:type="dxa"/>
            <w:vAlign w:val="bottom"/>
            <w:gridSpan w:val="13"/>
          </w:tcPr>
          <w:p>
            <w:pPr>
              <w:spacing w:after="0"/>
              <w:rPr>
                <w:rFonts w:ascii="Arial" w:cs="Arial" w:eastAsia="Arial" w:hAnsi="Arial"/>
                <w:sz w:val="17"/>
                <w:szCs w:val="17"/>
                <w:color w:val="0000FF"/>
              </w:rPr>
            </w:pPr>
            <w:hyperlink w:anchor="page57">
              <w:r>
                <w:rPr>
                  <w:rFonts w:ascii="Arial" w:cs="Arial" w:eastAsia="Arial" w:hAnsi="Arial"/>
                  <w:sz w:val="17"/>
                  <w:szCs w:val="17"/>
                  <w:color w:val="0000FF"/>
                </w:rPr>
                <w:t>Notes to Consolidated Financial Statements</w:t>
              </w:r>
            </w:hyperlink>
          </w:p>
        </w:tc>
        <w:tc>
          <w:tcPr>
            <w:tcW w:w="160" w:type="dxa"/>
            <w:vAlign w:val="bottom"/>
          </w:tcPr>
          <w:p>
            <w:pPr>
              <w:jc w:val="right"/>
              <w:spacing w:after="0"/>
              <w:rPr>
                <w:rFonts w:ascii="Arial" w:cs="Arial" w:eastAsia="Arial" w:hAnsi="Arial"/>
                <w:sz w:val="17"/>
                <w:szCs w:val="17"/>
                <w:color w:val="0000FF"/>
                <w:w w:val="73"/>
              </w:rPr>
            </w:pPr>
            <w:hyperlink w:anchor="page57">
              <w:r>
                <w:rPr>
                  <w:rFonts w:ascii="Arial" w:cs="Arial" w:eastAsia="Arial" w:hAnsi="Arial"/>
                  <w:sz w:val="17"/>
                  <w:szCs w:val="17"/>
                  <w:color w:val="0000FF"/>
                  <w:w w:val="73"/>
                </w:rPr>
                <w:t>57</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980" w:type="dxa"/>
            <w:vAlign w:val="bottom"/>
            <w:gridSpan w:val="3"/>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320" w:type="dxa"/>
            <w:vAlign w:val="bottom"/>
            <w:gridSpan w:val="8"/>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20" w:type="dxa"/>
            <w:vAlign w:val="bottom"/>
          </w:tcPr>
          <w:p>
            <w:pPr>
              <w:spacing w:after="0"/>
              <w:rPr>
                <w:sz w:val="22"/>
                <w:szCs w:val="22"/>
                <w:color w:val="auto"/>
              </w:rPr>
            </w:pPr>
          </w:p>
        </w:tc>
        <w:tc>
          <w:tcPr>
            <w:tcW w:w="11000" w:type="dxa"/>
            <w:vAlign w:val="bottom"/>
            <w:gridSpan w:val="15"/>
          </w:tcPr>
          <w:p>
            <w:pPr>
              <w:spacing w:after="0"/>
              <w:rPr>
                <w:rFonts w:ascii="Arial" w:cs="Arial" w:eastAsia="Arial" w:hAnsi="Arial"/>
                <w:sz w:val="17"/>
                <w:szCs w:val="17"/>
                <w:color w:val="0000FF"/>
              </w:rPr>
            </w:pPr>
            <w:hyperlink w:anchor="page85">
              <w:r>
                <w:rPr>
                  <w:rFonts w:ascii="Arial" w:cs="Arial" w:eastAsia="Arial" w:hAnsi="Arial"/>
                  <w:sz w:val="17"/>
                  <w:szCs w:val="17"/>
                  <w:color w:val="0000FF"/>
                </w:rPr>
                <w:t>Quarterly Financial Data (Unaudited)</w:t>
              </w:r>
            </w:hyperlink>
          </w:p>
        </w:tc>
        <w:tc>
          <w:tcPr>
            <w:tcW w:w="160" w:type="dxa"/>
            <w:vAlign w:val="bottom"/>
          </w:tcPr>
          <w:p>
            <w:pPr>
              <w:jc w:val="right"/>
              <w:spacing w:after="0"/>
              <w:rPr>
                <w:rFonts w:ascii="Arial" w:cs="Arial" w:eastAsia="Arial" w:hAnsi="Arial"/>
                <w:sz w:val="17"/>
                <w:szCs w:val="17"/>
                <w:color w:val="0000FF"/>
                <w:w w:val="73"/>
              </w:rPr>
            </w:pPr>
            <w:hyperlink w:anchor="page85">
              <w:r>
                <w:rPr>
                  <w:rFonts w:ascii="Arial" w:cs="Arial" w:eastAsia="Arial" w:hAnsi="Arial"/>
                  <w:sz w:val="17"/>
                  <w:szCs w:val="17"/>
                  <w:color w:val="0000FF"/>
                  <w:w w:val="73"/>
                </w:rPr>
                <w:t>85</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20" w:type="dxa"/>
            <w:vAlign w:val="bottom"/>
          </w:tcPr>
          <w:p>
            <w:pPr>
              <w:spacing w:after="0"/>
              <w:rPr>
                <w:sz w:val="22"/>
                <w:szCs w:val="22"/>
                <w:color w:val="auto"/>
              </w:rPr>
            </w:pPr>
          </w:p>
        </w:tc>
        <w:tc>
          <w:tcPr>
            <w:tcW w:w="11000" w:type="dxa"/>
            <w:vAlign w:val="bottom"/>
            <w:gridSpan w:val="15"/>
          </w:tcPr>
          <w:p>
            <w:pPr>
              <w:spacing w:after="0"/>
              <w:rPr>
                <w:rFonts w:ascii="Arial" w:cs="Arial" w:eastAsia="Arial" w:hAnsi="Arial"/>
                <w:sz w:val="17"/>
                <w:szCs w:val="17"/>
                <w:color w:val="0000FF"/>
              </w:rPr>
            </w:pPr>
            <w:hyperlink w:anchor="page86">
              <w:r>
                <w:rPr>
                  <w:rFonts w:ascii="Arial" w:cs="Arial" w:eastAsia="Arial" w:hAnsi="Arial"/>
                  <w:sz w:val="17"/>
                  <w:szCs w:val="17"/>
                  <w:color w:val="0000FF"/>
                </w:rPr>
                <w:t>Schedule II—Valuation and Qualifying Accounts</w:t>
              </w:r>
            </w:hyperlink>
          </w:p>
        </w:tc>
        <w:tc>
          <w:tcPr>
            <w:tcW w:w="160" w:type="dxa"/>
            <w:vAlign w:val="bottom"/>
          </w:tcPr>
          <w:p>
            <w:pPr>
              <w:jc w:val="right"/>
              <w:spacing w:after="0"/>
              <w:rPr>
                <w:rFonts w:ascii="Arial" w:cs="Arial" w:eastAsia="Arial" w:hAnsi="Arial"/>
                <w:sz w:val="17"/>
                <w:szCs w:val="17"/>
                <w:color w:val="0000FF"/>
                <w:w w:val="73"/>
              </w:rPr>
            </w:pPr>
            <w:hyperlink w:anchor="page86">
              <w:r>
                <w:rPr>
                  <w:rFonts w:ascii="Arial" w:cs="Arial" w:eastAsia="Arial" w:hAnsi="Arial"/>
                  <w:sz w:val="17"/>
                  <w:szCs w:val="17"/>
                  <w:color w:val="0000FF"/>
                  <w:w w:val="73"/>
                </w:rPr>
                <w:t>86</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Statement Schedules</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financial statement schedule is filed as a part of this report under Schedule II – Valuation and Qualifying Accounts for the three fiscal years ended June 30, 2021, June 30, 2020 and June 30, 2019 immediately following Quarterly Financial Data (Unaudited). All other schedules are omitted because they are not applicable or the required information is shown in the financial statements, or notes thereto, included herein.</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5" w:name="page46"/>
    <w:bookmarkEnd w:id="4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MANAGEMENT’S REPORT ON INTERNAL CONTROL OVER FINANCIAL REPORTING</w:t>
      </w:r>
    </w:p>
    <w:p>
      <w:pPr>
        <w:spacing w:after="0" w:line="178"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management of Matrix Service Company and its wholly-owned subsidiaries (the “Company”) are responsible for establishing and maintaining adequate internal control over financial reporting. The Company’s internal control over financial reporting is a process designed to provide reasonable assurance regarding the reliability of financial reporting and the preparation of financial statements for external purposes in accordance with U.S. generally accepted accounting principles. Internal control over financial reporting includes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U.S.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3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All internal control systems, no matter how well designed, have inherent limitations and cannot provide absolute assurance that all objectives will be met. Internal control over financial reporting is a process that involves diligence and is subject to lapses in judgment and human error. Internal control over financial reporting can also be circumvented by collusion or management override of controls. Because of these limitations, there is a risk that material misstatements may not be prevented or detected on a timely basis.</w:t>
      </w:r>
    </w:p>
    <w:p>
      <w:pPr>
        <w:spacing w:after="0" w:line="12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The Company’s management assessed the effectiveness of the Company’s internal control over financial reporting as of June 30, 2021. In making this assessment, the Company’s management used the criteria established in </w:t>
      </w:r>
      <w:r>
        <w:rPr>
          <w:rFonts w:ascii="Arial" w:cs="Arial" w:eastAsia="Arial" w:hAnsi="Arial"/>
          <w:sz w:val="17"/>
          <w:szCs w:val="17"/>
          <w:i w:val="1"/>
          <w:iCs w:val="1"/>
          <w:color w:val="auto"/>
        </w:rPr>
        <w:t>Internal Control—Integrated Framework (2013)</w:t>
      </w:r>
      <w:r>
        <w:rPr>
          <w:rFonts w:ascii="Arial" w:cs="Arial" w:eastAsia="Arial" w:hAnsi="Arial"/>
          <w:sz w:val="17"/>
          <w:szCs w:val="17"/>
          <w:color w:val="auto"/>
        </w:rPr>
        <w:t xml:space="preserve"> set forth by the Committee of Sponsoring Organizations of the Treadway Commission (“COSO”) in Internal Control-Integrated Framework.</w:t>
      </w:r>
    </w:p>
    <w:p>
      <w:pPr>
        <w:spacing w:after="0" w:line="12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Management’s assessment included an evaluation of such elements as the design and operating effectiveness of key financial reporting controls, process documentation, accounting policies, overall control environment and information systems control environment. Based on this assessment, the Company’s management has concluded that the Company’s internal control over financial reporting as of June 30, 2021 was effective.</w:t>
      </w:r>
    </w:p>
    <w:p>
      <w:pPr>
        <w:spacing w:after="0" w:line="120" w:lineRule="exact"/>
        <w:rPr>
          <w:sz w:val="20"/>
          <w:szCs w:val="20"/>
          <w:color w:val="auto"/>
        </w:rPr>
      </w:pPr>
    </w:p>
    <w:p>
      <w:pPr>
        <w:jc w:val="both"/>
        <w:spacing w:after="0" w:line="360" w:lineRule="auto"/>
        <w:rPr>
          <w:sz w:val="20"/>
          <w:szCs w:val="20"/>
          <w:color w:val="auto"/>
        </w:rPr>
      </w:pPr>
      <w:r>
        <w:rPr>
          <w:rFonts w:ascii="Arial" w:cs="Arial" w:eastAsia="Arial" w:hAnsi="Arial"/>
          <w:sz w:val="15"/>
          <w:szCs w:val="15"/>
          <w:color w:val="auto"/>
        </w:rPr>
        <w:t>Deloitte &amp; Touche LLP, an independent registered public accounting firm, has issued an attestation report on the effectiveness of the Company’s internal control over financial reporting as of June 30, 2021. Deloitte &amp; Touche LLP’s report on the Company’s internal control over financial reporting is included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600" w:type="dxa"/>
            <w:vAlign w:val="bottom"/>
            <w:gridSpan w:val="2"/>
          </w:tcPr>
          <w:p>
            <w:pPr>
              <w:jc w:val="center"/>
              <w:ind w:right="2460"/>
              <w:spacing w:after="0"/>
              <w:rPr>
                <w:sz w:val="20"/>
                <w:szCs w:val="20"/>
                <w:color w:val="auto"/>
              </w:rPr>
            </w:pPr>
            <w:r>
              <w:rPr>
                <w:rFonts w:ascii="Arial" w:cs="Arial" w:eastAsia="Arial" w:hAnsi="Arial"/>
                <w:sz w:val="17"/>
                <w:szCs w:val="17"/>
                <w:color w:val="auto"/>
                <w:w w:val="94"/>
              </w:rPr>
              <w:t>/s/ John R. Hewitt</w:t>
            </w:r>
          </w:p>
        </w:tc>
        <w:tc>
          <w:tcPr>
            <w:tcW w:w="4620" w:type="dxa"/>
            <w:vAlign w:val="bottom"/>
          </w:tcPr>
          <w:p>
            <w:pPr>
              <w:jc w:val="center"/>
              <w:ind w:left="264"/>
              <w:spacing w:after="0"/>
              <w:rPr>
                <w:sz w:val="20"/>
                <w:szCs w:val="20"/>
                <w:color w:val="auto"/>
              </w:rPr>
            </w:pPr>
            <w:r>
              <w:rPr>
                <w:rFonts w:ascii="Arial" w:cs="Arial" w:eastAsia="Arial" w:hAnsi="Arial"/>
                <w:sz w:val="17"/>
                <w:szCs w:val="17"/>
                <w:color w:val="auto"/>
                <w:w w:val="93"/>
              </w:rPr>
              <w:t>/s/ Kevin S. Cavanah</w:t>
            </w:r>
          </w:p>
        </w:tc>
      </w:tr>
      <w:tr>
        <w:trPr>
          <w:trHeight w:val="168"/>
        </w:trPr>
        <w:tc>
          <w:tcPr>
            <w:tcW w:w="41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John R. Hewitt</w:t>
            </w:r>
          </w:p>
        </w:tc>
        <w:tc>
          <w:tcPr>
            <w:tcW w:w="2480" w:type="dxa"/>
            <w:vAlign w:val="bottom"/>
          </w:tcPr>
          <w:p>
            <w:pPr>
              <w:spacing w:after="0"/>
              <w:rPr>
                <w:sz w:val="14"/>
                <w:szCs w:val="14"/>
                <w:color w:val="auto"/>
              </w:rPr>
            </w:pPr>
          </w:p>
        </w:tc>
        <w:tc>
          <w:tcPr>
            <w:tcW w:w="4620" w:type="dxa"/>
            <w:vAlign w:val="bottom"/>
            <w:tcBorders>
              <w:top w:val="single" w:sz="8" w:color="auto"/>
            </w:tcBorders>
          </w:tcPr>
          <w:p>
            <w:pPr>
              <w:jc w:val="center"/>
              <w:ind w:left="264"/>
              <w:spacing w:after="0"/>
              <w:rPr>
                <w:sz w:val="20"/>
                <w:szCs w:val="20"/>
                <w:color w:val="auto"/>
              </w:rPr>
            </w:pPr>
            <w:r>
              <w:rPr>
                <w:rFonts w:ascii="Arial" w:cs="Arial" w:eastAsia="Arial" w:hAnsi="Arial"/>
                <w:sz w:val="14"/>
                <w:szCs w:val="14"/>
                <w:b w:val="1"/>
                <w:bCs w:val="1"/>
                <w:color w:val="auto"/>
                <w:w w:val="91"/>
              </w:rPr>
              <w:t>Kevin S. Cavanah</w:t>
            </w:r>
          </w:p>
        </w:tc>
      </w:tr>
      <w:tr>
        <w:trPr>
          <w:trHeight w:val="183"/>
        </w:trPr>
        <w:tc>
          <w:tcPr>
            <w:tcW w:w="6600" w:type="dxa"/>
            <w:vAlign w:val="bottom"/>
            <w:gridSpan w:val="2"/>
          </w:tcPr>
          <w:p>
            <w:pPr>
              <w:jc w:val="center"/>
              <w:ind w:right="2460"/>
              <w:spacing w:after="0"/>
              <w:rPr>
                <w:sz w:val="20"/>
                <w:szCs w:val="20"/>
                <w:color w:val="auto"/>
              </w:rPr>
            </w:pPr>
            <w:r>
              <w:rPr>
                <w:rFonts w:ascii="Arial" w:cs="Arial" w:eastAsia="Arial" w:hAnsi="Arial"/>
                <w:sz w:val="14"/>
                <w:szCs w:val="14"/>
                <w:b w:val="1"/>
                <w:bCs w:val="1"/>
                <w:color w:val="auto"/>
                <w:w w:val="90"/>
              </w:rPr>
              <w:t>President and Chief Executive Officer</w:t>
            </w:r>
          </w:p>
        </w:tc>
        <w:tc>
          <w:tcPr>
            <w:tcW w:w="4620" w:type="dxa"/>
            <w:vAlign w:val="bottom"/>
          </w:tcPr>
          <w:p>
            <w:pPr>
              <w:jc w:val="center"/>
              <w:ind w:left="264"/>
              <w:spacing w:after="0"/>
              <w:rPr>
                <w:sz w:val="20"/>
                <w:szCs w:val="20"/>
                <w:color w:val="auto"/>
              </w:rPr>
            </w:pPr>
            <w:r>
              <w:rPr>
                <w:rFonts w:ascii="Arial" w:cs="Arial" w:eastAsia="Arial" w:hAnsi="Arial"/>
                <w:sz w:val="14"/>
                <w:szCs w:val="14"/>
                <w:b w:val="1"/>
                <w:bCs w:val="1"/>
                <w:color w:val="auto"/>
                <w:w w:val="90"/>
              </w:rPr>
              <w:t>Vice President and Chief Financial Officer</w:t>
            </w:r>
          </w:p>
        </w:tc>
      </w:tr>
    </w:tbl>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7"/>
          <w:szCs w:val="17"/>
          <w:color w:val="auto"/>
        </w:rPr>
        <w:t>September 13, 2021</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6" w:name="page47"/>
    <w:bookmarkEnd w:id="4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7"/>
          <w:szCs w:val="17"/>
          <w:color w:val="auto"/>
        </w:rPr>
        <w:t>To the stockholders and the Board of Directors of</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Matrix Service Company</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Opinion on Internal Control over Financial Reporting</w:t>
      </w:r>
    </w:p>
    <w:p>
      <w:pPr>
        <w:spacing w:after="0" w:line="17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have audited the internal control over financial reporting of Matrix Service Company and subsidiaries (the “Company”) as of June 30, 2021, based on criteria established in Internal Control — Integrated Framework (2013) issued by the Committee of Sponsoring Organizations of the Treadway Commission (COSO). In our opinion, the Company maintained, in all material respects, effective internal control over financial reporting as of June 30, 2021 based on criteria established in Internal Control - Integrated Framework (2013) issued by COSO.</w:t>
      </w:r>
    </w:p>
    <w:p>
      <w:pPr>
        <w:spacing w:after="0" w:line="12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also audited, in accordance with the standards of the Public Company Accounting Oversight Board (United States) (PCAOB), the consolidated financial statements as of and for the year ended June 30, 2021, of the Company and our report dated September 13, 2021, expressed an unqualified opinion on those financial statements.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for Opinion</w:t>
      </w:r>
    </w:p>
    <w:p>
      <w:pPr>
        <w:spacing w:after="0" w:line="178"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7"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Definition and Limitations of Internal Control over Financial Reporting</w:t>
      </w:r>
    </w:p>
    <w:p>
      <w:pPr>
        <w:spacing w:after="0" w:line="178"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 DELOITTE &amp; TOUCHE LLP</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color w:val="auto"/>
        </w:rPr>
        <w:t>Tulsa, Oklahoma</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September 13, 2021</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7" w:name="page48"/>
    <w:bookmarkEnd w:id="4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7"/>
          <w:szCs w:val="17"/>
          <w:color w:val="auto"/>
        </w:rPr>
        <w:t>To the stockholders and the Board of Directors of</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Matrix Service Company</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Opinion on the Financial Statements</w:t>
      </w:r>
    </w:p>
    <w:p>
      <w:pPr>
        <w:spacing w:after="0" w:line="243"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We have audited the accompanying consolidated balance sheets of Matrix Service Company and subsidiaries (the "Company") as of June 30, 2021 and 2020, the related consolidated statements of income, comprehensive income, cash flows, and changes in stockholders' equity for each of the three years in the period ended June 30, 2021 and the related notes and the schedule listed in the Index at Item 8 (collectively referred to as the "financial statements"). In our opinion, the financial statements present fairly, in all material respects, the financial position of the Company as of June 30, 2021 and 2020, and the results of its operations and its cash flows for each of the three years in the period ended June 30, 2021, in conformity with accounting principles generally accepted in the United States of America.</w:t>
      </w:r>
    </w:p>
    <w:p>
      <w:pPr>
        <w:spacing w:after="0" w:line="199"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We have also audited, in accordance with the standards of the Public Company Accounting Oversight Board (United States) (PCAOB), the Company's internal control over financial reporting as of June 30, 2021, based on criteria established in Internal Control — Integrated Framework (2013) issued by the Committee of Sponsoring Organizations of the Treadway Commission and our report dated September 13, 2021 expressed an unqualified opinion on the Company's internal control over financial reporting.</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for Opinion</w:t>
      </w:r>
    </w:p>
    <w:p>
      <w:pPr>
        <w:spacing w:after="0" w:line="178"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01"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Audit Matters</w:t>
      </w:r>
    </w:p>
    <w:p>
      <w:pPr>
        <w:spacing w:after="0" w:line="178"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121" w:lineRule="exact"/>
        <w:rPr>
          <w:sz w:val="20"/>
          <w:szCs w:val="20"/>
          <w:color w:val="auto"/>
        </w:rPr>
      </w:pPr>
    </w:p>
    <w:p>
      <w:pPr>
        <w:ind w:right="4960"/>
        <w:spacing w:after="0" w:line="454" w:lineRule="auto"/>
        <w:rPr>
          <w:sz w:val="20"/>
          <w:szCs w:val="20"/>
          <w:color w:val="auto"/>
        </w:rPr>
      </w:pPr>
      <w:r>
        <w:rPr>
          <w:rFonts w:ascii="Arial" w:cs="Arial" w:eastAsia="Arial" w:hAnsi="Arial"/>
          <w:sz w:val="17"/>
          <w:szCs w:val="17"/>
          <w:b w:val="1"/>
          <w:bCs w:val="1"/>
          <w:color w:val="auto"/>
        </w:rPr>
        <w:t xml:space="preserve">Revenue – Fixed Price Contracts – Refer to Notes 1 and 2 to the financial statements </w:t>
      </w:r>
      <w:r>
        <w:rPr>
          <w:rFonts w:ascii="Arial" w:cs="Arial" w:eastAsia="Arial" w:hAnsi="Arial"/>
          <w:sz w:val="17"/>
          <w:szCs w:val="17"/>
          <w:i w:val="1"/>
          <w:iCs w:val="1"/>
          <w:color w:val="auto"/>
        </w:rPr>
        <w:t>Critical Audit Matter Description</w:t>
      </w:r>
    </w:p>
    <w:p>
      <w:pPr>
        <w:spacing w:after="0" w:line="1"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The Company enters into contracts with customers to provide engineering, procurement, and fabrication and construction services, usually provided in association with capital projects, which commonly are fixed price contracts and are billed based on project milestones. Revenue on performance obligations associated with fixed price contracts is recognized over time since these services create or enhance assets the customer controls as they are being created or enhanced. The Company measures progress of satisfying these performance obligations by using the percentage-of-completion method, which is based on costs incurred to date compared to the total estimated costs at completion. Due to the nature of work left to be performed on many of the Company’s contracts, the estimation of total cost at completion for fixed price contracts is complex, subject to many variables and requires significant judgment. For the fiscal year ended June 30, 2021, revenue totaled $673.4 million, of which $444.0 million related to fixed price contracts.</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8" w:name="page49"/>
    <w:bookmarkEnd w:id="4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Given the significant judgment necessary to estimate total costs at completion for fixed price contracts, auditing these estimates required extensive audit effort due to the volume and complexity of the fixed price contracts and a high degree of auditor judgment when evaluating the results of audit procedures, including the involvement of our capital projects specialists for one selected fixed price contract.</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How the Critical Audit Matter Was Addressed in the Audit</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Our audit procedures related to estimated total costs at completion for fixed price contracts included the following, among others:</w:t>
      </w:r>
    </w:p>
    <w:p>
      <w:pPr>
        <w:spacing w:after="0" w:line="159" w:lineRule="exact"/>
        <w:rPr>
          <w:sz w:val="20"/>
          <w:szCs w:val="20"/>
          <w:color w:val="auto"/>
        </w:rPr>
      </w:pPr>
    </w:p>
    <w:p>
      <w:pPr>
        <w:ind w:left="640" w:hanging="320"/>
        <w:spacing w:after="0" w:line="257" w:lineRule="auto"/>
        <w:tabs>
          <w:tab w:leader="none" w:pos="635" w:val="left"/>
        </w:tabs>
        <w:numPr>
          <w:ilvl w:val="0"/>
          <w:numId w:val="29"/>
        </w:numPr>
        <w:rPr>
          <w:rFonts w:ascii="Arial" w:cs="Arial" w:eastAsia="Arial" w:hAnsi="Arial"/>
          <w:sz w:val="17"/>
          <w:szCs w:val="17"/>
          <w:color w:val="auto"/>
        </w:rPr>
      </w:pPr>
      <w:r>
        <w:rPr>
          <w:rFonts w:ascii="Arial" w:cs="Arial" w:eastAsia="Arial" w:hAnsi="Arial"/>
          <w:sz w:val="17"/>
          <w:szCs w:val="17"/>
          <w:color w:val="auto"/>
        </w:rPr>
        <w:t>We tested the effectiveness of controls over the recognition of revenue for fixed price contracts, including management’s controls over estimates of total costs at completion.</w:t>
      </w:r>
    </w:p>
    <w:p>
      <w:pPr>
        <w:spacing w:after="0" w:line="105" w:lineRule="exact"/>
        <w:rPr>
          <w:rFonts w:ascii="Arial" w:cs="Arial" w:eastAsia="Arial" w:hAnsi="Arial"/>
          <w:sz w:val="17"/>
          <w:szCs w:val="17"/>
          <w:color w:val="auto"/>
        </w:rPr>
      </w:pPr>
    </w:p>
    <w:p>
      <w:pPr>
        <w:ind w:left="620" w:hanging="300"/>
        <w:spacing w:after="0"/>
        <w:tabs>
          <w:tab w:leader="none" w:pos="620" w:val="left"/>
        </w:tabs>
        <w:numPr>
          <w:ilvl w:val="0"/>
          <w:numId w:val="29"/>
        </w:numPr>
        <w:rPr>
          <w:rFonts w:ascii="Arial" w:cs="Arial" w:eastAsia="Arial" w:hAnsi="Arial"/>
          <w:sz w:val="15"/>
          <w:szCs w:val="15"/>
          <w:color w:val="auto"/>
        </w:rPr>
      </w:pPr>
      <w:r>
        <w:rPr>
          <w:rFonts w:ascii="Arial" w:cs="Arial" w:eastAsia="Arial" w:hAnsi="Arial"/>
          <w:sz w:val="15"/>
          <w:szCs w:val="15"/>
          <w:color w:val="auto"/>
        </w:rPr>
        <w:t>We evaluated the appropriateness and consistency of the methods and assumptions used by management to estimate total costs on fixed price contracts.</w:t>
      </w:r>
    </w:p>
    <w:p>
      <w:pPr>
        <w:spacing w:after="0" w:line="168" w:lineRule="exact"/>
        <w:rPr>
          <w:rFonts w:ascii="Arial" w:cs="Arial" w:eastAsia="Arial" w:hAnsi="Arial"/>
          <w:sz w:val="15"/>
          <w:szCs w:val="15"/>
          <w:color w:val="auto"/>
        </w:rPr>
      </w:pPr>
    </w:p>
    <w:p>
      <w:pPr>
        <w:ind w:left="640" w:hanging="320"/>
        <w:spacing w:after="0" w:line="257" w:lineRule="auto"/>
        <w:tabs>
          <w:tab w:leader="none" w:pos="635" w:val="left"/>
        </w:tabs>
        <w:numPr>
          <w:ilvl w:val="0"/>
          <w:numId w:val="29"/>
        </w:numPr>
        <w:rPr>
          <w:rFonts w:ascii="Arial" w:cs="Arial" w:eastAsia="Arial" w:hAnsi="Arial"/>
          <w:sz w:val="17"/>
          <w:szCs w:val="17"/>
          <w:color w:val="auto"/>
        </w:rPr>
      </w:pPr>
      <w:r>
        <w:rPr>
          <w:rFonts w:ascii="Arial" w:cs="Arial" w:eastAsia="Arial" w:hAnsi="Arial"/>
          <w:sz w:val="17"/>
          <w:szCs w:val="17"/>
          <w:color w:val="auto"/>
        </w:rPr>
        <w:t>We evaluated management’s ability to accurately estimate contract costs by comparing current gross margin to historical gross margin for certain fixed price contracts open and completed during each quarter.</w:t>
      </w:r>
    </w:p>
    <w:p>
      <w:pPr>
        <w:spacing w:after="0" w:line="105" w:lineRule="exact"/>
        <w:rPr>
          <w:rFonts w:ascii="Arial" w:cs="Arial" w:eastAsia="Arial" w:hAnsi="Arial"/>
          <w:sz w:val="17"/>
          <w:szCs w:val="17"/>
          <w:color w:val="auto"/>
        </w:rPr>
      </w:pPr>
    </w:p>
    <w:p>
      <w:pPr>
        <w:ind w:left="620" w:hanging="300"/>
        <w:spacing w:after="0"/>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We selected a sample of fixed price contracts and performed the following:</w:t>
      </w:r>
    </w:p>
    <w:p>
      <w:pPr>
        <w:spacing w:after="0" w:line="145" w:lineRule="exact"/>
        <w:rPr>
          <w:rFonts w:ascii="Arial" w:cs="Arial" w:eastAsia="Arial" w:hAnsi="Arial"/>
          <w:sz w:val="17"/>
          <w:szCs w:val="17"/>
          <w:color w:val="auto"/>
        </w:rPr>
      </w:pPr>
    </w:p>
    <w:p>
      <w:pPr>
        <w:ind w:left="1260" w:hanging="311"/>
        <w:spacing w:after="0" w:line="257" w:lineRule="auto"/>
        <w:tabs>
          <w:tab w:leader="none" w:pos="1256" w:val="left"/>
        </w:tabs>
        <w:numPr>
          <w:ilvl w:val="1"/>
          <w:numId w:val="29"/>
        </w:numPr>
        <w:rPr>
          <w:rFonts w:ascii="Arial" w:cs="Arial" w:eastAsia="Arial" w:hAnsi="Arial"/>
          <w:sz w:val="17"/>
          <w:szCs w:val="17"/>
          <w:color w:val="auto"/>
        </w:rPr>
      </w:pPr>
      <w:r>
        <w:rPr>
          <w:rFonts w:ascii="Arial" w:cs="Arial" w:eastAsia="Arial" w:hAnsi="Arial"/>
          <w:sz w:val="17"/>
          <w:szCs w:val="17"/>
          <w:color w:val="auto"/>
        </w:rPr>
        <w:t>Evaluated gross margin changes over time for each selected contract from bid date to the testing date to evaluate management’s historical and current estimates of total costs at completion.</w:t>
      </w:r>
    </w:p>
    <w:p>
      <w:pPr>
        <w:spacing w:after="0" w:line="105" w:lineRule="exact"/>
        <w:rPr>
          <w:rFonts w:ascii="Arial" w:cs="Arial" w:eastAsia="Arial" w:hAnsi="Arial"/>
          <w:sz w:val="17"/>
          <w:szCs w:val="17"/>
          <w:color w:val="auto"/>
        </w:rPr>
      </w:pPr>
    </w:p>
    <w:p>
      <w:pPr>
        <w:jc w:val="both"/>
        <w:ind w:left="1260" w:hanging="311"/>
        <w:spacing w:after="0" w:line="241" w:lineRule="auto"/>
        <w:tabs>
          <w:tab w:leader="none" w:pos="1256" w:val="left"/>
        </w:tabs>
        <w:numPr>
          <w:ilvl w:val="1"/>
          <w:numId w:val="29"/>
        </w:numPr>
        <w:rPr>
          <w:rFonts w:ascii="Arial" w:cs="Arial" w:eastAsia="Arial" w:hAnsi="Arial"/>
          <w:sz w:val="17"/>
          <w:szCs w:val="17"/>
          <w:color w:val="auto"/>
        </w:rPr>
      </w:pPr>
      <w:r>
        <w:rPr>
          <w:rFonts w:ascii="Arial" w:cs="Arial" w:eastAsia="Arial" w:hAnsi="Arial"/>
          <w:sz w:val="17"/>
          <w:szCs w:val="17"/>
          <w:color w:val="auto"/>
        </w:rPr>
        <w:t>Evaluated management’s ability to estimate total costs at completion for each selected contract by performing corroborating inquiries with the Company’s project managers and personnel involved with the selected contracts, including inquiries related to the timeline to completion and estimates of future costs to complete the contract.</w:t>
      </w:r>
    </w:p>
    <w:p>
      <w:pPr>
        <w:spacing w:after="0" w:line="119" w:lineRule="exact"/>
        <w:rPr>
          <w:rFonts w:ascii="Arial" w:cs="Arial" w:eastAsia="Arial" w:hAnsi="Arial"/>
          <w:sz w:val="17"/>
          <w:szCs w:val="17"/>
          <w:color w:val="auto"/>
        </w:rPr>
      </w:pPr>
    </w:p>
    <w:p>
      <w:pPr>
        <w:ind w:left="640" w:hanging="320"/>
        <w:spacing w:after="0" w:line="257" w:lineRule="auto"/>
        <w:tabs>
          <w:tab w:leader="none" w:pos="635" w:val="left"/>
        </w:tabs>
        <w:numPr>
          <w:ilvl w:val="0"/>
          <w:numId w:val="29"/>
        </w:numPr>
        <w:rPr>
          <w:rFonts w:ascii="Arial" w:cs="Arial" w:eastAsia="Arial" w:hAnsi="Arial"/>
          <w:sz w:val="17"/>
          <w:szCs w:val="17"/>
          <w:color w:val="auto"/>
        </w:rPr>
      </w:pPr>
      <w:r>
        <w:rPr>
          <w:rFonts w:ascii="Arial" w:cs="Arial" w:eastAsia="Arial" w:hAnsi="Arial"/>
          <w:sz w:val="17"/>
          <w:szCs w:val="17"/>
          <w:color w:val="auto"/>
        </w:rPr>
        <w:t>Selected a sample of estimates of future costs to complete for certain selected fixed price contracts and evaluated management’s estimates of total costs at completion by performing one of the following:</w:t>
      </w:r>
    </w:p>
    <w:p>
      <w:pPr>
        <w:spacing w:after="0" w:line="105" w:lineRule="exact"/>
        <w:rPr>
          <w:rFonts w:ascii="Arial" w:cs="Arial" w:eastAsia="Arial" w:hAnsi="Arial"/>
          <w:sz w:val="17"/>
          <w:szCs w:val="17"/>
          <w:color w:val="auto"/>
        </w:rPr>
      </w:pPr>
    </w:p>
    <w:p>
      <w:pPr>
        <w:ind w:left="1260" w:hanging="311"/>
        <w:spacing w:after="0" w:line="257" w:lineRule="auto"/>
        <w:tabs>
          <w:tab w:leader="none" w:pos="1269" w:val="left"/>
        </w:tabs>
        <w:numPr>
          <w:ilvl w:val="1"/>
          <w:numId w:val="29"/>
        </w:numPr>
        <w:rPr>
          <w:rFonts w:ascii="Arial" w:cs="Arial" w:eastAsia="Arial" w:hAnsi="Arial"/>
          <w:sz w:val="17"/>
          <w:szCs w:val="17"/>
          <w:color w:val="auto"/>
        </w:rPr>
      </w:pPr>
      <w:r>
        <w:rPr>
          <w:rFonts w:ascii="Arial" w:cs="Arial" w:eastAsia="Arial" w:hAnsi="Arial"/>
          <w:sz w:val="17"/>
          <w:szCs w:val="17"/>
          <w:color w:val="auto"/>
        </w:rPr>
        <w:t>Comparing management’s estimates to documents such as management’s work plans, customer purchase orders, third-party invoices from suppliers, and subcontractor agreements.</w:t>
      </w:r>
    </w:p>
    <w:p>
      <w:pPr>
        <w:spacing w:after="0" w:line="105" w:lineRule="exact"/>
        <w:rPr>
          <w:rFonts w:ascii="Arial" w:cs="Arial" w:eastAsia="Arial" w:hAnsi="Arial"/>
          <w:sz w:val="17"/>
          <w:szCs w:val="17"/>
          <w:color w:val="auto"/>
        </w:rPr>
      </w:pPr>
    </w:p>
    <w:p>
      <w:pPr>
        <w:jc w:val="both"/>
        <w:ind w:left="1260" w:hanging="311"/>
        <w:spacing w:after="0" w:line="241" w:lineRule="auto"/>
        <w:tabs>
          <w:tab w:leader="none" w:pos="1269" w:val="left"/>
        </w:tabs>
        <w:numPr>
          <w:ilvl w:val="1"/>
          <w:numId w:val="29"/>
        </w:numPr>
        <w:rPr>
          <w:rFonts w:ascii="Arial" w:cs="Arial" w:eastAsia="Arial" w:hAnsi="Arial"/>
          <w:sz w:val="17"/>
          <w:szCs w:val="17"/>
          <w:color w:val="auto"/>
        </w:rPr>
      </w:pPr>
      <w:r>
        <w:rPr>
          <w:rFonts w:ascii="Arial" w:cs="Arial" w:eastAsia="Arial" w:hAnsi="Arial"/>
          <w:sz w:val="17"/>
          <w:szCs w:val="17"/>
          <w:color w:val="auto"/>
        </w:rPr>
        <w:t>Developing independent estimates of total costs to completion and compared our estimates to management’s estimates. Our independent estimates were based on information such as management’s work plans, customer purchase orders, third-party invoices from suppliers, subcontractor agreements, and similar historical project experience.</w:t>
      </w:r>
    </w:p>
    <w:p>
      <w:pPr>
        <w:spacing w:after="0" w:line="119" w:lineRule="exact"/>
        <w:rPr>
          <w:rFonts w:ascii="Arial" w:cs="Arial" w:eastAsia="Arial" w:hAnsi="Arial"/>
          <w:sz w:val="17"/>
          <w:szCs w:val="17"/>
          <w:color w:val="auto"/>
        </w:rPr>
      </w:pPr>
    </w:p>
    <w:p>
      <w:pPr>
        <w:ind w:left="640" w:hanging="320"/>
        <w:spacing w:after="0" w:line="257" w:lineRule="auto"/>
        <w:tabs>
          <w:tab w:leader="none" w:pos="635" w:val="left"/>
        </w:tabs>
        <w:numPr>
          <w:ilvl w:val="0"/>
          <w:numId w:val="29"/>
        </w:numPr>
        <w:rPr>
          <w:rFonts w:ascii="Arial" w:cs="Arial" w:eastAsia="Arial" w:hAnsi="Arial"/>
          <w:sz w:val="17"/>
          <w:szCs w:val="17"/>
          <w:color w:val="auto"/>
        </w:rPr>
      </w:pPr>
      <w:r>
        <w:rPr>
          <w:rFonts w:ascii="Arial" w:cs="Arial" w:eastAsia="Arial" w:hAnsi="Arial"/>
          <w:sz w:val="17"/>
          <w:szCs w:val="17"/>
          <w:color w:val="auto"/>
        </w:rPr>
        <w:t>For one selected fixed price contract, we used our capital projects specialists to assist us in evaluating (1) management’s ability to estimate total costs at completion and (2) management’s estimates of total costs at completion.</w:t>
      </w:r>
    </w:p>
    <w:p>
      <w:pPr>
        <w:spacing w:after="0" w:line="100" w:lineRule="exact"/>
        <w:rPr>
          <w:sz w:val="20"/>
          <w:szCs w:val="20"/>
          <w:color w:val="auto"/>
        </w:rPr>
      </w:pPr>
    </w:p>
    <w:p>
      <w:pPr>
        <w:ind w:right="4740"/>
        <w:spacing w:after="0" w:line="422" w:lineRule="auto"/>
        <w:rPr>
          <w:sz w:val="20"/>
          <w:szCs w:val="20"/>
          <w:color w:val="auto"/>
        </w:rPr>
      </w:pPr>
      <w:r>
        <w:rPr>
          <w:rFonts w:ascii="Arial" w:cs="Arial" w:eastAsia="Arial" w:hAnsi="Arial"/>
          <w:sz w:val="17"/>
          <w:szCs w:val="17"/>
          <w:b w:val="1"/>
          <w:bCs w:val="1"/>
          <w:color w:val="auto"/>
        </w:rPr>
        <w:t xml:space="preserve">Goodwill – Certain Reporting Units – Refer to Notes 1 and 4 to the financial statements </w:t>
      </w:r>
      <w:r>
        <w:rPr>
          <w:rFonts w:ascii="Arial" w:cs="Arial" w:eastAsia="Arial" w:hAnsi="Arial"/>
          <w:sz w:val="17"/>
          <w:szCs w:val="17"/>
          <w:i w:val="1"/>
          <w:iCs w:val="1"/>
          <w:color w:val="auto"/>
        </w:rPr>
        <w:t>Critical Audit Matter Description</w:t>
      </w:r>
    </w:p>
    <w:p>
      <w:pPr>
        <w:jc w:val="both"/>
        <w:spacing w:after="0" w:line="231" w:lineRule="auto"/>
        <w:rPr>
          <w:sz w:val="20"/>
          <w:szCs w:val="20"/>
          <w:color w:val="auto"/>
        </w:rPr>
      </w:pPr>
      <w:r>
        <w:rPr>
          <w:rFonts w:ascii="Arial" w:cs="Arial" w:eastAsia="Arial" w:hAnsi="Arial"/>
          <w:sz w:val="17"/>
          <w:szCs w:val="17"/>
          <w:color w:val="auto"/>
        </w:rPr>
        <w:t>The Company’s evaluation of goodwill for impairment involves the comparison of management’s estimate of the fair value of each reporting unit to its carrying value. The estimated fair value of each reporting unit was derived primarily by utilizing a discounted cash flow analysis based on the Company’s operating and capital budgets and strategic plan. Significant judgments and assumptions including the revenue growth rate, forecasted gross margins, and discount rate are inherent in the fair value estimates. The use of alternate judgments and/or assumptions could result in a fair value that differs from management’s estimate and could result in the recognition of additional impairment charges in the financial statements. The Company performed its annual goodwill impairment test as of May 31, 2021, which resulted in no impairment. The fiscal 2021 test indicated that four reporting units with a combined total of $37.7 million of goodwill as of June 30, 2021 were at higher risk of future impairment than others because their estimated fair values exceed their carrying values by 6% to 40%. The Company’s total goodwill was $60.6 million as of June 30, 2021.</w:t>
      </w:r>
    </w:p>
    <w:p>
      <w:pPr>
        <w:spacing w:after="0" w:line="121"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We identified goodwill for three of the four identified reporting units with a combined total of $35.0 million of goodwill as a critical audit matter because of the significant judgments made by management to estimate the fair values of these reporting units. This required a high degree of auditor judgment and an increased extent of effort, including the need to involve our fair value specialists, when performing audit procedures to evaluate the reasonableness of management’s estimates and assumptions related to the revenue growth rate, forecasted gross margins, and discount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9" w:name="page50"/>
    <w:bookmarkEnd w:id="4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How the Critical Audit Matter Was Addressed in the Audit</w:t>
      </w:r>
    </w:p>
    <w:p>
      <w:pPr>
        <w:spacing w:after="0" w:line="145"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Our audit procedures related to the revenue growth rate, forecasted gross margins, and the discount rate used by management to estimate the fair value of the three identified reporting units included the following, among others:</w:t>
      </w:r>
    </w:p>
    <w:p>
      <w:pPr>
        <w:spacing w:after="0" w:line="106" w:lineRule="exact"/>
        <w:rPr>
          <w:sz w:val="20"/>
          <w:szCs w:val="20"/>
          <w:color w:val="auto"/>
        </w:rPr>
      </w:pPr>
    </w:p>
    <w:p>
      <w:pPr>
        <w:jc w:val="both"/>
        <w:ind w:left="640" w:hanging="320"/>
        <w:spacing w:after="0" w:line="241" w:lineRule="auto"/>
        <w:tabs>
          <w:tab w:leader="none" w:pos="635" w:val="left"/>
        </w:tabs>
        <w:numPr>
          <w:ilvl w:val="0"/>
          <w:numId w:val="30"/>
        </w:numPr>
        <w:rPr>
          <w:rFonts w:ascii="Arial" w:cs="Arial" w:eastAsia="Arial" w:hAnsi="Arial"/>
          <w:sz w:val="17"/>
          <w:szCs w:val="17"/>
          <w:color w:val="auto"/>
        </w:rPr>
      </w:pPr>
      <w:r>
        <w:rPr>
          <w:rFonts w:ascii="Arial" w:cs="Arial" w:eastAsia="Arial" w:hAnsi="Arial"/>
          <w:sz w:val="17"/>
          <w:szCs w:val="17"/>
          <w:color w:val="auto"/>
        </w:rPr>
        <w:t>We tested the effectiveness of controls over management’s goodwill impairment evaluation, including those over the determination of the fair value of the three identified reporting units, such as controls related to management’s selection of the revenue growth rate and discount rate and forecasts of gross margins.</w:t>
      </w:r>
    </w:p>
    <w:p>
      <w:pPr>
        <w:spacing w:after="0" w:line="119" w:lineRule="exact"/>
        <w:rPr>
          <w:rFonts w:ascii="Arial" w:cs="Arial" w:eastAsia="Arial" w:hAnsi="Arial"/>
          <w:sz w:val="17"/>
          <w:szCs w:val="17"/>
          <w:color w:val="auto"/>
        </w:rPr>
      </w:pPr>
    </w:p>
    <w:p>
      <w:pPr>
        <w:ind w:left="640" w:hanging="320"/>
        <w:spacing w:after="0" w:line="257" w:lineRule="auto"/>
        <w:tabs>
          <w:tab w:leader="none" w:pos="635" w:val="left"/>
        </w:tabs>
        <w:numPr>
          <w:ilvl w:val="0"/>
          <w:numId w:val="30"/>
        </w:numPr>
        <w:rPr>
          <w:rFonts w:ascii="Arial" w:cs="Arial" w:eastAsia="Arial" w:hAnsi="Arial"/>
          <w:sz w:val="17"/>
          <w:szCs w:val="17"/>
          <w:color w:val="auto"/>
        </w:rPr>
      </w:pPr>
      <w:r>
        <w:rPr>
          <w:rFonts w:ascii="Arial" w:cs="Arial" w:eastAsia="Arial" w:hAnsi="Arial"/>
          <w:sz w:val="17"/>
          <w:szCs w:val="17"/>
          <w:color w:val="auto"/>
        </w:rPr>
        <w:t>We evaluated management’s ability to accurately forecast the revenue growth rate and future gross margins by comparing actual results to management’s historical forecasts.</w:t>
      </w:r>
    </w:p>
    <w:p>
      <w:pPr>
        <w:spacing w:after="0" w:line="105" w:lineRule="exact"/>
        <w:rPr>
          <w:rFonts w:ascii="Arial" w:cs="Arial" w:eastAsia="Arial" w:hAnsi="Arial"/>
          <w:sz w:val="17"/>
          <w:szCs w:val="17"/>
          <w:color w:val="auto"/>
        </w:rPr>
      </w:pPr>
    </w:p>
    <w:p>
      <w:pPr>
        <w:ind w:left="620" w:hanging="300"/>
        <w:spacing w:after="0"/>
        <w:tabs>
          <w:tab w:leader="none" w:pos="6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We evaluated the reasonableness of management’s revenue growth rate and forecasted gross margins by comparing the forecasts to:</w:t>
      </w:r>
    </w:p>
    <w:p>
      <w:pPr>
        <w:spacing w:after="0" w:line="145" w:lineRule="exact"/>
        <w:rPr>
          <w:rFonts w:ascii="Arial" w:cs="Arial" w:eastAsia="Arial" w:hAnsi="Arial"/>
          <w:sz w:val="17"/>
          <w:szCs w:val="17"/>
          <w:color w:val="auto"/>
        </w:rPr>
      </w:pPr>
    </w:p>
    <w:p>
      <w:pPr>
        <w:ind w:left="1260" w:hanging="311"/>
        <w:spacing w:after="0"/>
        <w:tabs>
          <w:tab w:leader="none" w:pos="1260" w:val="left"/>
        </w:tabs>
        <w:numPr>
          <w:ilvl w:val="1"/>
          <w:numId w:val="30"/>
        </w:numPr>
        <w:rPr>
          <w:rFonts w:ascii="Arial" w:cs="Arial" w:eastAsia="Arial" w:hAnsi="Arial"/>
          <w:sz w:val="17"/>
          <w:szCs w:val="17"/>
          <w:color w:val="auto"/>
        </w:rPr>
      </w:pPr>
      <w:r>
        <w:rPr>
          <w:rFonts w:ascii="Arial" w:cs="Arial" w:eastAsia="Arial" w:hAnsi="Arial"/>
          <w:sz w:val="17"/>
          <w:szCs w:val="17"/>
          <w:color w:val="auto"/>
        </w:rPr>
        <w:t>Historical revenue growth and gross margins.</w:t>
      </w:r>
    </w:p>
    <w:p>
      <w:pPr>
        <w:spacing w:after="0" w:line="145" w:lineRule="exact"/>
        <w:rPr>
          <w:rFonts w:ascii="Arial" w:cs="Arial" w:eastAsia="Arial" w:hAnsi="Arial"/>
          <w:sz w:val="17"/>
          <w:szCs w:val="17"/>
          <w:color w:val="auto"/>
        </w:rPr>
      </w:pPr>
    </w:p>
    <w:p>
      <w:pPr>
        <w:ind w:left="1260" w:hanging="311"/>
        <w:spacing w:after="0" w:line="257" w:lineRule="auto"/>
        <w:tabs>
          <w:tab w:leader="none" w:pos="1256" w:val="left"/>
        </w:tabs>
        <w:numPr>
          <w:ilvl w:val="1"/>
          <w:numId w:val="30"/>
        </w:numPr>
        <w:rPr>
          <w:rFonts w:ascii="Arial" w:cs="Arial" w:eastAsia="Arial" w:hAnsi="Arial"/>
          <w:sz w:val="17"/>
          <w:szCs w:val="17"/>
          <w:color w:val="auto"/>
        </w:rPr>
      </w:pPr>
      <w:r>
        <w:rPr>
          <w:rFonts w:ascii="Arial" w:cs="Arial" w:eastAsia="Arial" w:hAnsi="Arial"/>
          <w:sz w:val="17"/>
          <w:szCs w:val="17"/>
          <w:color w:val="auto"/>
        </w:rPr>
        <w:t>Internal communications to management and the Board of Directors, including other forward estimates prepared or used by management for other accounting estimates.</w:t>
      </w:r>
    </w:p>
    <w:p>
      <w:pPr>
        <w:spacing w:after="0" w:line="105" w:lineRule="exact"/>
        <w:rPr>
          <w:rFonts w:ascii="Arial" w:cs="Arial" w:eastAsia="Arial" w:hAnsi="Arial"/>
          <w:sz w:val="17"/>
          <w:szCs w:val="17"/>
          <w:color w:val="auto"/>
        </w:rPr>
      </w:pPr>
    </w:p>
    <w:p>
      <w:pPr>
        <w:ind w:left="1260" w:hanging="311"/>
        <w:spacing w:after="0"/>
        <w:tabs>
          <w:tab w:leader="none" w:pos="1260" w:val="left"/>
        </w:tabs>
        <w:numPr>
          <w:ilvl w:val="1"/>
          <w:numId w:val="30"/>
        </w:numPr>
        <w:rPr>
          <w:rFonts w:ascii="Arial" w:cs="Arial" w:eastAsia="Arial" w:hAnsi="Arial"/>
          <w:sz w:val="17"/>
          <w:szCs w:val="17"/>
          <w:color w:val="auto"/>
        </w:rPr>
      </w:pPr>
      <w:r>
        <w:rPr>
          <w:rFonts w:ascii="Arial" w:cs="Arial" w:eastAsia="Arial" w:hAnsi="Arial"/>
          <w:sz w:val="17"/>
          <w:szCs w:val="17"/>
          <w:color w:val="auto"/>
        </w:rPr>
        <w:t>Remaining performance obligations.</w:t>
      </w:r>
    </w:p>
    <w:p>
      <w:pPr>
        <w:spacing w:after="0" w:line="145" w:lineRule="exact"/>
        <w:rPr>
          <w:rFonts w:ascii="Arial" w:cs="Arial" w:eastAsia="Arial" w:hAnsi="Arial"/>
          <w:sz w:val="17"/>
          <w:szCs w:val="17"/>
          <w:color w:val="auto"/>
        </w:rPr>
      </w:pPr>
    </w:p>
    <w:p>
      <w:pPr>
        <w:ind w:left="1260" w:hanging="311"/>
        <w:spacing w:after="0" w:line="257" w:lineRule="auto"/>
        <w:tabs>
          <w:tab w:leader="none" w:pos="1256" w:val="left"/>
        </w:tabs>
        <w:numPr>
          <w:ilvl w:val="1"/>
          <w:numId w:val="30"/>
        </w:numPr>
        <w:rPr>
          <w:rFonts w:ascii="Arial" w:cs="Arial" w:eastAsia="Arial" w:hAnsi="Arial"/>
          <w:sz w:val="17"/>
          <w:szCs w:val="17"/>
          <w:color w:val="auto"/>
        </w:rPr>
      </w:pPr>
      <w:r>
        <w:rPr>
          <w:rFonts w:ascii="Arial" w:cs="Arial" w:eastAsia="Arial" w:hAnsi="Arial"/>
          <w:sz w:val="17"/>
          <w:szCs w:val="17"/>
          <w:color w:val="auto"/>
        </w:rPr>
        <w:t>Information included in Company press releases as well as in analyst and industry reports for the Company and certain of its peer companies and in industry outlooks.</w:t>
      </w:r>
    </w:p>
    <w:p>
      <w:pPr>
        <w:spacing w:after="0" w:line="105" w:lineRule="exact"/>
        <w:rPr>
          <w:rFonts w:ascii="Arial" w:cs="Arial" w:eastAsia="Arial" w:hAnsi="Arial"/>
          <w:sz w:val="17"/>
          <w:szCs w:val="17"/>
          <w:color w:val="auto"/>
        </w:rPr>
      </w:pPr>
    </w:p>
    <w:p>
      <w:pPr>
        <w:jc w:val="both"/>
        <w:ind w:left="640" w:hanging="320"/>
        <w:spacing w:after="0" w:line="241" w:lineRule="auto"/>
        <w:tabs>
          <w:tab w:leader="none" w:pos="635" w:val="left"/>
        </w:tabs>
        <w:numPr>
          <w:ilvl w:val="0"/>
          <w:numId w:val="30"/>
        </w:numPr>
        <w:rPr>
          <w:rFonts w:ascii="Arial" w:cs="Arial" w:eastAsia="Arial" w:hAnsi="Arial"/>
          <w:sz w:val="17"/>
          <w:szCs w:val="17"/>
          <w:color w:val="auto"/>
        </w:rPr>
      </w:pPr>
      <w:r>
        <w:rPr>
          <w:rFonts w:ascii="Arial" w:cs="Arial" w:eastAsia="Arial" w:hAnsi="Arial"/>
          <w:sz w:val="17"/>
          <w:szCs w:val="17"/>
          <w:color w:val="auto"/>
        </w:rPr>
        <w:t>With the assistance of our fair value specialists, we evaluated the reasonableness of the (1) valuation methodology and (2) the discount rate, including testing the source information underlying the determination of the discount rate, testing the mathematical accuracy of the calculation, and developing a range of independent estimates and comparing those to the discount rate selected by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 DELOITTE &amp; TOUCHE LLP</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color w:val="auto"/>
        </w:rPr>
        <w:t>Tulsa, Oklahoma</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September 13, 2021</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Company's auditor since 2006.</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0" w:name="page51"/>
    <w:bookmarkEnd w:id="5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Matrix Service Company</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Income</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data)</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3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8"/>
              </w:rPr>
              <w:t>Fiscal Years Ended</w:t>
            </w: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6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60" w:type="dxa"/>
            <w:vAlign w:val="bottom"/>
            <w:gridSpan w:val="2"/>
          </w:tcPr>
          <w:p>
            <w:pPr>
              <w:ind w:left="220"/>
              <w:spacing w:after="0" w:line="130" w:lineRule="exact"/>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1"/>
                <w:szCs w:val="11"/>
                <w:color w:val="auto"/>
              </w:rPr>
            </w:pPr>
          </w:p>
        </w:tc>
        <w:tc>
          <w:tcPr>
            <w:tcW w:w="1500" w:type="dxa"/>
            <w:vAlign w:val="bottom"/>
            <w:gridSpan w:val="2"/>
          </w:tcPr>
          <w:p>
            <w:pPr>
              <w:jc w:val="center"/>
              <w:ind w:right="280"/>
              <w:spacing w:after="0" w:line="130" w:lineRule="exact"/>
              <w:rPr>
                <w:sz w:val="20"/>
                <w:szCs w:val="20"/>
                <w:color w:val="auto"/>
              </w:rPr>
            </w:pPr>
            <w:r>
              <w:rPr>
                <w:rFonts w:ascii="Arial" w:cs="Arial" w:eastAsia="Arial" w:hAnsi="Arial"/>
                <w:sz w:val="14"/>
                <w:szCs w:val="14"/>
                <w:b w:val="1"/>
                <w:bCs w:val="1"/>
                <w:color w:val="auto"/>
                <w:w w:val="89"/>
              </w:rPr>
              <w:t>June 30,</w:t>
            </w:r>
          </w:p>
        </w:tc>
        <w:tc>
          <w:tcPr>
            <w:tcW w:w="340" w:type="dxa"/>
            <w:vAlign w:val="bottom"/>
          </w:tcPr>
          <w:p>
            <w:pPr>
              <w:spacing w:after="0"/>
              <w:rPr>
                <w:sz w:val="11"/>
                <w:szCs w:val="11"/>
                <w:color w:val="auto"/>
              </w:rPr>
            </w:pPr>
          </w:p>
        </w:tc>
        <w:tc>
          <w:tcPr>
            <w:tcW w:w="1240" w:type="dxa"/>
            <w:vAlign w:val="bottom"/>
          </w:tcPr>
          <w:p>
            <w:pPr>
              <w:jc w:val="right"/>
              <w:ind w:right="454"/>
              <w:spacing w:after="0" w:line="130" w:lineRule="exact"/>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83"/>
        </w:trPr>
        <w:tc>
          <w:tcPr>
            <w:tcW w:w="63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7"/>
        </w:trPr>
        <w:tc>
          <w:tcPr>
            <w:tcW w:w="6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673,398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1,100,938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1,416,680</w:t>
            </w:r>
          </w:p>
        </w:tc>
        <w:tc>
          <w:tcPr>
            <w:tcW w:w="0" w:type="dxa"/>
            <w:vAlign w:val="bottom"/>
          </w:tcPr>
          <w:p>
            <w:pPr>
              <w:spacing w:after="0"/>
              <w:rPr>
                <w:sz w:val="1"/>
                <w:szCs w:val="1"/>
                <w:color w:val="auto"/>
              </w:rPr>
            </w:pPr>
          </w:p>
        </w:tc>
      </w:tr>
      <w:tr>
        <w:trPr>
          <w:trHeight w:val="223"/>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Cost of revenue</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640,633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998,762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1,284,729</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profit</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32,765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102,176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131,951</w:t>
            </w:r>
          </w:p>
        </w:tc>
        <w:tc>
          <w:tcPr>
            <w:tcW w:w="0" w:type="dxa"/>
            <w:vAlign w:val="bottom"/>
          </w:tcPr>
          <w:p>
            <w:pPr>
              <w:spacing w:after="0"/>
              <w:rPr>
                <w:sz w:val="1"/>
                <w:szCs w:val="1"/>
                <w:color w:val="auto"/>
              </w:rPr>
            </w:pPr>
          </w:p>
        </w:tc>
      </w:tr>
      <w:tr>
        <w:trPr>
          <w:trHeight w:val="223"/>
        </w:trPr>
        <w:tc>
          <w:tcPr>
            <w:tcW w:w="6320" w:type="dxa"/>
            <w:vAlign w:val="bottom"/>
          </w:tcPr>
          <w:p>
            <w:pPr>
              <w:ind w:left="20"/>
              <w:spacing w:after="0"/>
              <w:rPr>
                <w:sz w:val="20"/>
                <w:szCs w:val="20"/>
                <w:color w:val="auto"/>
              </w:rPr>
            </w:pPr>
            <w:r>
              <w:rPr>
                <w:rFonts w:ascii="Arial" w:cs="Arial" w:eastAsia="Arial" w:hAnsi="Arial"/>
                <w:sz w:val="17"/>
                <w:szCs w:val="17"/>
                <w:color w:val="auto"/>
              </w:rPr>
              <w:t>Selling, general and administrative expenses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69,756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86,276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94,021</w:t>
            </w:r>
          </w:p>
        </w:tc>
        <w:tc>
          <w:tcPr>
            <w:tcW w:w="0" w:type="dxa"/>
            <w:vAlign w:val="bottom"/>
          </w:tcPr>
          <w:p>
            <w:pPr>
              <w:spacing w:after="0"/>
              <w:rPr>
                <w:sz w:val="1"/>
                <w:szCs w:val="1"/>
                <w:color w:val="auto"/>
              </w:rPr>
            </w:pPr>
          </w:p>
        </w:tc>
      </w:tr>
      <w:tr>
        <w:trPr>
          <w:trHeight w:val="223"/>
        </w:trPr>
        <w:tc>
          <w:tcPr>
            <w:tcW w:w="6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Goodwill and other intangible asset impairment</w:t>
            </w:r>
          </w:p>
        </w:tc>
        <w:tc>
          <w:tcPr>
            <w:tcW w:w="3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38,515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Restructuring costs</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6,756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14,010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income (loss)</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(43,747)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(36,625)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37,930</w:t>
            </w:r>
          </w:p>
        </w:tc>
        <w:tc>
          <w:tcPr>
            <w:tcW w:w="0" w:type="dxa"/>
            <w:vAlign w:val="bottom"/>
          </w:tcPr>
          <w:p>
            <w:pPr>
              <w:spacing w:after="0"/>
              <w:rPr>
                <w:sz w:val="1"/>
                <w:szCs w:val="1"/>
                <w:color w:val="auto"/>
              </w:rPr>
            </w:pPr>
          </w:p>
        </w:tc>
      </w:tr>
      <w:tr>
        <w:trPr>
          <w:trHeight w:val="223"/>
        </w:trPr>
        <w:tc>
          <w:tcPr>
            <w:tcW w:w="6320" w:type="dxa"/>
            <w:vAlign w:val="bottom"/>
          </w:tcPr>
          <w:p>
            <w:pPr>
              <w:ind w:left="20"/>
              <w:spacing w:after="0"/>
              <w:rPr>
                <w:sz w:val="20"/>
                <w:szCs w:val="20"/>
                <w:color w:val="auto"/>
              </w:rPr>
            </w:pPr>
            <w:r>
              <w:rPr>
                <w:rFonts w:ascii="Arial" w:cs="Arial" w:eastAsia="Arial" w:hAnsi="Arial"/>
                <w:sz w:val="17"/>
                <w:szCs w:val="17"/>
                <w:color w:val="auto"/>
              </w:rPr>
              <w:t>Other income (expense):</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Interest expense</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(1,296)</w:t>
            </w:r>
          </w:p>
        </w:tc>
        <w:tc>
          <w:tcPr>
            <w:tcW w:w="0" w:type="dxa"/>
            <w:vAlign w:val="bottom"/>
          </w:tcPr>
          <w:p>
            <w:pPr>
              <w:spacing w:after="0"/>
              <w:rPr>
                <w:sz w:val="1"/>
                <w:szCs w:val="1"/>
                <w:color w:val="auto"/>
              </w:rPr>
            </w:pPr>
          </w:p>
        </w:tc>
      </w:tr>
      <w:tr>
        <w:trPr>
          <w:trHeight w:val="223"/>
        </w:trPr>
        <w:tc>
          <w:tcPr>
            <w:tcW w:w="6320" w:type="dxa"/>
            <w:vAlign w:val="bottom"/>
          </w:tcPr>
          <w:p>
            <w:pPr>
              <w:ind w:left="340"/>
              <w:spacing w:after="0"/>
              <w:rPr>
                <w:sz w:val="20"/>
                <w:szCs w:val="20"/>
                <w:color w:val="auto"/>
              </w:rPr>
            </w:pPr>
            <w:r>
              <w:rPr>
                <w:rFonts w:ascii="Arial" w:cs="Arial" w:eastAsia="Arial" w:hAnsi="Arial"/>
                <w:sz w:val="17"/>
                <w:szCs w:val="17"/>
                <w:color w:val="auto"/>
              </w:rPr>
              <w:t>Interest income</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126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1,270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1,167</w:t>
            </w:r>
          </w:p>
        </w:tc>
        <w:tc>
          <w:tcPr>
            <w:tcW w:w="0" w:type="dxa"/>
            <w:vAlign w:val="bottom"/>
          </w:tcPr>
          <w:p>
            <w:pPr>
              <w:spacing w:after="0"/>
              <w:rPr>
                <w:sz w:val="1"/>
                <w:szCs w:val="1"/>
                <w:color w:val="auto"/>
              </w:rPr>
            </w:pPr>
          </w:p>
        </w:tc>
      </w:tr>
      <w:tr>
        <w:trPr>
          <w:trHeight w:val="223"/>
        </w:trPr>
        <w:tc>
          <w:tcPr>
            <w:tcW w:w="63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1,917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611</w:t>
            </w:r>
          </w:p>
        </w:tc>
        <w:tc>
          <w:tcPr>
            <w:tcW w:w="0" w:type="dxa"/>
            <w:vAlign w:val="bottom"/>
          </w:tcPr>
          <w:p>
            <w:pPr>
              <w:spacing w:after="0"/>
              <w:rPr>
                <w:sz w:val="1"/>
                <w:szCs w:val="1"/>
                <w:color w:val="auto"/>
              </w:rPr>
            </w:pPr>
          </w:p>
        </w:tc>
      </w:tr>
      <w:tr>
        <w:trPr>
          <w:trHeight w:val="216"/>
        </w:trPr>
        <w:tc>
          <w:tcPr>
            <w:tcW w:w="6320" w:type="dxa"/>
            <w:vAlign w:val="bottom"/>
          </w:tcPr>
          <w:p>
            <w:pPr>
              <w:ind w:left="20"/>
              <w:spacing w:after="0"/>
              <w:rPr>
                <w:sz w:val="20"/>
                <w:szCs w:val="20"/>
                <w:color w:val="auto"/>
              </w:rPr>
            </w:pPr>
            <w:r>
              <w:rPr>
                <w:rFonts w:ascii="Arial" w:cs="Arial" w:eastAsia="Arial" w:hAnsi="Arial"/>
                <w:sz w:val="17"/>
                <w:szCs w:val="17"/>
                <w:color w:val="auto"/>
              </w:rPr>
              <w:t>Income (loss) before income tax expense</w:t>
            </w: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(43,263)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(36,644)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38,412</w:t>
            </w:r>
          </w:p>
        </w:tc>
        <w:tc>
          <w:tcPr>
            <w:tcW w:w="0" w:type="dxa"/>
            <w:vAlign w:val="bottom"/>
          </w:tcPr>
          <w:p>
            <w:pPr>
              <w:spacing w:after="0"/>
              <w:rPr>
                <w:sz w:val="1"/>
                <w:szCs w:val="1"/>
                <w:color w:val="auto"/>
              </w:rPr>
            </w:pPr>
          </w:p>
        </w:tc>
      </w:tr>
      <w:tr>
        <w:trPr>
          <w:trHeight w:val="223"/>
        </w:trPr>
        <w:tc>
          <w:tcPr>
            <w:tcW w:w="6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Provision (benefit) for federal, state and foreign income taxes</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(12,039)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(3,570)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10,430</w:t>
            </w:r>
          </w:p>
        </w:tc>
        <w:tc>
          <w:tcPr>
            <w:tcW w:w="0" w:type="dxa"/>
            <w:vAlign w:val="bottom"/>
          </w:tcPr>
          <w:p>
            <w:pPr>
              <w:spacing w:after="0"/>
              <w:rPr>
                <w:sz w:val="1"/>
                <w:szCs w:val="1"/>
                <w:color w:val="auto"/>
              </w:rPr>
            </w:pPr>
          </w:p>
        </w:tc>
      </w:tr>
      <w:tr>
        <w:trPr>
          <w:trHeight w:val="190"/>
        </w:trPr>
        <w:tc>
          <w:tcPr>
            <w:tcW w:w="6320" w:type="dxa"/>
            <w:vAlign w:val="bottom"/>
          </w:tcPr>
          <w:p>
            <w:pPr>
              <w:ind w:left="20"/>
              <w:spacing w:after="0" w:line="190" w:lineRule="exact"/>
              <w:rPr>
                <w:sz w:val="20"/>
                <w:szCs w:val="20"/>
                <w:color w:val="auto"/>
              </w:rPr>
            </w:pPr>
            <w:r>
              <w:rPr>
                <w:rFonts w:ascii="Arial" w:cs="Arial" w:eastAsia="Arial" w:hAnsi="Arial"/>
                <w:sz w:val="17"/>
                <w:szCs w:val="17"/>
                <w:color w:val="auto"/>
              </w:rPr>
              <w:t>Net income (loss)</w:t>
            </w:r>
          </w:p>
        </w:tc>
        <w:tc>
          <w:tcPr>
            <w:tcW w:w="320" w:type="dxa"/>
            <w:vAlign w:val="bottom"/>
            <w:tcBorders>
              <w:bottom w:val="single" w:sz="8" w:color="auto"/>
            </w:tcBorders>
          </w:tcPr>
          <w:p>
            <w:pPr>
              <w:jc w:val="right"/>
              <w:ind w:right="133"/>
              <w:spacing w:after="0" w:line="190" w:lineRule="exact"/>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tcPr>
          <w:p>
            <w:pPr>
              <w:jc w:val="right"/>
              <w:spacing w:after="0" w:line="190" w:lineRule="exact"/>
              <w:rPr>
                <w:sz w:val="20"/>
                <w:szCs w:val="20"/>
                <w:color w:val="auto"/>
              </w:rPr>
            </w:pPr>
            <w:r>
              <w:rPr>
                <w:rFonts w:ascii="Arial" w:cs="Arial" w:eastAsia="Arial" w:hAnsi="Arial"/>
                <w:sz w:val="17"/>
                <w:szCs w:val="17"/>
                <w:color w:val="auto"/>
              </w:rPr>
              <w:t>(31,224)</w:t>
            </w:r>
          </w:p>
        </w:tc>
        <w:tc>
          <w:tcPr>
            <w:tcW w:w="120" w:type="dxa"/>
            <w:vAlign w:val="bottom"/>
          </w:tcPr>
          <w:p>
            <w:pPr>
              <w:spacing w:after="0"/>
              <w:rPr>
                <w:sz w:val="16"/>
                <w:szCs w:val="16"/>
                <w:color w:val="auto"/>
              </w:rPr>
            </w:pPr>
          </w:p>
        </w:tc>
        <w:tc>
          <w:tcPr>
            <w:tcW w:w="160" w:type="dxa"/>
            <w:vAlign w:val="bottom"/>
            <w:tcBorders>
              <w:bottom w:val="single" w:sz="8" w:color="auto"/>
            </w:tcBorders>
          </w:tcPr>
          <w:p>
            <w:pPr>
              <w:jc w:val="right"/>
              <w:spacing w:after="0" w:line="190" w:lineRule="exact"/>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tcPr>
          <w:p>
            <w:pPr>
              <w:jc w:val="right"/>
              <w:spacing w:after="0" w:line="190" w:lineRule="exact"/>
              <w:rPr>
                <w:sz w:val="20"/>
                <w:szCs w:val="20"/>
                <w:color w:val="auto"/>
              </w:rPr>
            </w:pPr>
            <w:r>
              <w:rPr>
                <w:rFonts w:ascii="Arial" w:cs="Arial" w:eastAsia="Arial" w:hAnsi="Arial"/>
                <w:sz w:val="17"/>
                <w:szCs w:val="17"/>
                <w:color w:val="auto"/>
              </w:rPr>
              <w:t>(33,074)</w:t>
            </w:r>
          </w:p>
        </w:tc>
        <w:tc>
          <w:tcPr>
            <w:tcW w:w="100" w:type="dxa"/>
            <w:vAlign w:val="bottom"/>
          </w:tcPr>
          <w:p>
            <w:pPr>
              <w:spacing w:after="0"/>
              <w:rPr>
                <w:sz w:val="16"/>
                <w:szCs w:val="16"/>
                <w:color w:val="auto"/>
              </w:rPr>
            </w:pPr>
          </w:p>
        </w:tc>
        <w:tc>
          <w:tcPr>
            <w:tcW w:w="340" w:type="dxa"/>
            <w:vAlign w:val="bottom"/>
            <w:tcBorders>
              <w:bottom w:val="single" w:sz="8" w:color="auto"/>
            </w:tcBorders>
          </w:tcPr>
          <w:p>
            <w:pPr>
              <w:jc w:val="right"/>
              <w:ind w:right="133"/>
              <w:spacing w:after="0" w:line="190" w:lineRule="exact"/>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tcPr>
          <w:p>
            <w:pPr>
              <w:jc w:val="right"/>
              <w:spacing w:after="0" w:line="190" w:lineRule="exact"/>
              <w:rPr>
                <w:sz w:val="20"/>
                <w:szCs w:val="20"/>
                <w:color w:val="auto"/>
              </w:rPr>
            </w:pPr>
            <w:r>
              <w:rPr>
                <w:rFonts w:ascii="Arial" w:cs="Arial" w:eastAsia="Arial" w:hAnsi="Arial"/>
                <w:sz w:val="17"/>
                <w:szCs w:val="17"/>
                <w:color w:val="auto"/>
              </w:rPr>
              <w:t>27,982</w:t>
            </w:r>
          </w:p>
        </w:tc>
        <w:tc>
          <w:tcPr>
            <w:tcW w:w="0" w:type="dxa"/>
            <w:vAlign w:val="bottom"/>
          </w:tcPr>
          <w:p>
            <w:pPr>
              <w:spacing w:after="0"/>
              <w:rPr>
                <w:sz w:val="1"/>
                <w:szCs w:val="1"/>
                <w:color w:val="auto"/>
              </w:rPr>
            </w:pPr>
          </w:p>
        </w:tc>
      </w:tr>
      <w:tr>
        <w:trPr>
          <w:trHeight w:val="20"/>
        </w:trPr>
        <w:tc>
          <w:tcPr>
            <w:tcW w:w="63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Basic earnings (loss) per common share</w:t>
            </w:r>
          </w:p>
        </w:tc>
        <w:tc>
          <w:tcPr>
            <w:tcW w:w="3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1.04</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Diluted earnings (loss) per common share</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320" w:type="dxa"/>
            <w:vAlign w:val="bottom"/>
            <w:vMerge w:val="continue"/>
          </w:tcPr>
          <w:p>
            <w:pPr>
              <w:spacing w:after="0"/>
              <w:rPr>
                <w:sz w:val="16"/>
                <w:szCs w:val="16"/>
                <w:color w:val="auto"/>
              </w:rPr>
            </w:pPr>
          </w:p>
        </w:tc>
        <w:tc>
          <w:tcPr>
            <w:tcW w:w="32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(1.18)</w:t>
            </w:r>
          </w:p>
        </w:tc>
        <w:tc>
          <w:tcPr>
            <w:tcW w:w="12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(1.24)</w:t>
            </w:r>
          </w:p>
        </w:tc>
        <w:tc>
          <w:tcPr>
            <w:tcW w:w="100" w:type="dxa"/>
            <w:vAlign w:val="bottom"/>
          </w:tcPr>
          <w:p>
            <w:pPr>
              <w:spacing w:after="0"/>
              <w:rPr>
                <w:sz w:val="16"/>
                <w:szCs w:val="16"/>
                <w:color w:val="auto"/>
              </w:rPr>
            </w:pPr>
          </w:p>
        </w:tc>
        <w:tc>
          <w:tcPr>
            <w:tcW w:w="34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1.01</w:t>
            </w:r>
          </w:p>
        </w:tc>
        <w:tc>
          <w:tcPr>
            <w:tcW w:w="0" w:type="dxa"/>
            <w:vAlign w:val="bottom"/>
          </w:tcPr>
          <w:p>
            <w:pPr>
              <w:spacing w:after="0"/>
              <w:rPr>
                <w:sz w:val="1"/>
                <w:szCs w:val="1"/>
                <w:color w:val="auto"/>
              </w:rPr>
            </w:pPr>
          </w:p>
        </w:tc>
      </w:tr>
      <w:tr>
        <w:trPr>
          <w:trHeight w:val="20"/>
        </w:trPr>
        <w:tc>
          <w:tcPr>
            <w:tcW w:w="63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32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Weighted average common shares outstanding:</w:t>
            </w:r>
          </w:p>
        </w:tc>
        <w:tc>
          <w:tcPr>
            <w:tcW w:w="3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320" w:type="dxa"/>
            <w:vAlign w:val="bottom"/>
          </w:tcPr>
          <w:p>
            <w:pPr>
              <w:ind w:left="340"/>
              <w:spacing w:after="0"/>
              <w:rPr>
                <w:sz w:val="20"/>
                <w:szCs w:val="20"/>
                <w:color w:val="auto"/>
              </w:rPr>
            </w:pPr>
            <w:r>
              <w:rPr>
                <w:rFonts w:ascii="Arial" w:cs="Arial" w:eastAsia="Arial" w:hAnsi="Arial"/>
                <w:sz w:val="17"/>
                <w:szCs w:val="17"/>
                <w:color w:val="auto"/>
              </w:rPr>
              <w:t>Basic</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26,451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26,621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26,891</w:t>
            </w:r>
          </w:p>
        </w:tc>
        <w:tc>
          <w:tcPr>
            <w:tcW w:w="0" w:type="dxa"/>
            <w:vAlign w:val="bottom"/>
          </w:tcPr>
          <w:p>
            <w:pPr>
              <w:spacing w:after="0"/>
              <w:rPr>
                <w:sz w:val="1"/>
                <w:szCs w:val="1"/>
                <w:color w:val="auto"/>
              </w:rPr>
            </w:pPr>
          </w:p>
        </w:tc>
      </w:tr>
      <w:tr>
        <w:trPr>
          <w:trHeight w:val="223"/>
        </w:trPr>
        <w:tc>
          <w:tcPr>
            <w:tcW w:w="63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Diluted</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26,451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26,621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27,587</w:t>
            </w:r>
          </w:p>
        </w:tc>
        <w:tc>
          <w:tcPr>
            <w:tcW w:w="0" w:type="dxa"/>
            <w:vAlign w:val="bottom"/>
          </w:tcPr>
          <w:p>
            <w:pPr>
              <w:spacing w:after="0"/>
              <w:rPr>
                <w:sz w:val="1"/>
                <w:szCs w:val="1"/>
                <w:color w:val="auto"/>
              </w:rPr>
            </w:pPr>
          </w:p>
        </w:tc>
      </w:tr>
    </w:tbl>
    <w:p>
      <w:pPr>
        <w:spacing w:after="0" w:line="394"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See accompanying notes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1" w:name="page52"/>
    <w:bookmarkEnd w:id="5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Matrix Service Company</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Comprehensive Income</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3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8"/>
              </w:rPr>
              <w:t>Fiscal Years Ended</w:t>
            </w: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6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60" w:type="dxa"/>
            <w:vAlign w:val="bottom"/>
            <w:gridSpan w:val="2"/>
          </w:tcPr>
          <w:p>
            <w:pPr>
              <w:ind w:left="220"/>
              <w:spacing w:after="0" w:line="130" w:lineRule="exact"/>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1"/>
                <w:szCs w:val="11"/>
                <w:color w:val="auto"/>
              </w:rPr>
            </w:pPr>
          </w:p>
        </w:tc>
        <w:tc>
          <w:tcPr>
            <w:tcW w:w="1500" w:type="dxa"/>
            <w:vAlign w:val="bottom"/>
            <w:gridSpan w:val="2"/>
          </w:tcPr>
          <w:p>
            <w:pPr>
              <w:jc w:val="center"/>
              <w:ind w:right="280"/>
              <w:spacing w:after="0" w:line="130" w:lineRule="exact"/>
              <w:rPr>
                <w:sz w:val="20"/>
                <w:szCs w:val="20"/>
                <w:color w:val="auto"/>
              </w:rPr>
            </w:pPr>
            <w:r>
              <w:rPr>
                <w:rFonts w:ascii="Arial" w:cs="Arial" w:eastAsia="Arial" w:hAnsi="Arial"/>
                <w:sz w:val="14"/>
                <w:szCs w:val="14"/>
                <w:b w:val="1"/>
                <w:bCs w:val="1"/>
                <w:color w:val="auto"/>
                <w:w w:val="89"/>
              </w:rPr>
              <w:t>June 30,</w:t>
            </w:r>
          </w:p>
        </w:tc>
        <w:tc>
          <w:tcPr>
            <w:tcW w:w="340" w:type="dxa"/>
            <w:vAlign w:val="bottom"/>
          </w:tcPr>
          <w:p>
            <w:pPr>
              <w:spacing w:after="0"/>
              <w:rPr>
                <w:sz w:val="11"/>
                <w:szCs w:val="11"/>
                <w:color w:val="auto"/>
              </w:rPr>
            </w:pPr>
          </w:p>
        </w:tc>
        <w:tc>
          <w:tcPr>
            <w:tcW w:w="1240" w:type="dxa"/>
            <w:vAlign w:val="bottom"/>
          </w:tcPr>
          <w:p>
            <w:pPr>
              <w:jc w:val="right"/>
              <w:ind w:right="460"/>
              <w:spacing w:after="0" w:line="130" w:lineRule="exact"/>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83"/>
        </w:trPr>
        <w:tc>
          <w:tcPr>
            <w:tcW w:w="63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7"/>
        </w:trPr>
        <w:tc>
          <w:tcPr>
            <w:tcW w:w="6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 (loss)</w:t>
            </w: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(31,224)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(33,074)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27,982</w:t>
            </w:r>
          </w:p>
        </w:tc>
        <w:tc>
          <w:tcPr>
            <w:tcW w:w="0" w:type="dxa"/>
            <w:vAlign w:val="bottom"/>
          </w:tcPr>
          <w:p>
            <w:pPr>
              <w:spacing w:after="0"/>
              <w:rPr>
                <w:sz w:val="1"/>
                <w:szCs w:val="1"/>
                <w:color w:val="auto"/>
              </w:rPr>
            </w:pPr>
          </w:p>
        </w:tc>
      </w:tr>
      <w:tr>
        <w:trPr>
          <w:trHeight w:val="223"/>
        </w:trPr>
        <w:tc>
          <w:tcPr>
            <w:tcW w:w="6320" w:type="dxa"/>
            <w:vAlign w:val="bottom"/>
          </w:tcPr>
          <w:p>
            <w:pPr>
              <w:ind w:left="20"/>
              <w:spacing w:after="0"/>
              <w:rPr>
                <w:sz w:val="20"/>
                <w:szCs w:val="20"/>
                <w:color w:val="auto"/>
              </w:rPr>
            </w:pPr>
            <w:r>
              <w:rPr>
                <w:rFonts w:ascii="Arial" w:cs="Arial" w:eastAsia="Arial" w:hAnsi="Arial"/>
                <w:sz w:val="17"/>
                <w:szCs w:val="17"/>
                <w:color w:val="auto"/>
              </w:rPr>
              <w:t>Other comprehensive income (loss), net of tax:</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6320" w:type="dxa"/>
            <w:vAlign w:val="bottom"/>
            <w:shd w:val="clear" w:color="auto" w:fill="CCEEFF"/>
          </w:tcPr>
          <w:p>
            <w:pPr>
              <w:ind w:left="340"/>
              <w:spacing w:after="0" w:line="172" w:lineRule="exact"/>
              <w:rPr>
                <w:sz w:val="20"/>
                <w:szCs w:val="20"/>
                <w:color w:val="auto"/>
              </w:rPr>
            </w:pPr>
            <w:r>
              <w:rPr>
                <w:rFonts w:ascii="Arial" w:cs="Arial" w:eastAsia="Arial" w:hAnsi="Arial"/>
                <w:sz w:val="17"/>
                <w:szCs w:val="17"/>
                <w:color w:val="auto"/>
                <w:w w:val="96"/>
              </w:rPr>
              <w:t>Foreign currency translation gain (loss) (net of tax expense (benefit) of $223, $(88)</w:t>
            </w:r>
          </w:p>
        </w:tc>
        <w:tc>
          <w:tcPr>
            <w:tcW w:w="32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1,624</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(622)</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(340)</w:t>
            </w:r>
          </w:p>
        </w:tc>
        <w:tc>
          <w:tcPr>
            <w:tcW w:w="0" w:type="dxa"/>
            <w:vAlign w:val="bottom"/>
          </w:tcPr>
          <w:p>
            <w:pPr>
              <w:spacing w:after="0"/>
              <w:rPr>
                <w:sz w:val="1"/>
                <w:szCs w:val="1"/>
                <w:color w:val="auto"/>
              </w:rPr>
            </w:pPr>
          </w:p>
        </w:tc>
      </w:tr>
      <w:tr>
        <w:trPr>
          <w:trHeight w:val="222"/>
        </w:trPr>
        <w:tc>
          <w:tcPr>
            <w:tcW w:w="6320" w:type="dxa"/>
            <w:vAlign w:val="bottom"/>
            <w:shd w:val="clear" w:color="auto" w:fill="CCEEFF"/>
          </w:tcPr>
          <w:p>
            <w:pPr>
              <w:ind w:left="340"/>
              <w:spacing w:after="0"/>
              <w:rPr>
                <w:sz w:val="20"/>
                <w:szCs w:val="20"/>
                <w:color w:val="auto"/>
              </w:rPr>
            </w:pPr>
            <w:r>
              <w:rPr>
                <w:rFonts w:ascii="Arial" w:cs="Arial" w:eastAsia="Arial" w:hAnsi="Arial"/>
                <w:sz w:val="17"/>
                <w:szCs w:val="17"/>
                <w:color w:val="auto"/>
                <w:w w:val="99"/>
              </w:rPr>
              <w:t>and $27 for the fiscal years ended June 30, 2021, 2020 and 2019, respectively)</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20" w:type="dxa"/>
            <w:vAlign w:val="bottom"/>
          </w:tcPr>
          <w:p>
            <w:pPr>
              <w:ind w:left="20"/>
              <w:spacing w:after="0"/>
              <w:rPr>
                <w:sz w:val="20"/>
                <w:szCs w:val="20"/>
                <w:color w:val="auto"/>
              </w:rPr>
            </w:pPr>
            <w:r>
              <w:rPr>
                <w:rFonts w:ascii="Arial" w:cs="Arial" w:eastAsia="Arial" w:hAnsi="Arial"/>
                <w:sz w:val="17"/>
                <w:szCs w:val="17"/>
                <w:color w:val="auto"/>
              </w:rPr>
              <w:t>Comprehensive income (loss)</w:t>
            </w:r>
          </w:p>
        </w:tc>
        <w:tc>
          <w:tcPr>
            <w:tcW w:w="32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(29,600)</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(33,696)</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27,642</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See accompanying notes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2" w:name="page53"/>
    <w:bookmarkEnd w:id="5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Matrix Service Company</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Balance Sheets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gridSpan w:val="2"/>
          </w:tcPr>
          <w:p>
            <w:pPr>
              <w:ind w:left="200"/>
              <w:spacing w:after="0"/>
              <w:rPr>
                <w:sz w:val="20"/>
                <w:szCs w:val="20"/>
                <w:color w:val="auto"/>
              </w:rPr>
            </w:pPr>
            <w:r>
              <w:rPr>
                <w:rFonts w:ascii="Arial" w:cs="Arial" w:eastAsia="Arial" w:hAnsi="Arial"/>
                <w:sz w:val="14"/>
                <w:szCs w:val="14"/>
                <w:b w:val="1"/>
                <w:bCs w:val="1"/>
                <w:color w:val="auto"/>
              </w:rPr>
              <w:t>June 30,</w:t>
            </w:r>
          </w:p>
        </w:tc>
        <w:tc>
          <w:tcPr>
            <w:tcW w:w="340" w:type="dxa"/>
            <w:vAlign w:val="bottom"/>
          </w:tcPr>
          <w:p>
            <w:pPr>
              <w:spacing w:after="0"/>
              <w:rPr>
                <w:sz w:val="14"/>
                <w:szCs w:val="14"/>
                <w:color w:val="auto"/>
              </w:rPr>
            </w:pPr>
          </w:p>
        </w:tc>
        <w:tc>
          <w:tcPr>
            <w:tcW w:w="1240" w:type="dxa"/>
            <w:vAlign w:val="bottom"/>
          </w:tcPr>
          <w:p>
            <w:pPr>
              <w:jc w:val="right"/>
              <w:ind w:right="454"/>
              <w:spacing w:after="0"/>
              <w:rPr>
                <w:sz w:val="20"/>
                <w:szCs w:val="20"/>
                <w:color w:val="auto"/>
              </w:rPr>
            </w:pPr>
            <w:r>
              <w:rPr>
                <w:rFonts w:ascii="Arial" w:cs="Arial" w:eastAsia="Arial" w:hAnsi="Arial"/>
                <w:sz w:val="14"/>
                <w:szCs w:val="14"/>
                <w:b w:val="1"/>
                <w:bCs w:val="1"/>
                <w:color w:val="auto"/>
              </w:rPr>
              <w:t>June 30,</w:t>
            </w:r>
          </w:p>
        </w:tc>
      </w:tr>
      <w:tr>
        <w:trPr>
          <w:trHeight w:val="183"/>
        </w:trPr>
        <w:tc>
          <w:tcPr>
            <w:tcW w:w="80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2020</w:t>
            </w:r>
          </w:p>
        </w:tc>
      </w:tr>
      <w:tr>
        <w:trPr>
          <w:trHeight w:val="204"/>
        </w:trPr>
        <w:tc>
          <w:tcPr>
            <w:tcW w:w="8000" w:type="dxa"/>
            <w:vAlign w:val="bottom"/>
          </w:tcPr>
          <w:p>
            <w:pPr>
              <w:ind w:left="3720"/>
              <w:spacing w:after="0"/>
              <w:rPr>
                <w:sz w:val="20"/>
                <w:szCs w:val="20"/>
                <w:color w:val="auto"/>
              </w:rPr>
            </w:pPr>
            <w:r>
              <w:rPr>
                <w:rFonts w:ascii="Arial" w:cs="Arial" w:eastAsia="Arial" w:hAnsi="Arial"/>
                <w:sz w:val="17"/>
                <w:szCs w:val="17"/>
                <w:b w:val="1"/>
                <w:bCs w:val="1"/>
                <w:color w:val="auto"/>
              </w:rPr>
              <w:t>Assets</w:t>
            </w: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23"/>
        </w:trPr>
        <w:tc>
          <w:tcPr>
            <w:tcW w:w="8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Current assets: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3"/>
        </w:trPr>
        <w:tc>
          <w:tcPr>
            <w:tcW w:w="8000" w:type="dxa"/>
            <w:vAlign w:val="bottom"/>
          </w:tcPr>
          <w:p>
            <w:pPr>
              <w:ind w:left="340"/>
              <w:spacing w:after="0"/>
              <w:rPr>
                <w:sz w:val="20"/>
                <w:szCs w:val="20"/>
                <w:color w:val="auto"/>
              </w:rPr>
            </w:pPr>
            <w:r>
              <w:rPr>
                <w:rFonts w:ascii="Arial" w:cs="Arial" w:eastAsia="Arial" w:hAnsi="Arial"/>
                <w:sz w:val="17"/>
                <w:szCs w:val="17"/>
                <w:color w:val="auto"/>
              </w:rPr>
              <w:t>Cash and cash equivalents</w:t>
            </w:r>
          </w:p>
        </w:tc>
        <w:tc>
          <w:tcPr>
            <w:tcW w:w="320" w:type="dxa"/>
            <w:vAlign w:val="bottom"/>
          </w:tcPr>
          <w:p>
            <w:pPr>
              <w:jc w:val="right"/>
              <w:ind w:right="133"/>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83,878</w:t>
            </w:r>
          </w:p>
        </w:tc>
        <w:tc>
          <w:tcPr>
            <w:tcW w:w="100" w:type="dxa"/>
            <w:vAlign w:val="bottom"/>
          </w:tcPr>
          <w:p>
            <w:pPr>
              <w:spacing w:after="0"/>
              <w:rPr>
                <w:sz w:val="19"/>
                <w:szCs w:val="19"/>
                <w:color w:val="auto"/>
              </w:rPr>
            </w:pPr>
          </w:p>
        </w:tc>
        <w:tc>
          <w:tcPr>
            <w:tcW w:w="340" w:type="dxa"/>
            <w:vAlign w:val="bottom"/>
          </w:tcPr>
          <w:p>
            <w:pPr>
              <w:jc w:val="right"/>
              <w:ind w:right="133"/>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100,036</w:t>
            </w:r>
          </w:p>
        </w:tc>
      </w:tr>
      <w:tr>
        <w:trPr>
          <w:trHeight w:val="223"/>
        </w:trPr>
        <w:tc>
          <w:tcPr>
            <w:tcW w:w="80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Accounts receivable, less allowances (2021 - $898; 2020 - $905)</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148,030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160,671</w:t>
            </w:r>
          </w:p>
        </w:tc>
      </w:tr>
      <w:tr>
        <w:trPr>
          <w:trHeight w:val="223"/>
        </w:trPr>
        <w:tc>
          <w:tcPr>
            <w:tcW w:w="8000" w:type="dxa"/>
            <w:vAlign w:val="bottom"/>
          </w:tcPr>
          <w:p>
            <w:pPr>
              <w:ind w:left="340"/>
              <w:spacing w:after="0"/>
              <w:rPr>
                <w:sz w:val="20"/>
                <w:szCs w:val="20"/>
                <w:color w:val="auto"/>
              </w:rPr>
            </w:pPr>
            <w:r>
              <w:rPr>
                <w:rFonts w:ascii="Arial" w:cs="Arial" w:eastAsia="Arial" w:hAnsi="Arial"/>
                <w:sz w:val="17"/>
                <w:szCs w:val="17"/>
                <w:color w:val="auto"/>
              </w:rPr>
              <w:t>Costs and estimated earnings in excess of billings on uncompleted contracts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30,774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59,548</w:t>
            </w:r>
          </w:p>
        </w:tc>
      </w:tr>
      <w:tr>
        <w:trPr>
          <w:trHeight w:val="223"/>
        </w:trPr>
        <w:tc>
          <w:tcPr>
            <w:tcW w:w="80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Inventories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6,460</w:t>
            </w:r>
          </w:p>
        </w:tc>
      </w:tr>
      <w:tr>
        <w:trPr>
          <w:trHeight w:val="223"/>
        </w:trPr>
        <w:tc>
          <w:tcPr>
            <w:tcW w:w="8000" w:type="dxa"/>
            <w:vAlign w:val="bottom"/>
          </w:tcPr>
          <w:p>
            <w:pPr>
              <w:ind w:left="340"/>
              <w:spacing w:after="0"/>
              <w:rPr>
                <w:sz w:val="20"/>
                <w:szCs w:val="20"/>
                <w:color w:val="auto"/>
              </w:rPr>
            </w:pPr>
            <w:r>
              <w:rPr>
                <w:rFonts w:ascii="Arial" w:cs="Arial" w:eastAsia="Arial" w:hAnsi="Arial"/>
                <w:sz w:val="17"/>
                <w:szCs w:val="17"/>
                <w:color w:val="auto"/>
              </w:rPr>
              <w:t>Income taxes receivable</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16,965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3,919</w:t>
            </w:r>
          </w:p>
        </w:tc>
      </w:tr>
      <w:tr>
        <w:trPr>
          <w:trHeight w:val="223"/>
        </w:trPr>
        <w:tc>
          <w:tcPr>
            <w:tcW w:w="80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Other current assets</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4,230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4,526</w:t>
            </w:r>
          </w:p>
        </w:tc>
      </w:tr>
      <w:tr>
        <w:trPr>
          <w:trHeight w:val="216"/>
        </w:trPr>
        <w:tc>
          <w:tcPr>
            <w:tcW w:w="8000" w:type="dxa"/>
            <w:vAlign w:val="bottom"/>
          </w:tcPr>
          <w:p>
            <w:pPr>
              <w:ind w:left="20"/>
              <w:spacing w:after="0"/>
              <w:rPr>
                <w:sz w:val="20"/>
                <w:szCs w:val="20"/>
                <w:color w:val="auto"/>
              </w:rPr>
            </w:pPr>
            <w:r>
              <w:rPr>
                <w:rFonts w:ascii="Arial" w:cs="Arial" w:eastAsia="Arial" w:hAnsi="Arial"/>
                <w:sz w:val="17"/>
                <w:szCs w:val="17"/>
                <w:color w:val="auto"/>
              </w:rPr>
              <w:t>Total current assets</w:t>
            </w: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291,219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335,160</w:t>
            </w:r>
          </w:p>
        </w:tc>
      </w:tr>
      <w:tr>
        <w:trPr>
          <w:trHeight w:val="223"/>
        </w:trPr>
        <w:tc>
          <w:tcPr>
            <w:tcW w:w="8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Property, plant and equipment, at cost:</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3"/>
        </w:trPr>
        <w:tc>
          <w:tcPr>
            <w:tcW w:w="8000" w:type="dxa"/>
            <w:vAlign w:val="bottom"/>
          </w:tcPr>
          <w:p>
            <w:pPr>
              <w:ind w:left="340"/>
              <w:spacing w:after="0"/>
              <w:rPr>
                <w:sz w:val="20"/>
                <w:szCs w:val="20"/>
                <w:color w:val="auto"/>
              </w:rPr>
            </w:pPr>
            <w:r>
              <w:rPr>
                <w:rFonts w:ascii="Arial" w:cs="Arial" w:eastAsia="Arial" w:hAnsi="Arial"/>
                <w:sz w:val="17"/>
                <w:szCs w:val="17"/>
                <w:color w:val="auto"/>
              </w:rPr>
              <w:t>Land and buildings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41,633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42,695</w:t>
            </w:r>
          </w:p>
        </w:tc>
      </w:tr>
      <w:tr>
        <w:trPr>
          <w:trHeight w:val="223"/>
        </w:trPr>
        <w:tc>
          <w:tcPr>
            <w:tcW w:w="80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Construction equipment</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94,453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94,154</w:t>
            </w:r>
          </w:p>
        </w:tc>
      </w:tr>
      <w:tr>
        <w:trPr>
          <w:trHeight w:val="223"/>
        </w:trPr>
        <w:tc>
          <w:tcPr>
            <w:tcW w:w="8000" w:type="dxa"/>
            <w:vAlign w:val="bottom"/>
          </w:tcPr>
          <w:p>
            <w:pPr>
              <w:ind w:left="340"/>
              <w:spacing w:after="0"/>
              <w:rPr>
                <w:sz w:val="20"/>
                <w:szCs w:val="20"/>
                <w:color w:val="auto"/>
              </w:rPr>
            </w:pPr>
            <w:r>
              <w:rPr>
                <w:rFonts w:ascii="Arial" w:cs="Arial" w:eastAsia="Arial" w:hAnsi="Arial"/>
                <w:sz w:val="17"/>
                <w:szCs w:val="17"/>
                <w:color w:val="auto"/>
              </w:rPr>
              <w:t>Transportation equipment</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50,510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55,864</w:t>
            </w:r>
          </w:p>
        </w:tc>
      </w:tr>
      <w:tr>
        <w:trPr>
          <w:trHeight w:val="223"/>
        </w:trPr>
        <w:tc>
          <w:tcPr>
            <w:tcW w:w="80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Office equipment and software</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42,706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39,356</w:t>
            </w:r>
          </w:p>
        </w:tc>
      </w:tr>
      <w:tr>
        <w:trPr>
          <w:trHeight w:val="223"/>
        </w:trPr>
        <w:tc>
          <w:tcPr>
            <w:tcW w:w="8000" w:type="dxa"/>
            <w:vAlign w:val="bottom"/>
            <w:tcBorders>
              <w:bottom w:val="single" w:sz="8" w:color="CCEEFF"/>
            </w:tcBorders>
          </w:tcPr>
          <w:p>
            <w:pPr>
              <w:ind w:left="340"/>
              <w:spacing w:after="0"/>
              <w:rPr>
                <w:sz w:val="20"/>
                <w:szCs w:val="20"/>
                <w:color w:val="auto"/>
              </w:rPr>
            </w:pPr>
            <w:r>
              <w:rPr>
                <w:rFonts w:ascii="Arial" w:cs="Arial" w:eastAsia="Arial" w:hAnsi="Arial"/>
                <w:sz w:val="17"/>
                <w:szCs w:val="17"/>
                <w:color w:val="auto"/>
              </w:rPr>
              <w:t>Construction in progress</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4,427</w:t>
            </w:r>
          </w:p>
        </w:tc>
      </w:tr>
      <w:tr>
        <w:trPr>
          <w:trHeight w:val="216"/>
        </w:trPr>
        <w:tc>
          <w:tcPr>
            <w:tcW w:w="80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Total property, plant and equipment - at cost</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229,795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236,496</w:t>
            </w:r>
          </w:p>
        </w:tc>
      </w:tr>
      <w:tr>
        <w:trPr>
          <w:trHeight w:val="223"/>
        </w:trPr>
        <w:tc>
          <w:tcPr>
            <w:tcW w:w="8000" w:type="dxa"/>
            <w:vAlign w:val="bottom"/>
            <w:tcBorders>
              <w:bottom w:val="single" w:sz="8" w:color="CCEEFF"/>
            </w:tcBorders>
          </w:tcPr>
          <w:p>
            <w:pPr>
              <w:ind w:left="340"/>
              <w:spacing w:after="0"/>
              <w:rPr>
                <w:sz w:val="20"/>
                <w:szCs w:val="20"/>
                <w:color w:val="auto"/>
              </w:rPr>
            </w:pPr>
            <w:r>
              <w:rPr>
                <w:rFonts w:ascii="Arial" w:cs="Arial" w:eastAsia="Arial" w:hAnsi="Arial"/>
                <w:sz w:val="17"/>
                <w:szCs w:val="17"/>
                <w:color w:val="auto"/>
              </w:rPr>
              <w:t>Accumulated depreciation</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(160,388)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(155,748)</w:t>
            </w:r>
          </w:p>
        </w:tc>
      </w:tr>
      <w:tr>
        <w:trPr>
          <w:trHeight w:val="216"/>
        </w:trPr>
        <w:tc>
          <w:tcPr>
            <w:tcW w:w="80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Property, plant and equipment - net</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69,407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80,748</w:t>
            </w:r>
          </w:p>
        </w:tc>
      </w:tr>
      <w:tr>
        <w:trPr>
          <w:trHeight w:val="223"/>
        </w:trPr>
        <w:tc>
          <w:tcPr>
            <w:tcW w:w="8000" w:type="dxa"/>
            <w:vAlign w:val="bottom"/>
          </w:tcPr>
          <w:p>
            <w:pPr>
              <w:ind w:left="20"/>
              <w:spacing w:after="0"/>
              <w:rPr>
                <w:sz w:val="20"/>
                <w:szCs w:val="20"/>
                <w:color w:val="auto"/>
              </w:rPr>
            </w:pPr>
            <w:r>
              <w:rPr>
                <w:rFonts w:ascii="Arial" w:cs="Arial" w:eastAsia="Arial" w:hAnsi="Arial"/>
                <w:sz w:val="17"/>
                <w:szCs w:val="17"/>
                <w:color w:val="auto"/>
              </w:rPr>
              <w:t>Operating lease right-of-use assets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22,412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21,375</w:t>
            </w:r>
          </w:p>
        </w:tc>
      </w:tr>
      <w:tr>
        <w:trPr>
          <w:trHeight w:val="223"/>
        </w:trPr>
        <w:tc>
          <w:tcPr>
            <w:tcW w:w="8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Goodwill</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60,636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60,369</w:t>
            </w:r>
          </w:p>
        </w:tc>
      </w:tr>
      <w:tr>
        <w:trPr>
          <w:trHeight w:val="223"/>
        </w:trPr>
        <w:tc>
          <w:tcPr>
            <w:tcW w:w="8000" w:type="dxa"/>
            <w:vAlign w:val="bottom"/>
          </w:tcPr>
          <w:p>
            <w:pPr>
              <w:ind w:left="20"/>
              <w:spacing w:after="0"/>
              <w:rPr>
                <w:sz w:val="20"/>
                <w:szCs w:val="20"/>
                <w:color w:val="auto"/>
              </w:rPr>
            </w:pPr>
            <w:r>
              <w:rPr>
                <w:rFonts w:ascii="Arial" w:cs="Arial" w:eastAsia="Arial" w:hAnsi="Arial"/>
                <w:sz w:val="17"/>
                <w:szCs w:val="17"/>
                <w:color w:val="auto"/>
              </w:rPr>
              <w:t>Other intangible assets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6,614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8,837</w:t>
            </w:r>
          </w:p>
        </w:tc>
      </w:tr>
      <w:tr>
        <w:trPr>
          <w:trHeight w:val="223"/>
        </w:trPr>
        <w:tc>
          <w:tcPr>
            <w:tcW w:w="8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income taxes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5,988</w:t>
            </w:r>
          </w:p>
        </w:tc>
      </w:tr>
      <w:tr>
        <w:trPr>
          <w:trHeight w:val="223"/>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assets</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11,973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4,833</w:t>
            </w:r>
          </w:p>
        </w:tc>
      </w:tr>
      <w:tr>
        <w:trPr>
          <w:trHeight w:val="241"/>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assets</w:t>
            </w:r>
          </w:p>
        </w:tc>
        <w:tc>
          <w:tcPr>
            <w:tcW w:w="3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467,556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517,310</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35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See accompanying notes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3" w:name="page54"/>
    <w:bookmarkEnd w:id="5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Matrix Service Company</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Balance Sheets (continued)</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data)</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gridSpan w:val="2"/>
          </w:tcPr>
          <w:p>
            <w:pPr>
              <w:ind w:left="200"/>
              <w:spacing w:after="0"/>
              <w:rPr>
                <w:sz w:val="20"/>
                <w:szCs w:val="20"/>
                <w:color w:val="auto"/>
              </w:rPr>
            </w:pPr>
            <w:r>
              <w:rPr>
                <w:rFonts w:ascii="Arial" w:cs="Arial" w:eastAsia="Arial" w:hAnsi="Arial"/>
                <w:sz w:val="14"/>
                <w:szCs w:val="14"/>
                <w:b w:val="1"/>
                <w:bCs w:val="1"/>
                <w:color w:val="auto"/>
              </w:rPr>
              <w:t>June 30,</w:t>
            </w:r>
          </w:p>
        </w:tc>
        <w:tc>
          <w:tcPr>
            <w:tcW w:w="340" w:type="dxa"/>
            <w:vAlign w:val="bottom"/>
          </w:tcPr>
          <w:p>
            <w:pPr>
              <w:spacing w:after="0"/>
              <w:rPr>
                <w:sz w:val="14"/>
                <w:szCs w:val="14"/>
                <w:color w:val="auto"/>
              </w:rPr>
            </w:pPr>
          </w:p>
        </w:tc>
        <w:tc>
          <w:tcPr>
            <w:tcW w:w="1240" w:type="dxa"/>
            <w:vAlign w:val="bottom"/>
          </w:tcPr>
          <w:p>
            <w:pPr>
              <w:jc w:val="right"/>
              <w:ind w:right="454"/>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83"/>
        </w:trPr>
        <w:tc>
          <w:tcPr>
            <w:tcW w:w="80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4"/>
        </w:trPr>
        <w:tc>
          <w:tcPr>
            <w:tcW w:w="8000" w:type="dxa"/>
            <w:vAlign w:val="bottom"/>
          </w:tcPr>
          <w:p>
            <w:pPr>
              <w:ind w:left="2640"/>
              <w:spacing w:after="0"/>
              <w:rPr>
                <w:sz w:val="20"/>
                <w:szCs w:val="20"/>
                <w:color w:val="auto"/>
              </w:rPr>
            </w:pPr>
            <w:r>
              <w:rPr>
                <w:rFonts w:ascii="Arial" w:cs="Arial" w:eastAsia="Arial" w:hAnsi="Arial"/>
                <w:sz w:val="17"/>
                <w:szCs w:val="17"/>
                <w:b w:val="1"/>
                <w:bCs w:val="1"/>
                <w:color w:val="auto"/>
              </w:rPr>
              <w:t>Liabilities and stockholders’ equity</w:t>
            </w: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8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Current liabilities: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00" w:type="dxa"/>
            <w:vAlign w:val="bottom"/>
          </w:tcPr>
          <w:p>
            <w:pPr>
              <w:ind w:left="340"/>
              <w:spacing w:after="0"/>
              <w:rPr>
                <w:sz w:val="20"/>
                <w:szCs w:val="20"/>
                <w:color w:val="auto"/>
              </w:rPr>
            </w:pPr>
            <w:r>
              <w:rPr>
                <w:rFonts w:ascii="Arial" w:cs="Arial" w:eastAsia="Arial" w:hAnsi="Arial"/>
                <w:sz w:val="17"/>
                <w:szCs w:val="17"/>
                <w:color w:val="auto"/>
              </w:rPr>
              <w:t>Accounts payable</w:t>
            </w:r>
          </w:p>
        </w:tc>
        <w:tc>
          <w:tcPr>
            <w:tcW w:w="320" w:type="dxa"/>
            <w:vAlign w:val="bottom"/>
          </w:tcPr>
          <w:p>
            <w:pPr>
              <w:jc w:val="right"/>
              <w:ind w:right="133"/>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60,920</w:t>
            </w:r>
          </w:p>
        </w:tc>
        <w:tc>
          <w:tcPr>
            <w:tcW w:w="100" w:type="dxa"/>
            <w:vAlign w:val="bottom"/>
          </w:tcPr>
          <w:p>
            <w:pPr>
              <w:spacing w:after="0"/>
              <w:rPr>
                <w:sz w:val="19"/>
                <w:szCs w:val="19"/>
                <w:color w:val="auto"/>
              </w:rPr>
            </w:pPr>
          </w:p>
        </w:tc>
        <w:tc>
          <w:tcPr>
            <w:tcW w:w="340" w:type="dxa"/>
            <w:vAlign w:val="bottom"/>
          </w:tcPr>
          <w:p>
            <w:pPr>
              <w:jc w:val="right"/>
              <w:ind w:right="133"/>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73,094</w:t>
            </w:r>
          </w:p>
        </w:tc>
        <w:tc>
          <w:tcPr>
            <w:tcW w:w="0" w:type="dxa"/>
            <w:vAlign w:val="bottom"/>
          </w:tcPr>
          <w:p>
            <w:pPr>
              <w:spacing w:after="0"/>
              <w:rPr>
                <w:sz w:val="1"/>
                <w:szCs w:val="1"/>
                <w:color w:val="auto"/>
              </w:rPr>
            </w:pPr>
          </w:p>
        </w:tc>
      </w:tr>
      <w:tr>
        <w:trPr>
          <w:trHeight w:val="223"/>
        </w:trPr>
        <w:tc>
          <w:tcPr>
            <w:tcW w:w="80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Billings on uncompleted contracts in excess of costs and estimated earnings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53,832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63,889</w:t>
            </w:r>
          </w:p>
        </w:tc>
        <w:tc>
          <w:tcPr>
            <w:tcW w:w="0" w:type="dxa"/>
            <w:vAlign w:val="bottom"/>
          </w:tcPr>
          <w:p>
            <w:pPr>
              <w:spacing w:after="0"/>
              <w:rPr>
                <w:sz w:val="1"/>
                <w:szCs w:val="1"/>
                <w:color w:val="auto"/>
              </w:rPr>
            </w:pPr>
          </w:p>
        </w:tc>
      </w:tr>
      <w:tr>
        <w:trPr>
          <w:trHeight w:val="223"/>
        </w:trPr>
        <w:tc>
          <w:tcPr>
            <w:tcW w:w="8000" w:type="dxa"/>
            <w:vAlign w:val="bottom"/>
          </w:tcPr>
          <w:p>
            <w:pPr>
              <w:ind w:left="340"/>
              <w:spacing w:after="0"/>
              <w:rPr>
                <w:sz w:val="20"/>
                <w:szCs w:val="20"/>
                <w:color w:val="auto"/>
              </w:rPr>
            </w:pPr>
            <w:r>
              <w:rPr>
                <w:rFonts w:ascii="Arial" w:cs="Arial" w:eastAsia="Arial" w:hAnsi="Arial"/>
                <w:sz w:val="17"/>
                <w:szCs w:val="17"/>
                <w:color w:val="auto"/>
              </w:rPr>
              <w:t>Accrued wages and benefits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21,008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16,205</w:t>
            </w:r>
          </w:p>
        </w:tc>
        <w:tc>
          <w:tcPr>
            <w:tcW w:w="0" w:type="dxa"/>
            <w:vAlign w:val="bottom"/>
          </w:tcPr>
          <w:p>
            <w:pPr>
              <w:spacing w:after="0"/>
              <w:rPr>
                <w:sz w:val="1"/>
                <w:szCs w:val="1"/>
                <w:color w:val="auto"/>
              </w:rPr>
            </w:pPr>
          </w:p>
        </w:tc>
      </w:tr>
      <w:tr>
        <w:trPr>
          <w:trHeight w:val="223"/>
        </w:trPr>
        <w:tc>
          <w:tcPr>
            <w:tcW w:w="80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Accrued insurance</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7,301</w:t>
            </w:r>
          </w:p>
        </w:tc>
        <w:tc>
          <w:tcPr>
            <w:tcW w:w="0" w:type="dxa"/>
            <w:vAlign w:val="bottom"/>
          </w:tcPr>
          <w:p>
            <w:pPr>
              <w:spacing w:after="0"/>
              <w:rPr>
                <w:sz w:val="1"/>
                <w:szCs w:val="1"/>
                <w:color w:val="auto"/>
              </w:rPr>
            </w:pPr>
          </w:p>
        </w:tc>
      </w:tr>
      <w:tr>
        <w:trPr>
          <w:trHeight w:val="223"/>
        </w:trPr>
        <w:tc>
          <w:tcPr>
            <w:tcW w:w="8000" w:type="dxa"/>
            <w:vAlign w:val="bottom"/>
          </w:tcPr>
          <w:p>
            <w:pPr>
              <w:ind w:left="340"/>
              <w:spacing w:after="0"/>
              <w:rPr>
                <w:sz w:val="20"/>
                <w:szCs w:val="20"/>
                <w:color w:val="auto"/>
              </w:rPr>
            </w:pPr>
            <w:r>
              <w:rPr>
                <w:rFonts w:ascii="Arial" w:cs="Arial" w:eastAsia="Arial" w:hAnsi="Arial"/>
                <w:sz w:val="17"/>
                <w:szCs w:val="17"/>
                <w:color w:val="auto"/>
              </w:rPr>
              <w:t>Operating lease liabilities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5,747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7,568</w:t>
            </w:r>
          </w:p>
        </w:tc>
        <w:tc>
          <w:tcPr>
            <w:tcW w:w="0" w:type="dxa"/>
            <w:vAlign w:val="bottom"/>
          </w:tcPr>
          <w:p>
            <w:pPr>
              <w:spacing w:after="0"/>
              <w:rPr>
                <w:sz w:val="1"/>
                <w:szCs w:val="1"/>
                <w:color w:val="auto"/>
              </w:rPr>
            </w:pPr>
          </w:p>
        </w:tc>
      </w:tr>
      <w:tr>
        <w:trPr>
          <w:trHeight w:val="223"/>
        </w:trPr>
        <w:tc>
          <w:tcPr>
            <w:tcW w:w="80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Other accrued expenses</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5,327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7,890</w:t>
            </w:r>
          </w:p>
        </w:tc>
        <w:tc>
          <w:tcPr>
            <w:tcW w:w="0" w:type="dxa"/>
            <w:vAlign w:val="bottom"/>
          </w:tcPr>
          <w:p>
            <w:pPr>
              <w:spacing w:after="0"/>
              <w:rPr>
                <w:sz w:val="1"/>
                <w:szCs w:val="1"/>
                <w:color w:val="auto"/>
              </w:rPr>
            </w:pPr>
          </w:p>
        </w:tc>
      </w:tr>
      <w:tr>
        <w:trPr>
          <w:trHeight w:val="216"/>
        </w:trPr>
        <w:tc>
          <w:tcPr>
            <w:tcW w:w="8000" w:type="dxa"/>
            <w:vAlign w:val="bottom"/>
          </w:tcPr>
          <w:p>
            <w:pPr>
              <w:ind w:left="20"/>
              <w:spacing w:after="0"/>
              <w:rPr>
                <w:sz w:val="20"/>
                <w:szCs w:val="20"/>
                <w:color w:val="auto"/>
              </w:rPr>
            </w:pPr>
            <w:r>
              <w:rPr>
                <w:rFonts w:ascii="Arial" w:cs="Arial" w:eastAsia="Arial" w:hAnsi="Arial"/>
                <w:sz w:val="17"/>
                <w:szCs w:val="17"/>
                <w:color w:val="auto"/>
              </w:rPr>
              <w:t>Total current liabilities</w:t>
            </w: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153,402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175,947</w:t>
            </w:r>
          </w:p>
        </w:tc>
        <w:tc>
          <w:tcPr>
            <w:tcW w:w="0" w:type="dxa"/>
            <w:vAlign w:val="bottom"/>
          </w:tcPr>
          <w:p>
            <w:pPr>
              <w:spacing w:after="0"/>
              <w:rPr>
                <w:sz w:val="1"/>
                <w:szCs w:val="1"/>
                <w:color w:val="auto"/>
              </w:rPr>
            </w:pPr>
          </w:p>
        </w:tc>
      </w:tr>
      <w:tr>
        <w:trPr>
          <w:trHeight w:val="223"/>
        </w:trPr>
        <w:tc>
          <w:tcPr>
            <w:tcW w:w="80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Deferred income taxes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w:t>
            </w:r>
          </w:p>
        </w:tc>
        <w:tc>
          <w:tcPr>
            <w:tcW w:w="0" w:type="dxa"/>
            <w:vAlign w:val="bottom"/>
          </w:tcPr>
          <w:p>
            <w:pPr>
              <w:spacing w:after="0"/>
              <w:rPr>
                <w:sz w:val="1"/>
                <w:szCs w:val="1"/>
                <w:color w:val="auto"/>
              </w:rPr>
            </w:pPr>
          </w:p>
        </w:tc>
      </w:tr>
      <w:tr>
        <w:trPr>
          <w:trHeight w:val="223"/>
        </w:trPr>
        <w:tc>
          <w:tcPr>
            <w:tcW w:w="8000" w:type="dxa"/>
            <w:vAlign w:val="bottom"/>
          </w:tcPr>
          <w:p>
            <w:pPr>
              <w:ind w:left="340"/>
              <w:spacing w:after="0"/>
              <w:rPr>
                <w:sz w:val="20"/>
                <w:szCs w:val="20"/>
                <w:color w:val="auto"/>
              </w:rPr>
            </w:pPr>
            <w:r>
              <w:rPr>
                <w:rFonts w:ascii="Arial" w:cs="Arial" w:eastAsia="Arial" w:hAnsi="Arial"/>
                <w:sz w:val="17"/>
                <w:szCs w:val="17"/>
                <w:color w:val="auto"/>
              </w:rPr>
              <w:t>Operating lease liabilities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20,771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19,997</w:t>
            </w:r>
          </w:p>
        </w:tc>
        <w:tc>
          <w:tcPr>
            <w:tcW w:w="0" w:type="dxa"/>
            <w:vAlign w:val="bottom"/>
          </w:tcPr>
          <w:p>
            <w:pPr>
              <w:spacing w:after="0"/>
              <w:rPr>
                <w:sz w:val="1"/>
                <w:szCs w:val="1"/>
                <w:color w:val="auto"/>
              </w:rPr>
            </w:pPr>
          </w:p>
        </w:tc>
      </w:tr>
      <w:tr>
        <w:trPr>
          <w:trHeight w:val="223"/>
        </w:trPr>
        <w:tc>
          <w:tcPr>
            <w:tcW w:w="80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Borrowings under senior secured revolving credit facility</w:t>
            </w: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9,208</w:t>
            </w:r>
          </w:p>
        </w:tc>
        <w:tc>
          <w:tcPr>
            <w:tcW w:w="0" w:type="dxa"/>
            <w:vAlign w:val="bottom"/>
          </w:tcPr>
          <w:p>
            <w:pPr>
              <w:spacing w:after="0"/>
              <w:rPr>
                <w:sz w:val="1"/>
                <w:szCs w:val="1"/>
                <w:color w:val="auto"/>
              </w:rPr>
            </w:pPr>
          </w:p>
        </w:tc>
      </w:tr>
      <w:tr>
        <w:trPr>
          <w:trHeight w:val="223"/>
        </w:trPr>
        <w:tc>
          <w:tcPr>
            <w:tcW w:w="8000" w:type="dxa"/>
            <w:vAlign w:val="bottom"/>
            <w:tcBorders>
              <w:bottom w:val="single" w:sz="8" w:color="CCEEFF"/>
            </w:tcBorders>
          </w:tcPr>
          <w:p>
            <w:pPr>
              <w:ind w:left="340"/>
              <w:spacing w:after="0"/>
              <w:rPr>
                <w:sz w:val="20"/>
                <w:szCs w:val="20"/>
                <w:color w:val="auto"/>
              </w:rPr>
            </w:pPr>
            <w:r>
              <w:rPr>
                <w:rFonts w:ascii="Arial" w:cs="Arial" w:eastAsia="Arial" w:hAnsi="Arial"/>
                <w:sz w:val="17"/>
                <w:szCs w:val="17"/>
                <w:color w:val="auto"/>
              </w:rPr>
              <w:t>Other liabilities</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7,810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4,208</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liabilities</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182,017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209,421</w:t>
            </w:r>
          </w:p>
        </w:tc>
        <w:tc>
          <w:tcPr>
            <w:tcW w:w="0" w:type="dxa"/>
            <w:vAlign w:val="bottom"/>
          </w:tcPr>
          <w:p>
            <w:pPr>
              <w:spacing w:after="0"/>
              <w:rPr>
                <w:sz w:val="1"/>
                <w:szCs w:val="1"/>
                <w:color w:val="auto"/>
              </w:rPr>
            </w:pPr>
          </w:p>
        </w:tc>
      </w:tr>
      <w:tr>
        <w:trPr>
          <w:trHeight w:val="223"/>
        </w:trPr>
        <w:tc>
          <w:tcPr>
            <w:tcW w:w="8000" w:type="dxa"/>
            <w:vAlign w:val="bottom"/>
          </w:tcPr>
          <w:p>
            <w:pPr>
              <w:ind w:left="20"/>
              <w:spacing w:after="0"/>
              <w:rPr>
                <w:sz w:val="20"/>
                <w:szCs w:val="20"/>
                <w:color w:val="auto"/>
              </w:rPr>
            </w:pPr>
            <w:r>
              <w:rPr>
                <w:rFonts w:ascii="Arial" w:cs="Arial" w:eastAsia="Arial" w:hAnsi="Arial"/>
                <w:sz w:val="17"/>
                <w:szCs w:val="17"/>
                <w:color w:val="auto"/>
              </w:rPr>
              <w:t>Commitments and contingencies</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Stockholders’ equity:</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8000" w:type="dxa"/>
            <w:vAlign w:val="bottom"/>
          </w:tcPr>
          <w:p>
            <w:pPr>
              <w:ind w:left="340"/>
              <w:spacing w:after="0" w:line="172" w:lineRule="exact"/>
              <w:rPr>
                <w:sz w:val="20"/>
                <w:szCs w:val="20"/>
                <w:color w:val="auto"/>
              </w:rPr>
            </w:pPr>
            <w:r>
              <w:rPr>
                <w:rFonts w:ascii="Arial" w:cs="Arial" w:eastAsia="Arial" w:hAnsi="Arial"/>
                <w:sz w:val="17"/>
                <w:szCs w:val="17"/>
                <w:color w:val="auto"/>
                <w:w w:val="96"/>
              </w:rPr>
              <w:t>Common stock—$.01 par value; 60,000,000 shares authorized; 27,888,217 shares issued as of June 30,</w:t>
            </w:r>
          </w:p>
        </w:tc>
        <w:tc>
          <w:tcPr>
            <w:tcW w:w="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000" w:type="dxa"/>
            <w:vAlign w:val="bottom"/>
          </w:tcPr>
          <w:p>
            <w:pPr>
              <w:ind w:left="340"/>
              <w:spacing w:after="0" w:line="171" w:lineRule="exact"/>
              <w:rPr>
                <w:sz w:val="20"/>
                <w:szCs w:val="20"/>
                <w:color w:val="auto"/>
              </w:rPr>
            </w:pPr>
            <w:r>
              <w:rPr>
                <w:rFonts w:ascii="Arial" w:cs="Arial" w:eastAsia="Arial" w:hAnsi="Arial"/>
                <w:sz w:val="17"/>
                <w:szCs w:val="17"/>
                <w:color w:val="auto"/>
                <w:w w:val="94"/>
              </w:rPr>
              <w:t>2021 and June 30, 2020; 26,549,438 and 26,141,528 shares outstanding as of June 30, 2021 and June 30,</w:t>
            </w:r>
          </w:p>
        </w:tc>
        <w:tc>
          <w:tcPr>
            <w:tcW w:w="32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Arial" w:cs="Arial" w:eastAsia="Arial" w:hAnsi="Arial"/>
                <w:sz w:val="17"/>
                <w:szCs w:val="17"/>
                <w:color w:val="auto"/>
              </w:rPr>
              <w:t>279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Arial" w:cs="Arial" w:eastAsia="Arial" w:hAnsi="Arial"/>
                <w:sz w:val="17"/>
                <w:szCs w:val="17"/>
                <w:color w:val="auto"/>
              </w:rPr>
              <w:t>279</w:t>
            </w:r>
          </w:p>
        </w:tc>
        <w:tc>
          <w:tcPr>
            <w:tcW w:w="0" w:type="dxa"/>
            <w:vAlign w:val="bottom"/>
          </w:tcPr>
          <w:p>
            <w:pPr>
              <w:spacing w:after="0"/>
              <w:rPr>
                <w:sz w:val="1"/>
                <w:szCs w:val="1"/>
                <w:color w:val="auto"/>
              </w:rPr>
            </w:pPr>
          </w:p>
        </w:tc>
      </w:tr>
      <w:tr>
        <w:trPr>
          <w:trHeight w:val="222"/>
        </w:trPr>
        <w:tc>
          <w:tcPr>
            <w:tcW w:w="8000" w:type="dxa"/>
            <w:vAlign w:val="bottom"/>
          </w:tcPr>
          <w:p>
            <w:pPr>
              <w:ind w:left="340"/>
              <w:spacing w:after="0"/>
              <w:rPr>
                <w:sz w:val="20"/>
                <w:szCs w:val="20"/>
                <w:color w:val="auto"/>
              </w:rPr>
            </w:pPr>
            <w:r>
              <w:rPr>
                <w:rFonts w:ascii="Arial" w:cs="Arial" w:eastAsia="Arial" w:hAnsi="Arial"/>
                <w:sz w:val="17"/>
                <w:szCs w:val="17"/>
                <w:color w:val="auto"/>
              </w:rPr>
              <w:t>2020</w:t>
            </w:r>
          </w:p>
        </w:tc>
        <w:tc>
          <w:tcPr>
            <w:tcW w:w="32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Additional paid-in capital</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137,575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138,966</w:t>
            </w:r>
          </w:p>
        </w:tc>
        <w:tc>
          <w:tcPr>
            <w:tcW w:w="0" w:type="dxa"/>
            <w:vAlign w:val="bottom"/>
          </w:tcPr>
          <w:p>
            <w:pPr>
              <w:spacing w:after="0"/>
              <w:rPr>
                <w:sz w:val="1"/>
                <w:szCs w:val="1"/>
                <w:color w:val="auto"/>
              </w:rPr>
            </w:pPr>
          </w:p>
        </w:tc>
      </w:tr>
      <w:tr>
        <w:trPr>
          <w:trHeight w:val="223"/>
        </w:trPr>
        <w:tc>
          <w:tcPr>
            <w:tcW w:w="8000" w:type="dxa"/>
            <w:vAlign w:val="bottom"/>
          </w:tcPr>
          <w:p>
            <w:pPr>
              <w:ind w:left="340"/>
              <w:spacing w:after="0"/>
              <w:rPr>
                <w:sz w:val="20"/>
                <w:szCs w:val="20"/>
                <w:color w:val="auto"/>
              </w:rPr>
            </w:pPr>
            <w:r>
              <w:rPr>
                <w:rFonts w:ascii="Arial" w:cs="Arial" w:eastAsia="Arial" w:hAnsi="Arial"/>
                <w:sz w:val="17"/>
                <w:szCs w:val="17"/>
                <w:color w:val="auto"/>
              </w:rPr>
              <w:t>Retained earnings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175,178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206,402</w:t>
            </w:r>
          </w:p>
        </w:tc>
        <w:tc>
          <w:tcPr>
            <w:tcW w:w="0" w:type="dxa"/>
            <w:vAlign w:val="bottom"/>
          </w:tcPr>
          <w:p>
            <w:pPr>
              <w:spacing w:after="0"/>
              <w:rPr>
                <w:sz w:val="1"/>
                <w:szCs w:val="1"/>
                <w:color w:val="auto"/>
              </w:rPr>
            </w:pPr>
          </w:p>
        </w:tc>
      </w:tr>
      <w:tr>
        <w:trPr>
          <w:trHeight w:val="223"/>
        </w:trPr>
        <w:tc>
          <w:tcPr>
            <w:tcW w:w="80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Accumulated other comprehensive loss</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(6,749)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(8,373)</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306,283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337,274</w:t>
            </w:r>
          </w:p>
        </w:tc>
        <w:tc>
          <w:tcPr>
            <w:tcW w:w="0" w:type="dxa"/>
            <w:vAlign w:val="bottom"/>
          </w:tcPr>
          <w:p>
            <w:pPr>
              <w:spacing w:after="0"/>
              <w:rPr>
                <w:sz w:val="1"/>
                <w:szCs w:val="1"/>
                <w:color w:val="auto"/>
              </w:rPr>
            </w:pPr>
          </w:p>
        </w:tc>
      </w:tr>
      <w:tr>
        <w:trPr>
          <w:trHeight w:val="223"/>
        </w:trPr>
        <w:tc>
          <w:tcPr>
            <w:tcW w:w="8000" w:type="dxa"/>
            <w:vAlign w:val="bottom"/>
            <w:shd w:val="clear" w:color="auto" w:fill="CCEEFF"/>
          </w:tcPr>
          <w:p>
            <w:pPr>
              <w:ind w:left="340"/>
              <w:spacing w:after="0"/>
              <w:rPr>
                <w:sz w:val="20"/>
                <w:szCs w:val="20"/>
                <w:color w:val="auto"/>
              </w:rPr>
            </w:pPr>
            <w:r>
              <w:rPr>
                <w:rFonts w:ascii="Arial" w:cs="Arial" w:eastAsia="Arial" w:hAnsi="Arial"/>
                <w:sz w:val="17"/>
                <w:szCs w:val="17"/>
                <w:color w:val="auto"/>
                <w:w w:val="98"/>
              </w:rPr>
              <w:t>Less treasury stock, at cost — 1,338,779 and 1,746,689 shares as of June 30, 2021 and June 30, 2020</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(20,744)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(29,385)</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stockholders' equity</w:t>
            </w: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285,539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307,889</w:t>
            </w:r>
          </w:p>
        </w:tc>
        <w:tc>
          <w:tcPr>
            <w:tcW w:w="0" w:type="dxa"/>
            <w:vAlign w:val="bottom"/>
          </w:tcPr>
          <w:p>
            <w:pPr>
              <w:spacing w:after="0"/>
              <w:rPr>
                <w:sz w:val="1"/>
                <w:szCs w:val="1"/>
                <w:color w:val="auto"/>
              </w:rPr>
            </w:pPr>
          </w:p>
        </w:tc>
      </w:tr>
      <w:tr>
        <w:trPr>
          <w:trHeight w:val="241"/>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liabilities and stockholders’ equity</w:t>
            </w:r>
          </w:p>
        </w:tc>
        <w:tc>
          <w:tcPr>
            <w:tcW w:w="3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467,556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517,310</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See accompanying notes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4" w:name="page55"/>
    <w:bookmarkEnd w:id="54"/>
    <w:p>
      <w:pPr>
        <w:spacing w:after="0"/>
        <w:rPr>
          <w:sz w:val="20"/>
          <w:szCs w:val="20"/>
          <w:color w:val="auto"/>
        </w:rPr>
      </w:pPr>
      <w:r>
        <w:rPr>
          <w:rFonts w:ascii="Arial" w:cs="Arial" w:eastAsia="Arial" w:hAnsi="Arial"/>
          <w:sz w:val="17"/>
          <w:szCs w:val="17"/>
          <w:u w:val="single" w:color="auto"/>
          <w:color w:val="0000FF"/>
        </w:rPr>
        <w:t>Table of Contents</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Matrix Service Company</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3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8"/>
              </w:rPr>
              <w:t>Fiscal Years Ended</w:t>
            </w: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6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60" w:type="dxa"/>
            <w:vAlign w:val="bottom"/>
            <w:gridSpan w:val="2"/>
          </w:tcPr>
          <w:p>
            <w:pPr>
              <w:ind w:left="220"/>
              <w:spacing w:after="0" w:line="130" w:lineRule="exact"/>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1"/>
                <w:szCs w:val="11"/>
                <w:color w:val="auto"/>
              </w:rPr>
            </w:pPr>
          </w:p>
        </w:tc>
        <w:tc>
          <w:tcPr>
            <w:tcW w:w="1500" w:type="dxa"/>
            <w:vAlign w:val="bottom"/>
            <w:gridSpan w:val="2"/>
          </w:tcPr>
          <w:p>
            <w:pPr>
              <w:jc w:val="center"/>
              <w:ind w:right="280"/>
              <w:spacing w:after="0" w:line="130" w:lineRule="exact"/>
              <w:rPr>
                <w:sz w:val="20"/>
                <w:szCs w:val="20"/>
                <w:color w:val="auto"/>
              </w:rPr>
            </w:pPr>
            <w:r>
              <w:rPr>
                <w:rFonts w:ascii="Arial" w:cs="Arial" w:eastAsia="Arial" w:hAnsi="Arial"/>
                <w:sz w:val="14"/>
                <w:szCs w:val="14"/>
                <w:b w:val="1"/>
                <w:bCs w:val="1"/>
                <w:color w:val="auto"/>
                <w:w w:val="89"/>
              </w:rPr>
              <w:t>June 30,</w:t>
            </w:r>
          </w:p>
        </w:tc>
        <w:tc>
          <w:tcPr>
            <w:tcW w:w="340" w:type="dxa"/>
            <w:vAlign w:val="bottom"/>
          </w:tcPr>
          <w:p>
            <w:pPr>
              <w:spacing w:after="0"/>
              <w:rPr>
                <w:sz w:val="11"/>
                <w:szCs w:val="11"/>
                <w:color w:val="auto"/>
              </w:rPr>
            </w:pPr>
          </w:p>
        </w:tc>
        <w:tc>
          <w:tcPr>
            <w:tcW w:w="1240" w:type="dxa"/>
            <w:vAlign w:val="bottom"/>
          </w:tcPr>
          <w:p>
            <w:pPr>
              <w:jc w:val="right"/>
              <w:ind w:right="454"/>
              <w:spacing w:after="0" w:line="130" w:lineRule="exact"/>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83"/>
        </w:trPr>
        <w:tc>
          <w:tcPr>
            <w:tcW w:w="63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4"/>
        </w:trPr>
        <w:tc>
          <w:tcPr>
            <w:tcW w:w="6320" w:type="dxa"/>
            <w:vAlign w:val="bottom"/>
          </w:tcPr>
          <w:p>
            <w:pPr>
              <w:ind w:left="20"/>
              <w:spacing w:after="0"/>
              <w:rPr>
                <w:sz w:val="20"/>
                <w:szCs w:val="20"/>
                <w:color w:val="auto"/>
              </w:rPr>
            </w:pPr>
            <w:r>
              <w:rPr>
                <w:rFonts w:ascii="Arial" w:cs="Arial" w:eastAsia="Arial" w:hAnsi="Arial"/>
                <w:sz w:val="17"/>
                <w:szCs w:val="17"/>
                <w:b w:val="1"/>
                <w:bCs w:val="1"/>
                <w:color w:val="auto"/>
              </w:rPr>
              <w:t>Operating activities:</w:t>
            </w: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 (loss)</w:t>
            </w:r>
          </w:p>
        </w:tc>
        <w:tc>
          <w:tcPr>
            <w:tcW w:w="32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(31,224)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(33,074)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27,982</w:t>
            </w:r>
          </w:p>
        </w:tc>
        <w:tc>
          <w:tcPr>
            <w:tcW w:w="0" w:type="dxa"/>
            <w:vAlign w:val="bottom"/>
          </w:tcPr>
          <w:p>
            <w:pPr>
              <w:spacing w:after="0"/>
              <w:rPr>
                <w:sz w:val="1"/>
                <w:szCs w:val="1"/>
                <w:color w:val="auto"/>
              </w:rPr>
            </w:pPr>
          </w:p>
        </w:tc>
      </w:tr>
      <w:tr>
        <w:trPr>
          <w:trHeight w:val="171"/>
        </w:trPr>
        <w:tc>
          <w:tcPr>
            <w:tcW w:w="6320" w:type="dxa"/>
            <w:vAlign w:val="bottom"/>
          </w:tcPr>
          <w:p>
            <w:pPr>
              <w:ind w:left="20"/>
              <w:spacing w:after="0" w:line="172" w:lineRule="exact"/>
              <w:rPr>
                <w:sz w:val="20"/>
                <w:szCs w:val="20"/>
                <w:color w:val="auto"/>
              </w:rPr>
            </w:pPr>
            <w:r>
              <w:rPr>
                <w:rFonts w:ascii="Arial" w:cs="Arial" w:eastAsia="Arial" w:hAnsi="Arial"/>
                <w:sz w:val="17"/>
                <w:szCs w:val="17"/>
                <w:color w:val="auto"/>
                <w:w w:val="99"/>
              </w:rPr>
              <w:t>Adjustments to reconcile net income (loss) to net cash provided (used) by operating</w:t>
            </w:r>
          </w:p>
        </w:tc>
        <w:tc>
          <w:tcPr>
            <w:tcW w:w="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6320" w:type="dxa"/>
            <w:vAlign w:val="bottom"/>
          </w:tcPr>
          <w:p>
            <w:pPr>
              <w:ind w:left="20"/>
              <w:spacing w:after="0"/>
              <w:rPr>
                <w:sz w:val="20"/>
                <w:szCs w:val="20"/>
                <w:color w:val="auto"/>
              </w:rPr>
            </w:pPr>
            <w:r>
              <w:rPr>
                <w:rFonts w:ascii="Arial" w:cs="Arial" w:eastAsia="Arial" w:hAnsi="Arial"/>
                <w:sz w:val="17"/>
                <w:szCs w:val="17"/>
                <w:color w:val="auto"/>
              </w:rPr>
              <w:t>activities, net of effects from disposals:</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20" w:type="dxa"/>
            <w:vAlign w:val="bottom"/>
            <w:shd w:val="clear" w:color="auto" w:fill="CCEEFF"/>
          </w:tcPr>
          <w:p>
            <w:pPr>
              <w:ind w:left="460"/>
              <w:spacing w:after="0"/>
              <w:rPr>
                <w:sz w:val="20"/>
                <w:szCs w:val="20"/>
                <w:color w:val="auto"/>
              </w:rPr>
            </w:pPr>
            <w:r>
              <w:rPr>
                <w:rFonts w:ascii="Arial" w:cs="Arial" w:eastAsia="Arial" w:hAnsi="Arial"/>
                <w:sz w:val="17"/>
                <w:szCs w:val="17"/>
                <w:color w:val="auto"/>
              </w:rPr>
              <w:t>Depreciation and amortization</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17,858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19,124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18,224</w:t>
            </w:r>
          </w:p>
        </w:tc>
        <w:tc>
          <w:tcPr>
            <w:tcW w:w="0" w:type="dxa"/>
            <w:vAlign w:val="bottom"/>
          </w:tcPr>
          <w:p>
            <w:pPr>
              <w:spacing w:after="0"/>
              <w:rPr>
                <w:sz w:val="1"/>
                <w:szCs w:val="1"/>
                <w:color w:val="auto"/>
              </w:rPr>
            </w:pPr>
          </w:p>
        </w:tc>
      </w:tr>
      <w:tr>
        <w:trPr>
          <w:trHeight w:val="223"/>
        </w:trPr>
        <w:tc>
          <w:tcPr>
            <w:tcW w:w="6320" w:type="dxa"/>
            <w:vAlign w:val="bottom"/>
          </w:tcPr>
          <w:p>
            <w:pPr>
              <w:ind w:left="460"/>
              <w:spacing w:after="0"/>
              <w:rPr>
                <w:sz w:val="20"/>
                <w:szCs w:val="20"/>
                <w:color w:val="auto"/>
              </w:rPr>
            </w:pPr>
            <w:r>
              <w:rPr>
                <w:rFonts w:ascii="Arial" w:cs="Arial" w:eastAsia="Arial" w:hAnsi="Arial"/>
                <w:sz w:val="17"/>
                <w:szCs w:val="17"/>
                <w:color w:val="auto"/>
              </w:rPr>
              <w:t>Goodwill and other intangible asset impairment (Note 4)</w:t>
            </w:r>
          </w:p>
        </w:tc>
        <w:tc>
          <w:tcPr>
            <w:tcW w:w="3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38,515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6320" w:type="dxa"/>
            <w:vAlign w:val="bottom"/>
            <w:shd w:val="clear" w:color="auto" w:fill="CCEEFF"/>
          </w:tcPr>
          <w:p>
            <w:pPr>
              <w:ind w:left="460"/>
              <w:spacing w:after="0"/>
              <w:rPr>
                <w:sz w:val="20"/>
                <w:szCs w:val="20"/>
                <w:color w:val="auto"/>
              </w:rPr>
            </w:pPr>
            <w:r>
              <w:rPr>
                <w:rFonts w:ascii="Arial" w:cs="Arial" w:eastAsia="Arial" w:hAnsi="Arial"/>
                <w:sz w:val="17"/>
                <w:szCs w:val="17"/>
                <w:color w:val="auto"/>
              </w:rPr>
              <w:t>Stock-based compensation expense</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8,156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11,908</w:t>
            </w:r>
          </w:p>
        </w:tc>
        <w:tc>
          <w:tcPr>
            <w:tcW w:w="0" w:type="dxa"/>
            <w:vAlign w:val="bottom"/>
          </w:tcPr>
          <w:p>
            <w:pPr>
              <w:spacing w:after="0"/>
              <w:rPr>
                <w:sz w:val="1"/>
                <w:szCs w:val="1"/>
                <w:color w:val="auto"/>
              </w:rPr>
            </w:pPr>
          </w:p>
        </w:tc>
      </w:tr>
      <w:tr>
        <w:trPr>
          <w:trHeight w:val="171"/>
        </w:trPr>
        <w:tc>
          <w:tcPr>
            <w:tcW w:w="6320" w:type="dxa"/>
            <w:vAlign w:val="bottom"/>
          </w:tcPr>
          <w:p>
            <w:pPr>
              <w:ind w:left="460"/>
              <w:spacing w:after="0" w:line="172" w:lineRule="exact"/>
              <w:rPr>
                <w:sz w:val="20"/>
                <w:szCs w:val="20"/>
                <w:color w:val="auto"/>
              </w:rPr>
            </w:pPr>
            <w:r>
              <w:rPr>
                <w:rFonts w:ascii="Arial" w:cs="Arial" w:eastAsia="Arial" w:hAnsi="Arial"/>
                <w:sz w:val="17"/>
                <w:szCs w:val="17"/>
                <w:color w:val="auto"/>
              </w:rPr>
              <w:t>Operating lease, fixed asset, and other intangible asset impairments due to</w:t>
            </w:r>
          </w:p>
        </w:tc>
        <w:tc>
          <w:tcPr>
            <w:tcW w:w="32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Arial" w:cs="Arial" w:eastAsia="Arial" w:hAnsi="Arial"/>
                <w:sz w:val="17"/>
                <w:szCs w:val="17"/>
                <w:color w:val="auto"/>
              </w:rPr>
              <w:t>454</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vMerge w:val="restart"/>
          </w:tcPr>
          <w:p>
            <w:pPr>
              <w:jc w:val="right"/>
              <w:spacing w:after="0"/>
              <w:rPr>
                <w:sz w:val="20"/>
                <w:szCs w:val="20"/>
                <w:color w:val="auto"/>
              </w:rPr>
            </w:pPr>
            <w:r>
              <w:rPr>
                <w:rFonts w:ascii="Arial" w:cs="Arial" w:eastAsia="Arial" w:hAnsi="Arial"/>
                <w:sz w:val="17"/>
                <w:szCs w:val="17"/>
                <w:color w:val="auto"/>
              </w:rPr>
              <w:t>5,215</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6320" w:type="dxa"/>
            <w:vAlign w:val="bottom"/>
          </w:tcPr>
          <w:p>
            <w:pPr>
              <w:ind w:left="460"/>
              <w:spacing w:after="0"/>
              <w:rPr>
                <w:sz w:val="20"/>
                <w:szCs w:val="20"/>
                <w:color w:val="auto"/>
              </w:rPr>
            </w:pPr>
            <w:r>
              <w:rPr>
                <w:rFonts w:ascii="Arial" w:cs="Arial" w:eastAsia="Arial" w:hAnsi="Arial"/>
                <w:sz w:val="17"/>
                <w:szCs w:val="17"/>
                <w:color w:val="auto"/>
              </w:rPr>
              <w:t>restructuring (Note 14)</w:t>
            </w:r>
          </w:p>
        </w:tc>
        <w:tc>
          <w:tcPr>
            <w:tcW w:w="32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20" w:type="dxa"/>
            <w:vAlign w:val="bottom"/>
            <w:shd w:val="clear" w:color="auto" w:fill="CCEEFF"/>
          </w:tcPr>
          <w:p>
            <w:pPr>
              <w:ind w:left="460"/>
              <w:spacing w:after="0"/>
              <w:rPr>
                <w:sz w:val="20"/>
                <w:szCs w:val="20"/>
                <w:color w:val="auto"/>
              </w:rPr>
            </w:pPr>
            <w:r>
              <w:rPr>
                <w:rFonts w:ascii="Arial" w:cs="Arial" w:eastAsia="Arial" w:hAnsi="Arial"/>
                <w:sz w:val="17"/>
                <w:szCs w:val="17"/>
                <w:color w:val="auto"/>
              </w:rPr>
              <w:t>Deferred income tax</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2,061</w:t>
            </w:r>
          </w:p>
        </w:tc>
        <w:tc>
          <w:tcPr>
            <w:tcW w:w="0" w:type="dxa"/>
            <w:vAlign w:val="bottom"/>
          </w:tcPr>
          <w:p>
            <w:pPr>
              <w:spacing w:after="0"/>
              <w:rPr>
                <w:sz w:val="1"/>
                <w:szCs w:val="1"/>
                <w:color w:val="auto"/>
              </w:rPr>
            </w:pPr>
          </w:p>
        </w:tc>
      </w:tr>
      <w:tr>
        <w:trPr>
          <w:trHeight w:val="223"/>
        </w:trPr>
        <w:tc>
          <w:tcPr>
            <w:tcW w:w="6320" w:type="dxa"/>
            <w:vAlign w:val="bottom"/>
          </w:tcPr>
          <w:p>
            <w:pPr>
              <w:ind w:left="460"/>
              <w:spacing w:after="0"/>
              <w:rPr>
                <w:sz w:val="20"/>
                <w:szCs w:val="20"/>
                <w:color w:val="auto"/>
              </w:rPr>
            </w:pPr>
            <w:r>
              <w:rPr>
                <w:rFonts w:ascii="Arial" w:cs="Arial" w:eastAsia="Arial" w:hAnsi="Arial"/>
                <w:sz w:val="17"/>
                <w:szCs w:val="17"/>
                <w:color w:val="auto"/>
              </w:rPr>
              <w:t>Gain on disposal of business (Note 3)</w:t>
            </w:r>
          </w:p>
        </w:tc>
        <w:tc>
          <w:tcPr>
            <w:tcW w:w="3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(427)</w:t>
            </w:r>
          </w:p>
        </w:tc>
        <w:tc>
          <w:tcPr>
            <w:tcW w:w="0" w:type="dxa"/>
            <w:vAlign w:val="bottom"/>
          </w:tcPr>
          <w:p>
            <w:pPr>
              <w:spacing w:after="0"/>
              <w:rPr>
                <w:sz w:val="1"/>
                <w:szCs w:val="1"/>
                <w:color w:val="auto"/>
              </w:rPr>
            </w:pPr>
          </w:p>
        </w:tc>
      </w:tr>
      <w:tr>
        <w:trPr>
          <w:trHeight w:val="223"/>
        </w:trPr>
        <w:tc>
          <w:tcPr>
            <w:tcW w:w="6320" w:type="dxa"/>
            <w:vAlign w:val="bottom"/>
            <w:shd w:val="clear" w:color="auto" w:fill="CCEEFF"/>
          </w:tcPr>
          <w:p>
            <w:pPr>
              <w:ind w:left="460"/>
              <w:spacing w:after="0"/>
              <w:rPr>
                <w:sz w:val="20"/>
                <w:szCs w:val="20"/>
                <w:color w:val="auto"/>
              </w:rPr>
            </w:pPr>
            <w:r>
              <w:rPr>
                <w:rFonts w:ascii="Arial" w:cs="Arial" w:eastAsia="Arial" w:hAnsi="Arial"/>
                <w:sz w:val="17"/>
                <w:szCs w:val="17"/>
                <w:color w:val="auto"/>
              </w:rPr>
              <w:t>Gain on sale of property, plant and equipment</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(854)</w:t>
            </w:r>
          </w:p>
        </w:tc>
        <w:tc>
          <w:tcPr>
            <w:tcW w:w="0" w:type="dxa"/>
            <w:vAlign w:val="bottom"/>
          </w:tcPr>
          <w:p>
            <w:pPr>
              <w:spacing w:after="0"/>
              <w:rPr>
                <w:sz w:val="1"/>
                <w:szCs w:val="1"/>
                <w:color w:val="auto"/>
              </w:rPr>
            </w:pPr>
          </w:p>
        </w:tc>
      </w:tr>
      <w:tr>
        <w:trPr>
          <w:trHeight w:val="223"/>
        </w:trPr>
        <w:tc>
          <w:tcPr>
            <w:tcW w:w="6320" w:type="dxa"/>
            <w:vAlign w:val="bottom"/>
          </w:tcPr>
          <w:p>
            <w:pPr>
              <w:ind w:left="460"/>
              <w:spacing w:after="0"/>
              <w:rPr>
                <w:sz w:val="20"/>
                <w:szCs w:val="20"/>
                <w:color w:val="auto"/>
              </w:rPr>
            </w:pPr>
            <w:r>
              <w:rPr>
                <w:rFonts w:ascii="Arial" w:cs="Arial" w:eastAsia="Arial" w:hAnsi="Arial"/>
                <w:sz w:val="17"/>
                <w:szCs w:val="17"/>
                <w:color w:val="auto"/>
              </w:rPr>
              <w:t>Provision for uncollectible accounts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85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1,158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23"/>
        </w:trPr>
        <w:tc>
          <w:tcPr>
            <w:tcW w:w="6320" w:type="dxa"/>
            <w:vAlign w:val="bottom"/>
            <w:shd w:val="clear" w:color="auto" w:fill="CCEEFF"/>
          </w:tcPr>
          <w:p>
            <w:pPr>
              <w:ind w:left="460"/>
              <w:spacing w:after="0"/>
              <w:rPr>
                <w:sz w:val="20"/>
                <w:szCs w:val="20"/>
                <w:color w:val="auto"/>
              </w:rPr>
            </w:pPr>
            <w:r>
              <w:rPr>
                <w:rFonts w:ascii="Arial" w:cs="Arial" w:eastAsia="Arial" w:hAnsi="Arial"/>
                <w:sz w:val="17"/>
                <w:szCs w:val="17"/>
                <w:color w:val="auto"/>
              </w:rPr>
              <w:t>Other</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701</w:t>
            </w:r>
          </w:p>
        </w:tc>
        <w:tc>
          <w:tcPr>
            <w:tcW w:w="0" w:type="dxa"/>
            <w:vAlign w:val="bottom"/>
          </w:tcPr>
          <w:p>
            <w:pPr>
              <w:spacing w:after="0"/>
              <w:rPr>
                <w:sz w:val="1"/>
                <w:szCs w:val="1"/>
                <w:color w:val="auto"/>
              </w:rPr>
            </w:pPr>
          </w:p>
        </w:tc>
      </w:tr>
      <w:tr>
        <w:trPr>
          <w:trHeight w:val="171"/>
        </w:trPr>
        <w:tc>
          <w:tcPr>
            <w:tcW w:w="6320" w:type="dxa"/>
            <w:vAlign w:val="bottom"/>
          </w:tcPr>
          <w:p>
            <w:pPr>
              <w:ind w:left="20"/>
              <w:spacing w:after="0" w:line="172" w:lineRule="exact"/>
              <w:rPr>
                <w:sz w:val="20"/>
                <w:szCs w:val="20"/>
                <w:color w:val="auto"/>
              </w:rPr>
            </w:pPr>
            <w:r>
              <w:rPr>
                <w:rFonts w:ascii="Arial" w:cs="Arial" w:eastAsia="Arial" w:hAnsi="Arial"/>
                <w:sz w:val="17"/>
                <w:szCs w:val="17"/>
                <w:color w:val="auto"/>
                <w:w w:val="97"/>
              </w:rPr>
              <w:t>Changes in operating assets and liabilities increasing (decreasing) cash, net of effects</w:t>
            </w:r>
          </w:p>
        </w:tc>
        <w:tc>
          <w:tcPr>
            <w:tcW w:w="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6320" w:type="dxa"/>
            <w:vAlign w:val="bottom"/>
          </w:tcPr>
          <w:p>
            <w:pPr>
              <w:ind w:left="20"/>
              <w:spacing w:after="0"/>
              <w:rPr>
                <w:sz w:val="20"/>
                <w:szCs w:val="20"/>
                <w:color w:val="auto"/>
              </w:rPr>
            </w:pPr>
            <w:r>
              <w:rPr>
                <w:rFonts w:ascii="Arial" w:cs="Arial" w:eastAsia="Arial" w:hAnsi="Arial"/>
                <w:sz w:val="17"/>
                <w:szCs w:val="17"/>
                <w:color w:val="auto"/>
              </w:rPr>
              <w:t>from disposals:</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20" w:type="dxa"/>
            <w:vAlign w:val="bottom"/>
            <w:shd w:val="clear" w:color="auto" w:fill="CCEEFF"/>
          </w:tcPr>
          <w:p>
            <w:pPr>
              <w:ind w:left="460"/>
              <w:spacing w:after="0"/>
              <w:rPr>
                <w:sz w:val="20"/>
                <w:szCs w:val="20"/>
                <w:color w:val="auto"/>
              </w:rPr>
            </w:pPr>
            <w:r>
              <w:rPr>
                <w:rFonts w:ascii="Arial" w:cs="Arial" w:eastAsia="Arial" w:hAnsi="Arial"/>
                <w:sz w:val="17"/>
                <w:szCs w:val="17"/>
                <w:color w:val="auto"/>
              </w:rPr>
              <w:t>Accounts receivable</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11,109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56,603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(15,374)</w:t>
            </w:r>
          </w:p>
        </w:tc>
        <w:tc>
          <w:tcPr>
            <w:tcW w:w="0" w:type="dxa"/>
            <w:vAlign w:val="bottom"/>
          </w:tcPr>
          <w:p>
            <w:pPr>
              <w:spacing w:after="0"/>
              <w:rPr>
                <w:sz w:val="1"/>
                <w:szCs w:val="1"/>
                <w:color w:val="auto"/>
              </w:rPr>
            </w:pPr>
          </w:p>
        </w:tc>
      </w:tr>
      <w:tr>
        <w:trPr>
          <w:trHeight w:val="223"/>
        </w:trPr>
        <w:tc>
          <w:tcPr>
            <w:tcW w:w="6320" w:type="dxa"/>
            <w:vAlign w:val="bottom"/>
          </w:tcPr>
          <w:p>
            <w:pPr>
              <w:ind w:left="460"/>
              <w:spacing w:after="0"/>
              <w:rPr>
                <w:sz w:val="20"/>
                <w:szCs w:val="20"/>
                <w:color w:val="auto"/>
              </w:rPr>
            </w:pPr>
            <w:r>
              <w:rPr>
                <w:rFonts w:ascii="Arial" w:cs="Arial" w:eastAsia="Arial" w:hAnsi="Arial"/>
                <w:sz w:val="17"/>
                <w:szCs w:val="17"/>
                <w:color w:val="auto"/>
              </w:rPr>
              <w:t>Costs and estimated earnings in excess of billings on uncompleted contracts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28,774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36,535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(19,809)</w:t>
            </w:r>
          </w:p>
        </w:tc>
        <w:tc>
          <w:tcPr>
            <w:tcW w:w="0" w:type="dxa"/>
            <w:vAlign w:val="bottom"/>
          </w:tcPr>
          <w:p>
            <w:pPr>
              <w:spacing w:after="0"/>
              <w:rPr>
                <w:sz w:val="1"/>
                <w:szCs w:val="1"/>
                <w:color w:val="auto"/>
              </w:rPr>
            </w:pPr>
          </w:p>
        </w:tc>
      </w:tr>
      <w:tr>
        <w:trPr>
          <w:trHeight w:val="223"/>
        </w:trPr>
        <w:tc>
          <w:tcPr>
            <w:tcW w:w="6320" w:type="dxa"/>
            <w:vAlign w:val="bottom"/>
            <w:shd w:val="clear" w:color="auto" w:fill="CCEEFF"/>
          </w:tcPr>
          <w:p>
            <w:pPr>
              <w:ind w:left="460"/>
              <w:spacing w:after="0"/>
              <w:rPr>
                <w:sz w:val="20"/>
                <w:szCs w:val="20"/>
                <w:color w:val="auto"/>
              </w:rPr>
            </w:pPr>
            <w:r>
              <w:rPr>
                <w:rFonts w:ascii="Arial" w:cs="Arial" w:eastAsia="Arial" w:hAnsi="Arial"/>
                <w:sz w:val="17"/>
                <w:szCs w:val="17"/>
                <w:color w:val="auto"/>
              </w:rPr>
              <w:t>Inventories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(2,872)</w:t>
            </w:r>
          </w:p>
        </w:tc>
        <w:tc>
          <w:tcPr>
            <w:tcW w:w="0" w:type="dxa"/>
            <w:vAlign w:val="bottom"/>
          </w:tcPr>
          <w:p>
            <w:pPr>
              <w:spacing w:after="0"/>
              <w:rPr>
                <w:sz w:val="1"/>
                <w:szCs w:val="1"/>
                <w:color w:val="auto"/>
              </w:rPr>
            </w:pPr>
          </w:p>
        </w:tc>
      </w:tr>
      <w:tr>
        <w:trPr>
          <w:trHeight w:val="223"/>
        </w:trPr>
        <w:tc>
          <w:tcPr>
            <w:tcW w:w="6320" w:type="dxa"/>
            <w:vAlign w:val="bottom"/>
          </w:tcPr>
          <w:p>
            <w:pPr>
              <w:ind w:left="460"/>
              <w:spacing w:after="0"/>
              <w:rPr>
                <w:sz w:val="20"/>
                <w:szCs w:val="20"/>
                <w:color w:val="auto"/>
              </w:rPr>
            </w:pPr>
            <w:r>
              <w:rPr>
                <w:rFonts w:ascii="Arial" w:cs="Arial" w:eastAsia="Arial" w:hAnsi="Arial"/>
                <w:sz w:val="17"/>
                <w:szCs w:val="17"/>
                <w:color w:val="auto"/>
              </w:rPr>
              <w:t>Other assets and liabilities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(21,916)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11,029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(12,246)</w:t>
            </w:r>
          </w:p>
        </w:tc>
        <w:tc>
          <w:tcPr>
            <w:tcW w:w="0" w:type="dxa"/>
            <w:vAlign w:val="bottom"/>
          </w:tcPr>
          <w:p>
            <w:pPr>
              <w:spacing w:after="0"/>
              <w:rPr>
                <w:sz w:val="1"/>
                <w:szCs w:val="1"/>
                <w:color w:val="auto"/>
              </w:rPr>
            </w:pPr>
          </w:p>
        </w:tc>
      </w:tr>
      <w:tr>
        <w:trPr>
          <w:trHeight w:val="223"/>
        </w:trPr>
        <w:tc>
          <w:tcPr>
            <w:tcW w:w="6320" w:type="dxa"/>
            <w:vAlign w:val="bottom"/>
            <w:shd w:val="clear" w:color="auto" w:fill="CCEEFF"/>
          </w:tcPr>
          <w:p>
            <w:pPr>
              <w:ind w:left="460"/>
              <w:spacing w:after="0"/>
              <w:rPr>
                <w:sz w:val="20"/>
                <w:szCs w:val="20"/>
                <w:color w:val="auto"/>
              </w:rPr>
            </w:pPr>
            <w:r>
              <w:rPr>
                <w:rFonts w:ascii="Arial" w:cs="Arial" w:eastAsia="Arial" w:hAnsi="Arial"/>
                <w:sz w:val="17"/>
                <w:szCs w:val="17"/>
                <w:color w:val="auto"/>
              </w:rPr>
              <w:t>Accounts payable</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(12,387)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(38,915)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32,651</w:t>
            </w:r>
          </w:p>
        </w:tc>
        <w:tc>
          <w:tcPr>
            <w:tcW w:w="0" w:type="dxa"/>
            <w:vAlign w:val="bottom"/>
          </w:tcPr>
          <w:p>
            <w:pPr>
              <w:spacing w:after="0"/>
              <w:rPr>
                <w:sz w:val="1"/>
                <w:szCs w:val="1"/>
                <w:color w:val="auto"/>
              </w:rPr>
            </w:pPr>
          </w:p>
        </w:tc>
      </w:tr>
      <w:tr>
        <w:trPr>
          <w:trHeight w:val="223"/>
        </w:trPr>
        <w:tc>
          <w:tcPr>
            <w:tcW w:w="6320" w:type="dxa"/>
            <w:vAlign w:val="bottom"/>
          </w:tcPr>
          <w:p>
            <w:pPr>
              <w:ind w:left="460"/>
              <w:spacing w:after="0"/>
              <w:rPr>
                <w:sz w:val="20"/>
                <w:szCs w:val="20"/>
                <w:color w:val="auto"/>
              </w:rPr>
            </w:pPr>
            <w:r>
              <w:rPr>
                <w:rFonts w:ascii="Arial" w:cs="Arial" w:eastAsia="Arial" w:hAnsi="Arial"/>
                <w:sz w:val="17"/>
                <w:szCs w:val="17"/>
                <w:color w:val="auto"/>
              </w:rPr>
              <w:t>Billings on uncompleted contracts in excess of costs and estimated earnings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(8,610)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(41,737)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(14,983)</w:t>
            </w:r>
          </w:p>
        </w:tc>
        <w:tc>
          <w:tcPr>
            <w:tcW w:w="0" w:type="dxa"/>
            <w:vAlign w:val="bottom"/>
          </w:tcPr>
          <w:p>
            <w:pPr>
              <w:spacing w:after="0"/>
              <w:rPr>
                <w:sz w:val="1"/>
                <w:szCs w:val="1"/>
                <w:color w:val="auto"/>
              </w:rPr>
            </w:pPr>
          </w:p>
        </w:tc>
      </w:tr>
      <w:tr>
        <w:trPr>
          <w:trHeight w:val="223"/>
        </w:trPr>
        <w:tc>
          <w:tcPr>
            <w:tcW w:w="6320" w:type="dxa"/>
            <w:vAlign w:val="bottom"/>
            <w:shd w:val="clear" w:color="auto" w:fill="CCEEFF"/>
          </w:tcPr>
          <w:p>
            <w:pPr>
              <w:ind w:left="460"/>
              <w:spacing w:after="0"/>
              <w:rPr>
                <w:sz w:val="20"/>
                <w:szCs w:val="20"/>
                <w:color w:val="auto"/>
              </w:rPr>
            </w:pPr>
            <w:r>
              <w:rPr>
                <w:rFonts w:ascii="Arial" w:cs="Arial" w:eastAsia="Arial" w:hAnsi="Arial"/>
                <w:sz w:val="17"/>
                <w:szCs w:val="17"/>
                <w:color w:val="auto"/>
              </w:rPr>
              <w:t>Accrued expenses</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5,464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(17,398)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14,427</w:t>
            </w:r>
          </w:p>
        </w:tc>
        <w:tc>
          <w:tcPr>
            <w:tcW w:w="0" w:type="dxa"/>
            <w:vAlign w:val="bottom"/>
          </w:tcPr>
          <w:p>
            <w:pPr>
              <w:spacing w:after="0"/>
              <w:rPr>
                <w:sz w:val="1"/>
                <w:szCs w:val="1"/>
                <w:color w:val="auto"/>
              </w:rPr>
            </w:pPr>
          </w:p>
        </w:tc>
      </w:tr>
      <w:tr>
        <w:trPr>
          <w:trHeight w:val="216"/>
        </w:trPr>
        <w:tc>
          <w:tcPr>
            <w:tcW w:w="6320" w:type="dxa"/>
            <w:vAlign w:val="bottom"/>
          </w:tcPr>
          <w:p>
            <w:pPr>
              <w:ind w:left="20"/>
              <w:spacing w:after="0"/>
              <w:rPr>
                <w:sz w:val="20"/>
                <w:szCs w:val="20"/>
                <w:color w:val="auto"/>
              </w:rPr>
            </w:pPr>
            <w:r>
              <w:rPr>
                <w:rFonts w:ascii="Arial" w:cs="Arial" w:eastAsia="Arial" w:hAnsi="Arial"/>
                <w:sz w:val="17"/>
                <w:szCs w:val="17"/>
                <w:color w:val="auto"/>
              </w:rPr>
              <w:t>Net cash provided (used) by operating activities</w:t>
            </w: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(2,971)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44,085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41,394</w:t>
            </w:r>
          </w:p>
        </w:tc>
        <w:tc>
          <w:tcPr>
            <w:tcW w:w="0" w:type="dxa"/>
            <w:vAlign w:val="bottom"/>
          </w:tcPr>
          <w:p>
            <w:pPr>
              <w:spacing w:after="0"/>
              <w:rPr>
                <w:sz w:val="1"/>
                <w:szCs w:val="1"/>
                <w:color w:val="auto"/>
              </w:rPr>
            </w:pPr>
          </w:p>
        </w:tc>
      </w:tr>
      <w:tr>
        <w:trPr>
          <w:trHeight w:val="223"/>
        </w:trPr>
        <w:tc>
          <w:tcPr>
            <w:tcW w:w="63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Investing activities: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20" w:type="dxa"/>
            <w:vAlign w:val="bottom"/>
          </w:tcPr>
          <w:p>
            <w:pPr>
              <w:ind w:left="20"/>
              <w:spacing w:after="0"/>
              <w:rPr>
                <w:sz w:val="20"/>
                <w:szCs w:val="20"/>
                <w:color w:val="auto"/>
              </w:rPr>
            </w:pPr>
            <w:r>
              <w:rPr>
                <w:rFonts w:ascii="Arial" w:cs="Arial" w:eastAsia="Arial" w:hAnsi="Arial"/>
                <w:sz w:val="17"/>
                <w:szCs w:val="17"/>
                <w:color w:val="auto"/>
              </w:rPr>
              <w:t>Capital expenditures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(4,354)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(18,539)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(19,558)</w:t>
            </w:r>
          </w:p>
        </w:tc>
        <w:tc>
          <w:tcPr>
            <w:tcW w:w="0" w:type="dxa"/>
            <w:vAlign w:val="bottom"/>
          </w:tcPr>
          <w:p>
            <w:pPr>
              <w:spacing w:after="0"/>
              <w:rPr>
                <w:sz w:val="1"/>
                <w:szCs w:val="1"/>
                <w:color w:val="auto"/>
              </w:rPr>
            </w:pPr>
          </w:p>
        </w:tc>
      </w:tr>
      <w:tr>
        <w:trPr>
          <w:trHeight w:val="223"/>
        </w:trPr>
        <w:tc>
          <w:tcPr>
            <w:tcW w:w="6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Proceeds from disposal of business (Note 3)</w:t>
            </w:r>
          </w:p>
        </w:tc>
        <w:tc>
          <w:tcPr>
            <w:tcW w:w="3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3,885</w:t>
            </w:r>
          </w:p>
        </w:tc>
        <w:tc>
          <w:tcPr>
            <w:tcW w:w="0" w:type="dxa"/>
            <w:vAlign w:val="bottom"/>
          </w:tcPr>
          <w:p>
            <w:pPr>
              <w:spacing w:after="0"/>
              <w:rPr>
                <w:sz w:val="1"/>
                <w:szCs w:val="1"/>
                <w:color w:val="auto"/>
              </w:rPr>
            </w:pPr>
          </w:p>
        </w:tc>
      </w:tr>
      <w:tr>
        <w:trPr>
          <w:trHeight w:val="223"/>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Proceeds from asset sales</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2,090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1,423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1,225</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used by investing activities</w:t>
            </w:r>
          </w:p>
        </w:tc>
        <w:tc>
          <w:tcPr>
            <w:tcW w:w="32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(2,264)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(17,116)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(14,448)</w:t>
            </w:r>
          </w:p>
        </w:tc>
        <w:tc>
          <w:tcPr>
            <w:tcW w:w="0" w:type="dxa"/>
            <w:vAlign w:val="bottom"/>
          </w:tcPr>
          <w:p>
            <w:pPr>
              <w:spacing w:after="0"/>
              <w:rPr>
                <w:sz w:val="1"/>
                <w:szCs w:val="1"/>
                <w:color w:val="auto"/>
              </w:rPr>
            </w:pPr>
          </w:p>
        </w:tc>
      </w:tr>
    </w:tbl>
    <w:p>
      <w:pPr>
        <w:spacing w:after="0" w:line="35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See accompanying notes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5" w:name="page56"/>
    <w:bookmarkEnd w:id="55"/>
    <w:p>
      <w:pPr>
        <w:spacing w:after="0"/>
        <w:rPr>
          <w:sz w:val="20"/>
          <w:szCs w:val="20"/>
          <w:color w:val="auto"/>
        </w:rPr>
      </w:pPr>
      <w:r>
        <w:rPr>
          <w:rFonts w:ascii="Arial" w:cs="Arial" w:eastAsia="Arial" w:hAnsi="Arial"/>
          <w:sz w:val="17"/>
          <w:szCs w:val="17"/>
          <w:u w:val="single" w:color="auto"/>
          <w:color w:val="0000FF"/>
        </w:rPr>
        <w:t>Table of Contents</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Matrix Service Company</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Cash Flows (continued)</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3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8"/>
              </w:rPr>
              <w:t>Fiscal Years Ended</w:t>
            </w: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6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60" w:type="dxa"/>
            <w:vAlign w:val="bottom"/>
            <w:gridSpan w:val="2"/>
          </w:tcPr>
          <w:p>
            <w:pPr>
              <w:ind w:left="220"/>
              <w:spacing w:after="0" w:line="130" w:lineRule="exact"/>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1"/>
                <w:szCs w:val="11"/>
                <w:color w:val="auto"/>
              </w:rPr>
            </w:pPr>
          </w:p>
        </w:tc>
        <w:tc>
          <w:tcPr>
            <w:tcW w:w="1500" w:type="dxa"/>
            <w:vAlign w:val="bottom"/>
            <w:gridSpan w:val="2"/>
          </w:tcPr>
          <w:p>
            <w:pPr>
              <w:jc w:val="center"/>
              <w:ind w:right="280"/>
              <w:spacing w:after="0" w:line="130" w:lineRule="exact"/>
              <w:rPr>
                <w:sz w:val="20"/>
                <w:szCs w:val="20"/>
                <w:color w:val="auto"/>
              </w:rPr>
            </w:pPr>
            <w:r>
              <w:rPr>
                <w:rFonts w:ascii="Arial" w:cs="Arial" w:eastAsia="Arial" w:hAnsi="Arial"/>
                <w:sz w:val="14"/>
                <w:szCs w:val="14"/>
                <w:b w:val="1"/>
                <w:bCs w:val="1"/>
                <w:color w:val="auto"/>
                <w:w w:val="89"/>
              </w:rPr>
              <w:t>June 30,</w:t>
            </w:r>
          </w:p>
        </w:tc>
        <w:tc>
          <w:tcPr>
            <w:tcW w:w="340" w:type="dxa"/>
            <w:vAlign w:val="bottom"/>
          </w:tcPr>
          <w:p>
            <w:pPr>
              <w:spacing w:after="0"/>
              <w:rPr>
                <w:sz w:val="11"/>
                <w:szCs w:val="11"/>
                <w:color w:val="auto"/>
              </w:rPr>
            </w:pPr>
          </w:p>
        </w:tc>
        <w:tc>
          <w:tcPr>
            <w:tcW w:w="1240" w:type="dxa"/>
            <w:vAlign w:val="bottom"/>
          </w:tcPr>
          <w:p>
            <w:pPr>
              <w:jc w:val="right"/>
              <w:ind w:right="455"/>
              <w:spacing w:after="0" w:line="130" w:lineRule="exact"/>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83"/>
        </w:trPr>
        <w:tc>
          <w:tcPr>
            <w:tcW w:w="63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4"/>
        </w:trPr>
        <w:tc>
          <w:tcPr>
            <w:tcW w:w="6320" w:type="dxa"/>
            <w:vAlign w:val="bottom"/>
          </w:tcPr>
          <w:p>
            <w:pPr>
              <w:ind w:left="20"/>
              <w:spacing w:after="0"/>
              <w:rPr>
                <w:sz w:val="20"/>
                <w:szCs w:val="20"/>
                <w:color w:val="auto"/>
              </w:rPr>
            </w:pPr>
            <w:r>
              <w:rPr>
                <w:rFonts w:ascii="Arial" w:cs="Arial" w:eastAsia="Arial" w:hAnsi="Arial"/>
                <w:sz w:val="17"/>
                <w:szCs w:val="17"/>
                <w:b w:val="1"/>
                <w:bCs w:val="1"/>
                <w:color w:val="auto"/>
              </w:rPr>
              <w:t>Financing activities:</w:t>
            </w: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Advances under senior secured revolving credit facility</w:t>
            </w: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18,567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16,225</w:t>
            </w:r>
          </w:p>
        </w:tc>
        <w:tc>
          <w:tcPr>
            <w:tcW w:w="0" w:type="dxa"/>
            <w:vAlign w:val="bottom"/>
          </w:tcPr>
          <w:p>
            <w:pPr>
              <w:spacing w:after="0"/>
              <w:rPr>
                <w:sz w:val="1"/>
                <w:szCs w:val="1"/>
                <w:color w:val="auto"/>
              </w:rPr>
            </w:pPr>
          </w:p>
        </w:tc>
      </w:tr>
      <w:tr>
        <w:trPr>
          <w:trHeight w:val="223"/>
        </w:trPr>
        <w:tc>
          <w:tcPr>
            <w:tcW w:w="6320" w:type="dxa"/>
            <w:vAlign w:val="bottom"/>
          </w:tcPr>
          <w:p>
            <w:pPr>
              <w:ind w:left="20"/>
              <w:spacing w:after="0"/>
              <w:rPr>
                <w:sz w:val="20"/>
                <w:szCs w:val="20"/>
                <w:color w:val="auto"/>
              </w:rPr>
            </w:pPr>
            <w:r>
              <w:rPr>
                <w:rFonts w:ascii="Arial" w:cs="Arial" w:eastAsia="Arial" w:hAnsi="Arial"/>
                <w:sz w:val="17"/>
                <w:szCs w:val="17"/>
                <w:color w:val="auto"/>
              </w:rPr>
              <w:t>Repayments of advances under senior secured revolving credit facility</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(10,913)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(14,357)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(10,896)</w:t>
            </w:r>
          </w:p>
        </w:tc>
        <w:tc>
          <w:tcPr>
            <w:tcW w:w="0" w:type="dxa"/>
            <w:vAlign w:val="bottom"/>
          </w:tcPr>
          <w:p>
            <w:pPr>
              <w:spacing w:after="0"/>
              <w:rPr>
                <w:sz w:val="1"/>
                <w:szCs w:val="1"/>
                <w:color w:val="auto"/>
              </w:rPr>
            </w:pPr>
          </w:p>
        </w:tc>
      </w:tr>
      <w:tr>
        <w:trPr>
          <w:trHeight w:val="223"/>
        </w:trPr>
        <w:tc>
          <w:tcPr>
            <w:tcW w:w="6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Payment of debt amendment fees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6320" w:type="dxa"/>
            <w:vAlign w:val="bottom"/>
          </w:tcPr>
          <w:p>
            <w:pPr>
              <w:ind w:left="20"/>
              <w:spacing w:after="0"/>
              <w:rPr>
                <w:sz w:val="20"/>
                <w:szCs w:val="20"/>
                <w:color w:val="auto"/>
              </w:rPr>
            </w:pPr>
            <w:r>
              <w:rPr>
                <w:rFonts w:ascii="Arial" w:cs="Arial" w:eastAsia="Arial" w:hAnsi="Arial"/>
                <w:sz w:val="17"/>
                <w:szCs w:val="17"/>
                <w:color w:val="auto"/>
              </w:rPr>
              <w:t>Open market purchase of treasury shares</w:t>
            </w:r>
          </w:p>
        </w:tc>
        <w:tc>
          <w:tcPr>
            <w:tcW w:w="3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(17,045)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(5,190)</w:t>
            </w:r>
          </w:p>
        </w:tc>
        <w:tc>
          <w:tcPr>
            <w:tcW w:w="0" w:type="dxa"/>
            <w:vAlign w:val="bottom"/>
          </w:tcPr>
          <w:p>
            <w:pPr>
              <w:spacing w:after="0"/>
              <w:rPr>
                <w:sz w:val="1"/>
                <w:szCs w:val="1"/>
                <w:color w:val="auto"/>
              </w:rPr>
            </w:pPr>
          </w:p>
        </w:tc>
      </w:tr>
      <w:tr>
        <w:trPr>
          <w:trHeight w:val="223"/>
        </w:trPr>
        <w:tc>
          <w:tcPr>
            <w:tcW w:w="6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Issuances of common stock</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w:t>
            </w:r>
          </w:p>
        </w:tc>
        <w:tc>
          <w:tcPr>
            <w:tcW w:w="0" w:type="dxa"/>
            <w:vAlign w:val="bottom"/>
          </w:tcPr>
          <w:p>
            <w:pPr>
              <w:spacing w:after="0"/>
              <w:rPr>
                <w:sz w:val="1"/>
                <w:szCs w:val="1"/>
                <w:color w:val="auto"/>
              </w:rPr>
            </w:pPr>
          </w:p>
        </w:tc>
      </w:tr>
      <w:tr>
        <w:trPr>
          <w:trHeight w:val="223"/>
        </w:trPr>
        <w:tc>
          <w:tcPr>
            <w:tcW w:w="6320" w:type="dxa"/>
            <w:vAlign w:val="bottom"/>
          </w:tcPr>
          <w:p>
            <w:pPr>
              <w:ind w:left="20"/>
              <w:spacing w:after="0"/>
              <w:rPr>
                <w:sz w:val="20"/>
                <w:szCs w:val="20"/>
                <w:color w:val="auto"/>
              </w:rPr>
            </w:pPr>
            <w:r>
              <w:rPr>
                <w:rFonts w:ascii="Arial" w:cs="Arial" w:eastAsia="Arial" w:hAnsi="Arial"/>
                <w:sz w:val="17"/>
                <w:szCs w:val="17"/>
                <w:color w:val="auto"/>
              </w:rPr>
              <w:t>Proceeds from issuance of common stock under employee stock purchase plan</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299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320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311</w:t>
            </w:r>
          </w:p>
        </w:tc>
        <w:tc>
          <w:tcPr>
            <w:tcW w:w="0" w:type="dxa"/>
            <w:vAlign w:val="bottom"/>
          </w:tcPr>
          <w:p>
            <w:pPr>
              <w:spacing w:after="0"/>
              <w:rPr>
                <w:sz w:val="1"/>
                <w:szCs w:val="1"/>
                <w:color w:val="auto"/>
              </w:rPr>
            </w:pPr>
          </w:p>
        </w:tc>
      </w:tr>
      <w:tr>
        <w:trPr>
          <w:trHeight w:val="171"/>
        </w:trPr>
        <w:tc>
          <w:tcPr>
            <w:tcW w:w="6320" w:type="dxa"/>
            <w:vAlign w:val="bottom"/>
            <w:shd w:val="clear" w:color="auto" w:fill="CCEEFF"/>
          </w:tcPr>
          <w:p>
            <w:pPr>
              <w:ind w:left="20"/>
              <w:spacing w:after="0" w:line="172" w:lineRule="exact"/>
              <w:rPr>
                <w:sz w:val="20"/>
                <w:szCs w:val="20"/>
                <w:color w:val="auto"/>
              </w:rPr>
            </w:pPr>
            <w:r>
              <w:rPr>
                <w:rFonts w:ascii="Arial" w:cs="Arial" w:eastAsia="Arial" w:hAnsi="Arial"/>
                <w:sz w:val="17"/>
                <w:szCs w:val="17"/>
                <w:color w:val="auto"/>
              </w:rPr>
              <w:t>Repurchase of common stock for payment of statutory taxes due on equity-based</w:t>
            </w:r>
          </w:p>
        </w:tc>
        <w:tc>
          <w:tcPr>
            <w:tcW w:w="32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(1,554)</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(3,524)</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(1,685)</w:t>
            </w:r>
          </w:p>
        </w:tc>
        <w:tc>
          <w:tcPr>
            <w:tcW w:w="0" w:type="dxa"/>
            <w:vAlign w:val="bottom"/>
          </w:tcPr>
          <w:p>
            <w:pPr>
              <w:spacing w:after="0"/>
              <w:rPr>
                <w:sz w:val="1"/>
                <w:szCs w:val="1"/>
                <w:color w:val="auto"/>
              </w:rPr>
            </w:pPr>
          </w:p>
        </w:tc>
      </w:tr>
      <w:tr>
        <w:trPr>
          <w:trHeight w:val="222"/>
        </w:trPr>
        <w:tc>
          <w:tcPr>
            <w:tcW w:w="6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compensation</w:t>
            </w:r>
          </w:p>
        </w:tc>
        <w:tc>
          <w:tcPr>
            <w:tcW w:w="32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20" w:type="dxa"/>
            <w:vAlign w:val="bottom"/>
          </w:tcPr>
          <w:p>
            <w:pPr>
              <w:ind w:left="20"/>
              <w:spacing w:after="0"/>
              <w:rPr>
                <w:sz w:val="20"/>
                <w:szCs w:val="20"/>
                <w:color w:val="auto"/>
              </w:rPr>
            </w:pPr>
            <w:r>
              <w:rPr>
                <w:rFonts w:ascii="Arial" w:cs="Arial" w:eastAsia="Arial" w:hAnsi="Arial"/>
                <w:sz w:val="17"/>
                <w:szCs w:val="17"/>
                <w:color w:val="auto"/>
              </w:rPr>
              <w:t>Repayment of principal portion of long-term liability</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(355)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6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cash used by financing activities</w:t>
            </w:r>
          </w:p>
        </w:tc>
        <w:tc>
          <w:tcPr>
            <w:tcW w:w="3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(12,324)</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(16,039)</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(1,107)</w:t>
            </w:r>
          </w:p>
        </w:tc>
        <w:tc>
          <w:tcPr>
            <w:tcW w:w="0" w:type="dxa"/>
            <w:vAlign w:val="bottom"/>
          </w:tcPr>
          <w:p>
            <w:pPr>
              <w:spacing w:after="0"/>
              <w:rPr>
                <w:sz w:val="1"/>
                <w:szCs w:val="1"/>
                <w:color w:val="auto"/>
              </w:rPr>
            </w:pPr>
          </w:p>
        </w:tc>
      </w:tr>
      <w:tr>
        <w:trPr>
          <w:trHeight w:val="223"/>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Effect of exchange rate changes on cash</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1,401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(181)</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increase (decrease) in cash and cash equivalents</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(16,158)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10,321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25,658</w:t>
            </w:r>
          </w:p>
        </w:tc>
        <w:tc>
          <w:tcPr>
            <w:tcW w:w="0" w:type="dxa"/>
            <w:vAlign w:val="bottom"/>
          </w:tcPr>
          <w:p>
            <w:pPr>
              <w:spacing w:after="0"/>
              <w:rPr>
                <w:sz w:val="1"/>
                <w:szCs w:val="1"/>
                <w:color w:val="auto"/>
              </w:rPr>
            </w:pPr>
          </w:p>
        </w:tc>
      </w:tr>
      <w:tr>
        <w:trPr>
          <w:trHeight w:val="223"/>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Cash and cash equivalents, beginning of period</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100,036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89,715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64,057</w:t>
            </w:r>
          </w:p>
        </w:tc>
        <w:tc>
          <w:tcPr>
            <w:tcW w:w="0" w:type="dxa"/>
            <w:vAlign w:val="bottom"/>
          </w:tcPr>
          <w:p>
            <w:pPr>
              <w:spacing w:after="0"/>
              <w:rPr>
                <w:sz w:val="1"/>
                <w:szCs w:val="1"/>
                <w:color w:val="auto"/>
              </w:rPr>
            </w:pPr>
          </w:p>
        </w:tc>
      </w:tr>
      <w:tr>
        <w:trPr>
          <w:trHeight w:val="241"/>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Cash and cash equivalents, end of period</w:t>
            </w:r>
          </w:p>
        </w:tc>
        <w:tc>
          <w:tcPr>
            <w:tcW w:w="3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83,878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100,036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89,715</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b w:val="1"/>
                <w:bCs w:val="1"/>
                <w:color w:val="auto"/>
              </w:rPr>
              <w:t>Supplemental disclosure of cash flow information:</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32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paid during the period for:</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20" w:type="dxa"/>
            <w:vAlign w:val="bottom"/>
          </w:tcPr>
          <w:p>
            <w:pPr>
              <w:ind w:left="460"/>
              <w:spacing w:after="0"/>
              <w:rPr>
                <w:sz w:val="20"/>
                <w:szCs w:val="20"/>
                <w:color w:val="auto"/>
              </w:rPr>
            </w:pPr>
            <w:r>
              <w:rPr>
                <w:rFonts w:ascii="Arial" w:cs="Arial" w:eastAsia="Arial" w:hAnsi="Arial"/>
                <w:sz w:val="17"/>
                <w:szCs w:val="17"/>
                <w:color w:val="auto"/>
              </w:rPr>
              <w:t>Income taxes</w:t>
            </w:r>
          </w:p>
        </w:tc>
        <w:tc>
          <w:tcPr>
            <w:tcW w:w="32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451</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6,394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3,309</w:t>
            </w:r>
          </w:p>
        </w:tc>
        <w:tc>
          <w:tcPr>
            <w:tcW w:w="0" w:type="dxa"/>
            <w:vAlign w:val="bottom"/>
          </w:tcPr>
          <w:p>
            <w:pPr>
              <w:spacing w:after="0"/>
              <w:rPr>
                <w:sz w:val="1"/>
                <w:szCs w:val="1"/>
                <w:color w:val="auto"/>
              </w:rPr>
            </w:pPr>
          </w:p>
        </w:tc>
      </w:tr>
      <w:tr>
        <w:trPr>
          <w:trHeight w:val="20"/>
        </w:trPr>
        <w:tc>
          <w:tcPr>
            <w:tcW w:w="63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63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7"/>
                <w:szCs w:val="17"/>
                <w:color w:val="auto"/>
              </w:rPr>
              <w:t>Interest</w:t>
            </w:r>
          </w:p>
        </w:tc>
        <w:tc>
          <w:tcPr>
            <w:tcW w:w="3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1,834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2,148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1,705</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bottom w:val="single" w:sz="8" w:color="CCEEFF"/>
            </w:tcBorders>
            <w:vMerge w:val="restart"/>
          </w:tcPr>
          <w:p>
            <w:pPr>
              <w:ind w:left="20"/>
              <w:spacing w:after="0" w:line="183" w:lineRule="exact"/>
              <w:rPr>
                <w:sz w:val="20"/>
                <w:szCs w:val="20"/>
                <w:color w:val="auto"/>
              </w:rPr>
            </w:pPr>
            <w:r>
              <w:rPr>
                <w:rFonts w:ascii="Arial" w:cs="Arial" w:eastAsia="Arial" w:hAnsi="Arial"/>
                <w:sz w:val="17"/>
                <w:szCs w:val="17"/>
                <w:color w:val="auto"/>
              </w:rPr>
              <w:t>Non-cash investing and financing activities: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320" w:type="dxa"/>
            <w:vAlign w:val="bottom"/>
            <w:vMerge w:val="continue"/>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3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63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7"/>
                <w:szCs w:val="17"/>
                <w:color w:val="auto"/>
              </w:rPr>
              <w:t>Purchases of property, plant and equipment on account</w:t>
            </w:r>
          </w:p>
        </w:tc>
        <w:tc>
          <w:tcPr>
            <w:tcW w:w="3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2,686</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See accompanying notes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6" w:name="page57"/>
    <w:bookmarkEnd w:id="5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Matrix Service Company</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Changes in Stockholders’ Equity</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data)</w:t>
      </w:r>
    </w:p>
    <w:p>
      <w:pPr>
        <w:spacing w:after="0" w:line="116" w:lineRule="exact"/>
        <w:rPr>
          <w:sz w:val="20"/>
          <w:szCs w:val="20"/>
          <w:color w:val="auto"/>
        </w:rPr>
      </w:pPr>
    </w:p>
    <w:tbl>
      <w:tblPr>
        <w:tblLayout w:type="fixed"/>
        <w:tblInd w:w="5020" w:type="dxa"/>
        <w:tblCellMar>
          <w:top w:w="0" w:type="dxa"/>
          <w:left w:w="0" w:type="dxa"/>
          <w:bottom w:w="0" w:type="dxa"/>
          <w:right w:w="0" w:type="dxa"/>
        </w:tblCellMar>
      </w:tblPr>
      <w:tr>
        <w:trPr>
          <w:trHeight w:val="161"/>
        </w:trPr>
        <w:tc>
          <w:tcPr>
            <w:tcW w:w="760" w:type="dxa"/>
            <w:vAlign w:val="bottom"/>
          </w:tcPr>
          <w:p>
            <w:pPr>
              <w:spacing w:after="0"/>
              <w:rPr>
                <w:sz w:val="14"/>
                <w:szCs w:val="14"/>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Additional</w:t>
            </w: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88"/>
              </w:rPr>
              <w:t>Accumulated</w:t>
            </w: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6"/>
        </w:trPr>
        <w:tc>
          <w:tcPr>
            <w:tcW w:w="760" w:type="dxa"/>
            <w:vAlign w:val="bottom"/>
            <w:vMerge w:val="restart"/>
          </w:tcPr>
          <w:p>
            <w:pPr>
              <w:jc w:val="center"/>
              <w:ind w:right="150"/>
              <w:spacing w:after="0" w:line="131" w:lineRule="exact"/>
              <w:rPr>
                <w:sz w:val="20"/>
                <w:szCs w:val="20"/>
                <w:color w:val="auto"/>
              </w:rPr>
            </w:pPr>
            <w:r>
              <w:rPr>
                <w:rFonts w:ascii="Arial" w:cs="Arial" w:eastAsia="Arial" w:hAnsi="Arial"/>
                <w:sz w:val="14"/>
                <w:szCs w:val="14"/>
                <w:b w:val="1"/>
                <w:bCs w:val="1"/>
                <w:color w:val="auto"/>
                <w:w w:val="88"/>
              </w:rPr>
              <w:t>Common</w:t>
            </w:r>
          </w:p>
        </w:tc>
        <w:tc>
          <w:tcPr>
            <w:tcW w:w="1060" w:type="dxa"/>
            <w:vAlign w:val="bottom"/>
            <w:vMerge w:val="continue"/>
          </w:tcPr>
          <w:p>
            <w:pPr>
              <w:spacing w:after="0"/>
              <w:rPr>
                <w:sz w:val="5"/>
                <w:szCs w:val="5"/>
                <w:color w:val="auto"/>
              </w:rPr>
            </w:pPr>
          </w:p>
        </w:tc>
        <w:tc>
          <w:tcPr>
            <w:tcW w:w="1000" w:type="dxa"/>
            <w:vAlign w:val="bottom"/>
            <w:vMerge w:val="restart"/>
          </w:tcPr>
          <w:p>
            <w:pPr>
              <w:ind w:left="220"/>
              <w:spacing w:after="0" w:line="131" w:lineRule="exact"/>
              <w:rPr>
                <w:sz w:val="20"/>
                <w:szCs w:val="20"/>
                <w:color w:val="auto"/>
              </w:rPr>
            </w:pPr>
            <w:r>
              <w:rPr>
                <w:rFonts w:ascii="Arial" w:cs="Arial" w:eastAsia="Arial" w:hAnsi="Arial"/>
                <w:sz w:val="14"/>
                <w:szCs w:val="14"/>
                <w:b w:val="1"/>
                <w:bCs w:val="1"/>
                <w:color w:val="auto"/>
              </w:rPr>
              <w:t>Retained</w:t>
            </w:r>
          </w:p>
        </w:tc>
        <w:tc>
          <w:tcPr>
            <w:tcW w:w="1020" w:type="dxa"/>
            <w:vAlign w:val="bottom"/>
            <w:vMerge w:val="restart"/>
          </w:tcPr>
          <w:p>
            <w:pPr>
              <w:jc w:val="center"/>
              <w:spacing w:after="0" w:line="131" w:lineRule="exact"/>
              <w:rPr>
                <w:sz w:val="20"/>
                <w:szCs w:val="20"/>
                <w:color w:val="auto"/>
              </w:rPr>
            </w:pPr>
            <w:r>
              <w:rPr>
                <w:rFonts w:ascii="Arial" w:cs="Arial" w:eastAsia="Arial" w:hAnsi="Arial"/>
                <w:sz w:val="14"/>
                <w:szCs w:val="14"/>
                <w:b w:val="1"/>
                <w:bCs w:val="1"/>
                <w:color w:val="auto"/>
                <w:w w:val="91"/>
              </w:rPr>
              <w:t>Treasury</w:t>
            </w:r>
          </w:p>
        </w:tc>
        <w:tc>
          <w:tcPr>
            <w:tcW w:w="1480" w:type="dxa"/>
            <w:vAlign w:val="bottom"/>
            <w:vMerge w:val="restart"/>
          </w:tcPr>
          <w:p>
            <w:pPr>
              <w:jc w:val="center"/>
              <w:spacing w:after="0" w:line="131" w:lineRule="exact"/>
              <w:rPr>
                <w:sz w:val="20"/>
                <w:szCs w:val="20"/>
                <w:color w:val="auto"/>
              </w:rPr>
            </w:pPr>
            <w:r>
              <w:rPr>
                <w:rFonts w:ascii="Arial" w:cs="Arial" w:eastAsia="Arial" w:hAnsi="Arial"/>
                <w:sz w:val="14"/>
                <w:szCs w:val="14"/>
                <w:b w:val="1"/>
                <w:bCs w:val="1"/>
                <w:color w:val="auto"/>
                <w:w w:val="90"/>
              </w:rPr>
              <w:t>Other</w:t>
            </w:r>
          </w:p>
        </w:tc>
        <w:tc>
          <w:tcPr>
            <w:tcW w:w="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6"/>
        </w:trPr>
        <w:tc>
          <w:tcPr>
            <w:tcW w:w="760" w:type="dxa"/>
            <w:vAlign w:val="bottom"/>
            <w:vMerge w:val="continue"/>
          </w:tcPr>
          <w:p>
            <w:pPr>
              <w:spacing w:after="0"/>
              <w:rPr>
                <w:sz w:val="5"/>
                <w:szCs w:val="5"/>
                <w:color w:val="auto"/>
              </w:rPr>
            </w:pPr>
          </w:p>
        </w:tc>
        <w:tc>
          <w:tcPr>
            <w:tcW w:w="1060" w:type="dxa"/>
            <w:vAlign w:val="bottom"/>
            <w:vMerge w:val="restart"/>
          </w:tcPr>
          <w:p>
            <w:pPr>
              <w:jc w:val="center"/>
              <w:spacing w:after="0" w:line="131" w:lineRule="exact"/>
              <w:rPr>
                <w:sz w:val="20"/>
                <w:szCs w:val="20"/>
                <w:color w:val="auto"/>
              </w:rPr>
            </w:pPr>
            <w:r>
              <w:rPr>
                <w:rFonts w:ascii="Arial" w:cs="Arial" w:eastAsia="Arial" w:hAnsi="Arial"/>
                <w:sz w:val="14"/>
                <w:szCs w:val="14"/>
                <w:b w:val="1"/>
                <w:bCs w:val="1"/>
                <w:color w:val="auto"/>
                <w:w w:val="98"/>
              </w:rPr>
              <w:t>Paid-In</w:t>
            </w:r>
          </w:p>
        </w:tc>
        <w:tc>
          <w:tcPr>
            <w:tcW w:w="1000" w:type="dxa"/>
            <w:vAlign w:val="bottom"/>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600" w:type="dxa"/>
            <w:vAlign w:val="bottom"/>
            <w:vMerge w:val="restart"/>
          </w:tcPr>
          <w:p>
            <w:pPr>
              <w:ind w:left="300"/>
              <w:spacing w:after="0" w:line="131" w:lineRule="exact"/>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66"/>
        </w:trPr>
        <w:tc>
          <w:tcPr>
            <w:tcW w:w="760" w:type="dxa"/>
            <w:vAlign w:val="bottom"/>
            <w:vMerge w:val="restart"/>
          </w:tcPr>
          <w:p>
            <w:pPr>
              <w:jc w:val="center"/>
              <w:ind w:right="150"/>
              <w:spacing w:after="0" w:line="131" w:lineRule="exact"/>
              <w:rPr>
                <w:sz w:val="20"/>
                <w:szCs w:val="20"/>
                <w:color w:val="auto"/>
              </w:rPr>
            </w:pPr>
            <w:r>
              <w:rPr>
                <w:rFonts w:ascii="Arial" w:cs="Arial" w:eastAsia="Arial" w:hAnsi="Arial"/>
                <w:sz w:val="14"/>
                <w:szCs w:val="14"/>
                <w:b w:val="1"/>
                <w:bCs w:val="1"/>
                <w:color w:val="auto"/>
                <w:w w:val="89"/>
              </w:rPr>
              <w:t>Stock</w:t>
            </w:r>
          </w:p>
        </w:tc>
        <w:tc>
          <w:tcPr>
            <w:tcW w:w="1060" w:type="dxa"/>
            <w:vAlign w:val="bottom"/>
            <w:vMerge w:val="continue"/>
          </w:tcPr>
          <w:p>
            <w:pPr>
              <w:spacing w:after="0"/>
              <w:rPr>
                <w:sz w:val="5"/>
                <w:szCs w:val="5"/>
                <w:color w:val="auto"/>
              </w:rPr>
            </w:pPr>
          </w:p>
        </w:tc>
        <w:tc>
          <w:tcPr>
            <w:tcW w:w="1000" w:type="dxa"/>
            <w:vAlign w:val="bottom"/>
            <w:vMerge w:val="restart"/>
          </w:tcPr>
          <w:p>
            <w:pPr>
              <w:ind w:left="220"/>
              <w:spacing w:after="0" w:line="131" w:lineRule="exact"/>
              <w:rPr>
                <w:sz w:val="20"/>
                <w:szCs w:val="20"/>
                <w:color w:val="auto"/>
              </w:rPr>
            </w:pPr>
            <w:r>
              <w:rPr>
                <w:rFonts w:ascii="Arial" w:cs="Arial" w:eastAsia="Arial" w:hAnsi="Arial"/>
                <w:sz w:val="14"/>
                <w:szCs w:val="14"/>
                <w:b w:val="1"/>
                <w:bCs w:val="1"/>
                <w:color w:val="auto"/>
              </w:rPr>
              <w:t>Earnings</w:t>
            </w:r>
          </w:p>
        </w:tc>
        <w:tc>
          <w:tcPr>
            <w:tcW w:w="1020" w:type="dxa"/>
            <w:vAlign w:val="bottom"/>
            <w:vMerge w:val="restart"/>
          </w:tcPr>
          <w:p>
            <w:pPr>
              <w:jc w:val="center"/>
              <w:spacing w:after="0" w:line="131" w:lineRule="exact"/>
              <w:rPr>
                <w:sz w:val="20"/>
                <w:szCs w:val="20"/>
                <w:color w:val="auto"/>
              </w:rPr>
            </w:pPr>
            <w:r>
              <w:rPr>
                <w:rFonts w:ascii="Arial" w:cs="Arial" w:eastAsia="Arial" w:hAnsi="Arial"/>
                <w:sz w:val="14"/>
                <w:szCs w:val="14"/>
                <w:b w:val="1"/>
                <w:bCs w:val="1"/>
                <w:color w:val="auto"/>
                <w:w w:val="83"/>
              </w:rPr>
              <w:t>Stock</w:t>
            </w:r>
          </w:p>
        </w:tc>
        <w:tc>
          <w:tcPr>
            <w:tcW w:w="1480" w:type="dxa"/>
            <w:vAlign w:val="bottom"/>
            <w:vMerge w:val="restart"/>
          </w:tcPr>
          <w:p>
            <w:pPr>
              <w:jc w:val="center"/>
              <w:spacing w:after="0" w:line="131" w:lineRule="exact"/>
              <w:rPr>
                <w:sz w:val="20"/>
                <w:szCs w:val="20"/>
                <w:color w:val="auto"/>
              </w:rPr>
            </w:pPr>
            <w:r>
              <w:rPr>
                <w:rFonts w:ascii="Arial" w:cs="Arial" w:eastAsia="Arial" w:hAnsi="Arial"/>
                <w:sz w:val="14"/>
                <w:szCs w:val="14"/>
                <w:b w:val="1"/>
                <w:bCs w:val="1"/>
                <w:color w:val="auto"/>
                <w:w w:val="89"/>
              </w:rPr>
              <w:t>Comprehensive</w:t>
            </w:r>
          </w:p>
        </w:tc>
        <w:tc>
          <w:tcPr>
            <w:tcW w:w="6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6"/>
        </w:trPr>
        <w:tc>
          <w:tcPr>
            <w:tcW w:w="760" w:type="dxa"/>
            <w:vAlign w:val="bottom"/>
            <w:vMerge w:val="continue"/>
          </w:tcPr>
          <w:p>
            <w:pPr>
              <w:spacing w:after="0"/>
              <w:rPr>
                <w:sz w:val="5"/>
                <w:szCs w:val="5"/>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Capital</w:t>
            </w:r>
          </w:p>
        </w:tc>
        <w:tc>
          <w:tcPr>
            <w:tcW w:w="1000" w:type="dxa"/>
            <w:vAlign w:val="bottom"/>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76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10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79"/>
              </w:rPr>
              <w:t>Loss</w:t>
            </w: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48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wp:posOffset>
            </wp:positionV>
            <wp:extent cx="7136130" cy="1250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6130" cy="12509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tbl>
      <w:tblPr>
        <w:tblLayout w:type="fixed"/>
        <w:tblInd w:w="20" w:type="dxa"/>
        <w:tblCellMar>
          <w:top w:w="0" w:type="dxa"/>
          <w:left w:w="0" w:type="dxa"/>
          <w:bottom w:w="0" w:type="dxa"/>
          <w:right w:w="0" w:type="dxa"/>
        </w:tblCellMar>
      </w:tblPr>
      <w:tr>
        <w:trPr>
          <w:trHeight w:val="172"/>
        </w:trPr>
        <w:tc>
          <w:tcPr>
            <w:tcW w:w="4820" w:type="dxa"/>
            <w:vAlign w:val="bottom"/>
          </w:tcPr>
          <w:p>
            <w:pPr>
              <w:spacing w:after="0"/>
              <w:rPr>
                <w:sz w:val="20"/>
                <w:szCs w:val="20"/>
                <w:color w:val="auto"/>
              </w:rPr>
            </w:pPr>
            <w:r>
              <w:rPr>
                <w:rFonts w:ascii="Arial" w:cs="Arial" w:eastAsia="Arial" w:hAnsi="Arial"/>
                <w:sz w:val="14"/>
                <w:szCs w:val="14"/>
                <w:color w:val="auto"/>
              </w:rPr>
              <w:t>Balances, July 1, 2018</w:t>
            </w:r>
          </w:p>
        </w:tc>
        <w:tc>
          <w:tcPr>
            <w:tcW w:w="360" w:type="dxa"/>
            <w:vAlign w:val="bottom"/>
            <w:tcBorders>
              <w:top w:val="single" w:sz="8" w:color="auto"/>
            </w:tcBorders>
          </w:tcPr>
          <w:p>
            <w:pPr>
              <w:jc w:val="right"/>
              <w:ind w:right="210"/>
              <w:spacing w:after="0"/>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279</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9"/>
        </w:trPr>
        <w:tc>
          <w:tcPr>
            <w:tcW w:w="4820" w:type="dxa"/>
            <w:vAlign w:val="bottom"/>
          </w:tcPr>
          <w:p>
            <w:pPr>
              <w:ind w:left="320"/>
              <w:spacing w:after="0"/>
              <w:rPr>
                <w:sz w:val="20"/>
                <w:szCs w:val="20"/>
                <w:color w:val="auto"/>
              </w:rPr>
            </w:pPr>
            <w:r>
              <w:rPr>
                <w:rFonts w:ascii="Arial" w:cs="Arial" w:eastAsia="Arial" w:hAnsi="Arial"/>
                <w:sz w:val="14"/>
                <w:szCs w:val="14"/>
                <w:color w:val="auto"/>
              </w:rPr>
              <w:t>Net income</w:t>
            </w:r>
          </w:p>
        </w:tc>
        <w:tc>
          <w:tcPr>
            <w:tcW w:w="3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820" w:type="dxa"/>
            <w:vAlign w:val="bottom"/>
          </w:tcPr>
          <w:p>
            <w:pPr>
              <w:ind w:left="320"/>
              <w:spacing w:after="0"/>
              <w:rPr>
                <w:sz w:val="20"/>
                <w:szCs w:val="20"/>
                <w:color w:val="auto"/>
              </w:rPr>
            </w:pPr>
            <w:r>
              <w:rPr>
                <w:rFonts w:ascii="Arial" w:cs="Arial" w:eastAsia="Arial" w:hAnsi="Arial"/>
                <w:sz w:val="14"/>
                <w:szCs w:val="14"/>
                <w:color w:val="auto"/>
              </w:rPr>
              <w:t>Other comprehensive loss</w:t>
            </w:r>
          </w:p>
        </w:tc>
        <w:tc>
          <w:tcPr>
            <w:tcW w:w="3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820" w:type="dxa"/>
            <w:vAlign w:val="bottom"/>
          </w:tcPr>
          <w:p>
            <w:pPr>
              <w:ind w:left="320"/>
              <w:spacing w:after="0"/>
              <w:rPr>
                <w:sz w:val="20"/>
                <w:szCs w:val="20"/>
                <w:color w:val="auto"/>
              </w:rPr>
            </w:pPr>
            <w:r>
              <w:rPr>
                <w:rFonts w:ascii="Arial" w:cs="Arial" w:eastAsia="Arial" w:hAnsi="Arial"/>
                <w:sz w:val="14"/>
                <w:szCs w:val="14"/>
                <w:color w:val="auto"/>
                <w:w w:val="99"/>
              </w:rPr>
              <w:t>Treasury Shares sold to Employee Stock Purchase Plan (15,812 shares)</w:t>
            </w:r>
          </w:p>
        </w:tc>
        <w:tc>
          <w:tcPr>
            <w:tcW w:w="3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820" w:type="dxa"/>
            <w:vAlign w:val="bottom"/>
          </w:tcPr>
          <w:p>
            <w:pPr>
              <w:ind w:left="320"/>
              <w:spacing w:after="0"/>
              <w:rPr>
                <w:sz w:val="20"/>
                <w:szCs w:val="20"/>
                <w:color w:val="auto"/>
              </w:rPr>
            </w:pPr>
            <w:r>
              <w:rPr>
                <w:rFonts w:ascii="Arial" w:cs="Arial" w:eastAsia="Arial" w:hAnsi="Arial"/>
                <w:sz w:val="14"/>
                <w:szCs w:val="14"/>
                <w:color w:val="auto"/>
              </w:rPr>
              <w:t>Exercise of stock options (12,500 shares)</w:t>
            </w:r>
          </w:p>
        </w:tc>
        <w:tc>
          <w:tcPr>
            <w:tcW w:w="3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820" w:type="dxa"/>
            <w:vAlign w:val="bottom"/>
          </w:tcPr>
          <w:p>
            <w:pPr>
              <w:ind w:left="320"/>
              <w:spacing w:after="0"/>
              <w:rPr>
                <w:sz w:val="20"/>
                <w:szCs w:val="20"/>
                <w:color w:val="auto"/>
              </w:rPr>
            </w:pPr>
            <w:r>
              <w:rPr>
                <w:rFonts w:ascii="Arial" w:cs="Arial" w:eastAsia="Arial" w:hAnsi="Arial"/>
                <w:sz w:val="14"/>
                <w:szCs w:val="14"/>
                <w:color w:val="auto"/>
              </w:rPr>
              <w:t>Issuance of deferred shares (314,711 shares)</w:t>
            </w:r>
          </w:p>
        </w:tc>
        <w:tc>
          <w:tcPr>
            <w:tcW w:w="3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820" w:type="dxa"/>
            <w:vAlign w:val="bottom"/>
          </w:tcPr>
          <w:p>
            <w:pPr>
              <w:ind w:left="320"/>
              <w:spacing w:after="0" w:line="142" w:lineRule="exact"/>
              <w:rPr>
                <w:sz w:val="20"/>
                <w:szCs w:val="20"/>
                <w:color w:val="auto"/>
              </w:rPr>
            </w:pPr>
            <w:r>
              <w:rPr>
                <w:rFonts w:ascii="Arial" w:cs="Arial" w:eastAsia="Arial" w:hAnsi="Arial"/>
                <w:sz w:val="14"/>
                <w:szCs w:val="14"/>
                <w:color w:val="auto"/>
                <w:w w:val="97"/>
              </w:rPr>
              <w:t>Treasury shares repurchased to satisfy tax withholding obligations (79,111</w:t>
            </w:r>
          </w:p>
        </w:tc>
        <w:tc>
          <w:tcPr>
            <w:tcW w:w="36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4820" w:type="dxa"/>
            <w:vAlign w:val="bottom"/>
            <w:vMerge w:val="restart"/>
          </w:tcPr>
          <w:p>
            <w:pPr>
              <w:ind w:left="320"/>
              <w:spacing w:after="0"/>
              <w:rPr>
                <w:sz w:val="20"/>
                <w:szCs w:val="20"/>
                <w:color w:val="auto"/>
              </w:rPr>
            </w:pPr>
            <w:r>
              <w:rPr>
                <w:rFonts w:ascii="Arial" w:cs="Arial" w:eastAsia="Arial" w:hAnsi="Arial"/>
                <w:sz w:val="14"/>
                <w:szCs w:val="14"/>
                <w:color w:val="auto"/>
              </w:rPr>
              <w:t>shares)</w:t>
            </w:r>
          </w:p>
        </w:tc>
        <w:tc>
          <w:tcPr>
            <w:tcW w:w="36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1"/>
        </w:trPr>
        <w:tc>
          <w:tcPr>
            <w:tcW w:w="4820" w:type="dxa"/>
            <w:vAlign w:val="bottom"/>
            <w:vMerge w:val="continue"/>
          </w:tcPr>
          <w:p>
            <w:pPr>
              <w:spacing w:after="0"/>
              <w:rPr>
                <w:sz w:val="6"/>
                <w:szCs w:val="6"/>
                <w:color w:val="auto"/>
              </w:rPr>
            </w:pPr>
          </w:p>
        </w:tc>
        <w:tc>
          <w:tcPr>
            <w:tcW w:w="3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4820" w:type="dxa"/>
            <w:vAlign w:val="bottom"/>
          </w:tcPr>
          <w:p>
            <w:pPr>
              <w:ind w:left="320"/>
              <w:spacing w:after="0"/>
              <w:rPr>
                <w:sz w:val="20"/>
                <w:szCs w:val="20"/>
                <w:color w:val="auto"/>
              </w:rPr>
            </w:pPr>
            <w:r>
              <w:rPr>
                <w:rFonts w:ascii="Arial" w:cs="Arial" w:eastAsia="Arial" w:hAnsi="Arial"/>
                <w:sz w:val="14"/>
                <w:szCs w:val="14"/>
                <w:color w:val="auto"/>
              </w:rPr>
              <w:t>Open market purchases of treasury shares (310,532 shares)</w:t>
            </w:r>
          </w:p>
        </w:tc>
        <w:tc>
          <w:tcPr>
            <w:tcW w:w="3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820" w:type="dxa"/>
            <w:vAlign w:val="bottom"/>
          </w:tcPr>
          <w:p>
            <w:pPr>
              <w:ind w:left="320"/>
              <w:spacing w:after="0"/>
              <w:rPr>
                <w:sz w:val="20"/>
                <w:szCs w:val="20"/>
                <w:color w:val="auto"/>
              </w:rPr>
            </w:pPr>
            <w:r>
              <w:rPr>
                <w:rFonts w:ascii="Arial" w:cs="Arial" w:eastAsia="Arial" w:hAnsi="Arial"/>
                <w:sz w:val="14"/>
                <w:szCs w:val="14"/>
                <w:color w:val="auto"/>
              </w:rPr>
              <w:t>Stock-based compensation expense</w:t>
            </w:r>
          </w:p>
        </w:tc>
        <w:tc>
          <w:tcPr>
            <w:tcW w:w="3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4820" w:type="dxa"/>
            <w:vAlign w:val="bottom"/>
          </w:tcPr>
          <w:p>
            <w:pPr>
              <w:spacing w:after="0"/>
              <w:rPr>
                <w:sz w:val="20"/>
                <w:szCs w:val="20"/>
                <w:color w:val="auto"/>
              </w:rPr>
            </w:pPr>
            <w:r>
              <w:rPr>
                <w:rFonts w:ascii="Arial" w:cs="Arial" w:eastAsia="Arial" w:hAnsi="Arial"/>
                <w:sz w:val="14"/>
                <w:szCs w:val="14"/>
                <w:color w:val="auto"/>
              </w:rPr>
              <w:t>Balances, June 30, 2019</w:t>
            </w:r>
          </w:p>
        </w:tc>
        <w:tc>
          <w:tcPr>
            <w:tcW w:w="3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279</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820" w:type="dxa"/>
            <w:vAlign w:val="bottom"/>
          </w:tcPr>
          <w:p>
            <w:pPr>
              <w:ind w:left="320"/>
              <w:spacing w:after="0"/>
              <w:rPr>
                <w:sz w:val="20"/>
                <w:szCs w:val="20"/>
                <w:color w:val="auto"/>
              </w:rPr>
            </w:pPr>
            <w:r>
              <w:rPr>
                <w:rFonts w:ascii="Arial" w:cs="Arial" w:eastAsia="Arial" w:hAnsi="Arial"/>
                <w:sz w:val="14"/>
                <w:szCs w:val="14"/>
                <w:color w:val="auto"/>
              </w:rPr>
              <w:t>Net loss</w:t>
            </w:r>
          </w:p>
        </w:tc>
        <w:tc>
          <w:tcPr>
            <w:tcW w:w="3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820" w:type="dxa"/>
            <w:vAlign w:val="bottom"/>
          </w:tcPr>
          <w:p>
            <w:pPr>
              <w:ind w:left="320"/>
              <w:spacing w:after="0"/>
              <w:rPr>
                <w:sz w:val="20"/>
                <w:szCs w:val="20"/>
                <w:color w:val="auto"/>
              </w:rPr>
            </w:pPr>
            <w:r>
              <w:rPr>
                <w:rFonts w:ascii="Arial" w:cs="Arial" w:eastAsia="Arial" w:hAnsi="Arial"/>
                <w:sz w:val="14"/>
                <w:szCs w:val="14"/>
                <w:color w:val="auto"/>
              </w:rPr>
              <w:t>Other comprehensive loss</w:t>
            </w:r>
          </w:p>
        </w:tc>
        <w:tc>
          <w:tcPr>
            <w:tcW w:w="3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820" w:type="dxa"/>
            <w:vAlign w:val="bottom"/>
          </w:tcPr>
          <w:p>
            <w:pPr>
              <w:ind w:left="320"/>
              <w:spacing w:after="0"/>
              <w:rPr>
                <w:sz w:val="20"/>
                <w:szCs w:val="20"/>
                <w:color w:val="auto"/>
              </w:rPr>
            </w:pPr>
            <w:r>
              <w:rPr>
                <w:rFonts w:ascii="Arial" w:cs="Arial" w:eastAsia="Arial" w:hAnsi="Arial"/>
                <w:sz w:val="14"/>
                <w:szCs w:val="14"/>
                <w:color w:val="auto"/>
                <w:w w:val="99"/>
              </w:rPr>
              <w:t>Treasury Shares sold to Employee Stock Purchase Plan (20,733 shares)</w:t>
            </w:r>
          </w:p>
        </w:tc>
        <w:tc>
          <w:tcPr>
            <w:tcW w:w="3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820" w:type="dxa"/>
            <w:vAlign w:val="bottom"/>
          </w:tcPr>
          <w:p>
            <w:pPr>
              <w:ind w:left="320"/>
              <w:spacing w:after="0"/>
              <w:rPr>
                <w:sz w:val="20"/>
                <w:szCs w:val="20"/>
                <w:color w:val="auto"/>
              </w:rPr>
            </w:pPr>
            <w:r>
              <w:rPr>
                <w:rFonts w:ascii="Arial" w:cs="Arial" w:eastAsia="Arial" w:hAnsi="Arial"/>
                <w:sz w:val="14"/>
                <w:szCs w:val="14"/>
                <w:color w:val="auto"/>
              </w:rPr>
              <w:t>Issuance of deferred shares (542,279 shares)</w:t>
            </w:r>
          </w:p>
        </w:tc>
        <w:tc>
          <w:tcPr>
            <w:tcW w:w="3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820" w:type="dxa"/>
            <w:vAlign w:val="bottom"/>
          </w:tcPr>
          <w:p>
            <w:pPr>
              <w:ind w:left="320"/>
              <w:spacing w:after="0" w:line="142" w:lineRule="exact"/>
              <w:rPr>
                <w:sz w:val="20"/>
                <w:szCs w:val="20"/>
                <w:color w:val="auto"/>
              </w:rPr>
            </w:pPr>
            <w:r>
              <w:rPr>
                <w:rFonts w:ascii="Arial" w:cs="Arial" w:eastAsia="Arial" w:hAnsi="Arial"/>
                <w:sz w:val="14"/>
                <w:szCs w:val="14"/>
                <w:color w:val="auto"/>
                <w:w w:val="95"/>
              </w:rPr>
              <w:t>Treasury shares repurchased to satisfy tax withholding obligations (181,081</w:t>
            </w:r>
          </w:p>
        </w:tc>
        <w:tc>
          <w:tcPr>
            <w:tcW w:w="36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4820" w:type="dxa"/>
            <w:vAlign w:val="bottom"/>
            <w:vMerge w:val="restart"/>
          </w:tcPr>
          <w:p>
            <w:pPr>
              <w:ind w:left="320"/>
              <w:spacing w:after="0"/>
              <w:rPr>
                <w:sz w:val="20"/>
                <w:szCs w:val="20"/>
                <w:color w:val="auto"/>
              </w:rPr>
            </w:pPr>
            <w:r>
              <w:rPr>
                <w:rFonts w:ascii="Arial" w:cs="Arial" w:eastAsia="Arial" w:hAnsi="Arial"/>
                <w:sz w:val="14"/>
                <w:szCs w:val="14"/>
                <w:color w:val="auto"/>
              </w:rPr>
              <w:t>shares)</w:t>
            </w:r>
          </w:p>
        </w:tc>
        <w:tc>
          <w:tcPr>
            <w:tcW w:w="36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1"/>
        </w:trPr>
        <w:tc>
          <w:tcPr>
            <w:tcW w:w="4820" w:type="dxa"/>
            <w:vAlign w:val="bottom"/>
            <w:vMerge w:val="continue"/>
          </w:tcPr>
          <w:p>
            <w:pPr>
              <w:spacing w:after="0"/>
              <w:rPr>
                <w:sz w:val="6"/>
                <w:szCs w:val="6"/>
                <w:color w:val="auto"/>
              </w:rPr>
            </w:pPr>
          </w:p>
        </w:tc>
        <w:tc>
          <w:tcPr>
            <w:tcW w:w="3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4820" w:type="dxa"/>
            <w:vAlign w:val="bottom"/>
          </w:tcPr>
          <w:p>
            <w:pPr>
              <w:ind w:left="320"/>
              <w:spacing w:after="0"/>
              <w:rPr>
                <w:sz w:val="20"/>
                <w:szCs w:val="20"/>
                <w:color w:val="auto"/>
              </w:rPr>
            </w:pPr>
            <w:r>
              <w:rPr>
                <w:rFonts w:ascii="Arial" w:cs="Arial" w:eastAsia="Arial" w:hAnsi="Arial"/>
                <w:sz w:val="14"/>
                <w:szCs w:val="14"/>
                <w:color w:val="auto"/>
              </w:rPr>
              <w:t>Open market purchases of treasury shares (1,047,606 shares)</w:t>
            </w:r>
          </w:p>
        </w:tc>
        <w:tc>
          <w:tcPr>
            <w:tcW w:w="3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820" w:type="dxa"/>
            <w:vAlign w:val="bottom"/>
          </w:tcPr>
          <w:p>
            <w:pPr>
              <w:ind w:left="320"/>
              <w:spacing w:after="0"/>
              <w:rPr>
                <w:sz w:val="20"/>
                <w:szCs w:val="20"/>
                <w:color w:val="auto"/>
              </w:rPr>
            </w:pPr>
            <w:r>
              <w:rPr>
                <w:rFonts w:ascii="Arial" w:cs="Arial" w:eastAsia="Arial" w:hAnsi="Arial"/>
                <w:sz w:val="14"/>
                <w:szCs w:val="14"/>
                <w:color w:val="auto"/>
              </w:rPr>
              <w:t>Stock-based compensation expense</w:t>
            </w:r>
          </w:p>
        </w:tc>
        <w:tc>
          <w:tcPr>
            <w:tcW w:w="3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4820" w:type="dxa"/>
            <w:vAlign w:val="bottom"/>
          </w:tcPr>
          <w:p>
            <w:pPr>
              <w:spacing w:after="0"/>
              <w:rPr>
                <w:sz w:val="20"/>
                <w:szCs w:val="20"/>
                <w:color w:val="auto"/>
              </w:rPr>
            </w:pPr>
            <w:r>
              <w:rPr>
                <w:rFonts w:ascii="Arial" w:cs="Arial" w:eastAsia="Arial" w:hAnsi="Arial"/>
                <w:sz w:val="14"/>
                <w:szCs w:val="14"/>
                <w:color w:val="auto"/>
              </w:rPr>
              <w:t>Balances, June 30, 2020</w:t>
            </w:r>
          </w:p>
        </w:tc>
        <w:tc>
          <w:tcPr>
            <w:tcW w:w="3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279</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820" w:type="dxa"/>
            <w:vAlign w:val="bottom"/>
          </w:tcPr>
          <w:p>
            <w:pPr>
              <w:ind w:left="320"/>
              <w:spacing w:after="0"/>
              <w:rPr>
                <w:sz w:val="20"/>
                <w:szCs w:val="20"/>
                <w:color w:val="auto"/>
              </w:rPr>
            </w:pPr>
            <w:r>
              <w:rPr>
                <w:rFonts w:ascii="Arial" w:cs="Arial" w:eastAsia="Arial" w:hAnsi="Arial"/>
                <w:sz w:val="14"/>
                <w:szCs w:val="14"/>
                <w:color w:val="auto"/>
              </w:rPr>
              <w:t>Net loss</w:t>
            </w:r>
          </w:p>
        </w:tc>
        <w:tc>
          <w:tcPr>
            <w:tcW w:w="3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820" w:type="dxa"/>
            <w:vAlign w:val="bottom"/>
          </w:tcPr>
          <w:p>
            <w:pPr>
              <w:ind w:left="320"/>
              <w:spacing w:after="0"/>
              <w:rPr>
                <w:sz w:val="20"/>
                <w:szCs w:val="20"/>
                <w:color w:val="auto"/>
              </w:rPr>
            </w:pPr>
            <w:r>
              <w:rPr>
                <w:rFonts w:ascii="Arial" w:cs="Arial" w:eastAsia="Arial" w:hAnsi="Arial"/>
                <w:sz w:val="14"/>
                <w:szCs w:val="14"/>
                <w:color w:val="auto"/>
              </w:rPr>
              <w:t>Other comprehensive income</w:t>
            </w:r>
          </w:p>
        </w:tc>
        <w:tc>
          <w:tcPr>
            <w:tcW w:w="3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820" w:type="dxa"/>
            <w:vAlign w:val="bottom"/>
          </w:tcPr>
          <w:p>
            <w:pPr>
              <w:ind w:left="320"/>
              <w:spacing w:after="0"/>
              <w:rPr>
                <w:sz w:val="20"/>
                <w:szCs w:val="20"/>
                <w:color w:val="auto"/>
              </w:rPr>
            </w:pPr>
            <w:r>
              <w:rPr>
                <w:rFonts w:ascii="Arial" w:cs="Arial" w:eastAsia="Arial" w:hAnsi="Arial"/>
                <w:sz w:val="14"/>
                <w:szCs w:val="14"/>
                <w:color w:val="auto"/>
                <w:w w:val="98"/>
              </w:rPr>
              <w:t>Treasury Shares Sold to Employee Stock Purchase Plan (29,171 shares)</w:t>
            </w:r>
          </w:p>
        </w:tc>
        <w:tc>
          <w:tcPr>
            <w:tcW w:w="3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820" w:type="dxa"/>
            <w:vAlign w:val="bottom"/>
          </w:tcPr>
          <w:p>
            <w:pPr>
              <w:ind w:left="320"/>
              <w:spacing w:after="0"/>
              <w:rPr>
                <w:sz w:val="20"/>
                <w:szCs w:val="20"/>
                <w:color w:val="auto"/>
              </w:rPr>
            </w:pPr>
            <w:r>
              <w:rPr>
                <w:rFonts w:ascii="Arial" w:cs="Arial" w:eastAsia="Arial" w:hAnsi="Arial"/>
                <w:sz w:val="14"/>
                <w:szCs w:val="14"/>
                <w:color w:val="auto"/>
              </w:rPr>
              <w:t>Exercise of stock options (34,150 shares)</w:t>
            </w:r>
          </w:p>
        </w:tc>
        <w:tc>
          <w:tcPr>
            <w:tcW w:w="3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820" w:type="dxa"/>
            <w:vAlign w:val="bottom"/>
          </w:tcPr>
          <w:p>
            <w:pPr>
              <w:ind w:left="320"/>
              <w:spacing w:after="0"/>
              <w:rPr>
                <w:sz w:val="20"/>
                <w:szCs w:val="20"/>
                <w:color w:val="auto"/>
              </w:rPr>
            </w:pPr>
            <w:r>
              <w:rPr>
                <w:rFonts w:ascii="Arial" w:cs="Arial" w:eastAsia="Arial" w:hAnsi="Arial"/>
                <w:sz w:val="14"/>
                <w:szCs w:val="14"/>
                <w:color w:val="auto"/>
              </w:rPr>
              <w:t>Issuance of deferred shares (515,218 shares)</w:t>
            </w:r>
          </w:p>
        </w:tc>
        <w:tc>
          <w:tcPr>
            <w:tcW w:w="3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820" w:type="dxa"/>
            <w:vAlign w:val="bottom"/>
          </w:tcPr>
          <w:p>
            <w:pPr>
              <w:ind w:left="320"/>
              <w:spacing w:after="0" w:line="142" w:lineRule="exact"/>
              <w:rPr>
                <w:sz w:val="20"/>
                <w:szCs w:val="20"/>
                <w:color w:val="auto"/>
              </w:rPr>
            </w:pPr>
            <w:r>
              <w:rPr>
                <w:rFonts w:ascii="Arial" w:cs="Arial" w:eastAsia="Arial" w:hAnsi="Arial"/>
                <w:sz w:val="14"/>
                <w:szCs w:val="14"/>
                <w:color w:val="auto"/>
                <w:w w:val="95"/>
              </w:rPr>
              <w:t>Treasury shares repurchased to satisfy tax withholding obligations (170,629</w:t>
            </w:r>
          </w:p>
        </w:tc>
        <w:tc>
          <w:tcPr>
            <w:tcW w:w="36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4820" w:type="dxa"/>
            <w:vAlign w:val="bottom"/>
            <w:vMerge w:val="restart"/>
          </w:tcPr>
          <w:p>
            <w:pPr>
              <w:ind w:left="320"/>
              <w:spacing w:after="0"/>
              <w:rPr>
                <w:sz w:val="20"/>
                <w:szCs w:val="20"/>
                <w:color w:val="auto"/>
              </w:rPr>
            </w:pPr>
            <w:r>
              <w:rPr>
                <w:rFonts w:ascii="Arial" w:cs="Arial" w:eastAsia="Arial" w:hAnsi="Arial"/>
                <w:sz w:val="14"/>
                <w:szCs w:val="14"/>
                <w:color w:val="auto"/>
              </w:rPr>
              <w:t>shares)</w:t>
            </w:r>
          </w:p>
        </w:tc>
        <w:tc>
          <w:tcPr>
            <w:tcW w:w="36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1"/>
        </w:trPr>
        <w:tc>
          <w:tcPr>
            <w:tcW w:w="4820" w:type="dxa"/>
            <w:vAlign w:val="bottom"/>
            <w:vMerge w:val="continue"/>
          </w:tcPr>
          <w:p>
            <w:pPr>
              <w:spacing w:after="0"/>
              <w:rPr>
                <w:sz w:val="6"/>
                <w:szCs w:val="6"/>
                <w:color w:val="auto"/>
              </w:rPr>
            </w:pPr>
          </w:p>
        </w:tc>
        <w:tc>
          <w:tcPr>
            <w:tcW w:w="3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4820" w:type="dxa"/>
            <w:vAlign w:val="bottom"/>
          </w:tcPr>
          <w:p>
            <w:pPr>
              <w:ind w:left="320"/>
              <w:spacing w:after="0"/>
              <w:rPr>
                <w:sz w:val="20"/>
                <w:szCs w:val="20"/>
                <w:color w:val="auto"/>
              </w:rPr>
            </w:pPr>
            <w:r>
              <w:rPr>
                <w:rFonts w:ascii="Arial" w:cs="Arial" w:eastAsia="Arial" w:hAnsi="Arial"/>
                <w:sz w:val="14"/>
                <w:szCs w:val="14"/>
                <w:color w:val="auto"/>
              </w:rPr>
              <w:t>Stock-based compensation expense</w:t>
            </w:r>
          </w:p>
        </w:tc>
        <w:tc>
          <w:tcPr>
            <w:tcW w:w="3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820" w:type="dxa"/>
            <w:vAlign w:val="bottom"/>
          </w:tcPr>
          <w:p>
            <w:pPr>
              <w:spacing w:after="0"/>
              <w:rPr>
                <w:sz w:val="20"/>
                <w:szCs w:val="20"/>
                <w:color w:val="auto"/>
              </w:rPr>
            </w:pPr>
            <w:r>
              <w:rPr>
                <w:rFonts w:ascii="Arial" w:cs="Arial" w:eastAsia="Arial" w:hAnsi="Arial"/>
                <w:sz w:val="14"/>
                <w:szCs w:val="14"/>
                <w:color w:val="auto"/>
              </w:rPr>
              <w:t>Balances, June 30, 2021</w:t>
            </w:r>
          </w:p>
        </w:tc>
        <w:tc>
          <w:tcPr>
            <w:tcW w:w="360" w:type="dxa"/>
            <w:vAlign w:val="bottom"/>
            <w:tcBorders>
              <w:bottom w:val="single" w:sz="8" w:color="auto"/>
            </w:tcBorders>
          </w:tcPr>
          <w:p>
            <w:pPr>
              <w:jc w:val="right"/>
              <w:ind w:right="210"/>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279</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48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-3105150</wp:posOffset>
            </wp:positionV>
            <wp:extent cx="7136130" cy="1168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6130" cy="11684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-2872105</wp:posOffset>
            </wp:positionV>
            <wp:extent cx="7136130" cy="1168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6130" cy="11684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-2639060</wp:posOffset>
            </wp:positionV>
            <wp:extent cx="7136130" cy="20002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6130" cy="20002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-2322830</wp:posOffset>
            </wp:positionV>
            <wp:extent cx="7136130" cy="1168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6130" cy="11684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-2080895</wp:posOffset>
            </wp:positionV>
            <wp:extent cx="7136130" cy="1168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6130" cy="11684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-1847850</wp:posOffset>
            </wp:positionV>
            <wp:extent cx="7136130" cy="1168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6130" cy="11684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-1614805</wp:posOffset>
            </wp:positionV>
            <wp:extent cx="7136130" cy="20002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6130" cy="20002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-1298575</wp:posOffset>
            </wp:positionV>
            <wp:extent cx="7136130" cy="1168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6130" cy="11684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-1056640</wp:posOffset>
            </wp:positionV>
            <wp:extent cx="7136130" cy="1168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6130" cy="11684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-823595</wp:posOffset>
            </wp:positionV>
            <wp:extent cx="7136130" cy="1168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6130" cy="11684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-590550</wp:posOffset>
            </wp:positionV>
            <wp:extent cx="7136130" cy="1168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6130" cy="11684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-274320</wp:posOffset>
            </wp:positionV>
            <wp:extent cx="7136130" cy="1168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6130" cy="1168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620" w:type="dxa"/>
            <w:vAlign w:val="bottom"/>
          </w:tcPr>
          <w:p>
            <w:pPr>
              <w:jc w:val="right"/>
              <w:ind w:right="90"/>
              <w:spacing w:after="0"/>
              <w:rPr>
                <w:sz w:val="20"/>
                <w:szCs w:val="20"/>
                <w:color w:val="auto"/>
              </w:rPr>
            </w:pPr>
            <w:r>
              <w:rPr>
                <w:rFonts w:ascii="Arial" w:cs="Arial" w:eastAsia="Arial" w:hAnsi="Arial"/>
                <w:sz w:val="14"/>
                <w:szCs w:val="14"/>
                <w:color w:val="auto"/>
                <w:w w:val="86"/>
              </w:rPr>
              <w:t>132,198</w:t>
            </w:r>
          </w:p>
        </w:tc>
        <w:tc>
          <w:tcPr>
            <w:tcW w:w="240" w:type="dxa"/>
            <w:vAlign w:val="bottom"/>
            <w:tcBorders>
              <w:top w:val="single" w:sz="8" w:color="auto"/>
            </w:tcBorders>
          </w:tcPr>
          <w:p>
            <w:pPr>
              <w:jc w:val="right"/>
              <w:ind w:right="90"/>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211,494</w:t>
            </w:r>
          </w:p>
        </w:tc>
        <w:tc>
          <w:tcPr>
            <w:tcW w:w="100" w:type="dxa"/>
            <w:vAlign w:val="bottom"/>
          </w:tcPr>
          <w:p>
            <w:pPr>
              <w:spacing w:after="0"/>
              <w:rPr>
                <w:sz w:val="14"/>
                <w:szCs w:val="14"/>
                <w:color w:val="auto"/>
              </w:rPr>
            </w:pPr>
          </w:p>
        </w:tc>
        <w:tc>
          <w:tcPr>
            <w:tcW w:w="260" w:type="dxa"/>
            <w:vAlign w:val="bottom"/>
            <w:tcBorders>
              <w:top w:val="single" w:sz="8" w:color="auto"/>
            </w:tcBorders>
          </w:tcPr>
          <w:p>
            <w:pPr>
              <w:jc w:val="right"/>
              <w:ind w:right="110"/>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(17,717)</w:t>
            </w:r>
          </w:p>
        </w:tc>
        <w:tc>
          <w:tcPr>
            <w:tcW w:w="100" w:type="dxa"/>
            <w:vAlign w:val="bottom"/>
          </w:tcPr>
          <w:p>
            <w:pPr>
              <w:spacing w:after="0"/>
              <w:rPr>
                <w:sz w:val="14"/>
                <w:szCs w:val="14"/>
                <w:color w:val="auto"/>
              </w:rPr>
            </w:pPr>
          </w:p>
        </w:tc>
        <w:tc>
          <w:tcPr>
            <w:tcW w:w="480" w:type="dxa"/>
            <w:vAlign w:val="bottom"/>
            <w:tcBorders>
              <w:top w:val="single" w:sz="8" w:color="auto"/>
            </w:tcBorders>
          </w:tcPr>
          <w:p>
            <w:pPr>
              <w:jc w:val="right"/>
              <w:ind w:right="330"/>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(7,411)</w:t>
            </w:r>
          </w:p>
        </w:tc>
        <w:tc>
          <w:tcPr>
            <w:tcW w:w="100" w:type="dxa"/>
            <w:vAlign w:val="bottom"/>
          </w:tcPr>
          <w:p>
            <w:pPr>
              <w:spacing w:after="0"/>
              <w:rPr>
                <w:sz w:val="14"/>
                <w:szCs w:val="14"/>
                <w:color w:val="auto"/>
              </w:rPr>
            </w:pPr>
          </w:p>
        </w:tc>
        <w:tc>
          <w:tcPr>
            <w:tcW w:w="260" w:type="dxa"/>
            <w:vAlign w:val="bottom"/>
            <w:tcBorders>
              <w:top w:val="single" w:sz="8" w:color="auto"/>
            </w:tcBorders>
          </w:tcPr>
          <w:p>
            <w:pPr>
              <w:jc w:val="right"/>
              <w:ind w:right="90"/>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318,843</w:t>
            </w:r>
          </w:p>
        </w:tc>
      </w:tr>
      <w:tr>
        <w:trPr>
          <w:trHeight w:val="179"/>
        </w:trPr>
        <w:tc>
          <w:tcPr>
            <w:tcW w:w="62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27,982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27,982</w:t>
            </w:r>
          </w:p>
        </w:tc>
      </w:tr>
      <w:tr>
        <w:trPr>
          <w:trHeight w:val="184"/>
        </w:trPr>
        <w:tc>
          <w:tcPr>
            <w:tcW w:w="62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(340)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(340)</w:t>
            </w:r>
          </w:p>
        </w:tc>
      </w:tr>
      <w:tr>
        <w:trPr>
          <w:trHeight w:val="184"/>
        </w:trPr>
        <w:tc>
          <w:tcPr>
            <w:tcW w:w="620" w:type="dxa"/>
            <w:vAlign w:val="bottom"/>
          </w:tcPr>
          <w:p>
            <w:pPr>
              <w:jc w:val="right"/>
              <w:ind w:right="90"/>
              <w:spacing w:after="0"/>
              <w:rPr>
                <w:sz w:val="20"/>
                <w:szCs w:val="20"/>
                <w:color w:val="auto"/>
              </w:rPr>
            </w:pPr>
            <w:r>
              <w:rPr>
                <w:rFonts w:ascii="Arial" w:cs="Arial" w:eastAsia="Arial" w:hAnsi="Arial"/>
                <w:sz w:val="14"/>
                <w:szCs w:val="14"/>
                <w:color w:val="auto"/>
              </w:rPr>
              <w:t>38</w:t>
            </w:r>
          </w:p>
        </w:tc>
        <w:tc>
          <w:tcPr>
            <w:tcW w:w="24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273</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311</w:t>
            </w:r>
          </w:p>
        </w:tc>
      </w:tr>
      <w:tr>
        <w:trPr>
          <w:trHeight w:val="184"/>
        </w:trPr>
        <w:tc>
          <w:tcPr>
            <w:tcW w:w="620" w:type="dxa"/>
            <w:vAlign w:val="bottom"/>
          </w:tcPr>
          <w:p>
            <w:pPr>
              <w:jc w:val="right"/>
              <w:ind w:right="70"/>
              <w:spacing w:after="0"/>
              <w:rPr>
                <w:sz w:val="20"/>
                <w:szCs w:val="20"/>
                <w:color w:val="auto"/>
              </w:rPr>
            </w:pPr>
            <w:r>
              <w:rPr>
                <w:rFonts w:ascii="Arial" w:cs="Arial" w:eastAsia="Arial" w:hAnsi="Arial"/>
                <w:sz w:val="14"/>
                <w:szCs w:val="14"/>
                <w:color w:val="auto"/>
              </w:rPr>
              <w:t>(126)</w:t>
            </w:r>
          </w:p>
        </w:tc>
        <w:tc>
          <w:tcPr>
            <w:tcW w:w="24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254</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128</w:t>
            </w:r>
          </w:p>
        </w:tc>
      </w:tr>
      <w:tr>
        <w:trPr>
          <w:trHeight w:val="184"/>
        </w:trPr>
        <w:tc>
          <w:tcPr>
            <w:tcW w:w="620" w:type="dxa"/>
            <w:vAlign w:val="bottom"/>
          </w:tcPr>
          <w:p>
            <w:pPr>
              <w:jc w:val="right"/>
              <w:ind w:right="70"/>
              <w:spacing w:after="0"/>
              <w:rPr>
                <w:sz w:val="20"/>
                <w:szCs w:val="20"/>
                <w:color w:val="auto"/>
              </w:rPr>
            </w:pPr>
            <w:r>
              <w:rPr>
                <w:rFonts w:ascii="Arial" w:cs="Arial" w:eastAsia="Arial" w:hAnsi="Arial"/>
                <w:sz w:val="14"/>
                <w:szCs w:val="14"/>
                <w:color w:val="auto"/>
              </w:rPr>
              <w:t>(6,306)</w:t>
            </w:r>
          </w:p>
        </w:tc>
        <w:tc>
          <w:tcPr>
            <w:tcW w:w="24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6,306</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49"/>
        </w:trPr>
        <w:tc>
          <w:tcPr>
            <w:tcW w:w="62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(1,685)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(1,685)</w:t>
            </w:r>
          </w:p>
        </w:tc>
      </w:tr>
      <w:tr>
        <w:trPr>
          <w:trHeight w:val="249"/>
        </w:trPr>
        <w:tc>
          <w:tcPr>
            <w:tcW w:w="62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(5,190)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(5,190)</w:t>
            </w:r>
          </w:p>
        </w:tc>
      </w:tr>
      <w:tr>
        <w:trPr>
          <w:trHeight w:val="187"/>
        </w:trPr>
        <w:tc>
          <w:tcPr>
            <w:tcW w:w="620" w:type="dxa"/>
            <w:vAlign w:val="bottom"/>
          </w:tcPr>
          <w:p>
            <w:pPr>
              <w:jc w:val="right"/>
              <w:ind w:right="90"/>
              <w:spacing w:after="0"/>
              <w:rPr>
                <w:sz w:val="20"/>
                <w:szCs w:val="20"/>
                <w:color w:val="auto"/>
              </w:rPr>
            </w:pPr>
            <w:r>
              <w:rPr>
                <w:rFonts w:ascii="Arial" w:cs="Arial" w:eastAsia="Arial" w:hAnsi="Arial"/>
                <w:sz w:val="14"/>
                <w:szCs w:val="14"/>
                <w:color w:val="auto"/>
              </w:rPr>
              <w:t>11,908</w:t>
            </w:r>
          </w:p>
        </w:tc>
        <w:tc>
          <w:tcPr>
            <w:tcW w:w="24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11,908</w:t>
            </w:r>
          </w:p>
        </w:tc>
      </w:tr>
      <w:tr>
        <w:trPr>
          <w:trHeight w:val="178"/>
        </w:trPr>
        <w:tc>
          <w:tcPr>
            <w:tcW w:w="620" w:type="dxa"/>
            <w:vAlign w:val="bottom"/>
          </w:tcPr>
          <w:p>
            <w:pPr>
              <w:jc w:val="right"/>
              <w:ind w:right="90"/>
              <w:spacing w:after="0"/>
              <w:rPr>
                <w:sz w:val="20"/>
                <w:szCs w:val="20"/>
                <w:color w:val="auto"/>
              </w:rPr>
            </w:pPr>
            <w:r>
              <w:rPr>
                <w:rFonts w:ascii="Arial" w:cs="Arial" w:eastAsia="Arial" w:hAnsi="Arial"/>
                <w:sz w:val="14"/>
                <w:szCs w:val="14"/>
                <w:color w:val="auto"/>
                <w:w w:val="86"/>
              </w:rPr>
              <w:t>137,712</w:t>
            </w:r>
          </w:p>
        </w:tc>
        <w:tc>
          <w:tcPr>
            <w:tcW w:w="24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239,476</w:t>
            </w: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(17,759)</w:t>
            </w:r>
          </w:p>
        </w:tc>
        <w:tc>
          <w:tcPr>
            <w:tcW w:w="100" w:type="dxa"/>
            <w:vAlign w:val="bottom"/>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(7,751)</w:t>
            </w: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351,957</w:t>
            </w:r>
          </w:p>
        </w:tc>
      </w:tr>
      <w:tr>
        <w:trPr>
          <w:trHeight w:val="179"/>
        </w:trPr>
        <w:tc>
          <w:tcPr>
            <w:tcW w:w="62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(33,074)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(33,074)</w:t>
            </w:r>
          </w:p>
        </w:tc>
      </w:tr>
      <w:tr>
        <w:trPr>
          <w:trHeight w:val="184"/>
        </w:trPr>
        <w:tc>
          <w:tcPr>
            <w:tcW w:w="62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(622)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(622)</w:t>
            </w:r>
          </w:p>
        </w:tc>
      </w:tr>
      <w:tr>
        <w:trPr>
          <w:trHeight w:val="184"/>
        </w:trPr>
        <w:tc>
          <w:tcPr>
            <w:tcW w:w="620" w:type="dxa"/>
            <w:vAlign w:val="bottom"/>
          </w:tcPr>
          <w:p>
            <w:pPr>
              <w:jc w:val="right"/>
              <w:ind w:right="70"/>
              <w:spacing w:after="0"/>
              <w:rPr>
                <w:sz w:val="20"/>
                <w:szCs w:val="20"/>
                <w:color w:val="auto"/>
              </w:rPr>
            </w:pPr>
            <w:r>
              <w:rPr>
                <w:rFonts w:ascii="Arial" w:cs="Arial" w:eastAsia="Arial" w:hAnsi="Arial"/>
                <w:sz w:val="14"/>
                <w:szCs w:val="14"/>
                <w:color w:val="auto"/>
              </w:rPr>
              <w:t>(19)</w:t>
            </w:r>
          </w:p>
        </w:tc>
        <w:tc>
          <w:tcPr>
            <w:tcW w:w="24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339</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320</w:t>
            </w:r>
          </w:p>
        </w:tc>
      </w:tr>
      <w:tr>
        <w:trPr>
          <w:trHeight w:val="184"/>
        </w:trPr>
        <w:tc>
          <w:tcPr>
            <w:tcW w:w="620" w:type="dxa"/>
            <w:vAlign w:val="bottom"/>
          </w:tcPr>
          <w:p>
            <w:pPr>
              <w:jc w:val="right"/>
              <w:ind w:right="70"/>
              <w:spacing w:after="0"/>
              <w:rPr>
                <w:sz w:val="20"/>
                <w:szCs w:val="20"/>
                <w:color w:val="auto"/>
              </w:rPr>
            </w:pPr>
            <w:r>
              <w:rPr>
                <w:rFonts w:ascii="Arial" w:cs="Arial" w:eastAsia="Arial" w:hAnsi="Arial"/>
                <w:sz w:val="14"/>
                <w:szCs w:val="14"/>
                <w:color w:val="auto"/>
              </w:rPr>
              <w:t>(8,604)</w:t>
            </w:r>
          </w:p>
        </w:tc>
        <w:tc>
          <w:tcPr>
            <w:tcW w:w="24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8,604</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49"/>
        </w:trPr>
        <w:tc>
          <w:tcPr>
            <w:tcW w:w="62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(3,524)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(3,524)</w:t>
            </w:r>
          </w:p>
        </w:tc>
      </w:tr>
      <w:tr>
        <w:trPr>
          <w:trHeight w:val="249"/>
        </w:trPr>
        <w:tc>
          <w:tcPr>
            <w:tcW w:w="62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(17,045)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(17,045)</w:t>
            </w:r>
          </w:p>
        </w:tc>
      </w:tr>
      <w:tr>
        <w:trPr>
          <w:trHeight w:val="187"/>
        </w:trPr>
        <w:tc>
          <w:tcPr>
            <w:tcW w:w="620" w:type="dxa"/>
            <w:vAlign w:val="bottom"/>
          </w:tcPr>
          <w:p>
            <w:pPr>
              <w:jc w:val="right"/>
              <w:ind w:right="90"/>
              <w:spacing w:after="0"/>
              <w:rPr>
                <w:sz w:val="20"/>
                <w:szCs w:val="20"/>
                <w:color w:val="auto"/>
              </w:rPr>
            </w:pPr>
            <w:r>
              <w:rPr>
                <w:rFonts w:ascii="Arial" w:cs="Arial" w:eastAsia="Arial" w:hAnsi="Arial"/>
                <w:sz w:val="14"/>
                <w:szCs w:val="14"/>
                <w:color w:val="auto"/>
              </w:rPr>
              <w:t>9,877</w:t>
            </w:r>
          </w:p>
        </w:tc>
        <w:tc>
          <w:tcPr>
            <w:tcW w:w="24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9,877</w:t>
            </w:r>
          </w:p>
        </w:tc>
      </w:tr>
      <w:tr>
        <w:trPr>
          <w:trHeight w:val="178"/>
        </w:trPr>
        <w:tc>
          <w:tcPr>
            <w:tcW w:w="620" w:type="dxa"/>
            <w:vAlign w:val="bottom"/>
          </w:tcPr>
          <w:p>
            <w:pPr>
              <w:jc w:val="right"/>
              <w:ind w:right="90"/>
              <w:spacing w:after="0"/>
              <w:rPr>
                <w:sz w:val="20"/>
                <w:szCs w:val="20"/>
                <w:color w:val="auto"/>
              </w:rPr>
            </w:pPr>
            <w:r>
              <w:rPr>
                <w:rFonts w:ascii="Arial" w:cs="Arial" w:eastAsia="Arial" w:hAnsi="Arial"/>
                <w:sz w:val="14"/>
                <w:szCs w:val="14"/>
                <w:color w:val="auto"/>
                <w:w w:val="86"/>
              </w:rPr>
              <w:t>138,966</w:t>
            </w:r>
          </w:p>
        </w:tc>
        <w:tc>
          <w:tcPr>
            <w:tcW w:w="24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206,402</w:t>
            </w: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(29,385)</w:t>
            </w:r>
          </w:p>
        </w:tc>
        <w:tc>
          <w:tcPr>
            <w:tcW w:w="100" w:type="dxa"/>
            <w:vAlign w:val="bottom"/>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(8,373)</w:t>
            </w: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307,889</w:t>
            </w:r>
          </w:p>
        </w:tc>
      </w:tr>
      <w:tr>
        <w:trPr>
          <w:trHeight w:val="179"/>
        </w:trPr>
        <w:tc>
          <w:tcPr>
            <w:tcW w:w="62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(31,224)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(31,224)</w:t>
            </w:r>
          </w:p>
        </w:tc>
      </w:tr>
      <w:tr>
        <w:trPr>
          <w:trHeight w:val="184"/>
        </w:trPr>
        <w:tc>
          <w:tcPr>
            <w:tcW w:w="62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1,624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1,624</w:t>
            </w:r>
          </w:p>
        </w:tc>
      </w:tr>
      <w:tr>
        <w:trPr>
          <w:trHeight w:val="184"/>
        </w:trPr>
        <w:tc>
          <w:tcPr>
            <w:tcW w:w="620" w:type="dxa"/>
            <w:vAlign w:val="bottom"/>
          </w:tcPr>
          <w:p>
            <w:pPr>
              <w:jc w:val="right"/>
              <w:ind w:right="70"/>
              <w:spacing w:after="0"/>
              <w:rPr>
                <w:sz w:val="20"/>
                <w:szCs w:val="20"/>
                <w:color w:val="auto"/>
              </w:rPr>
            </w:pPr>
            <w:r>
              <w:rPr>
                <w:rFonts w:ascii="Arial" w:cs="Arial" w:eastAsia="Arial" w:hAnsi="Arial"/>
                <w:sz w:val="14"/>
                <w:szCs w:val="14"/>
                <w:color w:val="auto"/>
              </w:rPr>
              <w:t>(207)</w:t>
            </w:r>
          </w:p>
        </w:tc>
        <w:tc>
          <w:tcPr>
            <w:tcW w:w="24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506</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299</w:t>
            </w:r>
          </w:p>
        </w:tc>
      </w:tr>
      <w:tr>
        <w:trPr>
          <w:trHeight w:val="184"/>
        </w:trPr>
        <w:tc>
          <w:tcPr>
            <w:tcW w:w="620" w:type="dxa"/>
            <w:vAlign w:val="bottom"/>
          </w:tcPr>
          <w:p>
            <w:pPr>
              <w:jc w:val="right"/>
              <w:ind w:right="70"/>
              <w:spacing w:after="0"/>
              <w:rPr>
                <w:sz w:val="20"/>
                <w:szCs w:val="20"/>
                <w:color w:val="auto"/>
              </w:rPr>
            </w:pPr>
            <w:r>
              <w:rPr>
                <w:rFonts w:ascii="Arial" w:cs="Arial" w:eastAsia="Arial" w:hAnsi="Arial"/>
                <w:sz w:val="14"/>
                <w:szCs w:val="14"/>
                <w:color w:val="auto"/>
              </w:rPr>
              <w:t>(257)</w:t>
            </w:r>
          </w:p>
        </w:tc>
        <w:tc>
          <w:tcPr>
            <w:tcW w:w="24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606</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349</w:t>
            </w:r>
          </w:p>
        </w:tc>
      </w:tr>
      <w:tr>
        <w:trPr>
          <w:trHeight w:val="184"/>
        </w:trPr>
        <w:tc>
          <w:tcPr>
            <w:tcW w:w="620" w:type="dxa"/>
            <w:vAlign w:val="bottom"/>
          </w:tcPr>
          <w:p>
            <w:pPr>
              <w:jc w:val="right"/>
              <w:ind w:right="70"/>
              <w:spacing w:after="0"/>
              <w:rPr>
                <w:sz w:val="20"/>
                <w:szCs w:val="20"/>
                <w:color w:val="auto"/>
              </w:rPr>
            </w:pPr>
            <w:r>
              <w:rPr>
                <w:rFonts w:ascii="Arial" w:cs="Arial" w:eastAsia="Arial" w:hAnsi="Arial"/>
                <w:sz w:val="14"/>
                <w:szCs w:val="14"/>
                <w:color w:val="auto"/>
              </w:rPr>
              <w:t>(9,083)</w:t>
            </w:r>
          </w:p>
        </w:tc>
        <w:tc>
          <w:tcPr>
            <w:tcW w:w="24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9,083</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49"/>
        </w:trPr>
        <w:tc>
          <w:tcPr>
            <w:tcW w:w="62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(1,554)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(1,554)</w:t>
            </w:r>
          </w:p>
        </w:tc>
      </w:tr>
      <w:tr>
        <w:trPr>
          <w:trHeight w:val="253"/>
        </w:trPr>
        <w:tc>
          <w:tcPr>
            <w:tcW w:w="620" w:type="dxa"/>
            <w:vAlign w:val="bottom"/>
          </w:tcPr>
          <w:p>
            <w:pPr>
              <w:jc w:val="right"/>
              <w:ind w:right="90"/>
              <w:spacing w:after="0"/>
              <w:rPr>
                <w:sz w:val="20"/>
                <w:szCs w:val="20"/>
                <w:color w:val="auto"/>
              </w:rPr>
            </w:pPr>
            <w:r>
              <w:rPr>
                <w:rFonts w:ascii="Arial" w:cs="Arial" w:eastAsia="Arial" w:hAnsi="Arial"/>
                <w:sz w:val="14"/>
                <w:szCs w:val="14"/>
                <w:color w:val="auto"/>
              </w:rPr>
              <w:t>8,156</w:t>
            </w:r>
          </w:p>
        </w:tc>
        <w:tc>
          <w:tcPr>
            <w:tcW w:w="240" w:type="dxa"/>
            <w:vAlign w:val="bottom"/>
          </w:tcPr>
          <w:p>
            <w:pPr>
              <w:spacing w:after="0"/>
              <w:rPr>
                <w:sz w:val="21"/>
                <w:szCs w:val="21"/>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1"/>
                <w:szCs w:val="21"/>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1"/>
                <w:szCs w:val="21"/>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8,156</w:t>
            </w:r>
          </w:p>
        </w:tc>
      </w:tr>
      <w:tr>
        <w:trPr>
          <w:trHeight w:val="181"/>
        </w:trPr>
        <w:tc>
          <w:tcPr>
            <w:tcW w:w="620" w:type="dxa"/>
            <w:vAlign w:val="bottom"/>
          </w:tcPr>
          <w:p>
            <w:pPr>
              <w:jc w:val="right"/>
              <w:ind w:right="90"/>
              <w:spacing w:after="0"/>
              <w:rPr>
                <w:sz w:val="20"/>
                <w:szCs w:val="20"/>
                <w:color w:val="auto"/>
              </w:rPr>
            </w:pPr>
            <w:r>
              <w:rPr>
                <w:rFonts w:ascii="Arial" w:cs="Arial" w:eastAsia="Arial" w:hAnsi="Arial"/>
                <w:sz w:val="14"/>
                <w:szCs w:val="14"/>
                <w:color w:val="auto"/>
                <w:w w:val="86"/>
              </w:rPr>
              <w:t>137,575</w:t>
            </w:r>
          </w:p>
        </w:tc>
        <w:tc>
          <w:tcPr>
            <w:tcW w:w="2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175,178</w:t>
            </w:r>
          </w:p>
        </w:tc>
        <w:tc>
          <w:tcPr>
            <w:tcW w:w="10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(20,744)</w:t>
            </w:r>
          </w:p>
        </w:tc>
        <w:tc>
          <w:tcPr>
            <w:tcW w:w="100" w:type="dxa"/>
            <w:vAlign w:val="bottom"/>
          </w:tcPr>
          <w:p>
            <w:pPr>
              <w:spacing w:after="0"/>
              <w:rPr>
                <w:sz w:val="15"/>
                <w:szCs w:val="15"/>
                <w:color w:val="auto"/>
              </w:rPr>
            </w:pPr>
          </w:p>
        </w:tc>
        <w:tc>
          <w:tcPr>
            <w:tcW w:w="4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(6,749)</w:t>
            </w:r>
          </w:p>
        </w:tc>
        <w:tc>
          <w:tcPr>
            <w:tcW w:w="10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285,539</w:t>
            </w:r>
          </w:p>
        </w:tc>
      </w:tr>
      <w:tr>
        <w:trPr>
          <w:trHeight w:val="22"/>
        </w:trPr>
        <w:tc>
          <w:tcPr>
            <w:tcW w:w="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-257810</wp:posOffset>
            </wp:positionH>
            <wp:positionV relativeFrom="paragraph">
              <wp:posOffset>-32385</wp:posOffset>
            </wp:positionV>
            <wp:extent cx="58293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82930" cy="8255"/>
                    </a:xfrm>
                    <a:prstGeom prst="rect">
                      <a:avLst/>
                    </a:prstGeom>
                    <a:noFill/>
                  </pic:spPr>
                </pic:pic>
              </a:graphicData>
            </a:graphic>
          </wp:anchor>
        </w:drawing>
        <w:drawing>
          <wp:anchor simplePos="0" relativeHeight="251657728" behindDoc="1" locked="0" layoutInCell="0" allowOverlap="1">
            <wp:simplePos x="0" y="0"/>
            <wp:positionH relativeFrom="column">
              <wp:posOffset>-257810</wp:posOffset>
            </wp:positionH>
            <wp:positionV relativeFrom="paragraph">
              <wp:posOffset>-7620</wp:posOffset>
            </wp:positionV>
            <wp:extent cx="58293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82930" cy="8255"/>
                    </a:xfrm>
                    <a:prstGeom prst="rect">
                      <a:avLst/>
                    </a:prstGeom>
                    <a:noFill/>
                  </pic:spPr>
                </pic:pic>
              </a:graphicData>
            </a:graphic>
          </wp:anchor>
        </w:drawing>
        <w:drawing>
          <wp:anchor simplePos="0" relativeHeight="251657728" behindDoc="1" locked="0" layoutInCell="0" allowOverlap="1">
            <wp:simplePos x="0" y="0"/>
            <wp:positionH relativeFrom="column">
              <wp:posOffset>-257810</wp:posOffset>
            </wp:positionH>
            <wp:positionV relativeFrom="paragraph">
              <wp:posOffset>-157480</wp:posOffset>
            </wp:positionV>
            <wp:extent cx="58293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82930" cy="8255"/>
                    </a:xfrm>
                    <a:prstGeom prst="rect">
                      <a:avLst/>
                    </a:prstGeom>
                    <a:noFill/>
                  </pic:spPr>
                </pic:pic>
              </a:graphicData>
            </a:graphic>
          </wp:anchor>
        </w:drawing>
        <w:drawing>
          <wp:anchor simplePos="0" relativeHeight="251657728" behindDoc="1" locked="0" layoutInCell="0" allowOverlap="1">
            <wp:simplePos x="0" y="0"/>
            <wp:positionH relativeFrom="column">
              <wp:posOffset>-257810</wp:posOffset>
            </wp:positionH>
            <wp:positionV relativeFrom="paragraph">
              <wp:posOffset>-1181735</wp:posOffset>
            </wp:positionV>
            <wp:extent cx="58293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82930" cy="8255"/>
                    </a:xfrm>
                    <a:prstGeom prst="rect">
                      <a:avLst/>
                    </a:prstGeom>
                    <a:noFill/>
                  </pic:spPr>
                </pic:pic>
              </a:graphicData>
            </a:graphic>
          </wp:anchor>
        </w:drawing>
        <w:drawing>
          <wp:anchor simplePos="0" relativeHeight="251657728" behindDoc="1" locked="0" layoutInCell="0" allowOverlap="1">
            <wp:simplePos x="0" y="0"/>
            <wp:positionH relativeFrom="column">
              <wp:posOffset>-257810</wp:posOffset>
            </wp:positionH>
            <wp:positionV relativeFrom="paragraph">
              <wp:posOffset>-2205990</wp:posOffset>
            </wp:positionV>
            <wp:extent cx="58293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8293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940" w:space="320"/>
            <w:col w:w="4980"/>
          </w:cols>
          <w:pgMar w:left="320" w:top="127" w:right="339" w:bottom="1440" w:gutter="0" w:footer="0" w:header="0"/>
          <w:type w:val="continuous"/>
        </w:sectPr>
      </w:pP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See accompanying notes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57" w:name="page58"/>
    <w:bookmarkEnd w:id="5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Matrix Service Company</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1—Summary of Significant Accounting Policies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Organization and Basis of Presentation</w:t>
      </w:r>
    </w:p>
    <w:p>
      <w:pPr>
        <w:spacing w:after="0" w:line="17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consolidated financial statements have been prepared in accordance with accounting principles generally accepted in the United States and include the accounts of Matrix Service Company and its subsidiaries (“Matrix”, the “Company” or “we”, “our”, and “us” are to Matrix Service Company and its subsidiaries), all of which are wholly owned. Intercompany transactions and balances have been eliminated in consolidation.</w:t>
      </w:r>
    </w:p>
    <w:p>
      <w:pPr>
        <w:spacing w:after="0" w:line="120"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We operate in the United States, Canada, South Korea and Australia. Our reportable segments are Utility and Power Infrastructure, Process and Industrial Facilities, and Storage and Terminal Solutions.</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Use of Estimates</w:t>
      </w:r>
    </w:p>
    <w:p>
      <w:pPr>
        <w:spacing w:after="0" w:line="172"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The preparation of financial statements requires management to make estimates and assumptions that affect the amounts reported in the financial statements and accompanying notes. We believe the most significant estimates and judgments are associated with revenue recognition, the recoverability tests that must be periodically performed with respect to our goodwill and other intangible assets, valuation reserves on our accounts receivable and deferred tax assets, and the estimation of loss contingencies, including liabilities associated with litigation and with the self-insured retentions on our insurance programs. Actual results could materially differ from those estimates.</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Credit Losses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Adoption of Credit Losses Standard</w:t>
      </w:r>
    </w:p>
    <w:p>
      <w:pPr>
        <w:spacing w:after="0" w:line="172"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On June 16, 2016, the Financial Accounting Standards Board (FASB) issued ASU 2016-13, which changed how we account for our allowance for uncollectible accounts. The amendments in this update require a financial asset (or a group of financial assets) to be presented at the net amount expected to be collected. The Consolidated Statements of Income reflect any increases or decreases of expected credit losses that have taken place during the period. The measurement of expected credit losses is based on relevant information about past events, including historical experience, current conditions, and reasonable and supportable forecasts that affect the collectibility of the reported amount.</w:t>
      </w:r>
    </w:p>
    <w:p>
      <w:pPr>
        <w:spacing w:after="0" w:line="12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Previous GAAP delays the recognition of the full amount of credit losses until the loss is probable of occurring. The amendments in this update eliminate the probable initial recognition threshold and, instead, reflect our current estimate of all expected credit losses. In addition, current guidance limits the information we may consider in measuring a credit loss to our past events and current conditions. The amendments in this update broaden the information we may consider in developing our expected credit loss estimate to include forecasted information.</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We adopted the standard on July 1, 2020 with no material impact to our estimate of the allowance for uncollectible accounts.</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 in Reportable Segments</w:t>
      </w:r>
    </w:p>
    <w:p>
      <w:pPr>
        <w:spacing w:after="0" w:line="277" w:lineRule="exact"/>
        <w:rPr>
          <w:sz w:val="20"/>
          <w:szCs w:val="20"/>
          <w:color w:val="auto"/>
        </w:rPr>
      </w:pPr>
    </w:p>
    <w:p>
      <w:pPr>
        <w:jc w:val="both"/>
        <w:spacing w:after="0" w:line="322" w:lineRule="auto"/>
        <w:rPr>
          <w:sz w:val="20"/>
          <w:szCs w:val="20"/>
          <w:color w:val="auto"/>
        </w:rPr>
      </w:pPr>
      <w:r>
        <w:rPr>
          <w:rFonts w:ascii="Arial" w:cs="Arial" w:eastAsia="Arial" w:hAnsi="Arial"/>
          <w:sz w:val="16"/>
          <w:szCs w:val="16"/>
          <w:color w:val="auto"/>
        </w:rPr>
        <w:t>Due to changing markets facing our clients and to better align our financial reporting with our long-term strategic growth areas, we began reporting our financial results under new reportable segments effective July 1, 2020. The new reportable segments along with a description of each are as follows:</w:t>
      </w:r>
    </w:p>
    <w:p>
      <w:pPr>
        <w:spacing w:after="0" w:line="77" w:lineRule="exact"/>
        <w:rPr>
          <w:sz w:val="20"/>
          <w:szCs w:val="20"/>
          <w:color w:val="auto"/>
        </w:rPr>
      </w:pPr>
    </w:p>
    <w:p>
      <w:pPr>
        <w:jc w:val="both"/>
        <w:ind w:left="640" w:hanging="320"/>
        <w:spacing w:after="0" w:line="317" w:lineRule="auto"/>
        <w:tabs>
          <w:tab w:leader="none" w:pos="635" w:val="left"/>
        </w:tabs>
        <w:numPr>
          <w:ilvl w:val="0"/>
          <w:numId w:val="31"/>
        </w:numPr>
        <w:rPr>
          <w:rFonts w:ascii="Arial" w:cs="Arial" w:eastAsia="Arial" w:hAnsi="Arial"/>
          <w:sz w:val="15"/>
          <w:szCs w:val="15"/>
          <w:color w:val="auto"/>
        </w:rPr>
      </w:pPr>
      <w:r>
        <w:rPr>
          <w:rFonts w:ascii="Arial" w:cs="Arial" w:eastAsia="Arial" w:hAnsi="Arial"/>
          <w:sz w:val="15"/>
          <w:szCs w:val="15"/>
          <w:b w:val="1"/>
          <w:bCs w:val="1"/>
          <w:u w:val="single" w:color="auto"/>
          <w:color w:val="auto"/>
        </w:rPr>
        <w:t>Utility and Power Infrastructure</w:t>
      </w:r>
      <w:r>
        <w:rPr>
          <w:rFonts w:ascii="Arial" w:cs="Arial" w:eastAsia="Arial" w:hAnsi="Arial"/>
          <w:sz w:val="15"/>
          <w:szCs w:val="15"/>
          <w:color w:val="auto"/>
        </w:rPr>
        <w:t>: consists of power delivery services provided to investor owned utilities, including construction of new substations,</w:t>
      </w:r>
      <w:r>
        <w:rPr>
          <w:rFonts w:ascii="Arial" w:cs="Arial" w:eastAsia="Arial" w:hAnsi="Arial"/>
          <w:sz w:val="15"/>
          <w:szCs w:val="15"/>
          <w:b w:val="1"/>
          <w:bCs w:val="1"/>
          <w:color w:val="auto"/>
        </w:rPr>
        <w:t xml:space="preserve"> </w:t>
      </w:r>
      <w:r>
        <w:rPr>
          <w:rFonts w:ascii="Arial" w:cs="Arial" w:eastAsia="Arial" w:hAnsi="Arial"/>
          <w:sz w:val="15"/>
          <w:szCs w:val="15"/>
          <w:color w:val="auto"/>
        </w:rPr>
        <w:t>upgrades of existing substations, transmission and distribution line installations, upgrades and maintenance, as well as emergency and storm restoration services. We also provide construction and maintenance services to a variety of power generation facilities, including natural gas fired facilities in simple or combined cycle configuration and provide engineering, fabrication, and construction services for LNG utility peak shaving facilities.</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8" w:name="page59"/>
    <w:bookmarkEnd w:id="58"/>
    <w:p>
      <w:pPr>
        <w:jc w:val="center"/>
        <w:spacing w:after="0"/>
        <w:rPr>
          <w:sz w:val="20"/>
          <w:szCs w:val="20"/>
          <w:color w:val="auto"/>
        </w:rPr>
      </w:pPr>
      <w:r>
        <w:rPr>
          <w:rFonts w:ascii="Arial" w:cs="Arial" w:eastAsia="Arial" w:hAnsi="Arial"/>
          <w:sz w:val="17"/>
          <w:szCs w:val="17"/>
          <w:b w:val="1"/>
          <w:bCs w:val="1"/>
          <w:color w:val="auto"/>
        </w:rPr>
        <w:t>Matrix Service Company</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640" w:hanging="320"/>
        <w:spacing w:after="0" w:line="267" w:lineRule="auto"/>
        <w:tabs>
          <w:tab w:leader="none" w:pos="635" w:val="left"/>
        </w:tabs>
        <w:numPr>
          <w:ilvl w:val="0"/>
          <w:numId w:val="32"/>
        </w:numPr>
        <w:rPr>
          <w:rFonts w:ascii="Arial" w:cs="Arial" w:eastAsia="Arial" w:hAnsi="Arial"/>
          <w:sz w:val="17"/>
          <w:szCs w:val="17"/>
          <w:color w:val="auto"/>
        </w:rPr>
      </w:pPr>
      <w:r>
        <w:rPr>
          <w:rFonts w:ascii="Arial" w:cs="Arial" w:eastAsia="Arial" w:hAnsi="Arial"/>
          <w:sz w:val="17"/>
          <w:szCs w:val="17"/>
          <w:b w:val="1"/>
          <w:bCs w:val="1"/>
          <w:u w:val="single" w:color="auto"/>
          <w:color w:val="auto"/>
        </w:rPr>
        <w:t>Process and Industrial Facilities</w:t>
      </w:r>
      <w:r>
        <w:rPr>
          <w:rFonts w:ascii="Arial" w:cs="Arial" w:eastAsia="Arial" w:hAnsi="Arial"/>
          <w:sz w:val="17"/>
          <w:szCs w:val="17"/>
          <w:color w:val="auto"/>
        </w:rPr>
        <w:t>: primarily serves customers in the downstream and midstream petroleum industries who are engaged in refining</w:t>
      </w:r>
      <w:r>
        <w:rPr>
          <w:rFonts w:ascii="Arial" w:cs="Arial" w:eastAsia="Arial" w:hAnsi="Arial"/>
          <w:sz w:val="17"/>
          <w:szCs w:val="17"/>
          <w:b w:val="1"/>
          <w:bCs w:val="1"/>
          <w:color w:val="auto"/>
        </w:rPr>
        <w:t xml:space="preserve"> </w:t>
      </w:r>
      <w:r>
        <w:rPr>
          <w:rFonts w:ascii="Arial" w:cs="Arial" w:eastAsia="Arial" w:hAnsi="Arial"/>
          <w:sz w:val="17"/>
          <w:szCs w:val="17"/>
          <w:color w:val="auto"/>
        </w:rPr>
        <w:t>crude oil and processing, fractionating, and marketing of natural gas and natural gas liquids. We also serve customers in various other industries such as petrochemical, sulfur, mining and minerals companies engaged primarily in the extraction of non-ferrous metals, aerospace and defense, cement, agriculture, and other industrial customers. Our services include plant maintenance, turnarounds, industrial cleaning services, engineering, fabrication, and capital construction.</w:t>
      </w:r>
    </w:p>
    <w:p>
      <w:pPr>
        <w:spacing w:after="0" w:line="119" w:lineRule="exact"/>
        <w:rPr>
          <w:rFonts w:ascii="Arial" w:cs="Arial" w:eastAsia="Arial" w:hAnsi="Arial"/>
          <w:sz w:val="17"/>
          <w:szCs w:val="17"/>
          <w:color w:val="auto"/>
        </w:rPr>
      </w:pPr>
    </w:p>
    <w:p>
      <w:pPr>
        <w:jc w:val="both"/>
        <w:ind w:left="640" w:hanging="320"/>
        <w:spacing w:after="0" w:line="265" w:lineRule="auto"/>
        <w:tabs>
          <w:tab w:leader="none" w:pos="635" w:val="left"/>
        </w:tabs>
        <w:numPr>
          <w:ilvl w:val="0"/>
          <w:numId w:val="32"/>
        </w:numPr>
        <w:rPr>
          <w:rFonts w:ascii="Arial" w:cs="Arial" w:eastAsia="Arial" w:hAnsi="Arial"/>
          <w:sz w:val="17"/>
          <w:szCs w:val="17"/>
          <w:color w:val="auto"/>
        </w:rPr>
      </w:pPr>
      <w:r>
        <w:rPr>
          <w:rFonts w:ascii="Arial" w:cs="Arial" w:eastAsia="Arial" w:hAnsi="Arial"/>
          <w:sz w:val="17"/>
          <w:szCs w:val="17"/>
          <w:b w:val="1"/>
          <w:bCs w:val="1"/>
          <w:u w:val="single" w:color="auto"/>
          <w:color w:val="auto"/>
        </w:rPr>
        <w:t>Storage and Terminal Solutions</w:t>
      </w:r>
      <w:r>
        <w:rPr>
          <w:rFonts w:ascii="Arial" w:cs="Arial" w:eastAsia="Arial" w:hAnsi="Arial"/>
          <w:sz w:val="17"/>
          <w:szCs w:val="17"/>
          <w:color w:val="auto"/>
        </w:rPr>
        <w:t>: consists of work related to aboveground storage tanks and terminals. We also include work related to cryogenic and</w:t>
      </w:r>
      <w:r>
        <w:rPr>
          <w:rFonts w:ascii="Arial" w:cs="Arial" w:eastAsia="Arial" w:hAnsi="Arial"/>
          <w:sz w:val="17"/>
          <w:szCs w:val="17"/>
          <w:b w:val="1"/>
          <w:bCs w:val="1"/>
          <w:color w:val="auto"/>
        </w:rPr>
        <w:t xml:space="preserve"> </w:t>
      </w:r>
      <w:r>
        <w:rPr>
          <w:rFonts w:ascii="Arial" w:cs="Arial" w:eastAsia="Arial" w:hAnsi="Arial"/>
          <w:sz w:val="17"/>
          <w:szCs w:val="17"/>
          <w:color w:val="auto"/>
        </w:rPr>
        <w:t>other specialty storage tanks and terminals, including LNG, liquid nitrogen/liquid oxygen, liquid petroleum, hydrogen and other specialty vessels such as spheres in this segment, as well work related to marine structures and truck and rail loading/offloading facilities. Our services include engineering, fabrication, construction, and maintenance and repair, which includes planned and emergency services for both tanks and full terminals. Finally, we offer tank products, including geodesic domes, aluminum internal floating roofs, floating suction and skimmer systems, roof drain systems and floating roof seals.</w:t>
      </w:r>
    </w:p>
    <w:p>
      <w:pPr>
        <w:spacing w:after="0" w:line="206" w:lineRule="exact"/>
        <w:rPr>
          <w:sz w:val="20"/>
          <w:szCs w:val="20"/>
          <w:color w:val="auto"/>
        </w:rPr>
      </w:pPr>
    </w:p>
    <w:p>
      <w:pPr>
        <w:jc w:val="both"/>
        <w:spacing w:after="0" w:line="322" w:lineRule="auto"/>
        <w:rPr>
          <w:sz w:val="20"/>
          <w:szCs w:val="20"/>
          <w:color w:val="auto"/>
        </w:rPr>
      </w:pPr>
      <w:r>
        <w:rPr>
          <w:rFonts w:ascii="Arial" w:cs="Arial" w:eastAsia="Arial" w:hAnsi="Arial"/>
          <w:sz w:val="16"/>
          <w:szCs w:val="16"/>
          <w:color w:val="auto"/>
        </w:rPr>
        <w:t>All prior period segment information has been restated to conform with our new reportable segments. In addition, beginning July 1, 2020, we separately report corporate selling, general and administrative expenses and other corporate expenses that were previously allocated to the segments.</w:t>
      </w:r>
    </w:p>
    <w:p>
      <w:pPr>
        <w:spacing w:after="0" w:line="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General Information about our Contracts with Customers</w:t>
      </w:r>
    </w:p>
    <w:p>
      <w:pPr>
        <w:spacing w:after="0" w:line="172"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Our revenue comes from contracts to provide engineering, procurement, fabrication and construction, repair and maintenance and other services. Our engineering, procurement and fabrication and construction services are usually provided in association with capital projects, which are commonly fixed-price contracts that are billed based on project milestones. Our repair and maintenance services typically are cost reimbursable or time and material based contracts and are billed monthly or, for projects of short duration, at the conclusion of the project. The elapsed time from award to completion of performance may exceed one year for capital projects.</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Step 1: Contract Identification</w:t>
      </w:r>
    </w:p>
    <w:p>
      <w:pPr>
        <w:spacing w:after="0" w:line="17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do not recognize revenue unless we have identified a contract with a customer. A contract with a customer exists when it has approval and commitment from both parties, the rights and obligations of the parties are identified, payment terms are identified, the contract has commercial substance, and collectibility is probable. We also evaluate whether a contract should be combined with other contracts and accounted for as a single contract. This evaluation requires judgment and could change the timing of the amount of revenue and profit recorded for a given period.</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Step 2: Identify Performance Obligations</w:t>
      </w:r>
    </w:p>
    <w:p>
      <w:pPr>
        <w:spacing w:after="0" w:line="172"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Next, we identify each performance obligation in the contract. A performance obligation is a promise to provide a distinct good or service or a series of distinct goods or services to the customer. Revenue is recognized separately for each performance obligation in the contract. Many of our contracts have one clearly identifiable performance obligation. However, many of our contracts provide the customer an integrated service that includes two or more of the following services: engineering, procurement, fabrication, construction, repair and maintenance services. For these contracts, we do not consider the integrated services to be distinct within the context of the contract when the separate scopes of work combine into a single commercial objective or capability for the customer. Accordingly, we generally identify one performance obligation in our contracts. The determination of the number of performance obligations in a contract requires significant judgment and could change the timing of the amount of revenue recorded for a given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59" w:name="page60"/>
    <w:bookmarkEnd w:id="59"/>
    <w:p>
      <w:pPr>
        <w:jc w:val="center"/>
        <w:spacing w:after="0"/>
        <w:rPr>
          <w:sz w:val="20"/>
          <w:szCs w:val="20"/>
          <w:color w:val="auto"/>
        </w:rPr>
      </w:pPr>
      <w:r>
        <w:rPr>
          <w:rFonts w:ascii="Arial" w:cs="Arial" w:eastAsia="Arial" w:hAnsi="Arial"/>
          <w:sz w:val="17"/>
          <w:szCs w:val="17"/>
          <w:b w:val="1"/>
          <w:bCs w:val="1"/>
          <w:color w:val="auto"/>
        </w:rPr>
        <w:t>Matrix Service Company</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Step 3: Determine Contract Price</w:t>
      </w:r>
    </w:p>
    <w:p>
      <w:pPr>
        <w:spacing w:after="0" w:line="17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After determining the performance obligations in the contract, we determine the contract price. The contract price is the amount of consideration we expect to receive from the customer for completing the performance obligation(s). In a fixed-price contract, the contract price is a single lump-sum amount. In reimbursable and time and materials based contracts, the contract price is determined by the agreed upon rates or reimbursements for time and materials expended in completing the performance obligation(s) in the contract.</w:t>
      </w:r>
    </w:p>
    <w:p>
      <w:pPr>
        <w:spacing w:after="0" w:line="124"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A number of our contracts contain various cost and performance incentives and penalties that can either increase or decrease the contract price. These variable consideration amounts are generally earned or incurred based on certain performance metrics, most commonly related to project schedule or cost targets. We estimate variable consideration at the most likely amount of additional consideration to be received (or paid in the case of penalties), provided that meeting the variable condition is probable. We include estimated amounts of variable consideration in the contract price to the extent it is probable that a significant reversal of cumulative revenue recognized will not occur when the uncertainty associated with the variable consideration is resolved. Our estimates of variable consideration and determination of whether to include estimated amounts in the contract price are based largely on an assessment of our anticipated performance and all information (historical, current and forecasted) that is reasonably available to us. We reassess the amount of variable consideration each accounting period until the uncertainty associated with the variable consideration is resolved. Changes in the assessed amount of variable consideration are accounted for prospectively as a cumulative adjustment to revenue recognized in the current period.</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Step 4: Assign Contract Price to Performance Obligations</w:t>
      </w:r>
    </w:p>
    <w:p>
      <w:pPr>
        <w:spacing w:after="0" w:line="17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After determining the contract price, we assign such price to the performance obligation(s) in the contract. If a contract has multiple performance obligations, we assign the contract price to each performance obligation based on the stand-alone selling prices of the distinct services that comprise each performance obligation.</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Step 5: Recognize Revenue as Performance Obligations are Satisfied</w:t>
      </w:r>
    </w:p>
    <w:p>
      <w:pPr>
        <w:spacing w:after="0" w:line="172"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We record revenue for contracts with our customers as we satisfy the contracts' performance obligations. We recognize revenue on performance obligations associated with fixed-price contracts for engineering, procurement, fabrication and construction services over time since these services create or enhance assets the customer controls as they are being created or enhanced. We measure progress of satisfying these performance obligations by using the percentage-of-completion method, which is based on costs incurred to date compared to the total estimated costs at completion, since it best depicts the transfer of control of assets being created or enhanced to the customer.</w:t>
      </w:r>
    </w:p>
    <w:p>
      <w:pPr>
        <w:spacing w:after="0" w:line="12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recognize revenue over time for reimbursable and time and material based repair and maintenance contracts since the customer simultaneously receives and consumes the benefit of those services as we perform work under the contract. As a practical expedient allowed under the revenue accounting standards, we record revenue for these contracts in the amount to which we have a right to invoice for the services performed provided that we have a right to consideration from the customer in an amount that corresponds directly with the value of the performance completed to date.</w:t>
      </w:r>
    </w:p>
    <w:p>
      <w:pPr>
        <w:spacing w:after="0" w:line="12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Costs incurred may include direct labor, direct materials, subcontractor costs and indirect costs, such as salaries and benefits, supplies and tools, equipment costs and insurance costs. Indirect costs are charged to projects based upon direct costs and overhead allocation rates per dollar of direct costs incurred or direct labor hours worked. Typically, customer contracts will include standard warranties that provide assurance that products and services will function as expected. We do not sell separate warranties.</w:t>
      </w:r>
    </w:p>
    <w:p>
      <w:pPr>
        <w:spacing w:after="0" w:line="124"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We have numerous contracts that are in various stages of completion which require estimates to determine the forecasted costs at completion. Due to the nature of the work left to be performed on many of our contracts, the estimation of total cost at completion for fixed-price contracts is complex, subject to many variables and requires significant judgment. Estimates of total cost at completion are made each period and changes in these estimates are accounted for prospectively as cumulative adjustments to revenue recognized in the current period. If estimates of costs to complete fixed-price contracts indicate a loss, a provision is made through a contract write-down for the total loss anticipated.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60" w:name="page61"/>
    <w:bookmarkEnd w:id="60"/>
    <w:p>
      <w:pPr>
        <w:jc w:val="center"/>
        <w:spacing w:after="0"/>
        <w:rPr>
          <w:sz w:val="20"/>
          <w:szCs w:val="20"/>
          <w:color w:val="auto"/>
        </w:rPr>
      </w:pPr>
      <w:r>
        <w:rPr>
          <w:rFonts w:ascii="Arial" w:cs="Arial" w:eastAsia="Arial" w:hAnsi="Arial"/>
          <w:sz w:val="17"/>
          <w:szCs w:val="17"/>
          <w:b w:val="1"/>
          <w:bCs w:val="1"/>
          <w:color w:val="auto"/>
        </w:rPr>
        <w:t>Matrix Service Company</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Change Orders</w:t>
      </w:r>
    </w:p>
    <w:p>
      <w:pPr>
        <w:spacing w:after="0" w:line="172"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Contracts are often modified through change orders, which are changes to the agreed upon scope of work. Most of our change orders, which may be priced or unpriced, are for goods or services that are not distinct from the existing contract due to the significant integration of services provided in the context of the contract and are accounted for as if they were part of that existing contract. The effect of a change order on the contract price and our measure of progress for the performance obligation to which it relates, is recognized as an adjustment to revenue on a cumulative catch-up basis. For unpriced change orders, we estimate the increase or decrease to the contract price using the variable consideration method described in the Step 3: Determine Contract Price paragraph above. Unpriced change orders are more fully discussed in Note 7 - Commitments and Contingencies.</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Claims</w:t>
      </w:r>
    </w:p>
    <w:p>
      <w:pPr>
        <w:spacing w:after="0" w:line="172"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Sometimes we seek claims for amounts in excess of the contract price for delays, errors in specifications and designs, contract terminations, change orders in dispute or other causes of additional costs incurred by us. Recognition of amounts as additional contract price related to claims is appropriate only if there is a legal basis for the claim. The determination of our legal basis for a claim requires significant judgment. We estimate the change to the contract price using the variable consideration method described in the Step 3: Determine Contract Price paragraph above. Claims are more fully discussed in Note 7 - Commitments and Contingencies.</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and Cash Equivalents</w:t>
      </w:r>
    </w:p>
    <w:p>
      <w:pPr>
        <w:spacing w:after="0" w:line="17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include as cash equivalents all investments with original maturities of three months or less which are readily convertible into cash. We have cash on deposit at June 30, 2021 with banks in the United States, Canada, South Korea and Australia in excess of Federal Deposit Insurance Corporation ("FDIC"), Canada Deposit Insurance Corporation ("CDIC"), Korea Deposit Insurance Corporation ("KDIC") and Financial Claims Scheme ("FCS") protection limits, respectively. The United States Dollar equivalent of Canadian, South Korean and Australian deposits totaled $14.1 million as of June 30, 2021.</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Accounts Receivable</w:t>
      </w:r>
    </w:p>
    <w:p>
      <w:pPr>
        <w:spacing w:after="0" w:line="172"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Accounts receivable are carried on a gross basis, less the allowance for credit losses. Our customers consist primarily of major integrated oil companies, independent refiners and marketers, power companies, petrochemical companies, pipeline companies, mining companies, contractors and engineering firms. We are exposed to the risk of individual customer defaults or depressed cycles in our customers’ industries. To mitigate this risk many of our contracts require payment as projects progress or advance payment in some circumstances. In addition, in most cases we can place liens against the property, plant or equipment constructed or terminate the contract if a material contract default occurs. We estimate the allowance for credit losses based on existing economic conditions, the financial condition of our customers and the amount and age of past due accounts. Accounts are written off against the allowance for credit losses only after all reasonable collection attempts have been exhausted.</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Retentions</w:t>
      </w:r>
    </w:p>
    <w:p>
      <w:pPr>
        <w:spacing w:after="0" w:line="172"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Contract retentions collectible beyond one year are included in Other assets in the Consolidated Balance Sheets. Accounts payable retentions are generally settled within one year.</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Loss Contingencies</w:t>
      </w:r>
    </w:p>
    <w:p>
      <w:pPr>
        <w:spacing w:after="0" w:line="172"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Various legal actions, claims and other contingencies arise in the normal course of our business. Contingencies are recorded in the consolidated financial statements, or are otherwise disclosed, in accordance with ASC 450-20, “Loss Contingencies”. Specific reserves are provided for loss contingencies to the extent we conclude that a loss is both probable and estimable. We use a case-by-case evaluation of the underlying data and update our evaluation as further information becomes known. We believe that any amounts exceeding our recorded accruals should not materially affect our financial position, results of operations or liquidity. However, the results of litigation are inherently unpredictable and the possibility exists that the ultimate resolution of one or more of these matters could result in a material effect on our financial position, results of operations or liquidity.</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61" w:name="page62"/>
    <w:bookmarkEnd w:id="61"/>
    <w:p>
      <w:pPr>
        <w:jc w:val="center"/>
        <w:spacing w:after="0"/>
        <w:rPr>
          <w:sz w:val="20"/>
          <w:szCs w:val="20"/>
          <w:color w:val="auto"/>
        </w:rPr>
      </w:pPr>
      <w:r>
        <w:rPr>
          <w:rFonts w:ascii="Arial" w:cs="Arial" w:eastAsia="Arial" w:hAnsi="Arial"/>
          <w:sz w:val="17"/>
          <w:szCs w:val="17"/>
          <w:b w:val="1"/>
          <w:bCs w:val="1"/>
          <w:color w:val="auto"/>
        </w:rPr>
        <w:t>Matrix Service Company</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Inventories</w:t>
      </w:r>
    </w:p>
    <w:p>
      <w:pPr>
        <w:spacing w:after="0" w:line="172"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Inventories consist primarily of steel plate and pipe and aluminum coil and extrusions. Cost is determined primarily using the average cost method and inventories are stated at the lower of cost or net realizable value.</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Depreciation</w:t>
      </w:r>
    </w:p>
    <w:p>
      <w:pPr>
        <w:spacing w:after="0" w:line="17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Depreciation is computed using the straight-line method over the estimated useful lives of the depreciable assets. Depreciable lives are as follows: buildings— 40 years, construction equipment—3 to 15 years, transportation equipment—3 to 5 years, and office equipment and software—3 to 10 years. Leasehold improvements are amortized over the shorter of the useful life of the asset or the lease term.</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Leases</w:t>
      </w:r>
    </w:p>
    <w:p>
      <w:pPr>
        <w:spacing w:after="0" w:line="172"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We enter into lease arrangements for real estate, construction equipment and information technology equipment in the normal course of business. We determine if an arrangement is or contains a lease at inception of the arrangement. An arrangement is determined to be a lease if it conveys the right to control the use of identified property and equipment for a period of time in exchange for consideration. Operating lease right-of-use assets are recognized as the present value of future lease payments over the lease term as of the commencement date, plus any lease payments made prior to commencement, and less any lease incentives received. Operating lease liabilities are recognized as the present value of the future lease payments over the lease term as of the commencement date. Operating lease expense is recognized based on the undiscounted future lease payments over the remaining lease term on a straight-line basis. Lease expense related to short-term leases is recognized on a straight-line basis over the lease term.</w:t>
      </w:r>
    </w:p>
    <w:p>
      <w:pPr>
        <w:spacing w:after="0" w:line="118"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Determinations with respect to lease term (including any renewals and terminations), incremental borrowing rate used to discount lease payments, variable lease expense and future lease payments require the use of judgment based on the facts and circumstances related to each lease. We consider various factors, including economic incentives, intent, past history and business need, to determine the likelihood that a renewal option will be exercised.</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color w:val="auto"/>
        </w:rPr>
        <w:t>Right-of-use assets are evaluated for impairment in accordance with our policy for impairment of long-lived assets.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Impairment of Long-Lived Assets</w:t>
      </w:r>
    </w:p>
    <w:p>
      <w:pPr>
        <w:spacing w:after="0" w:line="172"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We evaluate long-lived assets for impairment when events or changes in circumstances indicate, in management’s judgment, that the carrying value of such assets used in operations may not be recoverable. The determination of whether an impairment has occurred is based on management’s estimate of undiscounted future cash flows attributable to the assets as compared to the carrying value of the assets. If an impairment has occurred, the amount of the impairment recognized is determined by estimating the fair value of the assets and, to the extent the carrying value exceeds the fair value of the assets, recording a loss provision.</w:t>
      </w:r>
    </w:p>
    <w:p>
      <w:pPr>
        <w:spacing w:after="0" w:line="12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For assets identified to be disposed of in the future, the carrying value of the assets are compared to the estimated fair value less the cost of disposal to determine if an impairment has occurred. Until the assets are disposed of, an estimate of the fair value is redetermined when related events or circumstances change.</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Goodwill</w:t>
      </w:r>
    </w:p>
    <w:p>
      <w:pPr>
        <w:spacing w:after="0" w:line="17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Goodwill represents the excess of the purchase price of acquisitions over the acquisition date fair value of the net identifiable tangible and intangible assets acquired. In accordance with current accounting guidance, goodwill is not amortized and is tested at least annually for impairment at the reporting unit level, which is a level below our reportable segments.</w:t>
      </w:r>
    </w:p>
    <w:p>
      <w:pPr>
        <w:spacing w:after="0" w:line="120"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We perform our annual impairment test in the fourth quarter of each fiscal year, or in between annual tests whenever events or changes in circumstances indicate the carrying value of goodwill may not be recoverable, to determine whether an impairment exists and to determine the amount of headroom. We define "headroom" as the percentage difference between the fair value of a reporting unit and its carrying value. The goodwill impairment test involves comparing management’s estimate of the fair value of a reporting unit with its carrying value, including goodwill. If the fair value of a reporting unit exceeds its carrying value, then goodwill is not impaired. If the fair value of a reporting unit is less than its carrying value, then goodwill is impaired to the extent of the difference, but the impairment may not exceed the balance of goodwill assigned to that reporting unit.</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62" w:name="page63"/>
    <w:bookmarkEnd w:id="62"/>
    <w:p>
      <w:pPr>
        <w:jc w:val="center"/>
        <w:spacing w:after="0"/>
        <w:rPr>
          <w:sz w:val="20"/>
          <w:szCs w:val="20"/>
          <w:color w:val="auto"/>
        </w:rPr>
      </w:pPr>
      <w:r>
        <w:rPr>
          <w:rFonts w:ascii="Arial" w:cs="Arial" w:eastAsia="Arial" w:hAnsi="Arial"/>
          <w:sz w:val="17"/>
          <w:szCs w:val="17"/>
          <w:b w:val="1"/>
          <w:bCs w:val="1"/>
          <w:color w:val="auto"/>
        </w:rPr>
        <w:t>Matrix Service Company</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We utilize a discounted cash flow analysis, referred to as an income approach, and market multiples, referred to as a market approach, to determine the estimated fair value of our reporting units. For the income approach, significant judgments and assumptions including forecasted project awards, discount rate, anticipated revenue growth rate, gross margins, operating expenses, working capital needs and capital expenditures are inherent in the fair value estimates, which are based on our operating and capital budgets and on our strategic plan. As a result, actual results may differ from the estimates utilized in our income approach. For the market approach, significant judgments and assumptions include the selection of guideline companies, forecasted guideline company EBITDA and our forecasted EBITDA. The use of alternate judgments and/or assumptions could result in a fair value that differs from our estimate and could result in the recognition of additional impairment charges in the financial statements. As a test for reasonableness, we also consider the combined fair values of our reporting units to our market capitalization.</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Intangible Assets</w:t>
      </w:r>
    </w:p>
    <w:p>
      <w:pPr>
        <w:spacing w:after="0" w:line="17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Intangible assets that have finite useful lives are amortized by the straight-line method over their useful lives ranging from 6 years to 15 years. A finite intangible asset is considered impaired when its carrying amount is not recoverable and exceeds the asset's fair value. The carrying amount is deemed unrecoverable if it is greater than the sum of undiscounted cash flows expected to result from use and eventual disposition of the asset. An impairment loss is equal to the excess of the carrying amount over the fair value of the asset. If quoted market prices are not available, the fair values of the intangible assets are based on present values of expected future cash flows or royalties avoided using discount rates commensurate with the risks involved.</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Insurance Reserves</w:t>
      </w:r>
    </w:p>
    <w:p>
      <w:pPr>
        <w:spacing w:after="0" w:line="17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maintain insurance coverage for various aspects of our operations. However, we retain exposure to potential losses through the use of deductibles, coverage limits and self-insured retentions. We establish reserves for claims using a combination of actuarially determined estimates and case-by-case evaluations of the underlying claim data and update our evaluations as further information becomes known. Judgments and assumptions are inherent in our reserve accruals; as a result, changes in assumptions or claims experience could result in changes to these estimates in the future. If actual results of claim settlements are different than the amounts estimated we may be exposed to future gains and losses that could be material.</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172"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We have issued stock options, nonvested deferred share awards and cash-settled restricted share units under our long-term incentive compensation plans. The fair value of these awards is calculated at grant date. The fair value of time-based, nonvested deferred shares and cash-settled restricted share units is the value of our common stock at the grant date. The fair value of market-based nonvested deferred shares is based on several factors, including the probability that the market condition specified in the grant will be achieved, which is calculated using a Monte Carlo model. The fair value of stock options is determined based on the Black-Scholes option pricing model. Cash-settled restricted share units must be settled in cash and are accounted for as liability-type awards and are remeasured at the end of each reporting period at fair value until settlement. For all awards, expense is recognized over the requisite service period with forfeitures recorded as they occur.</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172"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We use the asset and liability approach for financial accounting and reporting for income taxes. Deferred income tax assets and liabilities are computed annually for differences between the financial statement and tax bases of assets and liabilities that will result in taxable or deductible amounts in the future based on enacted tax laws and rates applicable to the periods in which the differences are expected to affect taxable income. Valuation allowances based on our judgments and estimates are established when necessary to reduce deferred tax assets to the amount expected to be realized in future operating results. We believe that realization of deferred tax assets in excess of the valuation allowance is more likely than not. Our estimates are based on facts and circumstances in existence as well as interpretations of existing tax regulations and laws applied to the facts and circumstances, with the help of professional tax advisors. Therefore, we estimate and provide for amounts of additional income taxes that may be assessed by the various taxing authorities.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63" w:name="page64"/>
    <w:bookmarkEnd w:id="63"/>
    <w:p>
      <w:pPr>
        <w:jc w:val="center"/>
        <w:spacing w:after="0"/>
        <w:rPr>
          <w:sz w:val="20"/>
          <w:szCs w:val="20"/>
          <w:color w:val="auto"/>
        </w:rPr>
      </w:pPr>
      <w:r>
        <w:rPr>
          <w:rFonts w:ascii="Arial" w:cs="Arial" w:eastAsia="Arial" w:hAnsi="Arial"/>
          <w:sz w:val="17"/>
          <w:szCs w:val="17"/>
          <w:b w:val="1"/>
          <w:bCs w:val="1"/>
          <w:color w:val="auto"/>
        </w:rPr>
        <w:t>Matrix Service Company</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Foreign Currency</w:t>
      </w:r>
    </w:p>
    <w:p>
      <w:pPr>
        <w:spacing w:after="0" w:line="172"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functional currencies of our operations in Canada, South Korea and Australia are the Canadian Dollar, South Korean Won and U.S. Dollar, respectively. The functional currency of our Australian operations is the U.S. Dollar since its sales are primarily denominated in that currency. For subsidiaries with operations using a foreign functional currency, assets and liabilities are translated at the year-end exchange rates and the income statement accounts are translated at average exchange rates throughout the year. Translation gains and losses are reported in Accumulated Other Comprehensive Loss, net of tax, in the Consolidated Statements of Changes in Stockholders’ Equity and in Other Comprehensive Income (Loss) in the Consolidated Statements of Comprehensive Income. Translation gains and losses are reversed from Accumulated Other Comprehensive Income (Loss) and are recognized in current period income in the event we dispose of an entity with accumulated translation gains or losses. Transaction gains and losses are reported as a component of Other income (expense) in the Consolidated Statements of Income.</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 – Revenue</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Remaining Performance Obligations</w:t>
      </w:r>
    </w:p>
    <w:p>
      <w:pPr>
        <w:spacing w:after="0" w:line="172"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We had $365.6 million of remaining performance obligations yet to be satisfied as of June 30, 2021. We expect to recognize approximately $297.6 million of our remaining performance obligations as revenue within the next twelve months.</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Contract Balances</w:t>
      </w:r>
    </w:p>
    <w:p>
      <w:pPr>
        <w:spacing w:after="0" w:line="172"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Contract terms with customers include the timing of billing and payment, which usually differs from the timing of revenue recognition. As a result, we carry contract assets and liabilities in our balance sheet. These contract assets and liabilities are calculated on a contract-by-contract basis and reported on a net basis at the end of each period and are classified as current. We present our contract assets in the balance sheet as Costs and Estimated Earnings in Excess of Billings on Uncompleted Contracts ("CIE"). CIE consists of revenue recognized in excess of billings. We present our contract liabilities in the balance sheet as Billings on Uncompleted Contracts in Excess of Costs and Estimated Earnings ("BIE"). BIE consists of billings in excess of revenue recognized. The following table provides information about CIE and BIE:</w:t>
      </w: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June 30,</w:t>
            </w:r>
          </w:p>
        </w:tc>
        <w:tc>
          <w:tcPr>
            <w:tcW w:w="160" w:type="dxa"/>
            <w:vAlign w:val="bottom"/>
          </w:tcPr>
          <w:p>
            <w:pPr>
              <w:spacing w:after="0"/>
              <w:rPr>
                <w:sz w:val="14"/>
                <w:szCs w:val="14"/>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June 30,</w:t>
            </w:r>
          </w:p>
        </w:tc>
        <w:tc>
          <w:tcPr>
            <w:tcW w:w="260" w:type="dxa"/>
            <w:vAlign w:val="bottom"/>
          </w:tcPr>
          <w:p>
            <w:pPr>
              <w:spacing w:after="0"/>
              <w:rPr>
                <w:sz w:val="14"/>
                <w:szCs w:val="14"/>
                <w:color w:val="auto"/>
              </w:rPr>
            </w:pPr>
          </w:p>
        </w:tc>
        <w:tc>
          <w:tcPr>
            <w:tcW w:w="104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3"/>
        </w:trPr>
        <w:tc>
          <w:tcPr>
            <w:tcW w:w="70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7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(In thousands)</w:t>
            </w: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7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Costs and estimated earnings in excess of billings on uncompleted contracts</w:t>
            </w: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center"/>
              <w:ind w:left="340"/>
              <w:spacing w:after="0"/>
              <w:rPr>
                <w:sz w:val="20"/>
                <w:szCs w:val="20"/>
                <w:color w:val="auto"/>
              </w:rPr>
            </w:pPr>
            <w:r>
              <w:rPr>
                <w:rFonts w:ascii="Arial" w:cs="Arial" w:eastAsia="Arial" w:hAnsi="Arial"/>
                <w:sz w:val="17"/>
                <w:szCs w:val="17"/>
                <w:color w:val="auto"/>
                <w:w w:val="92"/>
              </w:rPr>
              <w:t>30,774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59,548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center"/>
              <w:ind w:left="317"/>
              <w:spacing w:after="0"/>
              <w:rPr>
                <w:sz w:val="20"/>
                <w:szCs w:val="20"/>
                <w:color w:val="auto"/>
              </w:rPr>
            </w:pPr>
            <w:r>
              <w:rPr>
                <w:rFonts w:ascii="Arial" w:cs="Arial" w:eastAsia="Arial" w:hAnsi="Arial"/>
                <w:sz w:val="17"/>
                <w:szCs w:val="17"/>
                <w:color w:val="auto"/>
                <w:w w:val="94"/>
              </w:rPr>
              <w:t>(28,774)</w:t>
            </w:r>
          </w:p>
        </w:tc>
        <w:tc>
          <w:tcPr>
            <w:tcW w:w="0" w:type="dxa"/>
            <w:vAlign w:val="bottom"/>
          </w:tcPr>
          <w:p>
            <w:pPr>
              <w:spacing w:after="0"/>
              <w:rPr>
                <w:sz w:val="1"/>
                <w:szCs w:val="1"/>
                <w:color w:val="auto"/>
              </w:rPr>
            </w:pPr>
          </w:p>
        </w:tc>
      </w:tr>
      <w:tr>
        <w:trPr>
          <w:trHeight w:val="223"/>
        </w:trPr>
        <w:tc>
          <w:tcPr>
            <w:tcW w:w="70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Billings on uncompleted contracts in excess of costs and estimated earnings</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left="300"/>
              <w:spacing w:after="0"/>
              <w:rPr>
                <w:sz w:val="20"/>
                <w:szCs w:val="20"/>
                <w:color w:val="auto"/>
              </w:rPr>
            </w:pPr>
            <w:r>
              <w:rPr>
                <w:rFonts w:ascii="Arial" w:cs="Arial" w:eastAsia="Arial" w:hAnsi="Arial"/>
                <w:sz w:val="17"/>
                <w:szCs w:val="17"/>
                <w:color w:val="auto"/>
                <w:w w:val="94"/>
              </w:rPr>
              <w:t>(53,832)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(63,889)</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left="357"/>
              <w:spacing w:after="0"/>
              <w:rPr>
                <w:sz w:val="20"/>
                <w:szCs w:val="20"/>
                <w:color w:val="auto"/>
              </w:rPr>
            </w:pPr>
            <w:r>
              <w:rPr>
                <w:rFonts w:ascii="Arial" w:cs="Arial" w:eastAsia="Arial" w:hAnsi="Arial"/>
                <w:sz w:val="17"/>
                <w:szCs w:val="17"/>
                <w:color w:val="auto"/>
                <w:w w:val="92"/>
              </w:rPr>
              <w:t>10,057</w:t>
            </w:r>
          </w:p>
        </w:tc>
        <w:tc>
          <w:tcPr>
            <w:tcW w:w="0" w:type="dxa"/>
            <w:vAlign w:val="bottom"/>
          </w:tcPr>
          <w:p>
            <w:pPr>
              <w:spacing w:after="0"/>
              <w:rPr>
                <w:sz w:val="1"/>
                <w:szCs w:val="1"/>
                <w:color w:val="auto"/>
              </w:rPr>
            </w:pPr>
          </w:p>
        </w:tc>
      </w:tr>
      <w:tr>
        <w:trPr>
          <w:trHeight w:val="241"/>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contract liabilities</w:t>
            </w: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center"/>
              <w:ind w:left="300"/>
              <w:spacing w:after="0"/>
              <w:rPr>
                <w:sz w:val="20"/>
                <w:szCs w:val="20"/>
                <w:color w:val="auto"/>
              </w:rPr>
            </w:pPr>
            <w:r>
              <w:rPr>
                <w:rFonts w:ascii="Arial" w:cs="Arial" w:eastAsia="Arial" w:hAnsi="Arial"/>
                <w:sz w:val="17"/>
                <w:szCs w:val="17"/>
                <w:color w:val="auto"/>
                <w:w w:val="94"/>
              </w:rPr>
              <w:t>(23,058)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(4,341)</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shd w:val="clear" w:color="auto" w:fill="CCEEFF"/>
          </w:tcPr>
          <w:p>
            <w:pPr>
              <w:jc w:val="center"/>
              <w:ind w:left="317"/>
              <w:spacing w:after="0"/>
              <w:rPr>
                <w:sz w:val="20"/>
                <w:szCs w:val="20"/>
                <w:color w:val="auto"/>
              </w:rPr>
            </w:pPr>
            <w:r>
              <w:rPr>
                <w:rFonts w:ascii="Arial" w:cs="Arial" w:eastAsia="Arial" w:hAnsi="Arial"/>
                <w:sz w:val="17"/>
                <w:szCs w:val="17"/>
                <w:color w:val="auto"/>
                <w:w w:val="94"/>
              </w:rPr>
              <w:t>(18,717)</w:t>
            </w: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difference between the beginning and ending balances of our CIE and BIE primarily results from the timing of revenue recognized relative to its billings. The amount of revenue recognized during the fiscal year ended June 30, 2021 that was included in the prior period BIE balance was $58.6 million. This revenue consists primarily of work performed during the period on contracts with customers that had advance billings.</w:t>
      </w:r>
    </w:p>
    <w:p>
      <w:pPr>
        <w:spacing w:after="0" w:line="12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Progress billings in accounts receivable at June 30, 2021 and June 30, 2020 included retentions to be collected within one year of $19.9 million and $37.3 million, respectively. Contract retentions collectible beyond one year are included in other assets in the Consolidated Balance Sheets and totaled $3.1 million as of June 30, 2021 and $1.6 million as of June 30,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64" w:name="page65"/>
    <w:bookmarkEnd w:id="64"/>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Disaggregated Revenue</w:t>
      </w:r>
    </w:p>
    <w:p>
      <w:pPr>
        <w:spacing w:after="0" w:line="172"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Revenue disaggregated by reportable segment is presented in Note 13 - Segment Information. The following series of tables presents revenue disaggregated by geographic area where the work was performed and by contract type:</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Geographic Disaggregation:</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2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8"/>
              </w:rPr>
              <w:t>Fiscal Years Ended</w:t>
            </w: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6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60" w:type="dxa"/>
            <w:vAlign w:val="bottom"/>
            <w:gridSpan w:val="2"/>
          </w:tcPr>
          <w:p>
            <w:pPr>
              <w:jc w:val="center"/>
              <w:ind w:right="440"/>
              <w:spacing w:after="0" w:line="130" w:lineRule="exact"/>
              <w:rPr>
                <w:sz w:val="20"/>
                <w:szCs w:val="20"/>
                <w:color w:val="auto"/>
              </w:rPr>
            </w:pPr>
            <w:r>
              <w:rPr>
                <w:rFonts w:ascii="Arial" w:cs="Arial" w:eastAsia="Arial" w:hAnsi="Arial"/>
                <w:sz w:val="14"/>
                <w:szCs w:val="14"/>
                <w:b w:val="1"/>
                <w:bCs w:val="1"/>
                <w:color w:val="auto"/>
                <w:w w:val="85"/>
              </w:rPr>
              <w:t>June 30,</w:t>
            </w:r>
          </w:p>
        </w:tc>
        <w:tc>
          <w:tcPr>
            <w:tcW w:w="160" w:type="dxa"/>
            <w:vAlign w:val="bottom"/>
          </w:tcPr>
          <w:p>
            <w:pPr>
              <w:spacing w:after="0"/>
              <w:rPr>
                <w:sz w:val="11"/>
                <w:szCs w:val="11"/>
                <w:color w:val="auto"/>
              </w:rPr>
            </w:pPr>
          </w:p>
        </w:tc>
        <w:tc>
          <w:tcPr>
            <w:tcW w:w="1520" w:type="dxa"/>
            <w:vAlign w:val="bottom"/>
            <w:gridSpan w:val="2"/>
          </w:tcPr>
          <w:p>
            <w:pPr>
              <w:jc w:val="center"/>
              <w:ind w:right="300"/>
              <w:spacing w:after="0" w:line="130" w:lineRule="exact"/>
              <w:rPr>
                <w:sz w:val="20"/>
                <w:szCs w:val="20"/>
                <w:color w:val="auto"/>
              </w:rPr>
            </w:pPr>
            <w:r>
              <w:rPr>
                <w:rFonts w:ascii="Arial" w:cs="Arial" w:eastAsia="Arial" w:hAnsi="Arial"/>
                <w:sz w:val="14"/>
                <w:szCs w:val="14"/>
                <w:b w:val="1"/>
                <w:bCs w:val="1"/>
                <w:color w:val="auto"/>
                <w:w w:val="89"/>
              </w:rPr>
              <w:t>June 30,</w:t>
            </w:r>
          </w:p>
        </w:tc>
        <w:tc>
          <w:tcPr>
            <w:tcW w:w="320" w:type="dxa"/>
            <w:vAlign w:val="bottom"/>
          </w:tcPr>
          <w:p>
            <w:pPr>
              <w:spacing w:after="0"/>
              <w:rPr>
                <w:sz w:val="11"/>
                <w:szCs w:val="11"/>
                <w:color w:val="auto"/>
              </w:rPr>
            </w:pPr>
          </w:p>
        </w:tc>
        <w:tc>
          <w:tcPr>
            <w:tcW w:w="1240" w:type="dxa"/>
            <w:vAlign w:val="bottom"/>
          </w:tcPr>
          <w:p>
            <w:pPr>
              <w:jc w:val="center"/>
              <w:ind w:right="259"/>
              <w:spacing w:after="0" w:line="130" w:lineRule="exact"/>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83"/>
        </w:trPr>
        <w:tc>
          <w:tcPr>
            <w:tcW w:w="62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239"/>
              <w:spacing w:after="0"/>
              <w:rPr>
                <w:sz w:val="20"/>
                <w:szCs w:val="20"/>
                <w:color w:val="auto"/>
              </w:rPr>
            </w:pPr>
            <w:r>
              <w:rPr>
                <w:rFonts w:ascii="Arial" w:cs="Arial" w:eastAsia="Arial" w:hAnsi="Arial"/>
                <w:sz w:val="14"/>
                <w:szCs w:val="14"/>
                <w:b w:val="1"/>
                <w:bCs w:val="1"/>
                <w:color w:val="auto"/>
                <w:w w:val="89"/>
              </w:rPr>
              <w:t>2021</w:t>
            </w: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239"/>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177"/>
        </w:trPr>
        <w:tc>
          <w:tcPr>
            <w:tcW w:w="6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(In thousands)</w:t>
            </w: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6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United States</w:t>
            </w: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604,739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1,020,083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1,367,844</w:t>
            </w:r>
          </w:p>
        </w:tc>
        <w:tc>
          <w:tcPr>
            <w:tcW w:w="0" w:type="dxa"/>
            <w:vAlign w:val="bottom"/>
          </w:tcPr>
          <w:p>
            <w:pPr>
              <w:spacing w:after="0"/>
              <w:rPr>
                <w:sz w:val="1"/>
                <w:szCs w:val="1"/>
                <w:color w:val="auto"/>
              </w:rPr>
            </w:pPr>
          </w:p>
        </w:tc>
      </w:tr>
      <w:tr>
        <w:trPr>
          <w:trHeight w:val="223"/>
        </w:trPr>
        <w:tc>
          <w:tcPr>
            <w:tcW w:w="6280" w:type="dxa"/>
            <w:vAlign w:val="bottom"/>
          </w:tcPr>
          <w:p>
            <w:pPr>
              <w:ind w:left="20"/>
              <w:spacing w:after="0"/>
              <w:rPr>
                <w:sz w:val="20"/>
                <w:szCs w:val="20"/>
                <w:color w:val="auto"/>
              </w:rPr>
            </w:pPr>
            <w:r>
              <w:rPr>
                <w:rFonts w:ascii="Arial" w:cs="Arial" w:eastAsia="Arial" w:hAnsi="Arial"/>
                <w:sz w:val="17"/>
                <w:szCs w:val="17"/>
                <w:color w:val="auto"/>
              </w:rPr>
              <w:t>Canada</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61,703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70,133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41,410</w:t>
            </w:r>
          </w:p>
        </w:tc>
        <w:tc>
          <w:tcPr>
            <w:tcW w:w="0" w:type="dxa"/>
            <w:vAlign w:val="bottom"/>
          </w:tcPr>
          <w:p>
            <w:pPr>
              <w:spacing w:after="0"/>
              <w:rPr>
                <w:sz w:val="1"/>
                <w:szCs w:val="1"/>
                <w:color w:val="auto"/>
              </w:rPr>
            </w:pPr>
          </w:p>
        </w:tc>
      </w:tr>
      <w:tr>
        <w:trPr>
          <w:trHeight w:val="223"/>
        </w:trPr>
        <w:tc>
          <w:tcPr>
            <w:tcW w:w="6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international</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6,956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10,722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7,426</w:t>
            </w:r>
          </w:p>
        </w:tc>
        <w:tc>
          <w:tcPr>
            <w:tcW w:w="0" w:type="dxa"/>
            <w:vAlign w:val="bottom"/>
          </w:tcPr>
          <w:p>
            <w:pPr>
              <w:spacing w:after="0"/>
              <w:rPr>
                <w:sz w:val="1"/>
                <w:szCs w:val="1"/>
                <w:color w:val="auto"/>
              </w:rPr>
            </w:pPr>
          </w:p>
        </w:tc>
      </w:tr>
      <w:tr>
        <w:trPr>
          <w:trHeight w:val="216"/>
        </w:trPr>
        <w:tc>
          <w:tcPr>
            <w:tcW w:w="6280" w:type="dxa"/>
            <w:vAlign w:val="bottom"/>
          </w:tcPr>
          <w:p>
            <w:pPr>
              <w:ind w:left="20"/>
              <w:spacing w:after="0"/>
              <w:rPr>
                <w:sz w:val="20"/>
                <w:szCs w:val="20"/>
                <w:color w:val="auto"/>
              </w:rPr>
            </w:pPr>
            <w:r>
              <w:rPr>
                <w:rFonts w:ascii="Arial" w:cs="Arial" w:eastAsia="Arial" w:hAnsi="Arial"/>
                <w:sz w:val="17"/>
                <w:szCs w:val="17"/>
                <w:color w:val="auto"/>
              </w:rPr>
              <w:t>Total</w:t>
            </w:r>
          </w:p>
        </w:tc>
        <w:tc>
          <w:tcPr>
            <w:tcW w:w="32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673,398</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1,100,938</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1,416,680</w:t>
            </w:r>
          </w:p>
        </w:tc>
        <w:tc>
          <w:tcPr>
            <w:tcW w:w="0" w:type="dxa"/>
            <w:vAlign w:val="bottom"/>
          </w:tcPr>
          <w:p>
            <w:pPr>
              <w:spacing w:after="0"/>
              <w:rPr>
                <w:sz w:val="1"/>
                <w:szCs w:val="1"/>
                <w:color w:val="auto"/>
              </w:rPr>
            </w:pPr>
          </w:p>
        </w:tc>
      </w:tr>
      <w:tr>
        <w:trPr>
          <w:trHeight w:val="20"/>
        </w:trPr>
        <w:tc>
          <w:tcPr>
            <w:tcW w:w="6280" w:type="dxa"/>
            <w:vAlign w:val="bottom"/>
            <w:vMerge w:val="restart"/>
          </w:tcPr>
          <w:p>
            <w:pPr>
              <w:spacing w:after="0"/>
              <w:rPr>
                <w:sz w:val="20"/>
                <w:szCs w:val="20"/>
                <w:color w:val="auto"/>
              </w:rPr>
            </w:pPr>
            <w:r>
              <w:rPr>
                <w:rFonts w:ascii="Arial" w:cs="Arial" w:eastAsia="Arial" w:hAnsi="Arial"/>
                <w:sz w:val="17"/>
                <w:szCs w:val="17"/>
                <w:color w:val="auto"/>
              </w:rPr>
              <w:t>Contract Type Disaggregation:</w:t>
            </w: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6"/>
        </w:trPr>
        <w:tc>
          <w:tcPr>
            <w:tcW w:w="62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62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8"/>
              </w:rPr>
              <w:t>Fiscal Years Ended</w:t>
            </w:r>
          </w:p>
        </w:tc>
        <w:tc>
          <w:tcPr>
            <w:tcW w:w="3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6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60" w:type="dxa"/>
            <w:vAlign w:val="bottom"/>
            <w:gridSpan w:val="2"/>
          </w:tcPr>
          <w:p>
            <w:pPr>
              <w:jc w:val="center"/>
              <w:ind w:right="440"/>
              <w:spacing w:after="0" w:line="130" w:lineRule="exact"/>
              <w:rPr>
                <w:sz w:val="20"/>
                <w:szCs w:val="20"/>
                <w:color w:val="auto"/>
              </w:rPr>
            </w:pPr>
            <w:r>
              <w:rPr>
                <w:rFonts w:ascii="Arial" w:cs="Arial" w:eastAsia="Arial" w:hAnsi="Arial"/>
                <w:sz w:val="14"/>
                <w:szCs w:val="14"/>
                <w:b w:val="1"/>
                <w:bCs w:val="1"/>
                <w:color w:val="auto"/>
                <w:w w:val="85"/>
              </w:rPr>
              <w:t>June 30,</w:t>
            </w:r>
          </w:p>
        </w:tc>
        <w:tc>
          <w:tcPr>
            <w:tcW w:w="160" w:type="dxa"/>
            <w:vAlign w:val="bottom"/>
          </w:tcPr>
          <w:p>
            <w:pPr>
              <w:spacing w:after="0"/>
              <w:rPr>
                <w:sz w:val="11"/>
                <w:szCs w:val="11"/>
                <w:color w:val="auto"/>
              </w:rPr>
            </w:pPr>
          </w:p>
        </w:tc>
        <w:tc>
          <w:tcPr>
            <w:tcW w:w="1520" w:type="dxa"/>
            <w:vAlign w:val="bottom"/>
            <w:gridSpan w:val="2"/>
          </w:tcPr>
          <w:p>
            <w:pPr>
              <w:jc w:val="center"/>
              <w:ind w:right="300"/>
              <w:spacing w:after="0" w:line="130" w:lineRule="exact"/>
              <w:rPr>
                <w:sz w:val="20"/>
                <w:szCs w:val="20"/>
                <w:color w:val="auto"/>
              </w:rPr>
            </w:pPr>
            <w:r>
              <w:rPr>
                <w:rFonts w:ascii="Arial" w:cs="Arial" w:eastAsia="Arial" w:hAnsi="Arial"/>
                <w:sz w:val="14"/>
                <w:szCs w:val="14"/>
                <w:b w:val="1"/>
                <w:bCs w:val="1"/>
                <w:color w:val="auto"/>
                <w:w w:val="89"/>
              </w:rPr>
              <w:t>June 30,</w:t>
            </w:r>
          </w:p>
        </w:tc>
        <w:tc>
          <w:tcPr>
            <w:tcW w:w="320" w:type="dxa"/>
            <w:vAlign w:val="bottom"/>
          </w:tcPr>
          <w:p>
            <w:pPr>
              <w:spacing w:after="0"/>
              <w:rPr>
                <w:sz w:val="11"/>
                <w:szCs w:val="11"/>
                <w:color w:val="auto"/>
              </w:rPr>
            </w:pPr>
          </w:p>
        </w:tc>
        <w:tc>
          <w:tcPr>
            <w:tcW w:w="1240" w:type="dxa"/>
            <w:vAlign w:val="bottom"/>
          </w:tcPr>
          <w:p>
            <w:pPr>
              <w:jc w:val="center"/>
              <w:ind w:right="259"/>
              <w:spacing w:after="0" w:line="130" w:lineRule="exact"/>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83"/>
        </w:trPr>
        <w:tc>
          <w:tcPr>
            <w:tcW w:w="62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239"/>
              <w:spacing w:after="0"/>
              <w:rPr>
                <w:sz w:val="20"/>
                <w:szCs w:val="20"/>
                <w:color w:val="auto"/>
              </w:rPr>
            </w:pPr>
            <w:r>
              <w:rPr>
                <w:rFonts w:ascii="Arial" w:cs="Arial" w:eastAsia="Arial" w:hAnsi="Arial"/>
                <w:sz w:val="14"/>
                <w:szCs w:val="14"/>
                <w:b w:val="1"/>
                <w:bCs w:val="1"/>
                <w:color w:val="auto"/>
                <w:w w:val="89"/>
              </w:rPr>
              <w:t>2021</w:t>
            </w: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239"/>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177"/>
        </w:trPr>
        <w:tc>
          <w:tcPr>
            <w:tcW w:w="6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(In thousands)</w:t>
            </w: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6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Fixed-price contracts</w:t>
            </w: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444,042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685,559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748,007</w:t>
            </w:r>
          </w:p>
        </w:tc>
        <w:tc>
          <w:tcPr>
            <w:tcW w:w="0" w:type="dxa"/>
            <w:vAlign w:val="bottom"/>
          </w:tcPr>
          <w:p>
            <w:pPr>
              <w:spacing w:after="0"/>
              <w:rPr>
                <w:sz w:val="1"/>
                <w:szCs w:val="1"/>
                <w:color w:val="auto"/>
              </w:rPr>
            </w:pPr>
          </w:p>
        </w:tc>
      </w:tr>
      <w:tr>
        <w:trPr>
          <w:trHeight w:val="223"/>
        </w:trPr>
        <w:tc>
          <w:tcPr>
            <w:tcW w:w="62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Time and materials and other cost reimbursable contracts</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229,356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415,379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668,673</w:t>
            </w:r>
          </w:p>
        </w:tc>
        <w:tc>
          <w:tcPr>
            <w:tcW w:w="0" w:type="dxa"/>
            <w:vAlign w:val="bottom"/>
          </w:tcPr>
          <w:p>
            <w:pPr>
              <w:spacing w:after="0"/>
              <w:rPr>
                <w:sz w:val="1"/>
                <w:szCs w:val="1"/>
                <w:color w:val="auto"/>
              </w:rPr>
            </w:pPr>
          </w:p>
        </w:tc>
      </w:tr>
      <w:tr>
        <w:trPr>
          <w:trHeight w:val="241"/>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3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673,398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1,100,938</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1,416,680</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Typically, we assume more risk with fixed-price contracts since increases in cost to perform the work may not be recoverable. However, these types of contracts typically offer higher profits than time and materials and other cost reimbursable contracts when completed at or below the costs originally estimated. The profitability of time and materials and other cost reimbursable contracts is typically lower than fixed-price contracts and is usually less volatile than fixed-price contracts since the profit component is factored into the rates charged for labor, equipment and materials, or is expressed in the contract as a percentage of the reimbursable costs incurred.</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w:t>
      </w:r>
    </w:p>
    <w:p>
      <w:pPr>
        <w:spacing w:after="0" w:line="25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results of operations in fiscal 2021 were materially impacted by increases in the forecasted costs to complete a large capital project in the Utility and Power Infrastructure segment. The project reduced gross profit by $5.8 million in fiscal 2021. The changes in estimate were due to lower than previously forecasted productivity caused by excessive rain at the project site, the continuing impact of COVID-19, and rework which led to higher costs and schedule compression. This project was nearly complete at year-end and we are performing start-up and commissioning work in the first quarter of fiscal 2022.</w:t>
      </w:r>
    </w:p>
    <w:p>
      <w:pPr>
        <w:spacing w:after="0" w:line="18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During the fourth quarter of fiscal 2021, we reached a settlement on a contract dispute over the construction of a crude oil terminal. The project's financial impact for the fiscal year ended June 30, 2021 was a $2.9 million reduction to gross profit in the Storage and Terminal Solutions segment. The settlement resulted in a cash receipt of $8.9 million in the first quarter of fiscal 2022, which enabled us to avoid future legal costs and litigation risk.</w:t>
      </w:r>
    </w:p>
    <w:p>
      <w:pPr>
        <w:spacing w:after="0" w:line="18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During the third quarter of fiscal 2021, we achieved mechanical completion of a large crude oil terminal project, demobilized from the project site and completed its assessment of additional recovery of unpriced change orders. The project's financial impact for the fiscal year ended June 30, 2021 was a $3.8 million reduction to gross profit in the Storage and Terminal Solutions segment.</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5" w:name="page66"/>
    <w:bookmarkEnd w:id="65"/>
    <w:p>
      <w:pPr>
        <w:jc w:val="center"/>
        <w:spacing w:after="0"/>
        <w:rPr>
          <w:sz w:val="20"/>
          <w:szCs w:val="20"/>
          <w:color w:val="auto"/>
        </w:rPr>
      </w:pPr>
      <w:r>
        <w:rPr>
          <w:rFonts w:ascii="Arial" w:cs="Arial" w:eastAsia="Arial" w:hAnsi="Arial"/>
          <w:sz w:val="17"/>
          <w:szCs w:val="17"/>
          <w:b w:val="1"/>
          <w:bCs w:val="1"/>
          <w:color w:val="auto"/>
        </w:rPr>
        <w:t>Matrix Service Company</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3—Disposals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Sale of Process Heating Business</w:t>
      </w:r>
    </w:p>
    <w:p>
      <w:pPr>
        <w:spacing w:after="0" w:line="17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August 2018, we sold non-core assets associated with a business that marketed process heating equipment for $3.9 million in cash, including $0.2 million of customary final post-closing adjustments paid in October 2018. We recognized a gain of $0.4 million on the sale, which was included in Other in the Consolidated Statements of Income. The revenue and operating results of the business, which were included in the Process and Industrial Facilities segment, were not material.</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4—Goodwill and Other Intangible Assets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Goodwill</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The changes in the carrying amount of goodwill by segment are as follows: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Utility and Power</w:t>
            </w:r>
          </w:p>
        </w:tc>
        <w:tc>
          <w:tcPr>
            <w:tcW w:w="200" w:type="dxa"/>
            <w:vAlign w:val="bottom"/>
          </w:tcPr>
          <w:p>
            <w:pPr>
              <w:spacing w:after="0"/>
              <w:rPr>
                <w:sz w:val="14"/>
                <w:szCs w:val="14"/>
                <w:color w:val="auto"/>
              </w:rPr>
            </w:pPr>
          </w:p>
        </w:tc>
        <w:tc>
          <w:tcPr>
            <w:tcW w:w="12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4"/>
              </w:rPr>
              <w:t>Process and</w:t>
            </w:r>
          </w:p>
        </w:tc>
        <w:tc>
          <w:tcPr>
            <w:tcW w:w="260" w:type="dxa"/>
            <w:vAlign w:val="bottom"/>
          </w:tcPr>
          <w:p>
            <w:pPr>
              <w:spacing w:after="0"/>
              <w:rPr>
                <w:sz w:val="14"/>
                <w:szCs w:val="14"/>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Storage and</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5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0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gridSpan w:val="2"/>
          </w:tcPr>
          <w:p>
            <w:pPr>
              <w:jc w:val="center"/>
              <w:ind w:right="380"/>
              <w:spacing w:after="0" w:line="131" w:lineRule="exact"/>
              <w:rPr>
                <w:sz w:val="20"/>
                <w:szCs w:val="20"/>
                <w:color w:val="auto"/>
              </w:rPr>
            </w:pPr>
            <w:r>
              <w:rPr>
                <w:rFonts w:ascii="Arial" w:cs="Arial" w:eastAsia="Arial" w:hAnsi="Arial"/>
                <w:sz w:val="14"/>
                <w:szCs w:val="14"/>
                <w:b w:val="1"/>
                <w:bCs w:val="1"/>
                <w:color w:val="auto"/>
                <w:w w:val="92"/>
              </w:rPr>
              <w:t>Terminal</w:t>
            </w:r>
          </w:p>
        </w:tc>
        <w:tc>
          <w:tcPr>
            <w:tcW w:w="300" w:type="dxa"/>
            <w:vAlign w:val="bottom"/>
          </w:tcPr>
          <w:p>
            <w:pPr>
              <w:spacing w:after="0"/>
              <w:rPr>
                <w:sz w:val="11"/>
                <w:szCs w:val="11"/>
                <w:color w:val="auto"/>
              </w:rPr>
            </w:pPr>
          </w:p>
        </w:tc>
        <w:tc>
          <w:tcPr>
            <w:tcW w:w="1000" w:type="dxa"/>
            <w:vAlign w:val="bottom"/>
            <w:vMerge w:val="restart"/>
          </w:tcPr>
          <w:p>
            <w:pPr>
              <w:jc w:val="right"/>
              <w:ind w:right="41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3"/>
        </w:trPr>
        <w:tc>
          <w:tcPr>
            <w:tcW w:w="54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4"/>
              </w:rPr>
              <w:t>Infrastructure</w:t>
            </w:r>
          </w:p>
        </w:tc>
        <w:tc>
          <w:tcPr>
            <w:tcW w:w="142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1"/>
              </w:rPr>
              <w:t>Industrial Facilities</w:t>
            </w:r>
          </w:p>
        </w:tc>
        <w:tc>
          <w:tcPr>
            <w:tcW w:w="2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84"/>
              </w:rPr>
              <w:t>Solutions</w:t>
            </w: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5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balance at June 30, 2018</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31,848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37,612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26,702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96,162</w:t>
            </w:r>
          </w:p>
        </w:tc>
        <w:tc>
          <w:tcPr>
            <w:tcW w:w="0" w:type="dxa"/>
            <w:vAlign w:val="bottom"/>
          </w:tcPr>
          <w:p>
            <w:pPr>
              <w:spacing w:after="0"/>
              <w:rPr>
                <w:sz w:val="1"/>
                <w:szCs w:val="1"/>
                <w:color w:val="auto"/>
              </w:rPr>
            </w:pPr>
          </w:p>
        </w:tc>
      </w:tr>
      <w:tr>
        <w:trPr>
          <w:trHeight w:val="223"/>
        </w:trPr>
        <w:tc>
          <w:tcPr>
            <w:tcW w:w="5420" w:type="dxa"/>
            <w:vAlign w:val="bottom"/>
          </w:tcPr>
          <w:p>
            <w:pPr>
              <w:ind w:left="20"/>
              <w:spacing w:after="0" w:line="223" w:lineRule="exact"/>
              <w:rPr>
                <w:sz w:val="20"/>
                <w:szCs w:val="20"/>
                <w:color w:val="auto"/>
              </w:rPr>
            </w:pPr>
            <w:r>
              <w:rPr>
                <w:rFonts w:ascii="Arial" w:cs="Arial" w:eastAsia="Arial" w:hAnsi="Arial"/>
                <w:sz w:val="17"/>
                <w:szCs w:val="17"/>
                <w:color w:val="auto"/>
              </w:rPr>
              <w:t xml:space="preserve">Disposal of business </w:t>
            </w:r>
            <w:r>
              <w:rPr>
                <w:rFonts w:ascii="Arial" w:cs="Arial" w:eastAsia="Arial" w:hAnsi="Arial"/>
                <w:sz w:val="22"/>
                <w:szCs w:val="22"/>
                <w:color w:val="auto"/>
                <w:vertAlign w:val="superscript"/>
              </w:rPr>
              <w:t>(1)</w:t>
            </w:r>
          </w:p>
        </w:tc>
        <w:tc>
          <w:tcPr>
            <w:tcW w:w="18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(2,775)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(2,775)</w:t>
            </w:r>
          </w:p>
        </w:tc>
        <w:tc>
          <w:tcPr>
            <w:tcW w:w="0" w:type="dxa"/>
            <w:vAlign w:val="bottom"/>
          </w:tcPr>
          <w:p>
            <w:pPr>
              <w:spacing w:after="0"/>
              <w:rPr>
                <w:sz w:val="1"/>
                <w:szCs w:val="1"/>
                <w:color w:val="auto"/>
              </w:rPr>
            </w:pPr>
          </w:p>
        </w:tc>
      </w:tr>
      <w:tr>
        <w:trPr>
          <w:trHeight w:val="223"/>
        </w:trPr>
        <w:tc>
          <w:tcPr>
            <w:tcW w:w="5420" w:type="dxa"/>
            <w:vAlign w:val="bottom"/>
            <w:shd w:val="clear" w:color="auto" w:fill="CCEEFF"/>
          </w:tcPr>
          <w:p>
            <w:pPr>
              <w:ind w:left="20"/>
              <w:spacing w:after="0" w:line="223" w:lineRule="exact"/>
              <w:rPr>
                <w:sz w:val="20"/>
                <w:szCs w:val="20"/>
                <w:color w:val="auto"/>
              </w:rPr>
            </w:pPr>
            <w:r>
              <w:rPr>
                <w:rFonts w:ascii="Arial" w:cs="Arial" w:eastAsia="Arial" w:hAnsi="Arial"/>
                <w:sz w:val="17"/>
                <w:szCs w:val="17"/>
                <w:color w:val="auto"/>
              </w:rPr>
              <w:t xml:space="preserve">Translation adjustment </w:t>
            </w:r>
            <w:r>
              <w:rPr>
                <w:rFonts w:ascii="Arial" w:cs="Arial" w:eastAsia="Arial" w:hAnsi="Arial"/>
                <w:sz w:val="22"/>
                <w:szCs w:val="22"/>
                <w:color w:val="auto"/>
                <w:vertAlign w:val="superscript"/>
              </w:rPr>
              <w:t>(2)</w:t>
            </w: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216"/>
        </w:trPr>
        <w:tc>
          <w:tcPr>
            <w:tcW w:w="5420" w:type="dxa"/>
            <w:vAlign w:val="bottom"/>
          </w:tcPr>
          <w:p>
            <w:pPr>
              <w:ind w:left="20"/>
              <w:spacing w:after="0"/>
              <w:rPr>
                <w:sz w:val="20"/>
                <w:szCs w:val="20"/>
                <w:color w:val="auto"/>
              </w:rPr>
            </w:pPr>
            <w:r>
              <w:rPr>
                <w:rFonts w:ascii="Arial" w:cs="Arial" w:eastAsia="Arial" w:hAnsi="Arial"/>
                <w:sz w:val="17"/>
                <w:szCs w:val="17"/>
                <w:color w:val="auto"/>
              </w:rPr>
              <w:t>Net balance at June 30, 2019</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31,840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34,842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26,686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93,368</w:t>
            </w:r>
          </w:p>
        </w:tc>
        <w:tc>
          <w:tcPr>
            <w:tcW w:w="0" w:type="dxa"/>
            <w:vAlign w:val="bottom"/>
          </w:tcPr>
          <w:p>
            <w:pPr>
              <w:spacing w:after="0"/>
              <w:rPr>
                <w:sz w:val="1"/>
                <w:szCs w:val="1"/>
                <w:color w:val="auto"/>
              </w:rPr>
            </w:pPr>
          </w:p>
        </w:tc>
      </w:tr>
      <w:tr>
        <w:trPr>
          <w:trHeight w:val="223"/>
        </w:trPr>
        <w:tc>
          <w:tcPr>
            <w:tcW w:w="5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Goodwill impairment</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(24,900)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(7,981)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(32,881)</w:t>
            </w:r>
          </w:p>
        </w:tc>
        <w:tc>
          <w:tcPr>
            <w:tcW w:w="0" w:type="dxa"/>
            <w:vAlign w:val="bottom"/>
          </w:tcPr>
          <w:p>
            <w:pPr>
              <w:spacing w:after="0"/>
              <w:rPr>
                <w:sz w:val="1"/>
                <w:szCs w:val="1"/>
                <w:color w:val="auto"/>
              </w:rPr>
            </w:pPr>
          </w:p>
        </w:tc>
      </w:tr>
      <w:tr>
        <w:trPr>
          <w:trHeight w:val="223"/>
        </w:trPr>
        <w:tc>
          <w:tcPr>
            <w:tcW w:w="5420" w:type="dxa"/>
            <w:vAlign w:val="bottom"/>
            <w:tcBorders>
              <w:bottom w:val="single" w:sz="8" w:color="CCEEFF"/>
            </w:tcBorders>
          </w:tcPr>
          <w:p>
            <w:pPr>
              <w:ind w:left="20"/>
              <w:spacing w:after="0" w:line="223" w:lineRule="exact"/>
              <w:rPr>
                <w:sz w:val="20"/>
                <w:szCs w:val="20"/>
                <w:color w:val="auto"/>
              </w:rPr>
            </w:pPr>
            <w:r>
              <w:rPr>
                <w:rFonts w:ascii="Arial" w:cs="Arial" w:eastAsia="Arial" w:hAnsi="Arial"/>
                <w:sz w:val="17"/>
                <w:szCs w:val="17"/>
                <w:color w:val="auto"/>
              </w:rPr>
              <w:t xml:space="preserve">Translation adjustment </w:t>
            </w:r>
            <w:r>
              <w:rPr>
                <w:rFonts w:ascii="Arial" w:cs="Arial" w:eastAsia="Arial" w:hAnsi="Arial"/>
                <w:sz w:val="22"/>
                <w:szCs w:val="22"/>
                <w:color w:val="auto"/>
                <w:vertAlign w:val="superscript"/>
              </w:rPr>
              <w:t>(2)</w:t>
            </w: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(118)</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balance at June 30, 2020</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6,905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26,846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26,618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60,369</w:t>
            </w:r>
          </w:p>
        </w:tc>
        <w:tc>
          <w:tcPr>
            <w:tcW w:w="0" w:type="dxa"/>
            <w:vAlign w:val="bottom"/>
          </w:tcPr>
          <w:p>
            <w:pPr>
              <w:spacing w:after="0"/>
              <w:rPr>
                <w:sz w:val="1"/>
                <w:szCs w:val="1"/>
                <w:color w:val="auto"/>
              </w:rPr>
            </w:pPr>
          </w:p>
        </w:tc>
      </w:tr>
      <w:tr>
        <w:trPr>
          <w:trHeight w:val="223"/>
        </w:trPr>
        <w:tc>
          <w:tcPr>
            <w:tcW w:w="5420" w:type="dxa"/>
            <w:vAlign w:val="bottom"/>
            <w:tcBorders>
              <w:bottom w:val="single" w:sz="8" w:color="CCEEFF"/>
            </w:tcBorders>
          </w:tcPr>
          <w:p>
            <w:pPr>
              <w:ind w:left="20"/>
              <w:spacing w:after="0" w:line="223" w:lineRule="exact"/>
              <w:rPr>
                <w:sz w:val="20"/>
                <w:szCs w:val="20"/>
                <w:color w:val="auto"/>
              </w:rPr>
            </w:pPr>
            <w:r>
              <w:rPr>
                <w:rFonts w:ascii="Arial" w:cs="Arial" w:eastAsia="Arial" w:hAnsi="Arial"/>
                <w:sz w:val="17"/>
                <w:szCs w:val="17"/>
                <w:color w:val="auto"/>
              </w:rPr>
              <w:t>Translation adjustment</w:t>
            </w:r>
            <w:r>
              <w:rPr>
                <w:rFonts w:ascii="Arial" w:cs="Arial" w:eastAsia="Arial" w:hAnsi="Arial"/>
                <w:sz w:val="22"/>
                <w:szCs w:val="22"/>
                <w:color w:val="auto"/>
                <w:vertAlign w:val="superscript"/>
              </w:rPr>
              <w:t>(2)</w:t>
            </w: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267</w:t>
            </w:r>
          </w:p>
        </w:tc>
        <w:tc>
          <w:tcPr>
            <w:tcW w:w="0" w:type="dxa"/>
            <w:vAlign w:val="bottom"/>
          </w:tcPr>
          <w:p>
            <w:pPr>
              <w:spacing w:after="0"/>
              <w:rPr>
                <w:sz w:val="1"/>
                <w:szCs w:val="1"/>
                <w:color w:val="auto"/>
              </w:rPr>
            </w:pPr>
          </w:p>
        </w:tc>
      </w:tr>
      <w:tr>
        <w:trPr>
          <w:trHeight w:val="241"/>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balance at June 30, 2021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6,984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26,878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26,774</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60,636</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416560</wp:posOffset>
            </wp:positionV>
            <wp:extent cx="79946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994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both"/>
        <w:ind w:left="560" w:hanging="319"/>
        <w:spacing w:after="0"/>
        <w:tabs>
          <w:tab w:leader="none" w:pos="552" w:val="left"/>
        </w:tabs>
        <w:numPr>
          <w:ilvl w:val="0"/>
          <w:numId w:val="33"/>
        </w:numPr>
        <w:rPr>
          <w:rFonts w:ascii="Arial" w:cs="Arial" w:eastAsia="Arial" w:hAnsi="Arial"/>
          <w:sz w:val="14"/>
          <w:szCs w:val="14"/>
          <w:color w:val="auto"/>
        </w:rPr>
      </w:pPr>
      <w:r>
        <w:rPr>
          <w:rFonts w:ascii="Arial" w:cs="Arial" w:eastAsia="Arial" w:hAnsi="Arial"/>
          <w:sz w:val="14"/>
          <w:szCs w:val="14"/>
          <w:color w:val="auto"/>
        </w:rPr>
        <w:t>In August 2018, we disposed of a business that marketed process heating equipment. See Note 3 - Acquisitions and Disposals for more information about the disposal. The business disposed of constituted its own reporting unit and the amount of goodwill written off was all of the goodwill assigned to that reporting unit. None of the goodwill was considered impaired since we recorded a gain on the disposal.</w:t>
      </w:r>
    </w:p>
    <w:p>
      <w:pPr>
        <w:spacing w:after="0" w:line="1" w:lineRule="exact"/>
        <w:rPr>
          <w:rFonts w:ascii="Arial" w:cs="Arial" w:eastAsia="Arial" w:hAnsi="Arial"/>
          <w:sz w:val="14"/>
          <w:szCs w:val="14"/>
          <w:color w:val="auto"/>
        </w:rPr>
      </w:pPr>
    </w:p>
    <w:p>
      <w:pPr>
        <w:ind w:left="560" w:hanging="319"/>
        <w:spacing w:after="0" w:line="242" w:lineRule="auto"/>
        <w:tabs>
          <w:tab w:leader="none" w:pos="552"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translation adjustments relate to the periodic translation of Canadian Dollar and South Korean Won denominated goodwill recorded as a part of prior acquisitions in Canada and South Korea, in which the local currency was determined to be the functional currency.</w:t>
      </w:r>
    </w:p>
    <w:p>
      <w:pPr>
        <w:spacing w:after="0" w:line="22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performed our annual goodwill impairment test as of May 31, 2021, which resulted in no impairment. The fiscal 2021 test indicated that four reporting units with a combined total of $37.7 million of goodwill as of June 30, 2021 were at higher risk of future impairment than others. If our view of project opportunities or gross margins deteriorates, particularly for the higher risk reporting units, then we may be required to record an impairment.</w:t>
      </w:r>
    </w:p>
    <w:p>
      <w:pPr>
        <w:spacing w:after="0" w:line="12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In the second quarter of fiscal 2020, we concluded that a goodwill impairment indicator existed in the Utility and Power Infrastructure segment based on the recent history of depressed gross margins and the second quarter’s downward acceleration of revenue and gross margin. Accordingly, we performed an interim impairment test as of December 31, 2019, reflecting updated revenue and gross margin assumptions, and concluded that the reporting unit's $24.9 million of goodwill was fully impaired. Additionally, we concluded that a goodwill impairment indicator existed for a Process and Industrial Facilities segment reporting unit based on several second quarter events. These events included the deterioration of our relationship with a significant customer in the iron and steel industry in the second quarter. As a result, the customer canceled other previously awarded work and we received no subsequent business from this customer. Accordingly, we performed an interim impairment test as of December 31, 2019 and concluded that the reporting unit's $8.0 million of goodwill was fully impaired.</w:t>
      </w:r>
    </w:p>
    <w:p>
      <w:pPr>
        <w:spacing w:after="0" w:line="129"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The estimated fair value of each reporting unit was derived primarily by utilizing a discounted cash flow analysis. The key assumptions used are described in Note 1 - Summary of Significant Accounting Policies.</w:t>
      </w:r>
    </w:p>
    <w:p>
      <w:pPr>
        <w:sectPr>
          <w:pgSz w:w="11900" w:h="16838" w:orient="portrait"/>
          <w:cols w:equalWidth="0" w:num="1">
            <w:col w:w="11240"/>
          </w:cols>
          <w:pgMar w:left="320" w:top="35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78105</wp:posOffset>
            </wp:positionV>
            <wp:extent cx="716153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type w:val="continuous"/>
        </w:sectPr>
      </w:pPr>
    </w:p>
    <w:bookmarkStart w:id="66" w:name="page67"/>
    <w:bookmarkEnd w:id="66"/>
    <w:p>
      <w:pPr>
        <w:jc w:val="center"/>
        <w:spacing w:after="0"/>
        <w:rPr>
          <w:sz w:val="20"/>
          <w:szCs w:val="20"/>
          <w:color w:val="auto"/>
        </w:rPr>
      </w:pPr>
      <w:r>
        <w:rPr>
          <w:rFonts w:ascii="Arial" w:cs="Arial" w:eastAsia="Arial" w:hAnsi="Arial"/>
          <w:sz w:val="17"/>
          <w:szCs w:val="17"/>
          <w:b w:val="1"/>
          <w:bCs w:val="1"/>
          <w:color w:val="auto"/>
        </w:rPr>
        <w:t>Matrix Service Company</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Intangible Assets</w:t>
      </w:r>
    </w:p>
    <w:p>
      <w:pPr>
        <w:spacing w:after="0" w:line="172"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In the fourth quarter of fiscal 2020, we fully impaired a customer relationship intangible asset with a net book value of $1.2 million. The customer relationship primarily related to services which were impacted by our performance improvement plan (see Note 14 - Restructuring Costs). As a result, the customer relationship intangible asset was no longer recoverable. As of June 30, 2020, this intangible asset had a remaining useful life of approximately 2 years, a gross carrying amount of $6.3 million and accumulated amortization of $5.1 million. The impairment is included in restructuring costs in the Consolidated Statements of Income.</w:t>
      </w:r>
    </w:p>
    <w:p>
      <w:pPr>
        <w:spacing w:after="0" w:line="12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Also in the fourth quarter of fiscal 2020, we fully impaired a customer relationship intangible asset with a net book value of $0.4 million in connection with the closure of an underperforming operating unit. The closure was part of our performance improvement plan (see Note 14 - Restructuring Costs). As of June 30, 2020, this intangible asset had a remaining useful life of approximately 4 years, a gross carrying amount of $0.9 million and accumulated amortization of $0.5 million. The impairment is included in the restructuring costs caption in the Consolidated Statements of Income.</w:t>
      </w:r>
    </w:p>
    <w:p>
      <w:pPr>
        <w:spacing w:after="0" w:line="12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the second quarter of fiscal 2020, in connection with the factors disclosed for the Process and Industrial Facilities segment goodwill impairment above, we fully impaired a customer relationship with a net book value of $5.6 million. As of December 31, 2019, this intangible asset had a remaining useful life of 9 years, a gross carrying amount of $9.4 million and accumulated amortization of $3.8 million. The impairment is included within the goodwill and other intangible asset impairment caption in the Consolidated Statements of Income.</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Information on the carrying value of other intangible assets is as follows:</w:t>
      </w: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1"/>
              </w:rPr>
              <w:t>At June 30, 2021</w:t>
            </w: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4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80" w:type="dxa"/>
            <w:vAlign w:val="bottom"/>
            <w:gridSpan w:val="2"/>
          </w:tcPr>
          <w:p>
            <w:pPr>
              <w:jc w:val="center"/>
              <w:ind w:right="380"/>
              <w:spacing w:after="0" w:line="130" w:lineRule="exact"/>
              <w:rPr>
                <w:sz w:val="20"/>
                <w:szCs w:val="20"/>
                <w:color w:val="auto"/>
              </w:rPr>
            </w:pPr>
            <w:r>
              <w:rPr>
                <w:rFonts w:ascii="Arial" w:cs="Arial" w:eastAsia="Arial" w:hAnsi="Arial"/>
                <w:sz w:val="14"/>
                <w:szCs w:val="14"/>
                <w:b w:val="1"/>
                <w:bCs w:val="1"/>
                <w:color w:val="auto"/>
                <w:w w:val="83"/>
              </w:rPr>
              <w:t>Gross</w:t>
            </w:r>
          </w:p>
        </w:tc>
        <w:tc>
          <w:tcPr>
            <w:tcW w:w="180" w:type="dxa"/>
            <w:vAlign w:val="bottom"/>
          </w:tcPr>
          <w:p>
            <w:pPr>
              <w:spacing w:after="0"/>
              <w:rPr>
                <w:sz w:val="11"/>
                <w:szCs w:val="11"/>
                <w:color w:val="auto"/>
              </w:rPr>
            </w:pPr>
          </w:p>
        </w:tc>
        <w:tc>
          <w:tcPr>
            <w:tcW w:w="14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0"/>
              </w:rPr>
              <w:t>Accumulated</w:t>
            </w:r>
          </w:p>
        </w:tc>
        <w:tc>
          <w:tcPr>
            <w:tcW w:w="220" w:type="dxa"/>
            <w:vAlign w:val="bottom"/>
          </w:tcPr>
          <w:p>
            <w:pPr>
              <w:spacing w:after="0"/>
              <w:rPr>
                <w:sz w:val="11"/>
                <w:szCs w:val="11"/>
                <w:color w:val="auto"/>
              </w:rPr>
            </w:pPr>
          </w:p>
        </w:tc>
        <w:tc>
          <w:tcPr>
            <w:tcW w:w="12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Net Carrying</w:t>
            </w:r>
          </w:p>
        </w:tc>
        <w:tc>
          <w:tcPr>
            <w:tcW w:w="0" w:type="dxa"/>
            <w:vAlign w:val="bottom"/>
          </w:tcPr>
          <w:p>
            <w:pPr>
              <w:spacing w:after="0"/>
              <w:rPr>
                <w:sz w:val="1"/>
                <w:szCs w:val="1"/>
                <w:color w:val="auto"/>
              </w:rPr>
            </w:pPr>
          </w:p>
        </w:tc>
      </w:tr>
      <w:tr>
        <w:trPr>
          <w:trHeight w:val="131"/>
        </w:trPr>
        <w:tc>
          <w:tcPr>
            <w:tcW w:w="4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2"/>
              </w:rPr>
              <w:t>Useful Life</w:t>
            </w:r>
          </w:p>
        </w:tc>
        <w:tc>
          <w:tcPr>
            <w:tcW w:w="280" w:type="dxa"/>
            <w:vAlign w:val="bottom"/>
          </w:tcPr>
          <w:p>
            <w:pPr>
              <w:spacing w:after="0"/>
              <w:rPr>
                <w:sz w:val="11"/>
                <w:szCs w:val="11"/>
                <w:color w:val="auto"/>
              </w:rPr>
            </w:pPr>
          </w:p>
        </w:tc>
        <w:tc>
          <w:tcPr>
            <w:tcW w:w="1280" w:type="dxa"/>
            <w:vAlign w:val="bottom"/>
            <w:gridSpan w:val="2"/>
          </w:tcPr>
          <w:p>
            <w:pPr>
              <w:jc w:val="center"/>
              <w:ind w:right="380"/>
              <w:spacing w:after="0" w:line="131" w:lineRule="exact"/>
              <w:rPr>
                <w:sz w:val="20"/>
                <w:szCs w:val="20"/>
                <w:color w:val="auto"/>
              </w:rPr>
            </w:pPr>
            <w:r>
              <w:rPr>
                <w:rFonts w:ascii="Arial" w:cs="Arial" w:eastAsia="Arial" w:hAnsi="Arial"/>
                <w:sz w:val="14"/>
                <w:szCs w:val="14"/>
                <w:b w:val="1"/>
                <w:bCs w:val="1"/>
                <w:color w:val="auto"/>
                <w:w w:val="93"/>
              </w:rPr>
              <w:t>Carrying</w:t>
            </w:r>
          </w:p>
        </w:tc>
        <w:tc>
          <w:tcPr>
            <w:tcW w:w="180" w:type="dxa"/>
            <w:vAlign w:val="bottom"/>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4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5"/>
                <w:szCs w:val="15"/>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Amortization</w:t>
            </w:r>
          </w:p>
        </w:tc>
        <w:tc>
          <w:tcPr>
            <w:tcW w:w="220" w:type="dxa"/>
            <w:vAlign w:val="bottom"/>
          </w:tcPr>
          <w:p>
            <w:pPr>
              <w:spacing w:after="0"/>
              <w:rPr>
                <w:sz w:val="15"/>
                <w:szCs w:val="15"/>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177"/>
        </w:trPr>
        <w:tc>
          <w:tcPr>
            <w:tcW w:w="49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(Years)</w:t>
            </w: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9"/>
              </w:rPr>
              <w:t>(In thousands)</w:t>
            </w:r>
          </w:p>
        </w:tc>
        <w:tc>
          <w:tcPr>
            <w:tcW w:w="22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Intellectual property</w:t>
            </w:r>
          </w:p>
        </w:tc>
        <w:tc>
          <w:tcPr>
            <w:tcW w:w="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center"/>
              <w:ind w:right="140"/>
              <w:spacing w:after="0"/>
              <w:rPr>
                <w:sz w:val="20"/>
                <w:szCs w:val="20"/>
                <w:color w:val="auto"/>
              </w:rPr>
            </w:pPr>
            <w:r>
              <w:rPr>
                <w:rFonts w:ascii="Arial" w:cs="Arial" w:eastAsia="Arial" w:hAnsi="Arial"/>
                <w:sz w:val="17"/>
                <w:szCs w:val="17"/>
                <w:color w:val="auto"/>
                <w:w w:val="94"/>
              </w:rPr>
              <w:t>10 to 15</w:t>
            </w: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2,483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(2,031)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452</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Customer based</w:t>
            </w:r>
          </w:p>
        </w:tc>
        <w:tc>
          <w:tcPr>
            <w:tcW w:w="2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7"/>
                <w:szCs w:val="17"/>
                <w:color w:val="auto"/>
                <w:w w:val="92"/>
              </w:rPr>
              <w:t>6 to 15</w:t>
            </w: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17"/>
                <w:szCs w:val="17"/>
                <w:color w:val="auto"/>
              </w:rPr>
              <w:t>17,354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(11,192)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6,162</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other intangible assets</w:t>
            </w:r>
          </w:p>
        </w:tc>
        <w:tc>
          <w:tcPr>
            <w:tcW w:w="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19,837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(13,223)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6,614</w:t>
            </w:r>
          </w:p>
        </w:tc>
        <w:tc>
          <w:tcPr>
            <w:tcW w:w="4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8"/>
        </w:trPr>
        <w:tc>
          <w:tcPr>
            <w:tcW w:w="4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1"/>
              </w:rPr>
              <w:t>At June 30, 2020</w:t>
            </w: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80" w:type="dxa"/>
            <w:vAlign w:val="bottom"/>
            <w:gridSpan w:val="2"/>
          </w:tcPr>
          <w:p>
            <w:pPr>
              <w:jc w:val="center"/>
              <w:ind w:right="380"/>
              <w:spacing w:after="0" w:line="130" w:lineRule="exact"/>
              <w:rPr>
                <w:sz w:val="20"/>
                <w:szCs w:val="20"/>
                <w:color w:val="auto"/>
              </w:rPr>
            </w:pPr>
            <w:r>
              <w:rPr>
                <w:rFonts w:ascii="Arial" w:cs="Arial" w:eastAsia="Arial" w:hAnsi="Arial"/>
                <w:sz w:val="14"/>
                <w:szCs w:val="14"/>
                <w:b w:val="1"/>
                <w:bCs w:val="1"/>
                <w:color w:val="auto"/>
                <w:w w:val="83"/>
              </w:rPr>
              <w:t>Gross</w:t>
            </w:r>
          </w:p>
        </w:tc>
        <w:tc>
          <w:tcPr>
            <w:tcW w:w="180" w:type="dxa"/>
            <w:vAlign w:val="bottom"/>
          </w:tcPr>
          <w:p>
            <w:pPr>
              <w:spacing w:after="0"/>
              <w:rPr>
                <w:sz w:val="11"/>
                <w:szCs w:val="11"/>
                <w:color w:val="auto"/>
              </w:rPr>
            </w:pPr>
          </w:p>
        </w:tc>
        <w:tc>
          <w:tcPr>
            <w:tcW w:w="14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0"/>
              </w:rPr>
              <w:t>Accumulated</w:t>
            </w:r>
          </w:p>
        </w:tc>
        <w:tc>
          <w:tcPr>
            <w:tcW w:w="220" w:type="dxa"/>
            <w:vAlign w:val="bottom"/>
          </w:tcPr>
          <w:p>
            <w:pPr>
              <w:spacing w:after="0"/>
              <w:rPr>
                <w:sz w:val="11"/>
                <w:szCs w:val="11"/>
                <w:color w:val="auto"/>
              </w:rPr>
            </w:pPr>
          </w:p>
        </w:tc>
        <w:tc>
          <w:tcPr>
            <w:tcW w:w="12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Net Carrying</w:t>
            </w:r>
          </w:p>
        </w:tc>
        <w:tc>
          <w:tcPr>
            <w:tcW w:w="0" w:type="dxa"/>
            <w:vAlign w:val="bottom"/>
          </w:tcPr>
          <w:p>
            <w:pPr>
              <w:spacing w:after="0"/>
              <w:rPr>
                <w:sz w:val="1"/>
                <w:szCs w:val="1"/>
                <w:color w:val="auto"/>
              </w:rPr>
            </w:pPr>
          </w:p>
        </w:tc>
      </w:tr>
      <w:tr>
        <w:trPr>
          <w:trHeight w:val="131"/>
        </w:trPr>
        <w:tc>
          <w:tcPr>
            <w:tcW w:w="4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Useful Life</w:t>
            </w:r>
          </w:p>
        </w:tc>
        <w:tc>
          <w:tcPr>
            <w:tcW w:w="280" w:type="dxa"/>
            <w:vAlign w:val="bottom"/>
          </w:tcPr>
          <w:p>
            <w:pPr>
              <w:spacing w:after="0"/>
              <w:rPr>
                <w:sz w:val="11"/>
                <w:szCs w:val="11"/>
                <w:color w:val="auto"/>
              </w:rPr>
            </w:pPr>
          </w:p>
        </w:tc>
        <w:tc>
          <w:tcPr>
            <w:tcW w:w="1280" w:type="dxa"/>
            <w:vAlign w:val="bottom"/>
            <w:gridSpan w:val="2"/>
          </w:tcPr>
          <w:p>
            <w:pPr>
              <w:jc w:val="center"/>
              <w:ind w:right="380"/>
              <w:spacing w:after="0" w:line="131" w:lineRule="exact"/>
              <w:rPr>
                <w:sz w:val="20"/>
                <w:szCs w:val="20"/>
                <w:color w:val="auto"/>
              </w:rPr>
            </w:pPr>
            <w:r>
              <w:rPr>
                <w:rFonts w:ascii="Arial" w:cs="Arial" w:eastAsia="Arial" w:hAnsi="Arial"/>
                <w:sz w:val="14"/>
                <w:szCs w:val="14"/>
                <w:b w:val="1"/>
                <w:bCs w:val="1"/>
                <w:color w:val="auto"/>
                <w:w w:val="93"/>
              </w:rPr>
              <w:t>Carrying</w:t>
            </w:r>
          </w:p>
        </w:tc>
        <w:tc>
          <w:tcPr>
            <w:tcW w:w="180" w:type="dxa"/>
            <w:vAlign w:val="bottom"/>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4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5"/>
                <w:szCs w:val="15"/>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Amortization</w:t>
            </w:r>
          </w:p>
        </w:tc>
        <w:tc>
          <w:tcPr>
            <w:tcW w:w="220" w:type="dxa"/>
            <w:vAlign w:val="bottom"/>
          </w:tcPr>
          <w:p>
            <w:pPr>
              <w:spacing w:after="0"/>
              <w:rPr>
                <w:sz w:val="15"/>
                <w:szCs w:val="15"/>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77"/>
        </w:trPr>
        <w:tc>
          <w:tcPr>
            <w:tcW w:w="4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(Years)</w:t>
            </w: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9"/>
              </w:rPr>
              <w:t>(In thousands)</w:t>
            </w:r>
          </w:p>
        </w:tc>
        <w:tc>
          <w:tcPr>
            <w:tcW w:w="22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Intellectual property</w:t>
            </w:r>
          </w:p>
        </w:tc>
        <w:tc>
          <w:tcPr>
            <w:tcW w:w="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4"/>
              </w:rPr>
              <w:t>10 to 15</w:t>
            </w: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2,579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(1,956)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Customer based</w:t>
            </w:r>
          </w:p>
        </w:tc>
        <w:tc>
          <w:tcPr>
            <w:tcW w:w="2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7"/>
                <w:szCs w:val="17"/>
                <w:color w:val="auto"/>
                <w:w w:val="96"/>
              </w:rPr>
              <w:t>6 to 15</w:t>
            </w: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17"/>
                <w:szCs w:val="17"/>
                <w:color w:val="auto"/>
              </w:rPr>
              <w:t>21,840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(13,626)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8,214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other intangible assets</w:t>
            </w:r>
          </w:p>
        </w:tc>
        <w:tc>
          <w:tcPr>
            <w:tcW w:w="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24,419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(15,582)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8,837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7"/>
          <w:szCs w:val="17"/>
          <w:color w:val="auto"/>
        </w:rPr>
        <w:t>Amortization expense totaled $2.3 million, $3.4 million, and $3.3 million in fiscal 2021, 2020, and 2019, respectively.</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28"/>
        </w:trPr>
        <w:tc>
          <w:tcPr>
            <w:tcW w:w="9680" w:type="dxa"/>
            <w:vAlign w:val="bottom"/>
          </w:tcPr>
          <w:p>
            <w:pPr>
              <w:ind w:left="4680"/>
              <w:spacing w:after="0"/>
              <w:rPr>
                <w:sz w:val="20"/>
                <w:szCs w:val="20"/>
                <w:color w:val="auto"/>
              </w:rPr>
            </w:pPr>
            <w:r>
              <w:rPr>
                <w:rFonts w:ascii="Arial" w:cs="Arial" w:eastAsia="Arial" w:hAnsi="Arial"/>
                <w:sz w:val="17"/>
                <w:szCs w:val="17"/>
                <w:b w:val="1"/>
                <w:bCs w:val="1"/>
                <w:color w:val="auto"/>
              </w:rPr>
              <w:t>Matrix Service Company</w:t>
            </w:r>
          </w:p>
        </w:tc>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446"/>
        </w:trPr>
        <w:tc>
          <w:tcPr>
            <w:tcW w:w="9680" w:type="dxa"/>
            <w:vAlign w:val="bottom"/>
          </w:tcPr>
          <w:p>
            <w:pPr>
              <w:ind w:left="3560"/>
              <w:spacing w:after="0"/>
              <w:rPr>
                <w:sz w:val="20"/>
                <w:szCs w:val="20"/>
                <w:color w:val="auto"/>
              </w:rPr>
            </w:pPr>
            <w:r>
              <w:rPr>
                <w:rFonts w:ascii="Arial" w:cs="Arial" w:eastAsia="Arial" w:hAnsi="Arial"/>
                <w:sz w:val="17"/>
                <w:szCs w:val="17"/>
                <w:b w:val="1"/>
                <w:bCs w:val="1"/>
                <w:color w:val="auto"/>
              </w:rPr>
              <w:t>Notes to Consolidated Financial Statements (continued)</w:t>
            </w: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049"/>
        </w:trPr>
        <w:tc>
          <w:tcPr>
            <w:tcW w:w="9680" w:type="dxa"/>
            <w:vAlign w:val="bottom"/>
          </w:tcPr>
          <w:p>
            <w:pPr>
              <w:spacing w:after="0"/>
              <w:rPr>
                <w:sz w:val="20"/>
                <w:szCs w:val="20"/>
                <w:color w:val="auto"/>
              </w:rPr>
            </w:pPr>
            <w:r>
              <w:rPr>
                <w:rFonts w:ascii="Arial" w:cs="Arial" w:eastAsia="Arial" w:hAnsi="Arial"/>
                <w:sz w:val="17"/>
                <w:szCs w:val="17"/>
                <w:color w:val="auto"/>
              </w:rPr>
              <w:t>We estimate that future amortization of other intangible assets will be as follows (in thousands):</w:t>
            </w: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800"/>
        </w:trPr>
        <w:tc>
          <w:tcPr>
            <w:tcW w:w="9680" w:type="dxa"/>
            <w:vAlign w:val="bottom"/>
          </w:tcPr>
          <w:p>
            <w:pPr>
              <w:ind w:left="20"/>
              <w:spacing w:after="0"/>
              <w:rPr>
                <w:sz w:val="20"/>
                <w:szCs w:val="20"/>
                <w:color w:val="auto"/>
              </w:rPr>
            </w:pPr>
            <w:r>
              <w:rPr>
                <w:rFonts w:ascii="Arial" w:cs="Arial" w:eastAsia="Arial" w:hAnsi="Arial"/>
                <w:sz w:val="17"/>
                <w:szCs w:val="17"/>
                <w:b w:val="1"/>
                <w:bCs w:val="1"/>
                <w:color w:val="auto"/>
              </w:rPr>
              <w:t>For year ending:</w:t>
            </w: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23"/>
        </w:trPr>
        <w:tc>
          <w:tcPr>
            <w:tcW w:w="9680" w:type="dxa"/>
            <w:vAlign w:val="bottom"/>
            <w:shd w:val="clear" w:color="auto" w:fill="CCEEFF"/>
          </w:tcPr>
          <w:p>
            <w:pPr>
              <w:ind w:left="40"/>
              <w:spacing w:after="0"/>
              <w:rPr>
                <w:sz w:val="20"/>
                <w:szCs w:val="20"/>
                <w:color w:val="auto"/>
              </w:rPr>
            </w:pPr>
            <w:r>
              <w:rPr>
                <w:rFonts w:ascii="Arial" w:cs="Arial" w:eastAsia="Arial" w:hAnsi="Arial"/>
                <w:sz w:val="17"/>
                <w:szCs w:val="17"/>
                <w:color w:val="auto"/>
              </w:rPr>
              <w:t>June 30, 2022</w:t>
            </w:r>
          </w:p>
        </w:tc>
        <w:tc>
          <w:tcPr>
            <w:tcW w:w="600" w:type="dxa"/>
            <w:vAlign w:val="bottom"/>
            <w:shd w:val="clear" w:color="auto" w:fill="CCEEFF"/>
          </w:tcPr>
          <w:p>
            <w:pPr>
              <w:jc w:val="right"/>
              <w:ind w:right="413"/>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1,819</w:t>
            </w:r>
          </w:p>
        </w:tc>
      </w:tr>
      <w:tr>
        <w:trPr>
          <w:trHeight w:val="223"/>
        </w:trPr>
        <w:tc>
          <w:tcPr>
            <w:tcW w:w="9680" w:type="dxa"/>
            <w:vAlign w:val="bottom"/>
          </w:tcPr>
          <w:p>
            <w:pPr>
              <w:ind w:left="40"/>
              <w:spacing w:after="0"/>
              <w:rPr>
                <w:sz w:val="20"/>
                <w:szCs w:val="20"/>
                <w:color w:val="auto"/>
              </w:rPr>
            </w:pPr>
            <w:r>
              <w:rPr>
                <w:rFonts w:ascii="Arial" w:cs="Arial" w:eastAsia="Arial" w:hAnsi="Arial"/>
                <w:sz w:val="17"/>
                <w:szCs w:val="17"/>
                <w:color w:val="auto"/>
              </w:rPr>
              <w:t>June 30, 2023</w:t>
            </w: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1,729</w:t>
            </w:r>
          </w:p>
        </w:tc>
      </w:tr>
      <w:tr>
        <w:trPr>
          <w:trHeight w:val="223"/>
        </w:trPr>
        <w:tc>
          <w:tcPr>
            <w:tcW w:w="9680" w:type="dxa"/>
            <w:vAlign w:val="bottom"/>
            <w:shd w:val="clear" w:color="auto" w:fill="CCEEFF"/>
          </w:tcPr>
          <w:p>
            <w:pPr>
              <w:ind w:left="40"/>
              <w:spacing w:after="0"/>
              <w:rPr>
                <w:sz w:val="20"/>
                <w:szCs w:val="20"/>
                <w:color w:val="auto"/>
              </w:rPr>
            </w:pPr>
            <w:r>
              <w:rPr>
                <w:rFonts w:ascii="Arial" w:cs="Arial" w:eastAsia="Arial" w:hAnsi="Arial"/>
                <w:sz w:val="17"/>
                <w:szCs w:val="17"/>
                <w:color w:val="auto"/>
              </w:rPr>
              <w:t>June 30, 2024</w:t>
            </w: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1,415</w:t>
            </w:r>
          </w:p>
        </w:tc>
      </w:tr>
      <w:tr>
        <w:trPr>
          <w:trHeight w:val="223"/>
        </w:trPr>
        <w:tc>
          <w:tcPr>
            <w:tcW w:w="9680" w:type="dxa"/>
            <w:vAlign w:val="bottom"/>
          </w:tcPr>
          <w:p>
            <w:pPr>
              <w:ind w:left="40"/>
              <w:spacing w:after="0"/>
              <w:rPr>
                <w:sz w:val="20"/>
                <w:szCs w:val="20"/>
                <w:color w:val="auto"/>
              </w:rPr>
            </w:pPr>
            <w:r>
              <w:rPr>
                <w:rFonts w:ascii="Arial" w:cs="Arial" w:eastAsia="Arial" w:hAnsi="Arial"/>
                <w:sz w:val="17"/>
                <w:szCs w:val="17"/>
                <w:color w:val="auto"/>
              </w:rPr>
              <w:t>June 30, 2025</w:t>
            </w: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1,096</w:t>
            </w:r>
          </w:p>
        </w:tc>
      </w:tr>
      <w:tr>
        <w:trPr>
          <w:trHeight w:val="223"/>
        </w:trPr>
        <w:tc>
          <w:tcPr>
            <w:tcW w:w="9680" w:type="dxa"/>
            <w:vAlign w:val="bottom"/>
            <w:shd w:val="clear" w:color="auto" w:fill="CCEEFF"/>
          </w:tcPr>
          <w:p>
            <w:pPr>
              <w:ind w:left="40"/>
              <w:spacing w:after="0"/>
              <w:rPr>
                <w:sz w:val="20"/>
                <w:szCs w:val="20"/>
                <w:color w:val="auto"/>
              </w:rPr>
            </w:pPr>
            <w:r>
              <w:rPr>
                <w:rFonts w:ascii="Arial" w:cs="Arial" w:eastAsia="Arial" w:hAnsi="Arial"/>
                <w:sz w:val="17"/>
                <w:szCs w:val="17"/>
                <w:color w:val="auto"/>
              </w:rPr>
              <w:t>June 30, 2026</w:t>
            </w:r>
          </w:p>
        </w:tc>
        <w:tc>
          <w:tcPr>
            <w:tcW w:w="6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555</w:t>
            </w:r>
          </w:p>
        </w:tc>
      </w:tr>
      <w:tr>
        <w:trPr>
          <w:trHeight w:val="216"/>
        </w:trPr>
        <w:tc>
          <w:tcPr>
            <w:tcW w:w="9680" w:type="dxa"/>
            <w:vAlign w:val="bottom"/>
          </w:tcPr>
          <w:p>
            <w:pPr>
              <w:ind w:left="140"/>
              <w:spacing w:after="0"/>
              <w:rPr>
                <w:sz w:val="20"/>
                <w:szCs w:val="20"/>
                <w:color w:val="auto"/>
              </w:rPr>
            </w:pPr>
            <w:r>
              <w:rPr>
                <w:rFonts w:ascii="Arial" w:cs="Arial" w:eastAsia="Arial" w:hAnsi="Arial"/>
                <w:sz w:val="17"/>
                <w:szCs w:val="17"/>
                <w:color w:val="auto"/>
              </w:rPr>
              <w:t>Total estimated amortization expense</w:t>
            </w:r>
          </w:p>
        </w:tc>
        <w:tc>
          <w:tcPr>
            <w:tcW w:w="600" w:type="dxa"/>
            <w:vAlign w:val="bottom"/>
            <w:tcBorders>
              <w:bottom w:val="single" w:sz="8" w:color="auto"/>
            </w:tcBorders>
          </w:tcPr>
          <w:p>
            <w:pPr>
              <w:jc w:val="right"/>
              <w:ind w:right="413"/>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6,614</w:t>
            </w:r>
          </w:p>
        </w:tc>
      </w:tr>
      <w:tr>
        <w:trPr>
          <w:trHeight w:val="20"/>
        </w:trPr>
        <w:tc>
          <w:tcPr>
            <w:tcW w:w="96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5—Debt</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ABL Credit Facility</w:t>
      </w:r>
    </w:p>
    <w:p>
      <w:pPr>
        <w:spacing w:after="0" w:line="172"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On September 9, 2021, we and our primary U.S. and Canada operating subsidiaries entered into an asset-backed credit agreement (the "ABL Facility") as borrowers with Bank of Montreal, as Administrative Agent, Swing-Line Lender, a Letter of Credit Issuer and a Lender. The ABL Facility is guaranteed by substantially all of our remaining U.S. and Canadian subsidiaries. The ABL Facility provides for available borrowings of up to $100.0 million, which may be increased further by an amount not to exceed $15.0 million, subject to certain conditions, including obtaining additional commitments. The ABL Facility is intended to be used for working capital, capital expenditures, issuances of letters of credit and other lawful purposes. Our obligations under the ABL Facility are secured by a first lien on all our assets and the assets of our co-borrowers and guarantors under the ABL Facility.</w:t>
      </w:r>
    </w:p>
    <w:p>
      <w:pPr>
        <w:spacing w:after="0" w:line="115"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The maximum amount that we may borrow under the ABL Facility is subject to a borrowing base, which is based on restricted cash plus a percentage of the value of certain accounts receivable, inventory and equipment, reduced for certain reserves. We are required to maintain a minimum of $25.0 million of restricted cash at all times, but such amounts are also included in the borrowing base. At September 9, 2021, availability under the ABL Facility was $25.9 million and there were $43.5 million in letters of credit outstanding. The ABL Facility matures and any outstanding amounts become due and payable on September 9, 2026.</w:t>
      </w:r>
    </w:p>
    <w:p>
      <w:pPr>
        <w:spacing w:after="0" w:line="127"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Borrowings under the ABL Facility bear interest through maturity at a variable rate based upon, at our option, an annual rate of either a base rate (“Base Rate”), CDOR rate or a LIBOR rate, plus an applicable margin. The Base Rate is defined as a fluctuating interest rate equal to the greatest of (i) rate of interest announced by Bank of Montreal from time to time as its prime rate; (ii) the U.S. federal funds rate plus 0.50%, and (iii) LIBOR rate for one month period plus 1.00%. Depending on the amount of average availability, the applicable margin is between 1.00% to 1.50% for Base Rate, which includes either U.S. or Canadian prime rate, and between 2.00% and 2.50% for CDOR and LIBOR rate borrowings. Interest is payable either (i) monthly for Base Rate borrowings or</w:t>
      </w:r>
    </w:p>
    <w:p>
      <w:pPr>
        <w:spacing w:after="0" w:line="3" w:lineRule="exact"/>
        <w:rPr>
          <w:sz w:val="20"/>
          <w:szCs w:val="20"/>
          <w:color w:val="auto"/>
        </w:rPr>
      </w:pPr>
    </w:p>
    <w:p>
      <w:pPr>
        <w:ind w:firstLine="5"/>
        <w:spacing w:after="0" w:line="275" w:lineRule="auto"/>
        <w:tabs>
          <w:tab w:leader="none" w:pos="269"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last day of the interest period for LIBOR or CDOR rate borrowings, as set forth in the Credit Agreement. The fee for undrawn amounts is 0.25% per annum and is due quarterly.</w:t>
      </w:r>
    </w:p>
    <w:p>
      <w:pPr>
        <w:spacing w:after="0" w:line="117"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The ABL Facility contains customary conditions to borrowings, events of default and covenants, including, but not limited to, covenants that restrict our ability to sell assets, engage in mergers and acquisitions, incur, assume or permit to exist additional indebtedness and guarantees, create or permit to exist liens, pay cash dividends, issue equity instruments, make distribution or redeem or repurchase capital stock. In the event that our availability is less than the greater of (i) $15.0 million and (ii) 15.00% of the lesser of (1) the current borrowing base and (2) the commitments under the ABL Facility then in effect, a consolidated Fixed Charge Coverage Ratio of at least 1.00 to 1.00 must be maintained.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68" w:name="page69"/>
    <w:bookmarkEnd w:id="68"/>
    <w:p>
      <w:pPr>
        <w:jc w:val="center"/>
        <w:spacing w:after="0"/>
        <w:rPr>
          <w:sz w:val="20"/>
          <w:szCs w:val="20"/>
          <w:color w:val="auto"/>
        </w:rPr>
      </w:pPr>
      <w:r>
        <w:rPr>
          <w:rFonts w:ascii="Arial" w:cs="Arial" w:eastAsia="Arial" w:hAnsi="Arial"/>
          <w:sz w:val="17"/>
          <w:szCs w:val="17"/>
          <w:b w:val="1"/>
          <w:bCs w:val="1"/>
          <w:color w:val="auto"/>
        </w:rPr>
        <w:t>Matrix Service Company</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Senior Secured Revolving Credit Facility</w:t>
      </w:r>
    </w:p>
    <w:p>
      <w:pPr>
        <w:spacing w:after="0" w:line="17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ABL Facility replaced the Fifth Amended and Restated Credit Agreement (the "Prior Credit Agreement"), that was entered into on November 2, 2020, and subsequently amended on May 4, 2021, by and among us and certain foreign subsidiaries, as Borrowers, various subsidiaries of ours, as Guarantors, JPMorgan Chase Bank, N.A., as Administrative Agent, Sole Lead Arranger and Sole Book Runner, and the other Lenders party thereto. The Prior Credit Agreement provided for a three-year senior secured revolving credit facility of $200.0 million that expired November 2, 2023.</w:t>
      </w:r>
    </w:p>
    <w:p>
      <w:pPr>
        <w:spacing w:after="0" w:line="124"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We had no borrowings and $41.3 million of letters of credit outstanding under the Prior Credit Agreement as of June 30, 2021. We had $9.2 million of borrowings and $34.5 million of letters of credit outstanding under the Prior Credit Agreement as of June 30, 2020.</w:t>
      </w:r>
    </w:p>
    <w:p>
      <w:pPr>
        <w:spacing w:after="0" w:line="106"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Each revolving borrowing under the Prior Credit Agreement bore interest at a rate per annum equal to a base rate, plus a margin of 1.00% to 3.50%. The unused credit facility fee was between 0.35% and 0.50% based on the Leverage Ratio as defined in the Prior Credit Agreement.</w:t>
      </w:r>
    </w:p>
    <w:p>
      <w:pPr>
        <w:spacing w:after="0" w:line="10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Prior Credit Agreement contained customary financial, negative and affirmative covenants and limited our borrowing availability based on our EBITDA, as it was defined in the Prior Credit Agreement. The Prior Credit Agreement also limited our ability to make acquisitions, repurchase shares, make capital expenditures and dispose of assets.</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6—Income Taxes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Coronavirus Aid, Relief, and Economic Security Act</w:t>
      </w:r>
    </w:p>
    <w:p>
      <w:pPr>
        <w:spacing w:after="0" w:line="25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March 27, 2020, the Coronavirus Aid, Relief, and Economic Security (CARES) Act (the "CARES Act") was signed into law. The purpose of the CARES Act was to provide $2.2 trillion in funding to fight the COVID-19 pandemic and provide economic relief in the form of tax relief, government loans and grants. The CARES Act contains the following key provisions which affect income taxes:</w:t>
      </w:r>
    </w:p>
    <w:p>
      <w:pPr>
        <w:spacing w:after="0" w:line="198" w:lineRule="exact"/>
        <w:rPr>
          <w:sz w:val="20"/>
          <w:szCs w:val="20"/>
          <w:color w:val="auto"/>
        </w:rPr>
      </w:pPr>
    </w:p>
    <w:p>
      <w:pPr>
        <w:ind w:left="640" w:right="120" w:hanging="320"/>
        <w:spacing w:after="0" w:line="289" w:lineRule="auto"/>
        <w:tabs>
          <w:tab w:leader="none" w:pos="635" w:val="left"/>
        </w:tabs>
        <w:numPr>
          <w:ilvl w:val="0"/>
          <w:numId w:val="35"/>
        </w:numPr>
        <w:rPr>
          <w:rFonts w:ascii="Arial" w:cs="Arial" w:eastAsia="Arial" w:hAnsi="Arial"/>
          <w:sz w:val="17"/>
          <w:szCs w:val="17"/>
          <w:color w:val="auto"/>
        </w:rPr>
      </w:pPr>
      <w:r>
        <w:rPr>
          <w:rFonts w:ascii="Arial" w:cs="Arial" w:eastAsia="Arial" w:hAnsi="Arial"/>
          <w:sz w:val="17"/>
          <w:szCs w:val="17"/>
          <w:color w:val="auto"/>
        </w:rPr>
        <w:t>Eliminates the 80% of taxable income limitations by allowing corporations to fully utilize net operating loss carryforwards to offset taxable income in 2018, 2019, or 2020 and reinstating it for tax years after 2020;</w:t>
      </w:r>
    </w:p>
    <w:p>
      <w:pPr>
        <w:spacing w:after="0" w:line="184" w:lineRule="exact"/>
        <w:rPr>
          <w:rFonts w:ascii="Arial" w:cs="Arial" w:eastAsia="Arial" w:hAnsi="Arial"/>
          <w:sz w:val="17"/>
          <w:szCs w:val="17"/>
          <w:color w:val="auto"/>
        </w:rPr>
      </w:pPr>
    </w:p>
    <w:p>
      <w:pPr>
        <w:ind w:left="620" w:hanging="300"/>
        <w:spacing w:after="0"/>
        <w:tabs>
          <w:tab w:leader="none" w:pos="6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Allows net operating losses generated in 2018, 2019 or 2020 to be carried back five years;</w:t>
      </w:r>
    </w:p>
    <w:p>
      <w:pPr>
        <w:spacing w:after="0" w:line="250" w:lineRule="exact"/>
        <w:rPr>
          <w:rFonts w:ascii="Arial" w:cs="Arial" w:eastAsia="Arial" w:hAnsi="Arial"/>
          <w:sz w:val="17"/>
          <w:szCs w:val="17"/>
          <w:color w:val="auto"/>
        </w:rPr>
      </w:pPr>
    </w:p>
    <w:p>
      <w:pPr>
        <w:ind w:left="620" w:hanging="300"/>
        <w:spacing w:after="0"/>
        <w:tabs>
          <w:tab w:leader="none" w:pos="6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Increases the net interest expense deduction limit to 50% of adjusted taxable income from 30% for the 2019 and 2020 tax years;</w:t>
      </w:r>
    </w:p>
    <w:p>
      <w:pPr>
        <w:spacing w:after="0" w:line="250" w:lineRule="exact"/>
        <w:rPr>
          <w:rFonts w:ascii="Arial" w:cs="Arial" w:eastAsia="Arial" w:hAnsi="Arial"/>
          <w:sz w:val="17"/>
          <w:szCs w:val="17"/>
          <w:color w:val="auto"/>
        </w:rPr>
      </w:pPr>
    </w:p>
    <w:p>
      <w:pPr>
        <w:ind w:left="640" w:right="320" w:hanging="320"/>
        <w:spacing w:after="0" w:line="289" w:lineRule="auto"/>
        <w:tabs>
          <w:tab w:leader="none" w:pos="635" w:val="left"/>
        </w:tabs>
        <w:numPr>
          <w:ilvl w:val="0"/>
          <w:numId w:val="35"/>
        </w:numPr>
        <w:rPr>
          <w:rFonts w:ascii="Arial" w:cs="Arial" w:eastAsia="Arial" w:hAnsi="Arial"/>
          <w:sz w:val="17"/>
          <w:szCs w:val="17"/>
          <w:color w:val="auto"/>
        </w:rPr>
      </w:pPr>
      <w:r>
        <w:rPr>
          <w:rFonts w:ascii="Arial" w:cs="Arial" w:eastAsia="Arial" w:hAnsi="Arial"/>
          <w:sz w:val="17"/>
          <w:szCs w:val="17"/>
          <w:color w:val="auto"/>
        </w:rPr>
        <w:t>Allows taxpayers with alternative minimum tax credits to claim a refund for the entire amount of the credit instead of recovering the credit through refunds over a period of years, as required by the 2017 Tax Cuts and Jobs Act; and</w:t>
      </w:r>
    </w:p>
    <w:p>
      <w:pPr>
        <w:spacing w:after="0" w:line="184" w:lineRule="exact"/>
        <w:rPr>
          <w:rFonts w:ascii="Arial" w:cs="Arial" w:eastAsia="Arial" w:hAnsi="Arial"/>
          <w:sz w:val="17"/>
          <w:szCs w:val="17"/>
          <w:color w:val="auto"/>
        </w:rPr>
      </w:pPr>
    </w:p>
    <w:p>
      <w:pPr>
        <w:ind w:left="640" w:right="320" w:hanging="320"/>
        <w:spacing w:after="0" w:line="289" w:lineRule="auto"/>
        <w:tabs>
          <w:tab w:leader="none" w:pos="635" w:val="left"/>
        </w:tabs>
        <w:numPr>
          <w:ilvl w:val="0"/>
          <w:numId w:val="35"/>
        </w:numPr>
        <w:rPr>
          <w:rFonts w:ascii="Arial" w:cs="Arial" w:eastAsia="Arial" w:hAnsi="Arial"/>
          <w:sz w:val="17"/>
          <w:szCs w:val="17"/>
          <w:color w:val="auto"/>
        </w:rPr>
      </w:pPr>
      <w:r>
        <w:rPr>
          <w:rFonts w:ascii="Arial" w:cs="Arial" w:eastAsia="Arial" w:hAnsi="Arial"/>
          <w:sz w:val="17"/>
          <w:szCs w:val="17"/>
          <w:color w:val="auto"/>
        </w:rPr>
        <w:t>Allows entities to deduct more of their charitable cash contributions made during calendar year 2020 by increasing the taxable income limitation to 25% from 10%.</w:t>
      </w:r>
    </w:p>
    <w:p>
      <w:pPr>
        <w:spacing w:after="0" w:line="34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Through provisions in the CARES Act, we have an income tax benefit of $5.2 million from the ability to carryback the fiscal 2021 federal net operating loss to a period with a higher statutory federal income tax rate. We estimate that we will receive a $13.0 million tax refund in connection with the carryback of the fiscal 2021 net operating loss, which is included in income taxes receivable in the Consolidated Balance Sheets.</w:t>
      </w:r>
    </w:p>
    <w:p>
      <w:pPr>
        <w:spacing w:after="0" w:line="12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deferred $11.1 million of U.S. payroll tax as of June 30, 2021 through provisions of the CARES Act. The deferred payroll taxes are included within other accrued expenses and other liabilities in the Consolidated Balance Sheets. We must repay half of the deferred payroll tax by December 31, 2021 and the remainder by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69" w:name="page70"/>
    <w:bookmarkEnd w:id="69"/>
    <w:p>
      <w:pPr>
        <w:jc w:val="center"/>
        <w:spacing w:after="0"/>
        <w:rPr>
          <w:sz w:val="20"/>
          <w:szCs w:val="20"/>
          <w:color w:val="auto"/>
        </w:rPr>
      </w:pPr>
      <w:r>
        <w:rPr>
          <w:rFonts w:ascii="Arial" w:cs="Arial" w:eastAsia="Arial" w:hAnsi="Arial"/>
          <w:sz w:val="17"/>
          <w:szCs w:val="17"/>
          <w:b w:val="1"/>
          <w:bCs w:val="1"/>
          <w:color w:val="auto"/>
        </w:rPr>
        <w:t>Matrix Service Company</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Sources of pretax income (loss)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3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8"/>
              </w:rPr>
              <w:t>Fiscal Years Ended</w:t>
            </w: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r>
      <w:tr>
        <w:trPr>
          <w:trHeight w:val="129"/>
        </w:trPr>
        <w:tc>
          <w:tcPr>
            <w:tcW w:w="6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gridSpan w:val="2"/>
          </w:tcPr>
          <w:p>
            <w:pPr>
              <w:ind w:left="220"/>
              <w:spacing w:after="0" w:line="130" w:lineRule="exact"/>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1"/>
                <w:szCs w:val="11"/>
                <w:color w:val="auto"/>
              </w:rPr>
            </w:pPr>
          </w:p>
        </w:tc>
        <w:tc>
          <w:tcPr>
            <w:tcW w:w="1500" w:type="dxa"/>
            <w:vAlign w:val="bottom"/>
            <w:gridSpan w:val="2"/>
          </w:tcPr>
          <w:p>
            <w:pPr>
              <w:jc w:val="center"/>
              <w:ind w:right="280"/>
              <w:spacing w:after="0" w:line="130" w:lineRule="exact"/>
              <w:rPr>
                <w:sz w:val="20"/>
                <w:szCs w:val="20"/>
                <w:color w:val="auto"/>
              </w:rPr>
            </w:pPr>
            <w:r>
              <w:rPr>
                <w:rFonts w:ascii="Arial" w:cs="Arial" w:eastAsia="Arial" w:hAnsi="Arial"/>
                <w:sz w:val="14"/>
                <w:szCs w:val="14"/>
                <w:b w:val="1"/>
                <w:bCs w:val="1"/>
                <w:color w:val="auto"/>
                <w:w w:val="89"/>
              </w:rPr>
              <w:t>June 30,</w:t>
            </w:r>
          </w:p>
        </w:tc>
        <w:tc>
          <w:tcPr>
            <w:tcW w:w="300" w:type="dxa"/>
            <w:vAlign w:val="bottom"/>
          </w:tcPr>
          <w:p>
            <w:pPr>
              <w:spacing w:after="0"/>
              <w:rPr>
                <w:sz w:val="11"/>
                <w:szCs w:val="11"/>
                <w:color w:val="auto"/>
              </w:rPr>
            </w:pPr>
          </w:p>
        </w:tc>
        <w:tc>
          <w:tcPr>
            <w:tcW w:w="1260" w:type="dxa"/>
            <w:vAlign w:val="bottom"/>
          </w:tcPr>
          <w:p>
            <w:pPr>
              <w:jc w:val="center"/>
              <w:ind w:right="240"/>
              <w:spacing w:after="0" w:line="130" w:lineRule="exact"/>
              <w:rPr>
                <w:sz w:val="20"/>
                <w:szCs w:val="20"/>
                <w:color w:val="auto"/>
              </w:rPr>
            </w:pPr>
            <w:r>
              <w:rPr>
                <w:rFonts w:ascii="Arial" w:cs="Arial" w:eastAsia="Arial" w:hAnsi="Arial"/>
                <w:sz w:val="14"/>
                <w:szCs w:val="14"/>
                <w:b w:val="1"/>
                <w:bCs w:val="1"/>
                <w:color w:val="auto"/>
                <w:w w:val="89"/>
              </w:rPr>
              <w:t>June 30,</w:t>
            </w:r>
          </w:p>
        </w:tc>
      </w:tr>
      <w:tr>
        <w:trPr>
          <w:trHeight w:val="183"/>
        </w:trPr>
        <w:tc>
          <w:tcPr>
            <w:tcW w:w="63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2019</w:t>
            </w:r>
          </w:p>
        </w:tc>
      </w:tr>
      <w:tr>
        <w:trPr>
          <w:trHeight w:val="177"/>
        </w:trPr>
        <w:tc>
          <w:tcPr>
            <w:tcW w:w="6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(In thousands)</w:t>
            </w:r>
          </w:p>
        </w:tc>
        <w:tc>
          <w:tcPr>
            <w:tcW w:w="30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223"/>
        </w:trPr>
        <w:tc>
          <w:tcPr>
            <w:tcW w:w="6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Domestic</w:t>
            </w:r>
          </w:p>
        </w:tc>
        <w:tc>
          <w:tcPr>
            <w:tcW w:w="3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(38,867)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(32,660)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ind w:left="700"/>
              <w:spacing w:after="0"/>
              <w:rPr>
                <w:sz w:val="20"/>
                <w:szCs w:val="20"/>
                <w:color w:val="auto"/>
              </w:rPr>
            </w:pPr>
            <w:r>
              <w:rPr>
                <w:rFonts w:ascii="Arial" w:cs="Arial" w:eastAsia="Arial" w:hAnsi="Arial"/>
                <w:sz w:val="17"/>
                <w:szCs w:val="17"/>
                <w:color w:val="auto"/>
              </w:rPr>
              <w:t>46,032</w:t>
            </w:r>
          </w:p>
        </w:tc>
      </w:tr>
      <w:tr>
        <w:trPr>
          <w:trHeight w:val="223"/>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Foreign</w:t>
            </w: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(4,396)</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(3,984)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ind w:left="720"/>
              <w:spacing w:after="0"/>
              <w:rPr>
                <w:sz w:val="20"/>
                <w:szCs w:val="20"/>
                <w:color w:val="auto"/>
              </w:rPr>
            </w:pPr>
            <w:r>
              <w:rPr>
                <w:rFonts w:ascii="Arial" w:cs="Arial" w:eastAsia="Arial" w:hAnsi="Arial"/>
                <w:sz w:val="17"/>
                <w:szCs w:val="17"/>
                <w:color w:val="auto"/>
                <w:w w:val="96"/>
              </w:rPr>
              <w:t>(7,620)</w:t>
            </w:r>
          </w:p>
        </w:tc>
      </w:tr>
      <w:tr>
        <w:trPr>
          <w:trHeight w:val="241"/>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(43,263)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(36,644)</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7"/>
                <w:szCs w:val="17"/>
                <w:color w:val="auto"/>
              </w:rPr>
              <w:t>38,412</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Components of the provision for income tax expense (benefit)</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20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8"/>
              </w:rPr>
              <w:t>Fiscal Years Ended</w:t>
            </w: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320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gridSpan w:val="2"/>
          </w:tcPr>
          <w:p>
            <w:pPr>
              <w:ind w:left="220"/>
              <w:spacing w:after="0" w:line="130" w:lineRule="exact"/>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1"/>
                <w:szCs w:val="11"/>
                <w:color w:val="auto"/>
              </w:rPr>
            </w:pPr>
          </w:p>
        </w:tc>
        <w:tc>
          <w:tcPr>
            <w:tcW w:w="1500" w:type="dxa"/>
            <w:vAlign w:val="bottom"/>
            <w:gridSpan w:val="2"/>
          </w:tcPr>
          <w:p>
            <w:pPr>
              <w:jc w:val="center"/>
              <w:ind w:right="280"/>
              <w:spacing w:after="0" w:line="130" w:lineRule="exact"/>
              <w:rPr>
                <w:sz w:val="20"/>
                <w:szCs w:val="20"/>
                <w:color w:val="auto"/>
              </w:rPr>
            </w:pPr>
            <w:r>
              <w:rPr>
                <w:rFonts w:ascii="Arial" w:cs="Arial" w:eastAsia="Arial" w:hAnsi="Arial"/>
                <w:sz w:val="14"/>
                <w:szCs w:val="14"/>
                <w:b w:val="1"/>
                <w:bCs w:val="1"/>
                <w:color w:val="auto"/>
                <w:w w:val="89"/>
              </w:rPr>
              <w:t>June 30,</w:t>
            </w:r>
          </w:p>
        </w:tc>
        <w:tc>
          <w:tcPr>
            <w:tcW w:w="300" w:type="dxa"/>
            <w:vAlign w:val="bottom"/>
          </w:tcPr>
          <w:p>
            <w:pPr>
              <w:spacing w:after="0"/>
              <w:rPr>
                <w:sz w:val="11"/>
                <w:szCs w:val="11"/>
                <w:color w:val="auto"/>
              </w:rPr>
            </w:pPr>
          </w:p>
        </w:tc>
        <w:tc>
          <w:tcPr>
            <w:tcW w:w="1260" w:type="dxa"/>
            <w:vAlign w:val="bottom"/>
          </w:tcPr>
          <w:p>
            <w:pPr>
              <w:jc w:val="right"/>
              <w:ind w:right="456"/>
              <w:spacing w:after="0" w:line="130" w:lineRule="exact"/>
              <w:rPr>
                <w:sz w:val="20"/>
                <w:szCs w:val="20"/>
                <w:color w:val="auto"/>
              </w:rPr>
            </w:pPr>
            <w:r>
              <w:rPr>
                <w:rFonts w:ascii="Arial" w:cs="Arial" w:eastAsia="Arial" w:hAnsi="Arial"/>
                <w:sz w:val="14"/>
                <w:szCs w:val="14"/>
                <w:b w:val="1"/>
                <w:bCs w:val="1"/>
                <w:color w:val="auto"/>
              </w:rPr>
              <w:t>June 30,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320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20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(In thousands)</w:t>
            </w:r>
          </w:p>
        </w:tc>
        <w:tc>
          <w:tcPr>
            <w:tcW w:w="3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Current:</w:t>
            </w:r>
          </w:p>
        </w:tc>
        <w:tc>
          <w:tcPr>
            <w:tcW w:w="3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00" w:type="dxa"/>
            <w:vAlign w:val="bottom"/>
          </w:tcPr>
          <w:p>
            <w:pPr>
              <w:ind w:left="340"/>
              <w:spacing w:after="0"/>
              <w:rPr>
                <w:sz w:val="20"/>
                <w:szCs w:val="20"/>
                <w:color w:val="auto"/>
              </w:rPr>
            </w:pPr>
            <w:r>
              <w:rPr>
                <w:rFonts w:ascii="Arial" w:cs="Arial" w:eastAsia="Arial" w:hAnsi="Arial"/>
                <w:sz w:val="17"/>
                <w:szCs w:val="17"/>
                <w:color w:val="auto"/>
              </w:rPr>
              <w:t>Federal</w:t>
            </w:r>
          </w:p>
        </w:tc>
        <w:tc>
          <w:tcPr>
            <w:tcW w:w="34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(13,154)</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(376)</w:t>
            </w:r>
          </w:p>
        </w:tc>
        <w:tc>
          <w:tcPr>
            <w:tcW w:w="120" w:type="dxa"/>
            <w:vAlign w:val="bottom"/>
          </w:tcPr>
          <w:p>
            <w:pPr>
              <w:spacing w:after="0"/>
              <w:rPr>
                <w:sz w:val="19"/>
                <w:szCs w:val="19"/>
                <w:color w:val="auto"/>
              </w:rPr>
            </w:pPr>
          </w:p>
        </w:tc>
        <w:tc>
          <w:tcPr>
            <w:tcW w:w="300" w:type="dxa"/>
            <w:vAlign w:val="bottom"/>
          </w:tcPr>
          <w:p>
            <w:pPr>
              <w:jc w:val="right"/>
              <w:ind w:right="113"/>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6,085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State</w:t>
            </w:r>
          </w:p>
        </w:tc>
        <w:tc>
          <w:tcPr>
            <w:tcW w:w="3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2,390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00" w:type="dxa"/>
            <w:vAlign w:val="bottom"/>
            <w:tcBorders>
              <w:bottom w:val="single" w:sz="8" w:color="CCEEFF"/>
            </w:tcBorders>
          </w:tcPr>
          <w:p>
            <w:pPr>
              <w:ind w:left="340"/>
              <w:spacing w:after="0"/>
              <w:rPr>
                <w:sz w:val="20"/>
                <w:szCs w:val="20"/>
                <w:color w:val="auto"/>
              </w:rPr>
            </w:pPr>
            <w:r>
              <w:rPr>
                <w:rFonts w:ascii="Arial" w:cs="Arial" w:eastAsia="Arial" w:hAnsi="Arial"/>
                <w:sz w:val="17"/>
                <w:szCs w:val="17"/>
                <w:color w:val="auto"/>
              </w:rPr>
              <w:t>Foreign</w:t>
            </w:r>
          </w:p>
        </w:tc>
        <w:tc>
          <w:tcPr>
            <w:tcW w:w="3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(239)</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(12,928)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00" w:type="dxa"/>
            <w:vAlign w:val="bottom"/>
          </w:tcPr>
          <w:p>
            <w:pPr>
              <w:ind w:left="20"/>
              <w:spacing w:after="0"/>
              <w:rPr>
                <w:sz w:val="20"/>
                <w:szCs w:val="20"/>
                <w:color w:val="auto"/>
              </w:rPr>
            </w:pPr>
            <w:r>
              <w:rPr>
                <w:rFonts w:ascii="Arial" w:cs="Arial" w:eastAsia="Arial" w:hAnsi="Arial"/>
                <w:sz w:val="17"/>
                <w:szCs w:val="17"/>
                <w:color w:val="auto"/>
              </w:rPr>
              <w:t>Deferred:</w:t>
            </w:r>
          </w:p>
        </w:tc>
        <w:tc>
          <w:tcPr>
            <w:tcW w:w="3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Federal</w:t>
            </w:r>
          </w:p>
        </w:tc>
        <w:tc>
          <w:tcPr>
            <w:tcW w:w="3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00" w:type="dxa"/>
            <w:vAlign w:val="bottom"/>
          </w:tcPr>
          <w:p>
            <w:pPr>
              <w:ind w:left="340"/>
              <w:spacing w:after="0"/>
              <w:rPr>
                <w:sz w:val="20"/>
                <w:szCs w:val="20"/>
                <w:color w:val="auto"/>
              </w:rPr>
            </w:pPr>
            <w:r>
              <w:rPr>
                <w:rFonts w:ascii="Arial" w:cs="Arial" w:eastAsia="Arial" w:hAnsi="Arial"/>
                <w:sz w:val="17"/>
                <w:szCs w:val="17"/>
                <w:color w:val="auto"/>
              </w:rPr>
              <w:t>State</w:t>
            </w:r>
          </w:p>
        </w:tc>
        <w:tc>
          <w:tcPr>
            <w:tcW w:w="3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(291)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(1,091)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451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Foreign</w:t>
            </w:r>
          </w:p>
        </w:tc>
        <w:tc>
          <w:tcPr>
            <w:tcW w:w="3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406</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2,462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2,129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0" w:type="dxa"/>
            <w:vAlign w:val="bottom"/>
            <w:tcBorders>
              <w:bottom w:val="single" w:sz="8" w:color="CCEEFF"/>
            </w:tcBorders>
          </w:tcPr>
          <w:p>
            <w:pPr>
              <w:spacing w:after="0"/>
              <w:rPr>
                <w:sz w:val="18"/>
                <w:szCs w:val="18"/>
                <w:color w:val="auto"/>
              </w:rPr>
            </w:pPr>
          </w:p>
        </w:tc>
        <w:tc>
          <w:tcPr>
            <w:tcW w:w="31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889</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(3,629)</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200" w:type="dxa"/>
            <w:vAlign w:val="bottom"/>
            <w:shd w:val="clear" w:color="auto" w:fill="CCEEFF"/>
          </w:tcPr>
          <w:p>
            <w:pPr>
              <w:spacing w:after="0"/>
              <w:rPr>
                <w:sz w:val="20"/>
                <w:szCs w:val="20"/>
                <w:color w:val="auto"/>
              </w:rPr>
            </w:pPr>
          </w:p>
        </w:tc>
        <w:tc>
          <w:tcPr>
            <w:tcW w:w="34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(12,039)</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(3,570)</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10,430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3160" w:type="dxa"/>
            <w:vAlign w:val="bottom"/>
            <w:tcBorders>
              <w:top w:val="single" w:sz="8" w:color="CCEEFF"/>
              <w:bottom w:val="single" w:sz="8" w:color="CCEEFF"/>
            </w:tcBorders>
            <w:vMerge w:val="restart"/>
          </w:tcPr>
          <w:p>
            <w:pPr>
              <w:jc w:val="right"/>
              <w:ind w:right="553"/>
              <w:spacing w:after="0"/>
              <w:rPr>
                <w:sz w:val="20"/>
                <w:szCs w:val="20"/>
                <w:color w:val="auto"/>
              </w:rPr>
            </w:pPr>
            <w:r>
              <w:rPr>
                <w:rFonts w:ascii="Arial" w:cs="Arial" w:eastAsia="Arial" w:hAnsi="Arial"/>
                <w:sz w:val="17"/>
                <w:szCs w:val="17"/>
                <w:color w:val="auto"/>
              </w:rPr>
              <w:t>69</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3200" w:type="dxa"/>
            <w:vAlign w:val="bottom"/>
          </w:tcPr>
          <w:p>
            <w:pPr>
              <w:spacing w:after="0"/>
              <w:rPr>
                <w:sz w:val="24"/>
                <w:szCs w:val="24"/>
                <w:color w:val="auto"/>
              </w:rPr>
            </w:pPr>
          </w:p>
        </w:tc>
        <w:tc>
          <w:tcPr>
            <w:tcW w:w="31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3200" w:type="dxa"/>
            <w:vAlign w:val="bottom"/>
            <w:tcBorders>
              <w:bottom w:val="single" w:sz="8" w:color="9A9A9A"/>
            </w:tcBorders>
          </w:tcPr>
          <w:p>
            <w:pPr>
              <w:spacing w:after="0"/>
              <w:rPr>
                <w:sz w:val="9"/>
                <w:szCs w:val="9"/>
                <w:color w:val="auto"/>
              </w:rPr>
            </w:pPr>
          </w:p>
        </w:tc>
        <w:tc>
          <w:tcPr>
            <w:tcW w:w="31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70" w:name="page71"/>
    <w:bookmarkEnd w:id="70"/>
    <w:p>
      <w:pPr>
        <w:jc w:val="center"/>
        <w:ind w:right="-19"/>
        <w:spacing w:after="0"/>
        <w:rPr>
          <w:sz w:val="20"/>
          <w:szCs w:val="20"/>
          <w:color w:val="auto"/>
        </w:rPr>
      </w:pPr>
      <w:r>
        <w:rPr>
          <w:rFonts w:ascii="Arial" w:cs="Arial" w:eastAsia="Arial" w:hAnsi="Arial"/>
          <w:sz w:val="17"/>
          <w:szCs w:val="17"/>
          <w:b w:val="1"/>
          <w:bCs w:val="1"/>
          <w:color w:val="auto"/>
        </w:rPr>
        <w:t>Matrix Service Company</w:t>
      </w: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Reconciliation between the expected income tax provision applying the domestic federal statutory tax rate and the reported income tax provision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0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88"/>
              </w:rPr>
              <w:t>Fiscal Years Ended</w:t>
            </w: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129"/>
        </w:trPr>
        <w:tc>
          <w:tcPr>
            <w:tcW w:w="70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ind w:left="160"/>
              <w:spacing w:after="0" w:line="130" w:lineRule="exact"/>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1"/>
                <w:szCs w:val="11"/>
                <w:color w:val="auto"/>
              </w:rPr>
            </w:pPr>
          </w:p>
        </w:tc>
        <w:tc>
          <w:tcPr>
            <w:tcW w:w="1240" w:type="dxa"/>
            <w:vAlign w:val="bottom"/>
            <w:gridSpan w:val="2"/>
          </w:tcPr>
          <w:p>
            <w:pPr>
              <w:jc w:val="center"/>
              <w:ind w:right="260"/>
              <w:spacing w:after="0" w:line="130" w:lineRule="exact"/>
              <w:rPr>
                <w:sz w:val="20"/>
                <w:szCs w:val="20"/>
                <w:color w:val="auto"/>
              </w:rPr>
            </w:pPr>
            <w:r>
              <w:rPr>
                <w:rFonts w:ascii="Arial" w:cs="Arial" w:eastAsia="Arial" w:hAnsi="Arial"/>
                <w:sz w:val="14"/>
                <w:szCs w:val="14"/>
                <w:b w:val="1"/>
                <w:bCs w:val="1"/>
                <w:color w:val="auto"/>
                <w:w w:val="89"/>
              </w:rPr>
              <w:t>June 30,</w:t>
            </w:r>
          </w:p>
        </w:tc>
        <w:tc>
          <w:tcPr>
            <w:tcW w:w="260" w:type="dxa"/>
            <w:vAlign w:val="bottom"/>
          </w:tcPr>
          <w:p>
            <w:pPr>
              <w:spacing w:after="0"/>
              <w:rPr>
                <w:sz w:val="11"/>
                <w:szCs w:val="11"/>
                <w:color w:val="auto"/>
              </w:rPr>
            </w:pPr>
          </w:p>
        </w:tc>
        <w:tc>
          <w:tcPr>
            <w:tcW w:w="1060" w:type="dxa"/>
            <w:vAlign w:val="bottom"/>
          </w:tcPr>
          <w:p>
            <w:pPr>
              <w:jc w:val="right"/>
              <w:ind w:right="335"/>
              <w:spacing w:after="0" w:line="130" w:lineRule="exact"/>
              <w:rPr>
                <w:sz w:val="20"/>
                <w:szCs w:val="20"/>
                <w:color w:val="auto"/>
              </w:rPr>
            </w:pPr>
            <w:r>
              <w:rPr>
                <w:rFonts w:ascii="Arial" w:cs="Arial" w:eastAsia="Arial" w:hAnsi="Arial"/>
                <w:sz w:val="14"/>
                <w:szCs w:val="14"/>
                <w:b w:val="1"/>
                <w:bCs w:val="1"/>
                <w:color w:val="auto"/>
              </w:rPr>
              <w:t>June 30,</w:t>
            </w:r>
          </w:p>
        </w:tc>
      </w:tr>
      <w:tr>
        <w:trPr>
          <w:trHeight w:val="183"/>
        </w:trPr>
        <w:tc>
          <w:tcPr>
            <w:tcW w:w="70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2019</w:t>
            </w:r>
          </w:p>
        </w:tc>
      </w:tr>
      <w:tr>
        <w:trPr>
          <w:trHeight w:val="177"/>
        </w:trPr>
        <w:tc>
          <w:tcPr>
            <w:tcW w:w="7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(In thousands)</w:t>
            </w: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23"/>
        </w:trPr>
        <w:tc>
          <w:tcPr>
            <w:tcW w:w="7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Expected provision (benefit) for federal income taxes at the statutory rate</w:t>
            </w: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(9,085)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(7,695)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8,067</w:t>
            </w:r>
          </w:p>
        </w:tc>
      </w:tr>
      <w:tr>
        <w:trPr>
          <w:trHeight w:val="223"/>
        </w:trPr>
        <w:tc>
          <w:tcPr>
            <w:tcW w:w="7080" w:type="dxa"/>
            <w:vAlign w:val="bottom"/>
          </w:tcPr>
          <w:p>
            <w:pPr>
              <w:ind w:left="20"/>
              <w:spacing w:after="0"/>
              <w:rPr>
                <w:sz w:val="20"/>
                <w:szCs w:val="20"/>
                <w:color w:val="auto"/>
              </w:rPr>
            </w:pPr>
            <w:r>
              <w:rPr>
                <w:rFonts w:ascii="Arial" w:cs="Arial" w:eastAsia="Arial" w:hAnsi="Arial"/>
                <w:sz w:val="17"/>
                <w:szCs w:val="17"/>
                <w:color w:val="auto"/>
              </w:rPr>
              <w:t>State income taxes, net of federal benefit</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(1,240)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(768)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2,288</w:t>
            </w:r>
          </w:p>
        </w:tc>
      </w:tr>
      <w:tr>
        <w:trPr>
          <w:trHeight w:val="223"/>
        </w:trPr>
        <w:tc>
          <w:tcPr>
            <w:tcW w:w="7080" w:type="dxa"/>
            <w:vAlign w:val="bottom"/>
            <w:shd w:val="clear" w:color="auto" w:fill="CCEEFF"/>
          </w:tcPr>
          <w:p>
            <w:pPr>
              <w:ind w:left="20"/>
              <w:spacing w:after="0" w:line="223" w:lineRule="exact"/>
              <w:rPr>
                <w:sz w:val="20"/>
                <w:szCs w:val="20"/>
                <w:color w:val="auto"/>
              </w:rPr>
            </w:pPr>
            <w:r>
              <w:rPr>
                <w:rFonts w:ascii="Arial" w:cs="Arial" w:eastAsia="Arial" w:hAnsi="Arial"/>
                <w:sz w:val="17"/>
                <w:szCs w:val="17"/>
                <w:color w:val="auto"/>
              </w:rPr>
              <w:t>Impairment of non-deductible goodwill</w:t>
            </w:r>
            <w:r>
              <w:rPr>
                <w:rFonts w:ascii="Arial" w:cs="Arial" w:eastAsia="Arial" w:hAnsi="Arial"/>
                <w:sz w:val="22"/>
                <w:szCs w:val="22"/>
                <w:color w:val="auto"/>
                <w:vertAlign w:val="superscript"/>
              </w:rPr>
              <w:t>(1)</w:t>
            </w: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1,813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7080" w:type="dxa"/>
            <w:vAlign w:val="bottom"/>
          </w:tcPr>
          <w:p>
            <w:pPr>
              <w:ind w:left="20"/>
              <w:spacing w:after="0"/>
              <w:rPr>
                <w:sz w:val="20"/>
                <w:szCs w:val="20"/>
                <w:color w:val="auto"/>
              </w:rPr>
            </w:pPr>
            <w:r>
              <w:rPr>
                <w:rFonts w:ascii="Arial" w:cs="Arial" w:eastAsia="Arial" w:hAnsi="Arial"/>
                <w:sz w:val="17"/>
                <w:szCs w:val="17"/>
                <w:color w:val="auto"/>
              </w:rPr>
              <w:t>Charges without tax benefit</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961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1,707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1,233</w:t>
            </w:r>
          </w:p>
        </w:tc>
      </w:tr>
      <w:tr>
        <w:trPr>
          <w:trHeight w:val="223"/>
        </w:trPr>
        <w:tc>
          <w:tcPr>
            <w:tcW w:w="7080" w:type="dxa"/>
            <w:vAlign w:val="bottom"/>
            <w:shd w:val="clear" w:color="auto" w:fill="CCEEFF"/>
          </w:tcPr>
          <w:p>
            <w:pPr>
              <w:ind w:left="20"/>
              <w:spacing w:after="0" w:line="223" w:lineRule="exact"/>
              <w:rPr>
                <w:sz w:val="20"/>
                <w:szCs w:val="20"/>
                <w:color w:val="auto"/>
              </w:rPr>
            </w:pPr>
            <w:r>
              <w:rPr>
                <w:rFonts w:ascii="Arial" w:cs="Arial" w:eastAsia="Arial" w:hAnsi="Arial"/>
                <w:sz w:val="17"/>
                <w:szCs w:val="17"/>
                <w:color w:val="auto"/>
              </w:rPr>
              <w:t>Change in valuation allowance</w:t>
            </w:r>
            <w:r>
              <w:rPr>
                <w:rFonts w:ascii="Arial" w:cs="Arial" w:eastAsia="Arial" w:hAnsi="Arial"/>
                <w:sz w:val="22"/>
                <w:szCs w:val="22"/>
                <w:color w:val="auto"/>
                <w:vertAlign w:val="superscript"/>
              </w:rPr>
              <w:t>(2)</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2,797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3,062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4,512</w:t>
            </w:r>
          </w:p>
        </w:tc>
      </w:tr>
      <w:tr>
        <w:trPr>
          <w:trHeight w:val="223"/>
        </w:trPr>
        <w:tc>
          <w:tcPr>
            <w:tcW w:w="7080" w:type="dxa"/>
            <w:vAlign w:val="bottom"/>
          </w:tcPr>
          <w:p>
            <w:pPr>
              <w:ind w:left="20"/>
              <w:spacing w:after="0" w:line="223" w:lineRule="exact"/>
              <w:rPr>
                <w:sz w:val="20"/>
                <w:szCs w:val="20"/>
                <w:color w:val="auto"/>
              </w:rPr>
            </w:pPr>
            <w:r>
              <w:rPr>
                <w:rFonts w:ascii="Arial" w:cs="Arial" w:eastAsia="Arial" w:hAnsi="Arial"/>
                <w:sz w:val="17"/>
                <w:szCs w:val="17"/>
                <w:color w:val="auto"/>
              </w:rPr>
              <w:t>Reversal of branch liability</w:t>
            </w:r>
            <w:r>
              <w:rPr>
                <w:rFonts w:ascii="Arial" w:cs="Arial" w:eastAsia="Arial" w:hAnsi="Arial"/>
                <w:sz w:val="22"/>
                <w:szCs w:val="22"/>
                <w:color w:val="auto"/>
                <w:vertAlign w:val="superscript"/>
              </w:rPr>
              <w:t>(2)</w:t>
            </w:r>
          </w:p>
        </w:tc>
        <w:tc>
          <w:tcPr>
            <w:tcW w:w="24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(3,546)</w:t>
            </w:r>
          </w:p>
        </w:tc>
      </w:tr>
      <w:tr>
        <w:trPr>
          <w:trHeight w:val="223"/>
        </w:trPr>
        <w:tc>
          <w:tcPr>
            <w:tcW w:w="7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Excess tax expense (benefit) on stock-based compensation</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1,826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(296)</w:t>
            </w:r>
          </w:p>
        </w:tc>
      </w:tr>
      <w:tr>
        <w:trPr>
          <w:trHeight w:val="223"/>
        </w:trPr>
        <w:tc>
          <w:tcPr>
            <w:tcW w:w="7080" w:type="dxa"/>
            <w:vAlign w:val="bottom"/>
          </w:tcPr>
          <w:p>
            <w:pPr>
              <w:ind w:left="20"/>
              <w:spacing w:after="0"/>
              <w:rPr>
                <w:sz w:val="20"/>
                <w:szCs w:val="20"/>
                <w:color w:val="auto"/>
              </w:rPr>
            </w:pPr>
            <w:r>
              <w:rPr>
                <w:rFonts w:ascii="Arial" w:cs="Arial" w:eastAsia="Arial" w:hAnsi="Arial"/>
                <w:sz w:val="17"/>
                <w:szCs w:val="17"/>
                <w:color w:val="auto"/>
              </w:rPr>
              <w:t>Research and development and other tax credits</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(1,707)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(1,724)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(1,972)</w:t>
            </w:r>
          </w:p>
        </w:tc>
      </w:tr>
      <w:tr>
        <w:trPr>
          <w:trHeight w:val="223"/>
        </w:trPr>
        <w:tc>
          <w:tcPr>
            <w:tcW w:w="7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Foreign tax differential</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(248)</w:t>
            </w:r>
          </w:p>
        </w:tc>
      </w:tr>
      <w:tr>
        <w:trPr>
          <w:trHeight w:val="223"/>
        </w:trPr>
        <w:tc>
          <w:tcPr>
            <w:tcW w:w="7080" w:type="dxa"/>
            <w:vAlign w:val="bottom"/>
          </w:tcPr>
          <w:p>
            <w:pPr>
              <w:ind w:left="20"/>
              <w:spacing w:after="0" w:line="223" w:lineRule="exact"/>
              <w:rPr>
                <w:sz w:val="20"/>
                <w:szCs w:val="20"/>
                <w:color w:val="auto"/>
              </w:rPr>
            </w:pPr>
            <w:r>
              <w:rPr>
                <w:rFonts w:ascii="Arial" w:cs="Arial" w:eastAsia="Arial" w:hAnsi="Arial"/>
                <w:sz w:val="17"/>
                <w:szCs w:val="17"/>
                <w:color w:val="auto"/>
              </w:rPr>
              <w:t>Federal rate differential net operating loss carryback</w:t>
            </w:r>
            <w:r>
              <w:rPr>
                <w:rFonts w:ascii="Arial" w:cs="Arial" w:eastAsia="Arial" w:hAnsi="Arial"/>
                <w:sz w:val="22"/>
                <w:szCs w:val="22"/>
                <w:color w:val="auto"/>
                <w:vertAlign w:val="superscript"/>
              </w:rPr>
              <w:t>(3)</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(5,223)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7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Change in uncertain tax positions</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r>
      <w:tr>
        <w:trPr>
          <w:trHeight w:val="223"/>
        </w:trPr>
        <w:tc>
          <w:tcPr>
            <w:tcW w:w="70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370</w:t>
            </w:r>
          </w:p>
        </w:tc>
      </w:tr>
      <w:tr>
        <w:trPr>
          <w:trHeight w:val="241"/>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Provision (benefit) for federal, state and foreign income taxes</w:t>
            </w: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(12,039)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(3,570)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10,430</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291465</wp:posOffset>
            </wp:positionV>
            <wp:extent cx="79946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994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560" w:hanging="319"/>
        <w:spacing w:after="0" w:line="243" w:lineRule="auto"/>
        <w:tabs>
          <w:tab w:leader="none" w:pos="552" w:val="left"/>
        </w:tabs>
        <w:numPr>
          <w:ilvl w:val="0"/>
          <w:numId w:val="36"/>
        </w:numPr>
        <w:rPr>
          <w:rFonts w:ascii="Arial" w:cs="Arial" w:eastAsia="Arial" w:hAnsi="Arial"/>
          <w:sz w:val="14"/>
          <w:szCs w:val="14"/>
          <w:color w:val="auto"/>
        </w:rPr>
      </w:pPr>
      <w:r>
        <w:rPr>
          <w:rFonts w:ascii="Arial" w:cs="Arial" w:eastAsia="Arial" w:hAnsi="Arial"/>
          <w:sz w:val="14"/>
          <w:szCs w:val="14"/>
          <w:color w:val="auto"/>
        </w:rPr>
        <w:t>In fiscal 2020, we impaired $32.9 million of goodwill, which included $8.6 million of non-deductible goodwill. See Note 4 - Goodwill and Other Intangible Assets for more information about the impairments.</w:t>
      </w:r>
    </w:p>
    <w:p>
      <w:pPr>
        <w:jc w:val="both"/>
        <w:ind w:left="560" w:hanging="319"/>
        <w:spacing w:after="0" w:line="234" w:lineRule="auto"/>
        <w:tabs>
          <w:tab w:leader="none" w:pos="552" w:val="left"/>
        </w:tabs>
        <w:numPr>
          <w:ilvl w:val="0"/>
          <w:numId w:val="36"/>
        </w:numPr>
        <w:rPr>
          <w:rFonts w:ascii="Arial" w:cs="Arial" w:eastAsia="Arial" w:hAnsi="Arial"/>
          <w:sz w:val="14"/>
          <w:szCs w:val="14"/>
          <w:color w:val="auto"/>
        </w:rPr>
      </w:pPr>
      <w:r>
        <w:rPr>
          <w:rFonts w:ascii="Arial" w:cs="Arial" w:eastAsia="Arial" w:hAnsi="Arial"/>
          <w:sz w:val="14"/>
          <w:szCs w:val="14"/>
          <w:color w:val="auto"/>
        </w:rPr>
        <w:t>In fiscal 2021, we placed $2.8 million of valuation allowances, including $1.5 million on certain state net operating loss carryforwards due to a recent history of cumulative losses for a subsidiary. In fiscal 2020, we placed $3.1 million of valuation allowances on net operating loss carryforwards and foreign tax credits primarily related to Canada. In fiscal 2019, we placed $4.5 million of valuation allowances on net operating loss carryforwards and foreign tax credits generated by branch operations in Canada, which will likely not be utilized prior to their expiration. These valuation allowances were largely offset by the reversal $3.5 million of branch liabilities associated with the Canadian net operating loss carryforwards and foreign tax credits.</w:t>
      </w:r>
    </w:p>
    <w:p>
      <w:pPr>
        <w:spacing w:after="0" w:line="1" w:lineRule="exact"/>
        <w:rPr>
          <w:rFonts w:ascii="Arial" w:cs="Arial" w:eastAsia="Arial" w:hAnsi="Arial"/>
          <w:sz w:val="14"/>
          <w:szCs w:val="14"/>
          <w:color w:val="auto"/>
        </w:rPr>
      </w:pPr>
    </w:p>
    <w:p>
      <w:pPr>
        <w:ind w:left="540" w:hanging="299"/>
        <w:spacing w:after="0"/>
        <w:tabs>
          <w:tab w:leader="none" w:pos="5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Relates to fiscal 2021 net operating losses carried back under provisions of the CARES Act to fiscal years 2016 and 2017 which had a 35% federal tax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71" w:name="page72"/>
    <w:bookmarkEnd w:id="71"/>
    <w:p>
      <w:pPr>
        <w:jc w:val="center"/>
        <w:spacing w:after="0"/>
        <w:rPr>
          <w:sz w:val="20"/>
          <w:szCs w:val="20"/>
          <w:color w:val="auto"/>
        </w:rPr>
      </w:pPr>
      <w:r>
        <w:rPr>
          <w:rFonts w:ascii="Arial" w:cs="Arial" w:eastAsia="Arial" w:hAnsi="Arial"/>
          <w:sz w:val="17"/>
          <w:szCs w:val="17"/>
          <w:b w:val="1"/>
          <w:bCs w:val="1"/>
          <w:color w:val="auto"/>
        </w:rPr>
        <w:t>Matrix Service Company</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Significant components of our deferred tax assets and liabilities</w:t>
      </w: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80" w:type="dxa"/>
            <w:vAlign w:val="bottom"/>
            <w:gridSpan w:val="2"/>
          </w:tcPr>
          <w:p>
            <w:pPr>
              <w:ind w:left="260"/>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20" w:type="dxa"/>
            <w:vAlign w:val="bottom"/>
          </w:tcPr>
          <w:p>
            <w:pPr>
              <w:jc w:val="center"/>
              <w:ind w:right="435"/>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83"/>
        </w:trPr>
        <w:tc>
          <w:tcPr>
            <w:tcW w:w="762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65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455"/>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177"/>
        </w:trPr>
        <w:tc>
          <w:tcPr>
            <w:tcW w:w="7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rPr>
              <w:t>(In thousands)</w:t>
            </w: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7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tax assets:</w:t>
            </w: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20" w:type="dxa"/>
            <w:vAlign w:val="bottom"/>
          </w:tcPr>
          <w:p>
            <w:pPr>
              <w:ind w:left="340"/>
              <w:spacing w:after="0"/>
              <w:rPr>
                <w:sz w:val="20"/>
                <w:szCs w:val="20"/>
                <w:color w:val="auto"/>
              </w:rPr>
            </w:pPr>
            <w:r>
              <w:rPr>
                <w:rFonts w:ascii="Arial" w:cs="Arial" w:eastAsia="Arial" w:hAnsi="Arial"/>
                <w:sz w:val="17"/>
                <w:szCs w:val="17"/>
                <w:color w:val="auto"/>
              </w:rPr>
              <w:t>Warranty reserve</w:t>
            </w:r>
          </w:p>
        </w:tc>
        <w:tc>
          <w:tcPr>
            <w:tcW w:w="360" w:type="dxa"/>
            <w:vAlign w:val="bottom"/>
            <w:gridSpan w:val="2"/>
          </w:tcPr>
          <w:p>
            <w:pPr>
              <w:jc w:val="right"/>
              <w:ind w:right="260"/>
              <w:spacing w:after="0"/>
              <w:rPr>
                <w:sz w:val="20"/>
                <w:szCs w:val="20"/>
                <w:color w:val="auto"/>
              </w:rPr>
            </w:pPr>
            <w:r>
              <w:rPr>
                <w:rFonts w:ascii="Arial" w:cs="Arial" w:eastAsia="Arial" w:hAnsi="Arial"/>
                <w:sz w:val="17"/>
                <w:szCs w:val="17"/>
                <w:color w:val="auto"/>
                <w:w w:val="84"/>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206</w:t>
            </w:r>
          </w:p>
        </w:tc>
        <w:tc>
          <w:tcPr>
            <w:tcW w:w="100" w:type="dxa"/>
            <w:vAlign w:val="bottom"/>
          </w:tcPr>
          <w:p>
            <w:pPr>
              <w:spacing w:after="0"/>
              <w:rPr>
                <w:sz w:val="19"/>
                <w:szCs w:val="19"/>
                <w:color w:val="auto"/>
              </w:rPr>
            </w:pPr>
          </w:p>
        </w:tc>
        <w:tc>
          <w:tcPr>
            <w:tcW w:w="520" w:type="dxa"/>
            <w:vAlign w:val="bottom"/>
            <w:gridSpan w:val="2"/>
          </w:tcPr>
          <w:p>
            <w:pPr>
              <w:jc w:val="right"/>
              <w:ind w:right="420"/>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206</w:t>
            </w:r>
          </w:p>
        </w:tc>
        <w:tc>
          <w:tcPr>
            <w:tcW w:w="0" w:type="dxa"/>
            <w:vAlign w:val="bottom"/>
          </w:tcPr>
          <w:p>
            <w:pPr>
              <w:spacing w:after="0"/>
              <w:rPr>
                <w:sz w:val="1"/>
                <w:szCs w:val="1"/>
                <w:color w:val="auto"/>
              </w:rPr>
            </w:pPr>
          </w:p>
        </w:tc>
      </w:tr>
      <w:tr>
        <w:trPr>
          <w:trHeight w:val="223"/>
        </w:trPr>
        <w:tc>
          <w:tcPr>
            <w:tcW w:w="76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Bad debt reserve</w:t>
            </w: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233</w:t>
            </w:r>
          </w:p>
        </w:tc>
        <w:tc>
          <w:tcPr>
            <w:tcW w:w="0" w:type="dxa"/>
            <w:vAlign w:val="bottom"/>
          </w:tcPr>
          <w:p>
            <w:pPr>
              <w:spacing w:after="0"/>
              <w:rPr>
                <w:sz w:val="1"/>
                <w:szCs w:val="1"/>
                <w:color w:val="auto"/>
              </w:rPr>
            </w:pPr>
          </w:p>
        </w:tc>
      </w:tr>
      <w:tr>
        <w:trPr>
          <w:trHeight w:val="223"/>
        </w:trPr>
        <w:tc>
          <w:tcPr>
            <w:tcW w:w="7620" w:type="dxa"/>
            <w:vAlign w:val="bottom"/>
          </w:tcPr>
          <w:p>
            <w:pPr>
              <w:ind w:left="340"/>
              <w:spacing w:after="0"/>
              <w:rPr>
                <w:sz w:val="20"/>
                <w:szCs w:val="20"/>
                <w:color w:val="auto"/>
              </w:rPr>
            </w:pPr>
            <w:r>
              <w:rPr>
                <w:rFonts w:ascii="Arial" w:cs="Arial" w:eastAsia="Arial" w:hAnsi="Arial"/>
                <w:sz w:val="17"/>
                <w:szCs w:val="17"/>
                <w:color w:val="auto"/>
              </w:rPr>
              <w:t>Paid-time-off accrual</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747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669</w:t>
            </w:r>
          </w:p>
        </w:tc>
        <w:tc>
          <w:tcPr>
            <w:tcW w:w="0" w:type="dxa"/>
            <w:vAlign w:val="bottom"/>
          </w:tcPr>
          <w:p>
            <w:pPr>
              <w:spacing w:after="0"/>
              <w:rPr>
                <w:sz w:val="1"/>
                <w:szCs w:val="1"/>
                <w:color w:val="auto"/>
              </w:rPr>
            </w:pPr>
          </w:p>
        </w:tc>
      </w:tr>
      <w:tr>
        <w:trPr>
          <w:trHeight w:val="223"/>
        </w:trPr>
        <w:tc>
          <w:tcPr>
            <w:tcW w:w="76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Insurance reserve</w:t>
            </w: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1,221</w:t>
            </w:r>
          </w:p>
        </w:tc>
        <w:tc>
          <w:tcPr>
            <w:tcW w:w="0" w:type="dxa"/>
            <w:vAlign w:val="bottom"/>
          </w:tcPr>
          <w:p>
            <w:pPr>
              <w:spacing w:after="0"/>
              <w:rPr>
                <w:sz w:val="1"/>
                <w:szCs w:val="1"/>
                <w:color w:val="auto"/>
              </w:rPr>
            </w:pPr>
          </w:p>
        </w:tc>
      </w:tr>
      <w:tr>
        <w:trPr>
          <w:trHeight w:val="223"/>
        </w:trPr>
        <w:tc>
          <w:tcPr>
            <w:tcW w:w="7620" w:type="dxa"/>
            <w:vAlign w:val="bottom"/>
          </w:tcPr>
          <w:p>
            <w:pPr>
              <w:ind w:left="340"/>
              <w:spacing w:after="0"/>
              <w:rPr>
                <w:sz w:val="20"/>
                <w:szCs w:val="20"/>
                <w:color w:val="auto"/>
              </w:rPr>
            </w:pPr>
            <w:r>
              <w:rPr>
                <w:rFonts w:ascii="Arial" w:cs="Arial" w:eastAsia="Arial" w:hAnsi="Arial"/>
                <w:sz w:val="17"/>
                <w:szCs w:val="17"/>
                <w:color w:val="auto"/>
              </w:rPr>
              <w:t>Legal reserve</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146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207</w:t>
            </w:r>
          </w:p>
        </w:tc>
        <w:tc>
          <w:tcPr>
            <w:tcW w:w="0" w:type="dxa"/>
            <w:vAlign w:val="bottom"/>
          </w:tcPr>
          <w:p>
            <w:pPr>
              <w:spacing w:after="0"/>
              <w:rPr>
                <w:sz w:val="1"/>
                <w:szCs w:val="1"/>
                <w:color w:val="auto"/>
              </w:rPr>
            </w:pPr>
          </w:p>
        </w:tc>
      </w:tr>
      <w:tr>
        <w:trPr>
          <w:trHeight w:val="223"/>
        </w:trPr>
        <w:tc>
          <w:tcPr>
            <w:tcW w:w="76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Net operating loss benefit and credit carryforwards</w:t>
            </w: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14,966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10,354</w:t>
            </w:r>
          </w:p>
        </w:tc>
        <w:tc>
          <w:tcPr>
            <w:tcW w:w="0" w:type="dxa"/>
            <w:vAlign w:val="bottom"/>
          </w:tcPr>
          <w:p>
            <w:pPr>
              <w:spacing w:after="0"/>
              <w:rPr>
                <w:sz w:val="1"/>
                <w:szCs w:val="1"/>
                <w:color w:val="auto"/>
              </w:rPr>
            </w:pPr>
          </w:p>
        </w:tc>
      </w:tr>
      <w:tr>
        <w:trPr>
          <w:trHeight w:val="223"/>
        </w:trPr>
        <w:tc>
          <w:tcPr>
            <w:tcW w:w="7620" w:type="dxa"/>
            <w:vAlign w:val="bottom"/>
          </w:tcPr>
          <w:p>
            <w:pPr>
              <w:ind w:left="340"/>
              <w:spacing w:after="0"/>
              <w:rPr>
                <w:sz w:val="20"/>
                <w:szCs w:val="20"/>
                <w:color w:val="auto"/>
              </w:rPr>
            </w:pPr>
            <w:r>
              <w:rPr>
                <w:rFonts w:ascii="Arial" w:cs="Arial" w:eastAsia="Arial" w:hAnsi="Arial"/>
                <w:sz w:val="17"/>
                <w:szCs w:val="17"/>
                <w:color w:val="auto"/>
              </w:rPr>
              <w:t>Valuation allowance</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(11,104)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(7,763)</w:t>
            </w:r>
          </w:p>
        </w:tc>
        <w:tc>
          <w:tcPr>
            <w:tcW w:w="0" w:type="dxa"/>
            <w:vAlign w:val="bottom"/>
          </w:tcPr>
          <w:p>
            <w:pPr>
              <w:spacing w:after="0"/>
              <w:rPr>
                <w:sz w:val="1"/>
                <w:szCs w:val="1"/>
                <w:color w:val="auto"/>
              </w:rPr>
            </w:pPr>
          </w:p>
        </w:tc>
      </w:tr>
      <w:tr>
        <w:trPr>
          <w:trHeight w:val="223"/>
        </w:trPr>
        <w:tc>
          <w:tcPr>
            <w:tcW w:w="76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Accrued compensation and pension</w:t>
            </w: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1,447</w:t>
            </w:r>
          </w:p>
        </w:tc>
        <w:tc>
          <w:tcPr>
            <w:tcW w:w="0" w:type="dxa"/>
            <w:vAlign w:val="bottom"/>
          </w:tcPr>
          <w:p>
            <w:pPr>
              <w:spacing w:after="0"/>
              <w:rPr>
                <w:sz w:val="1"/>
                <w:szCs w:val="1"/>
                <w:color w:val="auto"/>
              </w:rPr>
            </w:pPr>
          </w:p>
        </w:tc>
      </w:tr>
      <w:tr>
        <w:trPr>
          <w:trHeight w:val="223"/>
        </w:trPr>
        <w:tc>
          <w:tcPr>
            <w:tcW w:w="7620" w:type="dxa"/>
            <w:vAlign w:val="bottom"/>
          </w:tcPr>
          <w:p>
            <w:pPr>
              <w:ind w:left="340"/>
              <w:spacing w:after="0"/>
              <w:rPr>
                <w:sz w:val="20"/>
                <w:szCs w:val="20"/>
                <w:color w:val="auto"/>
              </w:rPr>
            </w:pPr>
            <w:r>
              <w:rPr>
                <w:rFonts w:ascii="Arial" w:cs="Arial" w:eastAsia="Arial" w:hAnsi="Arial"/>
                <w:sz w:val="17"/>
                <w:szCs w:val="17"/>
                <w:color w:val="auto"/>
              </w:rPr>
              <w:t>Prepaid insurance</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27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76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Stock compensation expense on nonvested deferred shares</w:t>
            </w: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1,895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3,231</w:t>
            </w:r>
          </w:p>
        </w:tc>
        <w:tc>
          <w:tcPr>
            <w:tcW w:w="0" w:type="dxa"/>
            <w:vAlign w:val="bottom"/>
          </w:tcPr>
          <w:p>
            <w:pPr>
              <w:spacing w:after="0"/>
              <w:rPr>
                <w:sz w:val="1"/>
                <w:szCs w:val="1"/>
                <w:color w:val="auto"/>
              </w:rPr>
            </w:pPr>
          </w:p>
        </w:tc>
      </w:tr>
      <w:tr>
        <w:trPr>
          <w:trHeight w:val="223"/>
        </w:trPr>
        <w:tc>
          <w:tcPr>
            <w:tcW w:w="7620" w:type="dxa"/>
            <w:vAlign w:val="bottom"/>
          </w:tcPr>
          <w:p>
            <w:pPr>
              <w:ind w:left="340"/>
              <w:spacing w:after="0"/>
              <w:rPr>
                <w:sz w:val="20"/>
                <w:szCs w:val="20"/>
                <w:color w:val="auto"/>
              </w:rPr>
            </w:pPr>
            <w:r>
              <w:rPr>
                <w:rFonts w:ascii="Arial" w:cs="Arial" w:eastAsia="Arial" w:hAnsi="Arial"/>
                <w:sz w:val="17"/>
                <w:szCs w:val="17"/>
                <w:color w:val="auto"/>
              </w:rPr>
              <w:t>Accrued losses</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64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96</w:t>
            </w:r>
          </w:p>
        </w:tc>
        <w:tc>
          <w:tcPr>
            <w:tcW w:w="0" w:type="dxa"/>
            <w:vAlign w:val="bottom"/>
          </w:tcPr>
          <w:p>
            <w:pPr>
              <w:spacing w:after="0"/>
              <w:rPr>
                <w:sz w:val="1"/>
                <w:szCs w:val="1"/>
                <w:color w:val="auto"/>
              </w:rPr>
            </w:pPr>
          </w:p>
        </w:tc>
      </w:tr>
      <w:tr>
        <w:trPr>
          <w:trHeight w:val="223"/>
        </w:trPr>
        <w:tc>
          <w:tcPr>
            <w:tcW w:w="76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Restructuring reserve</w:t>
            </w: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1,381</w:t>
            </w:r>
          </w:p>
        </w:tc>
        <w:tc>
          <w:tcPr>
            <w:tcW w:w="0" w:type="dxa"/>
            <w:vAlign w:val="bottom"/>
          </w:tcPr>
          <w:p>
            <w:pPr>
              <w:spacing w:after="0"/>
              <w:rPr>
                <w:sz w:val="1"/>
                <w:szCs w:val="1"/>
                <w:color w:val="auto"/>
              </w:rPr>
            </w:pPr>
          </w:p>
        </w:tc>
      </w:tr>
      <w:tr>
        <w:trPr>
          <w:trHeight w:val="223"/>
        </w:trPr>
        <w:tc>
          <w:tcPr>
            <w:tcW w:w="7620" w:type="dxa"/>
            <w:vAlign w:val="bottom"/>
          </w:tcPr>
          <w:p>
            <w:pPr>
              <w:ind w:left="340"/>
              <w:spacing w:after="0"/>
              <w:rPr>
                <w:sz w:val="20"/>
                <w:szCs w:val="20"/>
                <w:color w:val="auto"/>
              </w:rPr>
            </w:pPr>
            <w:r>
              <w:rPr>
                <w:rFonts w:ascii="Arial" w:cs="Arial" w:eastAsia="Arial" w:hAnsi="Arial"/>
                <w:sz w:val="17"/>
                <w:szCs w:val="17"/>
                <w:color w:val="auto"/>
              </w:rPr>
              <w:t>Book over tax amortization</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3,765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5,195</w:t>
            </w:r>
          </w:p>
        </w:tc>
        <w:tc>
          <w:tcPr>
            <w:tcW w:w="0" w:type="dxa"/>
            <w:vAlign w:val="bottom"/>
          </w:tcPr>
          <w:p>
            <w:pPr>
              <w:spacing w:after="0"/>
              <w:rPr>
                <w:sz w:val="1"/>
                <w:szCs w:val="1"/>
                <w:color w:val="auto"/>
              </w:rPr>
            </w:pPr>
          </w:p>
        </w:tc>
      </w:tr>
      <w:tr>
        <w:trPr>
          <w:trHeight w:val="223"/>
        </w:trPr>
        <w:tc>
          <w:tcPr>
            <w:tcW w:w="76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Deferred FICA</w:t>
            </w: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1,920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7620" w:type="dxa"/>
            <w:vAlign w:val="bottom"/>
            <w:tcBorders>
              <w:bottom w:val="single" w:sz="8" w:color="CCEEFF"/>
            </w:tcBorders>
          </w:tcPr>
          <w:p>
            <w:pPr>
              <w:ind w:left="340"/>
              <w:spacing w:after="0"/>
              <w:rPr>
                <w:sz w:val="20"/>
                <w:szCs w:val="20"/>
                <w:color w:val="auto"/>
              </w:rPr>
            </w:pPr>
            <w:r>
              <w:rPr>
                <w:rFonts w:ascii="Arial" w:cs="Arial" w:eastAsia="Arial" w:hAnsi="Arial"/>
                <w:sz w:val="17"/>
                <w:szCs w:val="17"/>
                <w:color w:val="auto"/>
              </w:rPr>
              <w:t>Foreign currency translation and other</w:t>
            </w:r>
          </w:p>
        </w:tc>
        <w:tc>
          <w:tcPr>
            <w:tcW w:w="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665</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843</w:t>
            </w:r>
          </w:p>
        </w:tc>
        <w:tc>
          <w:tcPr>
            <w:tcW w:w="0" w:type="dxa"/>
            <w:vAlign w:val="bottom"/>
          </w:tcPr>
          <w:p>
            <w:pPr>
              <w:spacing w:after="0"/>
              <w:rPr>
                <w:sz w:val="1"/>
                <w:szCs w:val="1"/>
                <w:color w:val="auto"/>
              </w:rPr>
            </w:pPr>
          </w:p>
        </w:tc>
      </w:tr>
      <w:tr>
        <w:trPr>
          <w:trHeight w:val="216"/>
        </w:trPr>
        <w:tc>
          <w:tcPr>
            <w:tcW w:w="7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deferred tax assets</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16,172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17,320</w:t>
            </w:r>
          </w:p>
        </w:tc>
        <w:tc>
          <w:tcPr>
            <w:tcW w:w="0" w:type="dxa"/>
            <w:vAlign w:val="bottom"/>
          </w:tcPr>
          <w:p>
            <w:pPr>
              <w:spacing w:after="0"/>
              <w:rPr>
                <w:sz w:val="1"/>
                <w:szCs w:val="1"/>
                <w:color w:val="auto"/>
              </w:rPr>
            </w:pPr>
          </w:p>
        </w:tc>
      </w:tr>
      <w:tr>
        <w:trPr>
          <w:trHeight w:val="223"/>
        </w:trPr>
        <w:tc>
          <w:tcPr>
            <w:tcW w:w="7620" w:type="dxa"/>
            <w:vAlign w:val="bottom"/>
          </w:tcPr>
          <w:p>
            <w:pPr>
              <w:ind w:left="20"/>
              <w:spacing w:after="0"/>
              <w:rPr>
                <w:sz w:val="20"/>
                <w:szCs w:val="20"/>
                <w:color w:val="auto"/>
              </w:rPr>
            </w:pPr>
            <w:r>
              <w:rPr>
                <w:rFonts w:ascii="Arial" w:cs="Arial" w:eastAsia="Arial" w:hAnsi="Arial"/>
                <w:sz w:val="17"/>
                <w:szCs w:val="17"/>
                <w:color w:val="auto"/>
              </w:rPr>
              <w:t>Deferred tax liabilities:</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Tax over book depreciation</w:t>
            </w: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10,315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11,313</w:t>
            </w:r>
          </w:p>
        </w:tc>
        <w:tc>
          <w:tcPr>
            <w:tcW w:w="0" w:type="dxa"/>
            <w:vAlign w:val="bottom"/>
          </w:tcPr>
          <w:p>
            <w:pPr>
              <w:spacing w:after="0"/>
              <w:rPr>
                <w:sz w:val="1"/>
                <w:szCs w:val="1"/>
                <w:color w:val="auto"/>
              </w:rPr>
            </w:pPr>
          </w:p>
        </w:tc>
      </w:tr>
      <w:tr>
        <w:trPr>
          <w:trHeight w:val="223"/>
        </w:trPr>
        <w:tc>
          <w:tcPr>
            <w:tcW w:w="7620" w:type="dxa"/>
            <w:vAlign w:val="bottom"/>
          </w:tcPr>
          <w:p>
            <w:pPr>
              <w:ind w:left="340"/>
              <w:spacing w:after="0"/>
              <w:rPr>
                <w:sz w:val="20"/>
                <w:szCs w:val="20"/>
                <w:color w:val="auto"/>
              </w:rPr>
            </w:pPr>
            <w:r>
              <w:rPr>
                <w:rFonts w:ascii="Arial" w:cs="Arial" w:eastAsia="Arial" w:hAnsi="Arial"/>
                <w:sz w:val="17"/>
                <w:szCs w:val="17"/>
                <w:color w:val="auto"/>
              </w:rPr>
              <w:t>Branch future liability</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74</w:t>
            </w:r>
          </w:p>
        </w:tc>
        <w:tc>
          <w:tcPr>
            <w:tcW w:w="0" w:type="dxa"/>
            <w:vAlign w:val="bottom"/>
          </w:tcPr>
          <w:p>
            <w:pPr>
              <w:spacing w:after="0"/>
              <w:rPr>
                <w:sz w:val="1"/>
                <w:szCs w:val="1"/>
                <w:color w:val="auto"/>
              </w:rPr>
            </w:pPr>
          </w:p>
        </w:tc>
      </w:tr>
      <w:tr>
        <w:trPr>
          <w:trHeight w:val="223"/>
        </w:trPr>
        <w:tc>
          <w:tcPr>
            <w:tcW w:w="76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Receivable holdbacks and other</w:t>
            </w:r>
          </w:p>
        </w:tc>
        <w:tc>
          <w:tcPr>
            <w:tcW w:w="4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596</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16"/>
        </w:trPr>
        <w:tc>
          <w:tcPr>
            <w:tcW w:w="76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deferred tax liabilities</w:t>
            </w:r>
          </w:p>
        </w:tc>
        <w:tc>
          <w:tcPr>
            <w:tcW w:w="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10,911</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11,393</w:t>
            </w:r>
          </w:p>
        </w:tc>
        <w:tc>
          <w:tcPr>
            <w:tcW w:w="0" w:type="dxa"/>
            <w:vAlign w:val="bottom"/>
          </w:tcPr>
          <w:p>
            <w:pPr>
              <w:spacing w:after="0"/>
              <w:rPr>
                <w:sz w:val="1"/>
                <w:szCs w:val="1"/>
                <w:color w:val="auto"/>
              </w:rPr>
            </w:pPr>
          </w:p>
        </w:tc>
      </w:tr>
      <w:tr>
        <w:trPr>
          <w:trHeight w:val="241"/>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deferred tax asset</w:t>
            </w:r>
          </w:p>
        </w:tc>
        <w:tc>
          <w:tcPr>
            <w:tcW w:w="360" w:type="dxa"/>
            <w:vAlign w:val="bottom"/>
            <w:tcBorders>
              <w:bottom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5,261</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gridSpan w:val="2"/>
            <w:shd w:val="clear" w:color="auto" w:fill="CCEEFF"/>
          </w:tcPr>
          <w:p>
            <w:pPr>
              <w:jc w:val="right"/>
              <w:ind w:right="420"/>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5,927</w:t>
            </w:r>
          </w:p>
        </w:tc>
        <w:tc>
          <w:tcPr>
            <w:tcW w:w="0" w:type="dxa"/>
            <w:vAlign w:val="bottom"/>
          </w:tcPr>
          <w:p>
            <w:pPr>
              <w:spacing w:after="0"/>
              <w:rPr>
                <w:sz w:val="1"/>
                <w:szCs w:val="1"/>
                <w:color w:val="auto"/>
              </w:rPr>
            </w:pPr>
          </w:p>
        </w:tc>
      </w:tr>
      <w:tr>
        <w:trPr>
          <w:trHeight w:val="20"/>
        </w:trPr>
        <w:tc>
          <w:tcPr>
            <w:tcW w:w="76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7"/>
                <w:szCs w:val="17"/>
                <w:color w:val="auto"/>
              </w:rPr>
              <w:t>As reported in the Consolidated Balance Sheets:</w:t>
            </w:r>
          </w:p>
        </w:tc>
        <w:tc>
          <w:tcPr>
            <w:tcW w:w="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0"/>
        </w:trPr>
        <w:tc>
          <w:tcPr>
            <w:tcW w:w="762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7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80" w:type="dxa"/>
            <w:vAlign w:val="bottom"/>
            <w:gridSpan w:val="2"/>
          </w:tcPr>
          <w:p>
            <w:pPr>
              <w:ind w:left="280"/>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20" w:type="dxa"/>
            <w:vAlign w:val="bottom"/>
          </w:tcPr>
          <w:p>
            <w:pPr>
              <w:jc w:val="center"/>
              <w:ind w:right="435"/>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83"/>
        </w:trPr>
        <w:tc>
          <w:tcPr>
            <w:tcW w:w="7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415"/>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177"/>
        </w:trPr>
        <w:tc>
          <w:tcPr>
            <w:tcW w:w="7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(In thousands)</w:t>
            </w: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7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income tax assets</w:t>
            </w: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5,295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5,988</w:t>
            </w:r>
          </w:p>
        </w:tc>
        <w:tc>
          <w:tcPr>
            <w:tcW w:w="0" w:type="dxa"/>
            <w:vAlign w:val="bottom"/>
          </w:tcPr>
          <w:p>
            <w:pPr>
              <w:spacing w:after="0"/>
              <w:rPr>
                <w:sz w:val="1"/>
                <w:szCs w:val="1"/>
                <w:color w:val="auto"/>
              </w:rPr>
            </w:pPr>
          </w:p>
        </w:tc>
      </w:tr>
      <w:tr>
        <w:trPr>
          <w:trHeight w:val="223"/>
        </w:trPr>
        <w:tc>
          <w:tcPr>
            <w:tcW w:w="76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Deferred income tax liabilities</w:t>
            </w:r>
          </w:p>
        </w:tc>
        <w:tc>
          <w:tcPr>
            <w:tcW w:w="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w:t>
            </w:r>
          </w:p>
        </w:tc>
        <w:tc>
          <w:tcPr>
            <w:tcW w:w="0" w:type="dxa"/>
            <w:vAlign w:val="bottom"/>
          </w:tcPr>
          <w:p>
            <w:pPr>
              <w:spacing w:after="0"/>
              <w:rPr>
                <w:sz w:val="1"/>
                <w:szCs w:val="1"/>
                <w:color w:val="auto"/>
              </w:rPr>
            </w:pPr>
          </w:p>
        </w:tc>
      </w:tr>
      <w:tr>
        <w:trPr>
          <w:trHeight w:val="236"/>
        </w:trPr>
        <w:tc>
          <w:tcPr>
            <w:tcW w:w="7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deferred tax asset</w:t>
            </w:r>
          </w:p>
        </w:tc>
        <w:tc>
          <w:tcPr>
            <w:tcW w:w="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5,261</w:t>
            </w:r>
          </w:p>
        </w:tc>
        <w:tc>
          <w:tcPr>
            <w:tcW w:w="10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5,927</w:t>
            </w:r>
          </w:p>
        </w:tc>
        <w:tc>
          <w:tcPr>
            <w:tcW w:w="0" w:type="dxa"/>
            <w:vAlign w:val="bottom"/>
          </w:tcPr>
          <w:p>
            <w:pPr>
              <w:spacing w:after="0"/>
              <w:rPr>
                <w:sz w:val="1"/>
                <w:szCs w:val="1"/>
                <w:color w:val="auto"/>
              </w:rPr>
            </w:pP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Operating loss and tax credit carryforwards</w:t>
      </w:r>
    </w:p>
    <w:p>
      <w:pPr>
        <w:spacing w:after="0" w:line="17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state net operating loss carryforwards, state tax credit carryforwards, federal foreign tax credit carryforwards, foreign net operating loss carryforwards and foreign tax credit carryforwards. The valuation allowance at June 30, 2021 and June 30, 2020 reduces the recognized tax benefit of these carryforwards to an amount that is more likely than not to be realized. These carryforwards will generally expire as shown below:</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8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Operating Loss Carryforwards</w:t>
            </w:r>
          </w:p>
        </w:tc>
        <w:tc>
          <w:tcPr>
            <w:tcW w:w="4580" w:type="dxa"/>
            <w:vAlign w:val="bottom"/>
            <w:tcBorders>
              <w:bottom w:val="single" w:sz="8" w:color="auto"/>
            </w:tcBorders>
          </w:tcPr>
          <w:p>
            <w:pPr>
              <w:ind w:left="1900"/>
              <w:spacing w:after="0"/>
              <w:rPr>
                <w:sz w:val="20"/>
                <w:szCs w:val="20"/>
                <w:color w:val="auto"/>
              </w:rPr>
            </w:pPr>
            <w:r>
              <w:rPr>
                <w:rFonts w:ascii="Arial" w:cs="Arial" w:eastAsia="Arial" w:hAnsi="Arial"/>
                <w:sz w:val="14"/>
                <w:szCs w:val="14"/>
                <w:b w:val="1"/>
                <w:bCs w:val="1"/>
                <w:color w:val="auto"/>
              </w:rPr>
              <w:t>Expiration Period</w:t>
            </w:r>
          </w:p>
        </w:tc>
        <w:tc>
          <w:tcPr>
            <w:tcW w:w="11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98"/>
              <w:spacing w:after="0"/>
              <w:rPr>
                <w:sz w:val="20"/>
                <w:szCs w:val="20"/>
                <w:color w:val="auto"/>
              </w:rPr>
            </w:pPr>
            <w:r>
              <w:rPr>
                <w:rFonts w:ascii="Arial" w:cs="Arial" w:eastAsia="Arial" w:hAnsi="Arial"/>
                <w:sz w:val="14"/>
                <w:szCs w:val="14"/>
                <w:b w:val="1"/>
                <w:bCs w:val="1"/>
                <w:color w:val="auto"/>
                <w:w w:val="91"/>
              </w:rPr>
              <w:t>Amount (in thousands)</w:t>
            </w:r>
          </w:p>
        </w:tc>
      </w:tr>
      <w:tr>
        <w:trPr>
          <w:trHeight w:val="221"/>
        </w:trPr>
        <w:tc>
          <w:tcPr>
            <w:tcW w:w="3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State net operating losses</w:t>
            </w:r>
          </w:p>
        </w:tc>
        <w:tc>
          <w:tcPr>
            <w:tcW w:w="4580" w:type="dxa"/>
            <w:vAlign w:val="bottom"/>
            <w:shd w:val="clear" w:color="auto" w:fill="CCEEFF"/>
          </w:tcPr>
          <w:p>
            <w:pPr>
              <w:ind w:left="1900"/>
              <w:spacing w:after="0"/>
              <w:rPr>
                <w:sz w:val="20"/>
                <w:szCs w:val="20"/>
                <w:color w:val="auto"/>
              </w:rPr>
            </w:pPr>
            <w:r>
              <w:rPr>
                <w:rFonts w:ascii="Arial" w:cs="Arial" w:eastAsia="Arial" w:hAnsi="Arial"/>
                <w:sz w:val="17"/>
                <w:szCs w:val="17"/>
                <w:color w:val="auto"/>
              </w:rPr>
              <w:t>June 2025 to indefinite</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57,786</w:t>
            </w:r>
          </w:p>
        </w:tc>
      </w:tr>
      <w:tr>
        <w:trPr>
          <w:trHeight w:val="222"/>
        </w:trPr>
        <w:tc>
          <w:tcPr>
            <w:tcW w:w="3880" w:type="dxa"/>
            <w:vAlign w:val="bottom"/>
          </w:tcPr>
          <w:p>
            <w:pPr>
              <w:ind w:left="20"/>
              <w:spacing w:after="0"/>
              <w:rPr>
                <w:sz w:val="20"/>
                <w:szCs w:val="20"/>
                <w:color w:val="auto"/>
              </w:rPr>
            </w:pPr>
            <w:r>
              <w:rPr>
                <w:rFonts w:ascii="Arial" w:cs="Arial" w:eastAsia="Arial" w:hAnsi="Arial"/>
                <w:sz w:val="17"/>
                <w:szCs w:val="17"/>
                <w:color w:val="auto"/>
              </w:rPr>
              <w:t>Foreign net operating losses</w:t>
            </w:r>
          </w:p>
        </w:tc>
        <w:tc>
          <w:tcPr>
            <w:tcW w:w="4580" w:type="dxa"/>
            <w:vAlign w:val="bottom"/>
          </w:tcPr>
          <w:p>
            <w:pPr>
              <w:ind w:left="1900"/>
              <w:spacing w:after="0"/>
              <w:rPr>
                <w:sz w:val="20"/>
                <w:szCs w:val="20"/>
                <w:color w:val="auto"/>
              </w:rPr>
            </w:pPr>
            <w:r>
              <w:rPr>
                <w:rFonts w:ascii="Arial" w:cs="Arial" w:eastAsia="Arial" w:hAnsi="Arial"/>
                <w:sz w:val="17"/>
                <w:szCs w:val="17"/>
                <w:color w:val="auto"/>
              </w:rPr>
              <w:t>June 2029 to June 2041</w:t>
            </w:r>
          </w:p>
        </w:tc>
        <w:tc>
          <w:tcPr>
            <w:tcW w:w="1180" w:type="dxa"/>
            <w:vAlign w:val="bottom"/>
          </w:tcPr>
          <w:p>
            <w:pPr>
              <w:jc w:val="right"/>
              <w:spacing w:after="0"/>
              <w:rPr>
                <w:sz w:val="20"/>
                <w:szCs w:val="20"/>
                <w:color w:val="auto"/>
              </w:rPr>
            </w:pPr>
            <w:r>
              <w:rPr>
                <w:rFonts w:ascii="Arial" w:cs="Arial" w:eastAsia="Arial" w:hAnsi="Arial"/>
                <w:sz w:val="17"/>
                <w:szCs w:val="17"/>
                <w:color w:val="auto"/>
              </w:rPr>
              <w:t>$</w:t>
            </w:r>
          </w:p>
        </w:tc>
        <w:tc>
          <w:tcPr>
            <w:tcW w:w="1600" w:type="dxa"/>
            <w:vAlign w:val="bottom"/>
          </w:tcPr>
          <w:p>
            <w:pPr>
              <w:jc w:val="right"/>
              <w:spacing w:after="0"/>
              <w:rPr>
                <w:sz w:val="20"/>
                <w:szCs w:val="20"/>
                <w:color w:val="auto"/>
              </w:rPr>
            </w:pPr>
            <w:r>
              <w:rPr>
                <w:rFonts w:ascii="Arial" w:cs="Arial" w:eastAsia="Arial" w:hAnsi="Arial"/>
                <w:sz w:val="17"/>
                <w:szCs w:val="17"/>
                <w:color w:val="auto"/>
              </w:rPr>
              <w:t>33,242</w:t>
            </w:r>
          </w:p>
        </w:tc>
      </w:tr>
    </w:tbl>
    <w:p>
      <w:pPr>
        <w:spacing w:after="0" w:line="200" w:lineRule="exact"/>
        <w:rPr>
          <w:sz w:val="20"/>
          <w:szCs w:val="20"/>
          <w:color w:val="auto"/>
        </w:rPr>
      </w:pPr>
    </w:p>
    <w:p>
      <w:pPr>
        <w:sectPr>
          <w:pgSz w:w="11900" w:h="16838" w:orient="portrait"/>
          <w:cols w:equalWidth="0" w:num="1">
            <w:col w:w="11240"/>
          </w:cols>
          <w:pgMar w:left="320" w:top="357" w:right="339" w:bottom="1440" w:gutter="0" w:footer="0" w:header="0"/>
        </w:sect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78105</wp:posOffset>
            </wp:positionV>
            <wp:extent cx="716153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type w:val="continuous"/>
        </w:sectPr>
      </w:pPr>
    </w:p>
    <w:bookmarkStart w:id="72" w:name="page73"/>
    <w:bookmarkEnd w:id="72"/>
    <w:p>
      <w:pPr>
        <w:jc w:val="center"/>
        <w:spacing w:after="0"/>
        <w:rPr>
          <w:sz w:val="20"/>
          <w:szCs w:val="20"/>
          <w:color w:val="auto"/>
        </w:rPr>
      </w:pPr>
      <w:r>
        <w:rPr>
          <w:rFonts w:ascii="Arial" w:cs="Arial" w:eastAsia="Arial" w:hAnsi="Arial"/>
          <w:sz w:val="17"/>
          <w:szCs w:val="17"/>
          <w:b w:val="1"/>
          <w:bCs w:val="1"/>
          <w:color w:val="auto"/>
        </w:rPr>
        <w:t>Matrix Service Company</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8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Tax Credit Carryforwards</w:t>
            </w:r>
          </w:p>
        </w:tc>
        <w:tc>
          <w:tcPr>
            <w:tcW w:w="4640" w:type="dxa"/>
            <w:vAlign w:val="bottom"/>
            <w:tcBorders>
              <w:bottom w:val="single" w:sz="8" w:color="auto"/>
            </w:tcBorders>
          </w:tcPr>
          <w:p>
            <w:pPr>
              <w:ind w:left="1960"/>
              <w:spacing w:after="0"/>
              <w:rPr>
                <w:sz w:val="20"/>
                <w:szCs w:val="20"/>
                <w:color w:val="auto"/>
              </w:rPr>
            </w:pPr>
            <w:r>
              <w:rPr>
                <w:rFonts w:ascii="Arial" w:cs="Arial" w:eastAsia="Arial" w:hAnsi="Arial"/>
                <w:sz w:val="14"/>
                <w:szCs w:val="14"/>
                <w:b w:val="1"/>
                <w:bCs w:val="1"/>
                <w:color w:val="auto"/>
              </w:rPr>
              <w:t>Expiration Period</w:t>
            </w:r>
          </w:p>
        </w:tc>
        <w:tc>
          <w:tcPr>
            <w:tcW w:w="11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91"/>
              </w:rPr>
              <w:t>Amount (in thousands)</w:t>
            </w:r>
          </w:p>
        </w:tc>
      </w:tr>
      <w:tr>
        <w:trPr>
          <w:trHeight w:val="221"/>
        </w:trPr>
        <w:tc>
          <w:tcPr>
            <w:tcW w:w="3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State tax credits</w:t>
            </w:r>
          </w:p>
        </w:tc>
        <w:tc>
          <w:tcPr>
            <w:tcW w:w="4640" w:type="dxa"/>
            <w:vAlign w:val="bottom"/>
            <w:shd w:val="clear" w:color="auto" w:fill="CCEEFF"/>
          </w:tcPr>
          <w:p>
            <w:pPr>
              <w:ind w:left="1960"/>
              <w:spacing w:after="0"/>
              <w:rPr>
                <w:sz w:val="20"/>
                <w:szCs w:val="20"/>
                <w:color w:val="auto"/>
              </w:rPr>
            </w:pPr>
            <w:r>
              <w:rPr>
                <w:rFonts w:ascii="Arial" w:cs="Arial" w:eastAsia="Arial" w:hAnsi="Arial"/>
                <w:sz w:val="17"/>
                <w:szCs w:val="17"/>
                <w:color w:val="auto"/>
              </w:rPr>
              <w:t>June 2033 to indefinite</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578</w:t>
            </w:r>
          </w:p>
        </w:tc>
      </w:tr>
      <w:tr>
        <w:trPr>
          <w:trHeight w:val="223"/>
        </w:trPr>
        <w:tc>
          <w:tcPr>
            <w:tcW w:w="3820" w:type="dxa"/>
            <w:vAlign w:val="bottom"/>
          </w:tcPr>
          <w:p>
            <w:pPr>
              <w:ind w:left="20"/>
              <w:spacing w:after="0"/>
              <w:rPr>
                <w:sz w:val="20"/>
                <w:szCs w:val="20"/>
                <w:color w:val="auto"/>
              </w:rPr>
            </w:pPr>
            <w:r>
              <w:rPr>
                <w:rFonts w:ascii="Arial" w:cs="Arial" w:eastAsia="Arial" w:hAnsi="Arial"/>
                <w:sz w:val="17"/>
                <w:szCs w:val="17"/>
                <w:color w:val="auto"/>
              </w:rPr>
              <w:t>Federal tax credits</w:t>
            </w:r>
          </w:p>
        </w:tc>
        <w:tc>
          <w:tcPr>
            <w:tcW w:w="4640" w:type="dxa"/>
            <w:vAlign w:val="bottom"/>
          </w:tcPr>
          <w:p>
            <w:pPr>
              <w:ind w:left="1960"/>
              <w:spacing w:after="0"/>
              <w:rPr>
                <w:sz w:val="20"/>
                <w:szCs w:val="20"/>
                <w:color w:val="auto"/>
              </w:rPr>
            </w:pPr>
            <w:r>
              <w:rPr>
                <w:rFonts w:ascii="Arial" w:cs="Arial" w:eastAsia="Arial" w:hAnsi="Arial"/>
                <w:sz w:val="17"/>
                <w:szCs w:val="17"/>
                <w:color w:val="auto"/>
              </w:rPr>
              <w:t>June 2041</w:t>
            </w:r>
          </w:p>
        </w:tc>
        <w:tc>
          <w:tcPr>
            <w:tcW w:w="1180" w:type="dxa"/>
            <w:vAlign w:val="bottom"/>
          </w:tcPr>
          <w:p>
            <w:pPr>
              <w:jc w:val="right"/>
              <w:spacing w:after="0"/>
              <w:rPr>
                <w:sz w:val="20"/>
                <w:szCs w:val="20"/>
                <w:color w:val="auto"/>
              </w:rPr>
            </w:pPr>
            <w:r>
              <w:rPr>
                <w:rFonts w:ascii="Arial" w:cs="Arial" w:eastAsia="Arial" w:hAnsi="Arial"/>
                <w:sz w:val="17"/>
                <w:szCs w:val="17"/>
                <w:color w:val="auto"/>
              </w:rPr>
              <w:t>$</w:t>
            </w:r>
          </w:p>
        </w:tc>
        <w:tc>
          <w:tcPr>
            <w:tcW w:w="1600" w:type="dxa"/>
            <w:vAlign w:val="bottom"/>
          </w:tcPr>
          <w:p>
            <w:pPr>
              <w:jc w:val="right"/>
              <w:spacing w:after="0"/>
              <w:rPr>
                <w:sz w:val="20"/>
                <w:szCs w:val="20"/>
                <w:color w:val="auto"/>
              </w:rPr>
            </w:pPr>
            <w:r>
              <w:rPr>
                <w:rFonts w:ascii="Arial" w:cs="Arial" w:eastAsia="Arial" w:hAnsi="Arial"/>
                <w:sz w:val="17"/>
                <w:szCs w:val="17"/>
                <w:color w:val="auto"/>
              </w:rPr>
              <w:t>1,087</w:t>
            </w:r>
          </w:p>
        </w:tc>
      </w:tr>
      <w:tr>
        <w:trPr>
          <w:trHeight w:val="223"/>
        </w:trPr>
        <w:tc>
          <w:tcPr>
            <w:tcW w:w="3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Federal foreign tax credits</w:t>
            </w:r>
          </w:p>
        </w:tc>
        <w:tc>
          <w:tcPr>
            <w:tcW w:w="4640" w:type="dxa"/>
            <w:vAlign w:val="bottom"/>
            <w:shd w:val="clear" w:color="auto" w:fill="CCEEFF"/>
          </w:tcPr>
          <w:p>
            <w:pPr>
              <w:ind w:left="1960"/>
              <w:spacing w:after="0"/>
              <w:rPr>
                <w:sz w:val="20"/>
                <w:szCs w:val="20"/>
                <w:color w:val="auto"/>
              </w:rPr>
            </w:pPr>
            <w:r>
              <w:rPr>
                <w:rFonts w:ascii="Arial" w:cs="Arial" w:eastAsia="Arial" w:hAnsi="Arial"/>
                <w:sz w:val="17"/>
                <w:szCs w:val="17"/>
                <w:color w:val="auto"/>
              </w:rPr>
              <w:t>June 2023 to June 2025</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655</w:t>
            </w:r>
          </w:p>
        </w:tc>
      </w:tr>
      <w:tr>
        <w:trPr>
          <w:trHeight w:val="222"/>
        </w:trPr>
        <w:tc>
          <w:tcPr>
            <w:tcW w:w="3820" w:type="dxa"/>
            <w:vAlign w:val="bottom"/>
          </w:tcPr>
          <w:p>
            <w:pPr>
              <w:ind w:left="20"/>
              <w:spacing w:after="0"/>
              <w:rPr>
                <w:sz w:val="20"/>
                <w:szCs w:val="20"/>
                <w:color w:val="auto"/>
              </w:rPr>
            </w:pPr>
            <w:r>
              <w:rPr>
                <w:rFonts w:ascii="Arial" w:cs="Arial" w:eastAsia="Arial" w:hAnsi="Arial"/>
                <w:sz w:val="17"/>
                <w:szCs w:val="17"/>
                <w:color w:val="auto"/>
              </w:rPr>
              <w:t>Foreign tax credits</w:t>
            </w:r>
          </w:p>
        </w:tc>
        <w:tc>
          <w:tcPr>
            <w:tcW w:w="4640" w:type="dxa"/>
            <w:vAlign w:val="bottom"/>
          </w:tcPr>
          <w:p>
            <w:pPr>
              <w:ind w:left="1960"/>
              <w:spacing w:after="0"/>
              <w:rPr>
                <w:sz w:val="20"/>
                <w:szCs w:val="20"/>
                <w:color w:val="auto"/>
              </w:rPr>
            </w:pPr>
            <w:r>
              <w:rPr>
                <w:rFonts w:ascii="Arial" w:cs="Arial" w:eastAsia="Arial" w:hAnsi="Arial"/>
                <w:sz w:val="17"/>
                <w:szCs w:val="17"/>
                <w:color w:val="auto"/>
              </w:rPr>
              <w:t>June 2035 to June 2041</w:t>
            </w:r>
          </w:p>
        </w:tc>
        <w:tc>
          <w:tcPr>
            <w:tcW w:w="1180" w:type="dxa"/>
            <w:vAlign w:val="bottom"/>
          </w:tcPr>
          <w:p>
            <w:pPr>
              <w:jc w:val="right"/>
              <w:spacing w:after="0"/>
              <w:rPr>
                <w:sz w:val="20"/>
                <w:szCs w:val="20"/>
                <w:color w:val="auto"/>
              </w:rPr>
            </w:pPr>
            <w:r>
              <w:rPr>
                <w:rFonts w:ascii="Arial" w:cs="Arial" w:eastAsia="Arial" w:hAnsi="Arial"/>
                <w:sz w:val="17"/>
                <w:szCs w:val="17"/>
                <w:color w:val="auto"/>
              </w:rPr>
              <w:t>$</w:t>
            </w:r>
          </w:p>
        </w:tc>
        <w:tc>
          <w:tcPr>
            <w:tcW w:w="1600" w:type="dxa"/>
            <w:vAlign w:val="bottom"/>
          </w:tcPr>
          <w:p>
            <w:pPr>
              <w:jc w:val="right"/>
              <w:spacing w:after="0"/>
              <w:rPr>
                <w:sz w:val="20"/>
                <w:szCs w:val="20"/>
                <w:color w:val="auto"/>
              </w:rPr>
            </w:pPr>
            <w:r>
              <w:rPr>
                <w:rFonts w:ascii="Arial" w:cs="Arial" w:eastAsia="Arial" w:hAnsi="Arial"/>
                <w:sz w:val="17"/>
                <w:szCs w:val="17"/>
                <w:color w:val="auto"/>
              </w:rPr>
              <w:t>687</w:t>
            </w:r>
          </w:p>
        </w:tc>
      </w:tr>
    </w:tbl>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w:t>
      </w:r>
    </w:p>
    <w:p>
      <w:pPr>
        <w:spacing w:after="0" w:line="172"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In general, it is our practice and intention to reinvest the earnings of our foreign subsidiaries in our foreign operations. We do not provide for outside basis differences under the indefinite reinvestment assertion of ASC 740-30.</w:t>
      </w:r>
    </w:p>
    <w:p>
      <w:pPr>
        <w:spacing w:after="0" w:line="106"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We file tax returns in multiple domestic and foreign taxing jurisdictions. With a few exceptions, we are no longer subject to examination by taxing authorities through fiscal 2016. At June 30, 2021, we updated our evaluation of our open tax years in all known jurisdictions. As of June 30, 2021, we have a $0.3 million liability for unrecognized tax positions and the payment of related interest and penalties. We treat the related interest and penalties as income tax expense. Due to the uncertainties related to these tax matters, we are unable to make a reasonably reliable estimate as to when cash settlement with a taxing authority will occur.</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7—Commitments and Contingencies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Insurance Reserves</w:t>
      </w:r>
    </w:p>
    <w:p>
      <w:pPr>
        <w:spacing w:after="0" w:line="172"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We maintain insurance coverage for various aspects of our operations. However, exposure to potential losses is retained through the use of deductibles, self-insured retentions and coverage limits.</w:t>
      </w:r>
    </w:p>
    <w:p>
      <w:pPr>
        <w:spacing w:after="0" w:line="106"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Typically our contracts require us to indemnify our customers for injury, damage or loss arising from the performance of our services and provide warranties for materials and workmanship. We may also be required to name the customer as an additional insured up to the limits of insurance available, or we may be required to purchase special insurance policies or surety bonds for specific customers or provide letters of credit in lieu of bonds to satisfy performance and financial guarantees on some projects. We maintain a performance and payment bonding line sufficient to support the business. We generally require our subcontractors to indemnify us and our customer and name us as an additional insured for activities arising out of the subcontractors’ work. We also require certain subcontractors to provide additional insurance policies, including surety bonds in favor of us, to secure the subcontractors’ work or as required by the subcontract.</w:t>
      </w:r>
    </w:p>
    <w:p>
      <w:pPr>
        <w:spacing w:after="0" w:line="132"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There can be no assurance that our insurance and the additional insurance coverage provided by our subcontractors will fully protect us against a valid claim or loss under the contracts with our customers.</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Unpriced Change Orders and Claims</w:t>
      </w:r>
    </w:p>
    <w:p>
      <w:pPr>
        <w:spacing w:after="0" w:line="17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As of June 30, 2021 and June 30, 2020, costs and estimated earnings in excess of billings on uncompleted contracts included revenue for unpriced change orders and claims of $14.6 million and $14.5 million, respectively. The amounts ultimately realized may be significantly different than the recorded amounts resulting in a material adjustment to future earnings. Generally we expect collection of amounts related to unpriced change orders and claims within twelve months. However, customers may not pay these amounts until final resolution of related claims, which may extend beyond one year.</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w:t>
      </w:r>
    </w:p>
    <w:p>
      <w:pPr>
        <w:spacing w:after="0" w:line="17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During the fourth quarter of fiscal 2021, we settled a contract dispute over the construction of a crude oil terminal, which resulted in a reduction of gross profit of $2.9 million. The settlement resulted in a cash receipt of $8.9 million in the first quarter of fiscal 2022, which enabled us to avoid future legal costs and litigation risk.</w:t>
      </w:r>
    </w:p>
    <w:p>
      <w:pPr>
        <w:spacing w:after="0" w:line="120"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During the third quarter of fiscal 2020, we commenced litigation in an effort to collect accounts receivable from an iron and steel customer following the deterioration of the relationship in the second quarter of fiscal 2020. The unpaid receivable balance at June 30, 2021 was $17.0 million. Litigation is unpredictable, however, based on the terms of the contract with this customer, we believe we are entitled to collect the full amount owed under the contract.</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73" w:name="page74"/>
    <w:bookmarkEnd w:id="73"/>
    <w:p>
      <w:pPr>
        <w:jc w:val="center"/>
        <w:spacing w:after="0"/>
        <w:rPr>
          <w:sz w:val="20"/>
          <w:szCs w:val="20"/>
          <w:color w:val="auto"/>
        </w:rPr>
      </w:pPr>
      <w:r>
        <w:rPr>
          <w:rFonts w:ascii="Arial" w:cs="Arial" w:eastAsia="Arial" w:hAnsi="Arial"/>
          <w:sz w:val="17"/>
          <w:szCs w:val="17"/>
          <w:b w:val="1"/>
          <w:bCs w:val="1"/>
          <w:color w:val="auto"/>
        </w:rPr>
        <w:t>Matrix Service Company</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spacing w:after="0" w:line="360" w:lineRule="auto"/>
        <w:rPr>
          <w:sz w:val="20"/>
          <w:szCs w:val="20"/>
          <w:color w:val="auto"/>
        </w:rPr>
      </w:pPr>
      <w:r>
        <w:rPr>
          <w:rFonts w:ascii="Arial" w:cs="Arial" w:eastAsia="Arial" w:hAnsi="Arial"/>
          <w:sz w:val="15"/>
          <w:szCs w:val="15"/>
          <w:color w:val="auto"/>
        </w:rPr>
        <w:t>We and our subsidiaries are participants in various legal actions. It is the opinion of management that none of the other known legal actions, including a contract dispute with a customer involving the construction of a crude terminal, will have a material impact on our financial position, results of operations or liquidity.</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8— Leases</w:t>
      </w:r>
    </w:p>
    <w:p>
      <w:pPr>
        <w:spacing w:after="0" w:line="17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enter into lease arrangements for real estate, construction equipment and information technology equipment in the normal course of business. Real estate leases accounted for approximately 94% of all right-of-use assets as of June 30, 2021. Most real estate and information technology equipment leases generally have fixed payments that follow an agreed upon payment schedule and have remaining lease terms ranging from less than a year to 15 years. Construction equipment leases generally have "month-to-month" lease terms that automatically renew as long as the equipment remains in use.</w:t>
      </w:r>
    </w:p>
    <w:p>
      <w:pPr>
        <w:spacing w:after="0" w:line="186"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We recorded $0.5 million of impairments to right-of-use assets related to leased office space that was closed in connection with our restructuring activities, see Note 14 – Restructuring Costs for additional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The components of lease expense in the Consolidated Statements of Income are as follows: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300" w:type="dxa"/>
            <w:vAlign w:val="bottom"/>
          </w:tcPr>
          <w:p>
            <w:pPr>
              <w:spacing w:after="0"/>
              <w:rPr>
                <w:sz w:val="16"/>
                <w:szCs w:val="16"/>
                <w:color w:val="auto"/>
              </w:rPr>
            </w:pPr>
          </w:p>
        </w:tc>
        <w:tc>
          <w:tcPr>
            <w:tcW w:w="502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0"/>
              </w:rPr>
              <w:t>Fiscal Years Ended</w:t>
            </w:r>
          </w:p>
        </w:tc>
        <w:tc>
          <w:tcPr>
            <w:tcW w:w="13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30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 2021</w:t>
            </w:r>
          </w:p>
        </w:tc>
        <w:tc>
          <w:tcPr>
            <w:tcW w:w="5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w w:val="90"/>
              </w:rPr>
              <w:t>June 30, 2020</w:t>
            </w:r>
          </w:p>
        </w:tc>
        <w:tc>
          <w:tcPr>
            <w:tcW w:w="0" w:type="dxa"/>
            <w:vAlign w:val="bottom"/>
          </w:tcPr>
          <w:p>
            <w:pPr>
              <w:spacing w:after="0"/>
              <w:rPr>
                <w:sz w:val="1"/>
                <w:szCs w:val="1"/>
                <w:color w:val="auto"/>
              </w:rPr>
            </w:pPr>
          </w:p>
        </w:tc>
      </w:tr>
      <w:tr>
        <w:trPr>
          <w:trHeight w:val="175"/>
        </w:trPr>
        <w:tc>
          <w:tcPr>
            <w:tcW w:w="2300" w:type="dxa"/>
            <w:vAlign w:val="bottom"/>
          </w:tcPr>
          <w:p>
            <w:pPr>
              <w:ind w:left="20"/>
              <w:spacing w:after="0"/>
              <w:rPr>
                <w:sz w:val="20"/>
                <w:szCs w:val="20"/>
                <w:color w:val="auto"/>
              </w:rPr>
            </w:pPr>
            <w:r>
              <w:rPr>
                <w:rFonts w:ascii="Arial" w:cs="Arial" w:eastAsia="Arial" w:hAnsi="Arial"/>
                <w:sz w:val="14"/>
                <w:szCs w:val="14"/>
                <w:b w:val="1"/>
                <w:bCs w:val="1"/>
                <w:color w:val="auto"/>
              </w:rPr>
              <w:t>Lease expense</w:t>
            </w:r>
          </w:p>
        </w:tc>
        <w:tc>
          <w:tcPr>
            <w:tcW w:w="5020" w:type="dxa"/>
            <w:vAlign w:val="bottom"/>
          </w:tcPr>
          <w:p>
            <w:pPr>
              <w:ind w:left="900"/>
              <w:spacing w:after="0"/>
              <w:rPr>
                <w:sz w:val="20"/>
                <w:szCs w:val="20"/>
                <w:color w:val="auto"/>
              </w:rPr>
            </w:pPr>
            <w:r>
              <w:rPr>
                <w:rFonts w:ascii="Arial" w:cs="Arial" w:eastAsia="Arial" w:hAnsi="Arial"/>
                <w:sz w:val="14"/>
                <w:szCs w:val="14"/>
                <w:b w:val="1"/>
                <w:bCs w:val="1"/>
                <w:color w:val="auto"/>
              </w:rPr>
              <w:t>Location of Expense in Consolidated Statements of Income</w:t>
            </w:r>
          </w:p>
        </w:tc>
        <w:tc>
          <w:tcPr>
            <w:tcW w:w="1360" w:type="dxa"/>
            <w:vAlign w:val="bottom"/>
          </w:tcPr>
          <w:p>
            <w:pPr>
              <w:spacing w:after="0"/>
              <w:rPr>
                <w:sz w:val="15"/>
                <w:szCs w:val="15"/>
                <w:color w:val="auto"/>
              </w:rPr>
            </w:pPr>
          </w:p>
        </w:tc>
        <w:tc>
          <w:tcPr>
            <w:tcW w:w="1180" w:type="dxa"/>
            <w:vAlign w:val="bottom"/>
            <w:gridSpan w:val="3"/>
          </w:tcPr>
          <w:p>
            <w:pPr>
              <w:jc w:val="right"/>
              <w:ind w:right="93"/>
              <w:spacing w:after="0"/>
              <w:rPr>
                <w:sz w:val="20"/>
                <w:szCs w:val="20"/>
                <w:color w:val="auto"/>
              </w:rPr>
            </w:pPr>
            <w:r>
              <w:rPr>
                <w:rFonts w:ascii="Arial" w:cs="Arial" w:eastAsia="Arial" w:hAnsi="Arial"/>
                <w:sz w:val="14"/>
                <w:szCs w:val="14"/>
                <w:color w:val="auto"/>
              </w:rPr>
              <w:t>(in thousands)</w:t>
            </w: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300" w:type="dxa"/>
            <w:vAlign w:val="bottom"/>
            <w:shd w:val="clear" w:color="auto" w:fill="CCEEFF"/>
          </w:tcPr>
          <w:p>
            <w:pPr>
              <w:ind w:left="20"/>
              <w:spacing w:after="0" w:line="174" w:lineRule="exact"/>
              <w:rPr>
                <w:sz w:val="20"/>
                <w:szCs w:val="20"/>
                <w:color w:val="auto"/>
              </w:rPr>
            </w:pPr>
            <w:r>
              <w:rPr>
                <w:rFonts w:ascii="Arial" w:cs="Arial" w:eastAsia="Arial" w:hAnsi="Arial"/>
                <w:sz w:val="17"/>
                <w:szCs w:val="17"/>
                <w:color w:val="auto"/>
              </w:rPr>
              <w:t>Operating lease expense</w:t>
            </w:r>
          </w:p>
        </w:tc>
        <w:tc>
          <w:tcPr>
            <w:tcW w:w="5020" w:type="dxa"/>
            <w:vAlign w:val="bottom"/>
            <w:shd w:val="clear" w:color="auto" w:fill="CCEEFF"/>
          </w:tcPr>
          <w:p>
            <w:pPr>
              <w:ind w:left="400"/>
              <w:spacing w:after="0" w:line="174" w:lineRule="exact"/>
              <w:rPr>
                <w:sz w:val="20"/>
                <w:szCs w:val="20"/>
                <w:color w:val="auto"/>
              </w:rPr>
            </w:pPr>
            <w:r>
              <w:rPr>
                <w:rFonts w:ascii="Arial" w:cs="Arial" w:eastAsia="Arial" w:hAnsi="Arial"/>
                <w:sz w:val="17"/>
                <w:szCs w:val="17"/>
                <w:color w:val="auto"/>
              </w:rPr>
              <w:t>Cost of revenue and selling, general and administrative</w:t>
            </w:r>
          </w:p>
        </w:tc>
        <w:tc>
          <w:tcPr>
            <w:tcW w:w="1360" w:type="dxa"/>
            <w:vAlign w:val="bottom"/>
            <w:vMerge w:val="restart"/>
            <w:shd w:val="clear" w:color="auto" w:fill="CCEEFF"/>
          </w:tcPr>
          <w:p>
            <w:pPr>
              <w:jc w:val="right"/>
              <w:ind w:right="1178"/>
              <w:spacing w:after="0"/>
              <w:rPr>
                <w:sz w:val="20"/>
                <w:szCs w:val="20"/>
                <w:color w:val="auto"/>
              </w:rPr>
            </w:pPr>
            <w:r>
              <w:rPr>
                <w:rFonts w:ascii="Arial" w:cs="Arial" w:eastAsia="Arial" w:hAnsi="Arial"/>
                <w:sz w:val="17"/>
                <w:szCs w:val="17"/>
                <w:color w:val="auto"/>
                <w:w w:val="84"/>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8,386</w:t>
            </w:r>
          </w:p>
        </w:tc>
        <w:tc>
          <w:tcPr>
            <w:tcW w:w="80" w:type="dxa"/>
            <w:vAlign w:val="bottom"/>
            <w:shd w:val="clear" w:color="auto" w:fill="CCEEFF"/>
          </w:tcPr>
          <w:p>
            <w:pPr>
              <w:spacing w:after="0"/>
              <w:rPr>
                <w:sz w:val="15"/>
                <w:szCs w:val="15"/>
                <w:color w:val="auto"/>
              </w:rPr>
            </w:pPr>
          </w:p>
        </w:tc>
        <w:tc>
          <w:tcPr>
            <w:tcW w:w="540" w:type="dxa"/>
            <w:vAlign w:val="bottom"/>
            <w:vMerge w:val="restart"/>
            <w:shd w:val="clear" w:color="auto" w:fill="CCEEFF"/>
          </w:tcPr>
          <w:p>
            <w:pPr>
              <w:jc w:val="right"/>
              <w:ind w:right="333"/>
              <w:spacing w:after="0"/>
              <w:rPr>
                <w:sz w:val="20"/>
                <w:szCs w:val="20"/>
                <w:color w:val="auto"/>
              </w:rPr>
            </w:pPr>
            <w:r>
              <w:rPr>
                <w:rFonts w:ascii="Arial" w:cs="Arial" w:eastAsia="Arial" w:hAnsi="Arial"/>
                <w:sz w:val="17"/>
                <w:szCs w:val="17"/>
                <w:color w:val="auto"/>
              </w:rPr>
              <w:t>$</w:t>
            </w: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12,274</w:t>
            </w:r>
          </w:p>
        </w:tc>
        <w:tc>
          <w:tcPr>
            <w:tcW w:w="0" w:type="dxa"/>
            <w:vAlign w:val="bottom"/>
          </w:tcPr>
          <w:p>
            <w:pPr>
              <w:spacing w:after="0"/>
              <w:rPr>
                <w:sz w:val="1"/>
                <w:szCs w:val="1"/>
                <w:color w:val="auto"/>
              </w:rPr>
            </w:pPr>
          </w:p>
        </w:tc>
      </w:tr>
      <w:tr>
        <w:trPr>
          <w:trHeight w:val="222"/>
        </w:trPr>
        <w:tc>
          <w:tcPr>
            <w:tcW w:w="2300" w:type="dxa"/>
            <w:vAlign w:val="bottom"/>
            <w:shd w:val="clear" w:color="auto" w:fill="CCEEFF"/>
          </w:tcPr>
          <w:p>
            <w:pPr>
              <w:spacing w:after="0"/>
              <w:rPr>
                <w:sz w:val="19"/>
                <w:szCs w:val="19"/>
                <w:color w:val="auto"/>
              </w:rPr>
            </w:pPr>
          </w:p>
        </w:tc>
        <w:tc>
          <w:tcPr>
            <w:tcW w:w="5020" w:type="dxa"/>
            <w:vAlign w:val="bottom"/>
            <w:shd w:val="clear" w:color="auto" w:fill="CCEEFF"/>
          </w:tcPr>
          <w:p>
            <w:pPr>
              <w:ind w:left="400"/>
              <w:spacing w:after="0"/>
              <w:rPr>
                <w:sz w:val="20"/>
                <w:szCs w:val="20"/>
                <w:color w:val="auto"/>
              </w:rPr>
            </w:pPr>
            <w:r>
              <w:rPr>
                <w:rFonts w:ascii="Arial" w:cs="Arial" w:eastAsia="Arial" w:hAnsi="Arial"/>
                <w:sz w:val="17"/>
                <w:szCs w:val="17"/>
                <w:color w:val="auto"/>
              </w:rPr>
              <w:t>expenses</w:t>
            </w:r>
          </w:p>
        </w:tc>
        <w:tc>
          <w:tcPr>
            <w:tcW w:w="1360" w:type="dxa"/>
            <w:vAlign w:val="bottom"/>
            <w:vMerge w:val="continue"/>
            <w:shd w:val="clear" w:color="auto" w:fill="CCEEFF"/>
          </w:tcPr>
          <w:p>
            <w:pPr>
              <w:spacing w:after="0"/>
              <w:rPr>
                <w:sz w:val="19"/>
                <w:szCs w:val="19"/>
                <w:color w:val="auto"/>
              </w:rPr>
            </w:pPr>
          </w:p>
        </w:tc>
        <w:tc>
          <w:tcPr>
            <w:tcW w:w="5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vMerge w:val="continue"/>
            <w:shd w:val="clear" w:color="auto" w:fill="CCEEFF"/>
          </w:tcPr>
          <w:p>
            <w:pPr>
              <w:spacing w:after="0"/>
              <w:rPr>
                <w:sz w:val="19"/>
                <w:szCs w:val="19"/>
                <w:color w:val="auto"/>
              </w:rPr>
            </w:pPr>
          </w:p>
        </w:tc>
        <w:tc>
          <w:tcPr>
            <w:tcW w:w="13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00" w:type="dxa"/>
            <w:vAlign w:val="bottom"/>
            <w:tcBorders>
              <w:bottom w:val="single" w:sz="8" w:color="CCEEFF"/>
            </w:tcBorders>
          </w:tcPr>
          <w:p>
            <w:pPr>
              <w:ind w:left="20"/>
              <w:spacing w:after="0" w:line="223" w:lineRule="exact"/>
              <w:rPr>
                <w:sz w:val="20"/>
                <w:szCs w:val="20"/>
                <w:color w:val="auto"/>
              </w:rPr>
            </w:pPr>
            <w:r>
              <w:rPr>
                <w:rFonts w:ascii="Arial" w:cs="Arial" w:eastAsia="Arial" w:hAnsi="Arial"/>
                <w:sz w:val="17"/>
                <w:szCs w:val="17"/>
                <w:color w:val="auto"/>
              </w:rPr>
              <w:t>Short-term lease expense</w:t>
            </w:r>
            <w:r>
              <w:rPr>
                <w:rFonts w:ascii="Arial" w:cs="Arial" w:eastAsia="Arial" w:hAnsi="Arial"/>
                <w:sz w:val="22"/>
                <w:szCs w:val="22"/>
                <w:color w:val="auto"/>
                <w:vertAlign w:val="superscript"/>
              </w:rPr>
              <w:t>(1)</w:t>
            </w:r>
          </w:p>
        </w:tc>
        <w:tc>
          <w:tcPr>
            <w:tcW w:w="5020" w:type="dxa"/>
            <w:vAlign w:val="bottom"/>
            <w:tcBorders>
              <w:bottom w:val="single" w:sz="8" w:color="CCEEFF"/>
            </w:tcBorders>
          </w:tcPr>
          <w:p>
            <w:pPr>
              <w:ind w:left="400"/>
              <w:spacing w:after="0"/>
              <w:rPr>
                <w:sz w:val="20"/>
                <w:szCs w:val="20"/>
                <w:color w:val="auto"/>
              </w:rPr>
            </w:pPr>
            <w:r>
              <w:rPr>
                <w:rFonts w:ascii="Arial" w:cs="Arial" w:eastAsia="Arial" w:hAnsi="Arial"/>
                <w:sz w:val="17"/>
                <w:szCs w:val="17"/>
                <w:color w:val="auto"/>
              </w:rPr>
              <w:t>Cost of revenue</w:t>
            </w:r>
          </w:p>
        </w:tc>
        <w:tc>
          <w:tcPr>
            <w:tcW w:w="13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8"/>
              </w:rPr>
              <w:t>25,912</w:t>
            </w:r>
          </w:p>
        </w:tc>
        <w:tc>
          <w:tcPr>
            <w:tcW w:w="8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37,371</w:t>
            </w:r>
          </w:p>
        </w:tc>
        <w:tc>
          <w:tcPr>
            <w:tcW w:w="0" w:type="dxa"/>
            <w:vAlign w:val="bottom"/>
          </w:tcPr>
          <w:p>
            <w:pPr>
              <w:spacing w:after="0"/>
              <w:rPr>
                <w:sz w:val="1"/>
                <w:szCs w:val="1"/>
                <w:color w:val="auto"/>
              </w:rPr>
            </w:pPr>
          </w:p>
        </w:tc>
      </w:tr>
      <w:tr>
        <w:trPr>
          <w:trHeight w:val="241"/>
        </w:trPr>
        <w:tc>
          <w:tcPr>
            <w:tcW w:w="2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lease expense</w:t>
            </w:r>
          </w:p>
        </w:tc>
        <w:tc>
          <w:tcPr>
            <w:tcW w:w="50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ind w:right="1178"/>
              <w:spacing w:after="0"/>
              <w:rPr>
                <w:sz w:val="20"/>
                <w:szCs w:val="20"/>
                <w:color w:val="auto"/>
              </w:rPr>
            </w:pPr>
            <w:r>
              <w:rPr>
                <w:rFonts w:ascii="Arial" w:cs="Arial" w:eastAsia="Arial" w:hAnsi="Arial"/>
                <w:sz w:val="17"/>
                <w:szCs w:val="17"/>
                <w:color w:val="auto"/>
                <w:w w:val="84"/>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8"/>
              </w:rPr>
              <w:t>34,298</w:t>
            </w:r>
          </w:p>
        </w:tc>
        <w:tc>
          <w:tcPr>
            <w:tcW w:w="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33"/>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49,645</w:t>
            </w:r>
          </w:p>
        </w:tc>
        <w:tc>
          <w:tcPr>
            <w:tcW w:w="0" w:type="dxa"/>
            <w:vAlign w:val="bottom"/>
          </w:tcPr>
          <w:p>
            <w:pPr>
              <w:spacing w:after="0"/>
              <w:rPr>
                <w:sz w:val="1"/>
                <w:szCs w:val="1"/>
                <w:color w:val="auto"/>
              </w:rPr>
            </w:pP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50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291465</wp:posOffset>
            </wp:positionV>
            <wp:extent cx="79946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99465" cy="8255"/>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ind w:left="540" w:hanging="299"/>
        <w:spacing w:after="0"/>
        <w:tabs>
          <w:tab w:leader="none" w:pos="5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Primarily represents the lease expense of construction equipment that is subject to month-to-month rental agreements with expected rental durations of less than one year.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520"/>
        <w:spacing w:after="0" w:line="289" w:lineRule="auto"/>
        <w:rPr>
          <w:sz w:val="20"/>
          <w:szCs w:val="20"/>
          <w:color w:val="auto"/>
        </w:rPr>
      </w:pPr>
      <w:r>
        <w:rPr>
          <w:rFonts w:ascii="Arial" w:cs="Arial" w:eastAsia="Arial" w:hAnsi="Arial"/>
          <w:sz w:val="17"/>
          <w:szCs w:val="17"/>
          <w:color w:val="auto"/>
        </w:rPr>
        <w:t>The future undiscounted lease payments, as reconciled to the discounted operating lease liabilities presented in our Consolidated Balance Sheets, were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4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June 30, 2021</w:t>
            </w:r>
          </w:p>
        </w:tc>
      </w:tr>
      <w:tr>
        <w:trPr>
          <w:trHeight w:val="210"/>
        </w:trPr>
        <w:tc>
          <w:tcPr>
            <w:tcW w:w="9480" w:type="dxa"/>
            <w:vAlign w:val="bottom"/>
            <w:tcBorders>
              <w:bottom w:val="single" w:sz="8" w:color="CCEEFF"/>
            </w:tcBorders>
          </w:tcPr>
          <w:p>
            <w:pPr>
              <w:ind w:left="20"/>
              <w:spacing w:after="0"/>
              <w:rPr>
                <w:sz w:val="20"/>
                <w:szCs w:val="20"/>
                <w:color w:val="auto"/>
              </w:rPr>
            </w:pPr>
            <w:r>
              <w:rPr>
                <w:rFonts w:ascii="Arial" w:cs="Arial" w:eastAsia="Arial" w:hAnsi="Arial"/>
                <w:sz w:val="17"/>
                <w:szCs w:val="17"/>
                <w:b w:val="1"/>
                <w:bCs w:val="1"/>
                <w:color w:val="auto"/>
              </w:rPr>
              <w:t>Maturity Analysis:</w:t>
            </w:r>
          </w:p>
        </w:tc>
        <w:tc>
          <w:tcPr>
            <w:tcW w:w="3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color w:val="auto"/>
              </w:rPr>
              <w:t>(in thousands)</w:t>
            </w:r>
          </w:p>
        </w:tc>
      </w:tr>
      <w:tr>
        <w:trPr>
          <w:trHeight w:val="216"/>
        </w:trPr>
        <w:tc>
          <w:tcPr>
            <w:tcW w:w="9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Fiscal 2022</w:t>
            </w:r>
          </w:p>
        </w:tc>
        <w:tc>
          <w:tcPr>
            <w:tcW w:w="30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6,548</w:t>
            </w:r>
          </w:p>
        </w:tc>
      </w:tr>
      <w:tr>
        <w:trPr>
          <w:trHeight w:val="223"/>
        </w:trPr>
        <w:tc>
          <w:tcPr>
            <w:tcW w:w="9480" w:type="dxa"/>
            <w:vAlign w:val="bottom"/>
          </w:tcPr>
          <w:p>
            <w:pPr>
              <w:ind w:left="20"/>
              <w:spacing w:after="0"/>
              <w:rPr>
                <w:sz w:val="20"/>
                <w:szCs w:val="20"/>
                <w:color w:val="auto"/>
              </w:rPr>
            </w:pPr>
            <w:r>
              <w:rPr>
                <w:rFonts w:ascii="Arial" w:cs="Arial" w:eastAsia="Arial" w:hAnsi="Arial"/>
                <w:sz w:val="17"/>
                <w:szCs w:val="17"/>
                <w:color w:val="auto"/>
              </w:rPr>
              <w:t>Fiscal 2023</w:t>
            </w: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4,684</w:t>
            </w:r>
          </w:p>
        </w:tc>
      </w:tr>
      <w:tr>
        <w:trPr>
          <w:trHeight w:val="223"/>
        </w:trPr>
        <w:tc>
          <w:tcPr>
            <w:tcW w:w="9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Fiscal 2024</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3,600</w:t>
            </w:r>
          </w:p>
        </w:tc>
      </w:tr>
      <w:tr>
        <w:trPr>
          <w:trHeight w:val="223"/>
        </w:trPr>
        <w:tc>
          <w:tcPr>
            <w:tcW w:w="9480" w:type="dxa"/>
            <w:vAlign w:val="bottom"/>
          </w:tcPr>
          <w:p>
            <w:pPr>
              <w:ind w:left="20"/>
              <w:spacing w:after="0"/>
              <w:rPr>
                <w:sz w:val="20"/>
                <w:szCs w:val="20"/>
                <w:color w:val="auto"/>
              </w:rPr>
            </w:pPr>
            <w:r>
              <w:rPr>
                <w:rFonts w:ascii="Arial" w:cs="Arial" w:eastAsia="Arial" w:hAnsi="Arial"/>
                <w:sz w:val="17"/>
                <w:szCs w:val="17"/>
                <w:color w:val="auto"/>
              </w:rPr>
              <w:t>Fiscal 2025</w:t>
            </w: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3,143</w:t>
            </w:r>
          </w:p>
        </w:tc>
      </w:tr>
      <w:tr>
        <w:trPr>
          <w:trHeight w:val="223"/>
        </w:trPr>
        <w:tc>
          <w:tcPr>
            <w:tcW w:w="9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Fiscal 2026</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2,866</w:t>
            </w:r>
          </w:p>
        </w:tc>
      </w:tr>
      <w:tr>
        <w:trPr>
          <w:trHeight w:val="223"/>
        </w:trPr>
        <w:tc>
          <w:tcPr>
            <w:tcW w:w="94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Thereafter</w:t>
            </w:r>
          </w:p>
        </w:tc>
        <w:tc>
          <w:tcPr>
            <w:tcW w:w="3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11,224</w:t>
            </w:r>
          </w:p>
        </w:tc>
      </w:tr>
      <w:tr>
        <w:trPr>
          <w:trHeight w:val="216"/>
        </w:trPr>
        <w:tc>
          <w:tcPr>
            <w:tcW w:w="9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future operating lease payments</w:t>
            </w:r>
          </w:p>
        </w:tc>
        <w:tc>
          <w:tcPr>
            <w:tcW w:w="3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32,065</w:t>
            </w:r>
          </w:p>
        </w:tc>
      </w:tr>
      <w:tr>
        <w:trPr>
          <w:trHeight w:val="223"/>
        </w:trPr>
        <w:tc>
          <w:tcPr>
            <w:tcW w:w="94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Imputed interest</w:t>
            </w:r>
          </w:p>
        </w:tc>
        <w:tc>
          <w:tcPr>
            <w:tcW w:w="3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(5,547)</w:t>
            </w:r>
          </w:p>
        </w:tc>
      </w:tr>
      <w:tr>
        <w:trPr>
          <w:trHeight w:val="216"/>
        </w:trPr>
        <w:tc>
          <w:tcPr>
            <w:tcW w:w="9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present value of future lease payments</w:t>
            </w:r>
          </w:p>
        </w:tc>
        <w:tc>
          <w:tcPr>
            <w:tcW w:w="3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26,518</w:t>
            </w:r>
          </w:p>
        </w:tc>
      </w:tr>
      <w:tr>
        <w:trPr>
          <w:trHeight w:val="223"/>
        </w:trPr>
        <w:tc>
          <w:tcPr>
            <w:tcW w:w="94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Less: current portion of operating lease liabilities</w:t>
            </w:r>
          </w:p>
        </w:tc>
        <w:tc>
          <w:tcPr>
            <w:tcW w:w="3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5,747</w:t>
            </w:r>
          </w:p>
        </w:tc>
      </w:tr>
      <w:tr>
        <w:trPr>
          <w:trHeight w:val="241"/>
        </w:trPr>
        <w:tc>
          <w:tcPr>
            <w:tcW w:w="9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Non-current operating lease liabilities</w:t>
            </w:r>
          </w:p>
        </w:tc>
        <w:tc>
          <w:tcPr>
            <w:tcW w:w="30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20,771</w:t>
            </w:r>
          </w:p>
        </w:tc>
      </w:tr>
      <w:tr>
        <w:trPr>
          <w:trHeight w:val="20"/>
        </w:trPr>
        <w:tc>
          <w:tcPr>
            <w:tcW w:w="94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28"/>
        </w:trPr>
        <w:tc>
          <w:tcPr>
            <w:tcW w:w="9480" w:type="dxa"/>
            <w:vAlign w:val="bottom"/>
          </w:tcPr>
          <w:p>
            <w:pPr>
              <w:ind w:left="4680"/>
              <w:spacing w:after="0"/>
              <w:rPr>
                <w:sz w:val="20"/>
                <w:szCs w:val="20"/>
                <w:color w:val="auto"/>
              </w:rPr>
            </w:pPr>
            <w:r>
              <w:rPr>
                <w:rFonts w:ascii="Arial" w:cs="Arial" w:eastAsia="Arial" w:hAnsi="Arial"/>
                <w:sz w:val="17"/>
                <w:szCs w:val="17"/>
                <w:b w:val="1"/>
                <w:bCs w:val="1"/>
                <w:color w:val="auto"/>
              </w:rPr>
              <w:t>Matrix Service Company</w:t>
            </w:r>
          </w:p>
        </w:tc>
        <w:tc>
          <w:tcPr>
            <w:tcW w:w="44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446"/>
        </w:trPr>
        <w:tc>
          <w:tcPr>
            <w:tcW w:w="9480" w:type="dxa"/>
            <w:vAlign w:val="bottom"/>
          </w:tcPr>
          <w:p>
            <w:pPr>
              <w:ind w:left="3560"/>
              <w:spacing w:after="0"/>
              <w:rPr>
                <w:sz w:val="20"/>
                <w:szCs w:val="20"/>
                <w:color w:val="auto"/>
              </w:rPr>
            </w:pPr>
            <w:r>
              <w:rPr>
                <w:rFonts w:ascii="Arial" w:cs="Arial" w:eastAsia="Arial" w:hAnsi="Arial"/>
                <w:sz w:val="17"/>
                <w:szCs w:val="17"/>
                <w:b w:val="1"/>
                <w:bCs w:val="1"/>
                <w:color w:val="auto"/>
              </w:rPr>
              <w:t>Notes to Consolidated Financial Statements (continued)</w:t>
            </w:r>
          </w:p>
        </w:tc>
        <w:tc>
          <w:tcPr>
            <w:tcW w:w="4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892"/>
        </w:trPr>
        <w:tc>
          <w:tcPr>
            <w:tcW w:w="9920" w:type="dxa"/>
            <w:vAlign w:val="bottom"/>
            <w:gridSpan w:val="2"/>
          </w:tcPr>
          <w:p>
            <w:pPr>
              <w:spacing w:after="0"/>
              <w:rPr>
                <w:sz w:val="20"/>
                <w:szCs w:val="20"/>
                <w:color w:val="auto"/>
              </w:rPr>
            </w:pPr>
            <w:r>
              <w:rPr>
                <w:rFonts w:ascii="Arial" w:cs="Arial" w:eastAsia="Arial" w:hAnsi="Arial"/>
                <w:sz w:val="17"/>
                <w:szCs w:val="17"/>
                <w:color w:val="auto"/>
                <w:w w:val="93"/>
              </w:rPr>
              <w:t>The following is a summary of the weighted average remaining operating lease term and weighted average discount rate as of June 30, 2021:</w:t>
            </w:r>
          </w:p>
        </w:tc>
        <w:tc>
          <w:tcPr>
            <w:tcW w:w="1320" w:type="dxa"/>
            <w:vAlign w:val="bottom"/>
          </w:tcPr>
          <w:p>
            <w:pPr>
              <w:spacing w:after="0"/>
              <w:rPr>
                <w:sz w:val="24"/>
                <w:szCs w:val="24"/>
                <w:color w:val="auto"/>
              </w:rPr>
            </w:pPr>
          </w:p>
        </w:tc>
      </w:tr>
      <w:tr>
        <w:trPr>
          <w:trHeight w:val="263"/>
        </w:trPr>
        <w:tc>
          <w:tcPr>
            <w:tcW w:w="94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23"/>
        </w:trPr>
        <w:tc>
          <w:tcPr>
            <w:tcW w:w="9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Weighted-average remaining lease term (in years)</w:t>
            </w:r>
          </w:p>
        </w:tc>
        <w:tc>
          <w:tcPr>
            <w:tcW w:w="4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 years</w:t>
            </w:r>
          </w:p>
        </w:tc>
      </w:tr>
      <w:tr>
        <w:trPr>
          <w:trHeight w:val="222"/>
        </w:trPr>
        <w:tc>
          <w:tcPr>
            <w:tcW w:w="9480" w:type="dxa"/>
            <w:vAlign w:val="bottom"/>
          </w:tcPr>
          <w:p>
            <w:pPr>
              <w:ind w:left="20"/>
              <w:spacing w:after="0"/>
              <w:rPr>
                <w:sz w:val="20"/>
                <w:szCs w:val="20"/>
                <w:color w:val="auto"/>
              </w:rPr>
            </w:pPr>
            <w:r>
              <w:rPr>
                <w:rFonts w:ascii="Arial" w:cs="Arial" w:eastAsia="Arial" w:hAnsi="Arial"/>
                <w:sz w:val="17"/>
                <w:szCs w:val="17"/>
                <w:color w:val="auto"/>
              </w:rPr>
              <w:t>Weighted-average discount rate</w:t>
            </w:r>
          </w:p>
        </w:tc>
        <w:tc>
          <w:tcPr>
            <w:tcW w:w="4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5.3 %</w:t>
            </w:r>
          </w:p>
        </w:tc>
      </w:tr>
      <w:tr>
        <w:trPr>
          <w:trHeight w:val="774"/>
        </w:trPr>
        <w:tc>
          <w:tcPr>
            <w:tcW w:w="9480" w:type="dxa"/>
            <w:vAlign w:val="bottom"/>
          </w:tcPr>
          <w:p>
            <w:pPr>
              <w:spacing w:after="0"/>
              <w:rPr>
                <w:sz w:val="20"/>
                <w:szCs w:val="20"/>
                <w:color w:val="auto"/>
              </w:rPr>
            </w:pPr>
            <w:r>
              <w:rPr>
                <w:rFonts w:ascii="Arial" w:cs="Arial" w:eastAsia="Arial" w:hAnsi="Arial"/>
                <w:sz w:val="17"/>
                <w:szCs w:val="17"/>
                <w:color w:val="auto"/>
              </w:rPr>
              <w:t>Supplemental cash flow information related to leases is as follows:</w:t>
            </w:r>
          </w:p>
        </w:tc>
        <w:tc>
          <w:tcPr>
            <w:tcW w:w="4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0"/>
        </w:trPr>
        <w:tc>
          <w:tcPr>
            <w:tcW w:w="9480" w:type="dxa"/>
            <w:vAlign w:val="bottom"/>
          </w:tcPr>
          <w:p>
            <w:pPr>
              <w:spacing w:after="0"/>
              <w:rPr>
                <w:sz w:val="17"/>
                <w:szCs w:val="17"/>
                <w:color w:val="auto"/>
              </w:rPr>
            </w:pPr>
          </w:p>
        </w:tc>
        <w:tc>
          <w:tcPr>
            <w:tcW w:w="17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Fiscal Year Ended</w:t>
            </w:r>
          </w:p>
        </w:tc>
      </w:tr>
      <w:tr>
        <w:trPr>
          <w:trHeight w:val="189"/>
        </w:trPr>
        <w:tc>
          <w:tcPr>
            <w:tcW w:w="948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338"/>
              <w:spacing w:after="0"/>
              <w:rPr>
                <w:sz w:val="20"/>
                <w:szCs w:val="20"/>
                <w:color w:val="auto"/>
              </w:rPr>
            </w:pPr>
            <w:r>
              <w:rPr>
                <w:rFonts w:ascii="Arial" w:cs="Arial" w:eastAsia="Arial" w:hAnsi="Arial"/>
                <w:sz w:val="14"/>
                <w:szCs w:val="14"/>
                <w:b w:val="1"/>
                <w:bCs w:val="1"/>
                <w:color w:val="auto"/>
                <w:w w:val="90"/>
              </w:rPr>
              <w:t>June 30, 2021</w:t>
            </w:r>
          </w:p>
        </w:tc>
      </w:tr>
      <w:tr>
        <w:trPr>
          <w:trHeight w:val="179"/>
        </w:trPr>
        <w:tc>
          <w:tcPr>
            <w:tcW w:w="9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20" w:type="dxa"/>
            <w:vAlign w:val="bottom"/>
          </w:tcPr>
          <w:p>
            <w:pPr>
              <w:jc w:val="center"/>
              <w:ind w:right="358"/>
              <w:spacing w:after="0"/>
              <w:rPr>
                <w:sz w:val="20"/>
                <w:szCs w:val="20"/>
                <w:color w:val="auto"/>
              </w:rPr>
            </w:pPr>
            <w:r>
              <w:rPr>
                <w:rFonts w:ascii="Arial" w:cs="Arial" w:eastAsia="Arial" w:hAnsi="Arial"/>
                <w:sz w:val="14"/>
                <w:szCs w:val="14"/>
                <w:color w:val="auto"/>
                <w:w w:val="90"/>
              </w:rPr>
              <w:t>(in thousands)</w:t>
            </w:r>
          </w:p>
        </w:tc>
      </w:tr>
      <w:tr>
        <w:trPr>
          <w:trHeight w:val="225"/>
        </w:trPr>
        <w:tc>
          <w:tcPr>
            <w:tcW w:w="9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paid for amounts included in the measurement of lease liabilities:</w:t>
            </w:r>
          </w:p>
        </w:tc>
        <w:tc>
          <w:tcPr>
            <w:tcW w:w="4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23"/>
        </w:trPr>
        <w:tc>
          <w:tcPr>
            <w:tcW w:w="9480" w:type="dxa"/>
            <w:vAlign w:val="bottom"/>
          </w:tcPr>
          <w:p>
            <w:pPr>
              <w:ind w:left="340"/>
              <w:spacing w:after="0"/>
              <w:rPr>
                <w:sz w:val="20"/>
                <w:szCs w:val="20"/>
                <w:color w:val="auto"/>
              </w:rPr>
            </w:pPr>
            <w:r>
              <w:rPr>
                <w:rFonts w:ascii="Arial" w:cs="Arial" w:eastAsia="Arial" w:hAnsi="Arial"/>
                <w:sz w:val="17"/>
                <w:szCs w:val="17"/>
                <w:color w:val="auto"/>
              </w:rPr>
              <w:t>Operating lease payments</w:t>
            </w:r>
          </w:p>
        </w:tc>
        <w:tc>
          <w:tcPr>
            <w:tcW w:w="440" w:type="dxa"/>
            <w:vAlign w:val="bottom"/>
          </w:tcPr>
          <w:p>
            <w:pPr>
              <w:jc w:val="right"/>
              <w:ind w:right="238"/>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9,922</w:t>
            </w:r>
          </w:p>
        </w:tc>
      </w:tr>
      <w:tr>
        <w:trPr>
          <w:trHeight w:val="223"/>
        </w:trPr>
        <w:tc>
          <w:tcPr>
            <w:tcW w:w="9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Right-of-use assets obtained in exchange for lease liabilities:</w:t>
            </w:r>
          </w:p>
        </w:tc>
        <w:tc>
          <w:tcPr>
            <w:tcW w:w="4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22"/>
        </w:trPr>
        <w:tc>
          <w:tcPr>
            <w:tcW w:w="9480" w:type="dxa"/>
            <w:vAlign w:val="bottom"/>
          </w:tcPr>
          <w:p>
            <w:pPr>
              <w:ind w:left="340"/>
              <w:spacing w:after="0"/>
              <w:rPr>
                <w:sz w:val="20"/>
                <w:szCs w:val="20"/>
                <w:color w:val="auto"/>
              </w:rPr>
            </w:pPr>
            <w:r>
              <w:rPr>
                <w:rFonts w:ascii="Arial" w:cs="Arial" w:eastAsia="Arial" w:hAnsi="Arial"/>
                <w:sz w:val="17"/>
                <w:szCs w:val="17"/>
                <w:color w:val="auto"/>
              </w:rPr>
              <w:t>Operating leases</w:t>
            </w:r>
          </w:p>
        </w:tc>
        <w:tc>
          <w:tcPr>
            <w:tcW w:w="440" w:type="dxa"/>
            <w:vAlign w:val="bottom"/>
          </w:tcPr>
          <w:p>
            <w:pPr>
              <w:jc w:val="right"/>
              <w:ind w:right="238"/>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8,342</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9—Stockholders’ Equity</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Preferred Stock</w:t>
      </w:r>
    </w:p>
    <w:p>
      <w:pPr>
        <w:spacing w:after="0" w:line="172" w:lineRule="exact"/>
        <w:rPr>
          <w:sz w:val="20"/>
          <w:szCs w:val="20"/>
          <w:color w:val="auto"/>
        </w:rPr>
      </w:pPr>
    </w:p>
    <w:p>
      <w:pPr>
        <w:ind w:right="1900"/>
        <w:spacing w:after="0" w:line="450" w:lineRule="auto"/>
        <w:rPr>
          <w:sz w:val="20"/>
          <w:szCs w:val="20"/>
          <w:color w:val="auto"/>
        </w:rPr>
      </w:pPr>
      <w:r>
        <w:rPr>
          <w:rFonts w:ascii="Arial" w:cs="Arial" w:eastAsia="Arial" w:hAnsi="Arial"/>
          <w:sz w:val="17"/>
          <w:szCs w:val="17"/>
          <w:color w:val="auto"/>
        </w:rPr>
        <w:t xml:space="preserve">We have 5.0 million shares of preferred stock authorized, none of which was issued or outstanding at June 30, 2021 or June 30, 2020. </w:t>
      </w:r>
      <w:r>
        <w:rPr>
          <w:rFonts w:ascii="Arial" w:cs="Arial" w:eastAsia="Arial" w:hAnsi="Arial"/>
          <w:sz w:val="17"/>
          <w:szCs w:val="17"/>
          <w:i w:val="1"/>
          <w:iCs w:val="1"/>
          <w:color w:val="auto"/>
        </w:rPr>
        <w:t>Treasury Shares</w:t>
      </w:r>
    </w:p>
    <w:p>
      <w:pPr>
        <w:spacing w:after="0" w:line="1"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terms of our Credit Agreement limit share repurchases to $2.5 million per fiscal year provided that that we do not violate our Fixed Charge Coverage Ratio financial covenant (see Note 5 - Debt for more information about our Credit Agreement). We may repurchase common stock pursuant to the Stock Buyback Program, which was approved by the board of directors in November 2018. Under the program, the aggregate number of shares repurchased may not exceed 2,707,175 shares. We may repurchase our stock from time to time in the open market at prevailing market prices or in privately negotiated transactions and are not obligated to purchase any shares. The program will continue unless and until it is modified or revoked by the Board of Directors. We made no repurchases under the program in fiscal 2021 and have no current plans to repurchase stock in the near-term. There were 1,349,037 shares available for repurchase under the November 2018 Program as of June 30, 2021.</w:t>
      </w:r>
    </w:p>
    <w:p>
      <w:pPr>
        <w:spacing w:after="0" w:line="13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addition to the stock buyback program, we may withhold shares of common stock to satisfy the tax withholding obligations upon vesting of an employee’s deferred shares. We withheld 170,629 and 181,081 shares of common stock during fiscal 2021 and 2020, respectively, to satisfy these obligations. These shares were returned to our pool of treasury shares. We have 1,338,779 treasury shares as of June 30, 2021 and intend to utilize these treasury shares in connection with equity awards under our incentive plans and for sales to the Employee Stock Purchase Plan.</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10—Stock-Based Compensation</w:t>
      </w:r>
    </w:p>
    <w:p>
      <w:pPr>
        <w:spacing w:after="0" w:line="178"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Total stock-based compensation expense for the fiscal years ended June 30, 2021, June 30, 2020, and June 30, 2019 was $8.2 million, $9.9 million and $11.9 million, respectively. Measured but unrecognized stock-based compensation expense at June 30, 2021 was $8.6 million, all of which related to nonvested deferred shares which are expected to be recognized as expense over a weighted average period of 1.6 years. We recognized excess tax expense of $1.8 million and $0.2 million related to stock-based compensation vesting for the fiscal years ended June 30, 2021 and 2020, respectively. We recognized excess tax benefits of $0.3 million for the fiscal year ended June 30, 2019 related to stock-based compensation vesting.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75" w:name="page76"/>
    <w:bookmarkEnd w:id="75"/>
    <w:p>
      <w:pPr>
        <w:jc w:val="center"/>
        <w:spacing w:after="0"/>
        <w:rPr>
          <w:sz w:val="20"/>
          <w:szCs w:val="20"/>
          <w:color w:val="auto"/>
        </w:rPr>
      </w:pPr>
      <w:r>
        <w:rPr>
          <w:rFonts w:ascii="Arial" w:cs="Arial" w:eastAsia="Arial" w:hAnsi="Arial"/>
          <w:sz w:val="17"/>
          <w:szCs w:val="17"/>
          <w:b w:val="1"/>
          <w:bCs w:val="1"/>
          <w:color w:val="auto"/>
        </w:rPr>
        <w:t>Matrix Service Company</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Plan Information</w:t>
      </w:r>
    </w:p>
    <w:p>
      <w:pPr>
        <w:spacing w:after="0" w:line="172"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In November 2020, our stockholders approved the Matrix Service Company 2020 Stock and Incentive Compensation Plan (the "2020 Plan"), which provides stock-based and cash-based incentives for officers, directors and other key employees. Stock options, restricted stock, restricted stock units, stock appreciation rights, performance shares and cash-based awards can be issued under this plan. Upon approval of the 2020 Plan, the 2018 Stock and Incentive Compensation Plan ("2018 Plan") was frozen with the exception of normal vesting and other activity associated with awards previously granted under the 2018 Plan. The 2018 Plan was preceded by the 2016 Stock Incentive Plan ("2016 Plan"), which was frozen upon approval of the 2018 Plan with the exception of normal vesting, forfeiture and other activity associated with awards previously granted under the 2016 Plan. Shares awarded under either the 2018 Plan or 2016 Plan that are subsequently forfeited or net settled for tax withholding purposes are returned to the treasury share pool and become available for grant under the 2020 Plan. The 2016 Plan was preceded by the 2012 Stock Incentive Plan ("2012 Plan") and the 2004 Stock Incentive Plan ("2004 Plan"), which were frozen upon approval of the 2016 Plan and 2012 Plan, respectively, with the exception of normal vesting, forfeiture and other activity associated with awards previously granted under the 2012 Plan and 2004 Plan. There are no outstanding awards under the 2012 Plan, but there were stock option awards outstanding under the 2004 Plan as of June 30, 2021 - see Stock Options section below.</w:t>
      </w:r>
    </w:p>
    <w:p>
      <w:pPr>
        <w:spacing w:after="0" w:line="121"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Awards totaling 1,725,000 shares have been authorized under the 2020 Plan. There were 1,769,487 shares available for grant under the 2020 Plan as of June 30, 2021.</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Stock Options</w:t>
      </w:r>
    </w:p>
    <w:p>
      <w:pPr>
        <w:spacing w:after="0" w:line="17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Stock options are granted at the market value of our common stock on the grant date and expire after 10 years. Our policy is to issue shares upon the exercise of stock options from its treasury shares, if available. We did not award any new stock options in fiscal years 2021, 2020, or 2019. The options outstanding as of June 30, 2021 expire on November 17, 2021.</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color w:val="auto"/>
        </w:rPr>
        <w:t>Stock option activity and related information for the fiscal year ended June 30, 2021 is as follows:</w:t>
      </w: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1560" w:type="dxa"/>
            <w:vAlign w:val="bottom"/>
            <w:vMerge w:val="restart"/>
          </w:tcPr>
          <w:p>
            <w:pPr>
              <w:jc w:val="right"/>
              <w:ind w:right="376"/>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4"/>
                <w:szCs w:val="14"/>
                <w:color w:val="auto"/>
              </w:rPr>
            </w:pPr>
          </w:p>
        </w:tc>
        <w:tc>
          <w:tcPr>
            <w:tcW w:w="16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Weighted-Average</w:t>
            </w:r>
          </w:p>
        </w:tc>
        <w:tc>
          <w:tcPr>
            <w:tcW w:w="160" w:type="dxa"/>
            <w:vAlign w:val="bottom"/>
          </w:tcPr>
          <w:p>
            <w:pPr>
              <w:spacing w:after="0"/>
              <w:rPr>
                <w:sz w:val="14"/>
                <w:szCs w:val="14"/>
                <w:color w:val="auto"/>
              </w:rPr>
            </w:pPr>
          </w:p>
        </w:tc>
        <w:tc>
          <w:tcPr>
            <w:tcW w:w="14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Weighted-Average</w:t>
            </w:r>
          </w:p>
        </w:tc>
        <w:tc>
          <w:tcPr>
            <w:tcW w:w="220" w:type="dxa"/>
            <w:vAlign w:val="bottom"/>
          </w:tcPr>
          <w:p>
            <w:pPr>
              <w:spacing w:after="0"/>
              <w:rPr>
                <w:sz w:val="14"/>
                <w:szCs w:val="14"/>
                <w:color w:val="auto"/>
              </w:rPr>
            </w:pPr>
          </w:p>
        </w:tc>
        <w:tc>
          <w:tcPr>
            <w:tcW w:w="1360" w:type="dxa"/>
            <w:vAlign w:val="bottom"/>
            <w:vMerge w:val="restart"/>
          </w:tcPr>
          <w:p>
            <w:pPr>
              <w:jc w:val="center"/>
              <w:ind w:right="138"/>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31"/>
        </w:trPr>
        <w:tc>
          <w:tcPr>
            <w:tcW w:w="4740" w:type="dxa"/>
            <w:vAlign w:val="bottom"/>
          </w:tcPr>
          <w:p>
            <w:pPr>
              <w:spacing w:after="0"/>
              <w:rPr>
                <w:sz w:val="11"/>
                <w:szCs w:val="11"/>
                <w:color w:val="auto"/>
              </w:rPr>
            </w:pPr>
          </w:p>
        </w:tc>
        <w:tc>
          <w:tcPr>
            <w:tcW w:w="15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660" w:type="dxa"/>
            <w:vAlign w:val="bottom"/>
            <w:gridSpan w:val="2"/>
          </w:tcPr>
          <w:p>
            <w:pPr>
              <w:jc w:val="center"/>
              <w:ind w:right="80"/>
              <w:spacing w:after="0" w:line="131" w:lineRule="exact"/>
              <w:rPr>
                <w:sz w:val="20"/>
                <w:szCs w:val="20"/>
                <w:color w:val="auto"/>
              </w:rPr>
            </w:pPr>
            <w:r>
              <w:rPr>
                <w:rFonts w:ascii="Arial" w:cs="Arial" w:eastAsia="Arial" w:hAnsi="Arial"/>
                <w:sz w:val="14"/>
                <w:szCs w:val="14"/>
                <w:b w:val="1"/>
                <w:bCs w:val="1"/>
                <w:color w:val="auto"/>
                <w:w w:val="92"/>
              </w:rPr>
              <w:t>Remaining</w:t>
            </w:r>
          </w:p>
        </w:tc>
        <w:tc>
          <w:tcPr>
            <w:tcW w:w="160" w:type="dxa"/>
            <w:vAlign w:val="bottom"/>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4740" w:type="dxa"/>
            <w:vAlign w:val="bottom"/>
          </w:tcPr>
          <w:p>
            <w:pPr>
              <w:spacing w:after="0"/>
              <w:rPr>
                <w:sz w:val="15"/>
                <w:szCs w:val="15"/>
                <w:color w:val="auto"/>
              </w:rPr>
            </w:pPr>
          </w:p>
        </w:tc>
        <w:tc>
          <w:tcPr>
            <w:tcW w:w="1560" w:type="dxa"/>
            <w:vAlign w:val="bottom"/>
          </w:tcPr>
          <w:p>
            <w:pPr>
              <w:jc w:val="right"/>
              <w:ind w:right="456"/>
              <w:spacing w:after="0"/>
              <w:rPr>
                <w:sz w:val="20"/>
                <w:szCs w:val="20"/>
                <w:color w:val="auto"/>
              </w:rPr>
            </w:pPr>
            <w:r>
              <w:rPr>
                <w:rFonts w:ascii="Arial" w:cs="Arial" w:eastAsia="Arial" w:hAnsi="Arial"/>
                <w:sz w:val="14"/>
                <w:szCs w:val="14"/>
                <w:b w:val="1"/>
                <w:bCs w:val="1"/>
                <w:color w:val="auto"/>
              </w:rPr>
              <w:t>Options</w:t>
            </w:r>
          </w:p>
        </w:tc>
        <w:tc>
          <w:tcPr>
            <w:tcW w:w="100" w:type="dxa"/>
            <w:vAlign w:val="bottom"/>
          </w:tcPr>
          <w:p>
            <w:pPr>
              <w:spacing w:after="0"/>
              <w:rPr>
                <w:sz w:val="15"/>
                <w:szCs w:val="15"/>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Contractual Life</w:t>
            </w:r>
          </w:p>
        </w:tc>
        <w:tc>
          <w:tcPr>
            <w:tcW w:w="160" w:type="dxa"/>
            <w:vAlign w:val="bottom"/>
          </w:tcPr>
          <w:p>
            <w:pPr>
              <w:spacing w:after="0"/>
              <w:rPr>
                <w:sz w:val="15"/>
                <w:szCs w:val="15"/>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Exercise Price</w:t>
            </w:r>
          </w:p>
        </w:tc>
        <w:tc>
          <w:tcPr>
            <w:tcW w:w="220" w:type="dxa"/>
            <w:vAlign w:val="bottom"/>
          </w:tcPr>
          <w:p>
            <w:pPr>
              <w:spacing w:after="0"/>
              <w:rPr>
                <w:sz w:val="15"/>
                <w:szCs w:val="15"/>
                <w:color w:val="auto"/>
              </w:rPr>
            </w:pPr>
          </w:p>
        </w:tc>
        <w:tc>
          <w:tcPr>
            <w:tcW w:w="1360" w:type="dxa"/>
            <w:vAlign w:val="bottom"/>
          </w:tcPr>
          <w:p>
            <w:pPr>
              <w:jc w:val="center"/>
              <w:ind w:right="138"/>
              <w:spacing w:after="0"/>
              <w:rPr>
                <w:sz w:val="20"/>
                <w:szCs w:val="20"/>
                <w:color w:val="auto"/>
              </w:rPr>
            </w:pPr>
            <w:r>
              <w:rPr>
                <w:rFonts w:ascii="Arial" w:cs="Arial" w:eastAsia="Arial" w:hAnsi="Arial"/>
                <w:sz w:val="14"/>
                <w:szCs w:val="14"/>
                <w:b w:val="1"/>
                <w:bCs w:val="1"/>
                <w:color w:val="auto"/>
                <w:w w:val="93"/>
              </w:rPr>
              <w:t>Intrinsic Value</w:t>
            </w:r>
          </w:p>
        </w:tc>
        <w:tc>
          <w:tcPr>
            <w:tcW w:w="0" w:type="dxa"/>
            <w:vAlign w:val="bottom"/>
          </w:tcPr>
          <w:p>
            <w:pPr>
              <w:spacing w:after="0"/>
              <w:rPr>
                <w:sz w:val="1"/>
                <w:szCs w:val="1"/>
                <w:color w:val="auto"/>
              </w:rPr>
            </w:pPr>
          </w:p>
        </w:tc>
      </w:tr>
      <w:tr>
        <w:trPr>
          <w:trHeight w:val="177"/>
        </w:trPr>
        <w:tc>
          <w:tcPr>
            <w:tcW w:w="4740" w:type="dxa"/>
            <w:vAlign w:val="bottom"/>
          </w:tcPr>
          <w:p>
            <w:pPr>
              <w:spacing w:after="0"/>
              <w:rPr>
                <w:sz w:val="15"/>
                <w:szCs w:val="15"/>
                <w:color w:val="auto"/>
              </w:rPr>
            </w:pPr>
          </w:p>
        </w:tc>
        <w:tc>
          <w:tcPr>
            <w:tcW w:w="15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(Years)</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w w:val="89"/>
              </w:rPr>
              <w:t>(In thousands)</w:t>
            </w:r>
          </w:p>
        </w:tc>
        <w:tc>
          <w:tcPr>
            <w:tcW w:w="0" w:type="dxa"/>
            <w:vAlign w:val="bottom"/>
          </w:tcPr>
          <w:p>
            <w:pPr>
              <w:spacing w:after="0"/>
              <w:rPr>
                <w:sz w:val="1"/>
                <w:szCs w:val="1"/>
                <w:color w:val="auto"/>
              </w:rPr>
            </w:pPr>
          </w:p>
        </w:tc>
      </w:tr>
      <w:tr>
        <w:trPr>
          <w:trHeight w:val="248"/>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Outstanding at June 30, 2020</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53,700</w:t>
            </w:r>
          </w:p>
        </w:tc>
        <w:tc>
          <w:tcPr>
            <w:tcW w:w="1660" w:type="dxa"/>
            <w:vAlign w:val="bottom"/>
            <w:tcBorders>
              <w:bottom w:val="single" w:sz="8" w:color="CCEEFF"/>
            </w:tcBorders>
            <w:gridSpan w:val="2"/>
            <w:shd w:val="clear" w:color="auto" w:fill="CCEEFF"/>
          </w:tcPr>
          <w:p>
            <w:pPr>
              <w:jc w:val="center"/>
              <w:ind w:left="33"/>
              <w:spacing w:after="0"/>
              <w:rPr>
                <w:sz w:val="20"/>
                <w:szCs w:val="20"/>
                <w:color w:val="auto"/>
              </w:rPr>
            </w:pPr>
            <w:r>
              <w:rPr>
                <w:rFonts w:ascii="Arial" w:cs="Arial" w:eastAsia="Arial" w:hAnsi="Arial"/>
                <w:sz w:val="17"/>
                <w:szCs w:val="17"/>
                <w:color w:val="auto"/>
                <w:w w:val="92"/>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7"/>
                <w:szCs w:val="17"/>
                <w:color w:val="auto"/>
              </w:rPr>
              <w:t>Granted</w:t>
            </w:r>
          </w:p>
        </w:tc>
        <w:tc>
          <w:tcPr>
            <w:tcW w:w="15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CCEEFF"/>
            </w:tcBorders>
            <w:gridSpan w:val="2"/>
            <w:vMerge w:val="restart"/>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740" w:type="dxa"/>
            <w:vAlign w:val="bottom"/>
            <w:vMerge w:val="continue"/>
          </w:tcPr>
          <w:p>
            <w:pPr>
              <w:spacing w:after="0"/>
              <w:rPr>
                <w:sz w:val="16"/>
                <w:szCs w:val="16"/>
                <w:color w:val="auto"/>
              </w:rPr>
            </w:pPr>
          </w:p>
        </w:tc>
        <w:tc>
          <w:tcPr>
            <w:tcW w:w="15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47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Exercised</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(34,150)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w:t>
            </w:r>
          </w:p>
        </w:tc>
        <w:tc>
          <w:tcPr>
            <w:tcW w:w="0" w:type="dxa"/>
            <w:vAlign w:val="bottom"/>
          </w:tcPr>
          <w:p>
            <w:pPr>
              <w:spacing w:after="0"/>
              <w:rPr>
                <w:sz w:val="1"/>
                <w:szCs w:val="1"/>
                <w:color w:val="auto"/>
              </w:rPr>
            </w:pPr>
          </w:p>
        </w:tc>
      </w:tr>
      <w:tr>
        <w:trPr>
          <w:trHeight w:val="223"/>
        </w:trPr>
        <w:tc>
          <w:tcPr>
            <w:tcW w:w="4740" w:type="dxa"/>
            <w:vAlign w:val="bottom"/>
            <w:tcBorders>
              <w:bottom w:val="single" w:sz="8" w:color="CCEEFF"/>
            </w:tcBorders>
          </w:tcPr>
          <w:p>
            <w:pPr>
              <w:ind w:left="340"/>
              <w:spacing w:after="0"/>
              <w:rPr>
                <w:sz w:val="20"/>
                <w:szCs w:val="20"/>
                <w:color w:val="auto"/>
              </w:rPr>
            </w:pPr>
            <w:r>
              <w:rPr>
                <w:rFonts w:ascii="Arial" w:cs="Arial" w:eastAsia="Arial" w:hAnsi="Arial"/>
                <w:sz w:val="17"/>
                <w:szCs w:val="17"/>
                <w:color w:val="auto"/>
              </w:rPr>
              <w:t>Canceled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1"/>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Outstanding at June 30, 2021</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19,550</w:t>
            </w:r>
          </w:p>
        </w:tc>
        <w:tc>
          <w:tcPr>
            <w:tcW w:w="1660" w:type="dxa"/>
            <w:vAlign w:val="bottom"/>
            <w:tcBorders>
              <w:bottom w:val="single" w:sz="8" w:color="CCEEFF"/>
            </w:tcBorders>
            <w:gridSpan w:val="2"/>
            <w:shd w:val="clear" w:color="auto" w:fill="CCEEFF"/>
          </w:tcPr>
          <w:p>
            <w:pPr>
              <w:jc w:val="center"/>
              <w:ind w:left="33"/>
              <w:spacing w:after="0"/>
              <w:rPr>
                <w:sz w:val="20"/>
                <w:szCs w:val="20"/>
                <w:color w:val="auto"/>
              </w:rPr>
            </w:pPr>
            <w:r>
              <w:rPr>
                <w:rFonts w:ascii="Arial" w:cs="Arial" w:eastAsia="Arial" w:hAnsi="Arial"/>
                <w:sz w:val="17"/>
                <w:szCs w:val="17"/>
                <w:color w:val="auto"/>
                <w:w w:val="92"/>
              </w:rPr>
              <w:t>0.4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10.19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Vested at June 30, 2021</w:t>
            </w: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740" w:type="dxa"/>
            <w:vAlign w:val="bottom"/>
            <w:vMerge w:val="continue"/>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19,550</w:t>
            </w:r>
          </w:p>
        </w:tc>
        <w:tc>
          <w:tcPr>
            <w:tcW w:w="1660" w:type="dxa"/>
            <w:vAlign w:val="bottom"/>
            <w:gridSpan w:val="2"/>
          </w:tcPr>
          <w:p>
            <w:pPr>
              <w:jc w:val="center"/>
              <w:ind w:left="33"/>
              <w:spacing w:after="0"/>
              <w:rPr>
                <w:sz w:val="20"/>
                <w:szCs w:val="20"/>
                <w:color w:val="auto"/>
              </w:rPr>
            </w:pPr>
            <w:r>
              <w:rPr>
                <w:rFonts w:ascii="Arial" w:cs="Arial" w:eastAsia="Arial" w:hAnsi="Arial"/>
                <w:sz w:val="17"/>
                <w:szCs w:val="17"/>
                <w:color w:val="auto"/>
                <w:w w:val="92"/>
              </w:rPr>
              <w:t>0.4</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10.19</w:t>
            </w:r>
          </w:p>
        </w:tc>
        <w:tc>
          <w:tcPr>
            <w:tcW w:w="100" w:type="dxa"/>
            <w:vAlign w:val="bottom"/>
          </w:tcPr>
          <w:p>
            <w:pPr>
              <w:spacing w:after="0"/>
              <w:rPr>
                <w:sz w:val="16"/>
                <w:szCs w:val="16"/>
                <w:color w:val="auto"/>
              </w:rPr>
            </w:pPr>
          </w:p>
        </w:tc>
        <w:tc>
          <w:tcPr>
            <w:tcW w:w="22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Exercisable at June 30, 2021</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19,550</w:t>
            </w:r>
          </w:p>
        </w:tc>
        <w:tc>
          <w:tcPr>
            <w:tcW w:w="1660" w:type="dxa"/>
            <w:vAlign w:val="bottom"/>
            <w:tcBorders>
              <w:bottom w:val="single" w:sz="8" w:color="CCEEFF"/>
            </w:tcBorders>
            <w:gridSpan w:val="2"/>
            <w:shd w:val="clear" w:color="auto" w:fill="CCEEFF"/>
          </w:tcPr>
          <w:p>
            <w:pPr>
              <w:jc w:val="center"/>
              <w:ind w:left="33"/>
              <w:spacing w:after="0"/>
              <w:rPr>
                <w:sz w:val="20"/>
                <w:szCs w:val="20"/>
                <w:color w:val="auto"/>
              </w:rPr>
            </w:pPr>
            <w:r>
              <w:rPr>
                <w:rFonts w:ascii="Arial" w:cs="Arial" w:eastAsia="Arial" w:hAnsi="Arial"/>
                <w:sz w:val="17"/>
                <w:szCs w:val="17"/>
                <w:color w:val="auto"/>
                <w:w w:val="92"/>
              </w:rPr>
              <w:t>0.4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10.19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color w:val="auto"/>
        </w:rPr>
        <w:t>The total intrinsic value of stock options exercised was $0.1 million during fiscal year 2021 and fiscal 2019. No stock options were exercised in fiscal 2020.</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Nonvested Deferred Shares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We have issued nonvested deferred shares under the following types of arrangements:</w:t>
      </w:r>
    </w:p>
    <w:p>
      <w:pPr>
        <w:spacing w:after="0" w:line="250" w:lineRule="exact"/>
        <w:rPr>
          <w:sz w:val="20"/>
          <w:szCs w:val="20"/>
          <w:color w:val="auto"/>
        </w:rPr>
      </w:pPr>
    </w:p>
    <w:p>
      <w:pPr>
        <w:jc w:val="both"/>
        <w:ind w:left="640" w:hanging="320"/>
        <w:spacing w:after="0" w:line="314" w:lineRule="auto"/>
        <w:tabs>
          <w:tab w:leader="none" w:pos="635" w:val="left"/>
        </w:tabs>
        <w:numPr>
          <w:ilvl w:val="0"/>
          <w:numId w:val="38"/>
        </w:numPr>
        <w:rPr>
          <w:rFonts w:ascii="Arial" w:cs="Arial" w:eastAsia="Arial" w:hAnsi="Arial"/>
          <w:sz w:val="15"/>
          <w:szCs w:val="15"/>
          <w:color w:val="auto"/>
        </w:rPr>
      </w:pPr>
      <w:r>
        <w:rPr>
          <w:rFonts w:ascii="Arial" w:cs="Arial" w:eastAsia="Arial" w:hAnsi="Arial"/>
          <w:sz w:val="15"/>
          <w:szCs w:val="15"/>
          <w:color w:val="auto"/>
        </w:rPr>
        <w:t>Time-based awards—Employee awards generally vest in four equal annual installments beginning one year after the grant date. Beginning in fiscal 2019, the award agreements contain a provision that accelerates the vesting for retirement eligible participants and participants that become retirement eligible during the vesting period and who elect to retire more than one year after the date of the award. The award is forfeited if retirement occurs before the first anniversary of the award. Settlement still occurs on the normal vesting schedules. Director awards vest one year after the grant date.</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76" w:name="page77"/>
    <w:bookmarkEnd w:id="76"/>
    <w:p>
      <w:pPr>
        <w:jc w:val="center"/>
        <w:spacing w:after="0"/>
        <w:rPr>
          <w:sz w:val="20"/>
          <w:szCs w:val="20"/>
          <w:color w:val="auto"/>
        </w:rPr>
      </w:pPr>
      <w:r>
        <w:rPr>
          <w:rFonts w:ascii="Arial" w:cs="Arial" w:eastAsia="Arial" w:hAnsi="Arial"/>
          <w:sz w:val="17"/>
          <w:szCs w:val="17"/>
          <w:b w:val="1"/>
          <w:bCs w:val="1"/>
          <w:color w:val="auto"/>
        </w:rPr>
        <w:t>Matrix Service Company</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ind w:left="640" w:hanging="320"/>
        <w:spacing w:after="0" w:line="309" w:lineRule="auto"/>
        <w:tabs>
          <w:tab w:leader="none" w:pos="635" w:val="left"/>
        </w:tabs>
        <w:numPr>
          <w:ilvl w:val="0"/>
          <w:numId w:val="39"/>
        </w:numPr>
        <w:rPr>
          <w:rFonts w:ascii="Arial" w:cs="Arial" w:eastAsia="Arial" w:hAnsi="Arial"/>
          <w:sz w:val="15"/>
          <w:szCs w:val="15"/>
          <w:color w:val="auto"/>
        </w:rPr>
      </w:pPr>
      <w:r>
        <w:rPr>
          <w:rFonts w:ascii="Arial" w:cs="Arial" w:eastAsia="Arial" w:hAnsi="Arial"/>
          <w:sz w:val="15"/>
          <w:szCs w:val="15"/>
          <w:color w:val="auto"/>
        </w:rPr>
        <w:t>Market-based awards—These awards are in the form of performance units which vest 3 years after the grant date only if our common stock achieves certain levels of total shareholder return when compared to the total shareholder return of a peer group of companies as selected by the Compensation Committee of the Board of Directors. The payout can range from zero to 200% of the original award depending on the Company's relative total shareholder return during the performance period. These awards are settled in stock. As of June 30, 2021, there are approximately 147,000, 174,000, and 369,000 performance units that are scheduled to vest in fiscal 2022, fiscal 2023, and fiscal 2024, respectively, assuming target performance.</w:t>
      </w:r>
    </w:p>
    <w:p>
      <w:pPr>
        <w:spacing w:after="0" w:line="9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All awards under the 2020 Plan vest upon the death or disability of the participant or upon a change of control of the Company, provided that the successor company fails to assume or replace the awards in connection with that change of control event. If the successor company does assume the awards, then vesting of the awards will be accelerated in the event of an involuntary termination or other material adverse event that occurs in connection with or following the change of control. All awards prior to the 2020 Plan vest upon the death or disability of the participant or upon a change of control of the Company.</w:t>
      </w:r>
    </w:p>
    <w:p>
      <w:pPr>
        <w:spacing w:after="0" w:line="107"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The grant date fair value of the time-based awards is determined by the market value of our common stock on the grant date. The grant date fair value of stock options is determined based on the Black-Scholes option pricing model. The grant date fair value of the market-based awards is calculated using a Monte Carlo model. For the fiscal 2021 grant, the model estimated the fair value of the award based on approximately 100,000 simulations of the future prices of our common stock compared to the future prices of the common stock of its peer companies based on historical volatilities. The model also took into account the expected dividends over the performance period of those peer companies which pay cash dividends.</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color w:val="auto"/>
        </w:rPr>
        <w:t>Nonvested deferred share activity for the fiscal year ended June 30, 2021 is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tcPr>
          <w:p>
            <w:pPr>
              <w:jc w:val="center"/>
              <w:ind w:right="38"/>
              <w:spacing w:after="0"/>
              <w:rPr>
                <w:sz w:val="20"/>
                <w:szCs w:val="20"/>
                <w:color w:val="auto"/>
              </w:rPr>
            </w:pPr>
            <w:r>
              <w:rPr>
                <w:rFonts w:ascii="Arial" w:cs="Arial" w:eastAsia="Arial" w:hAnsi="Arial"/>
                <w:sz w:val="14"/>
                <w:szCs w:val="14"/>
                <w:b w:val="1"/>
                <w:bCs w:val="1"/>
                <w:color w:val="auto"/>
                <w:w w:val="93"/>
              </w:rPr>
              <w:t>Weighted Average Grant</w:t>
            </w:r>
          </w:p>
        </w:tc>
        <w:tc>
          <w:tcPr>
            <w:tcW w:w="0" w:type="dxa"/>
            <w:vAlign w:val="bottom"/>
          </w:tcPr>
          <w:p>
            <w:pPr>
              <w:spacing w:after="0"/>
              <w:rPr>
                <w:sz w:val="1"/>
                <w:szCs w:val="1"/>
                <w:color w:val="auto"/>
              </w:rPr>
            </w:pPr>
          </w:p>
        </w:tc>
      </w:tr>
      <w:tr>
        <w:trPr>
          <w:trHeight w:val="131"/>
        </w:trPr>
        <w:tc>
          <w:tcPr>
            <w:tcW w:w="7160" w:type="dxa"/>
            <w:vAlign w:val="bottom"/>
          </w:tcPr>
          <w:p>
            <w:pPr>
              <w:spacing w:after="0"/>
              <w:rPr>
                <w:sz w:val="11"/>
                <w:szCs w:val="11"/>
                <w:color w:val="auto"/>
              </w:rPr>
            </w:pPr>
          </w:p>
        </w:tc>
        <w:tc>
          <w:tcPr>
            <w:tcW w:w="1200" w:type="dxa"/>
            <w:vAlign w:val="bottom"/>
            <w:vMerge w:val="restart"/>
          </w:tcPr>
          <w:p>
            <w:pPr>
              <w:ind w:left="780"/>
              <w:spacing w:after="0"/>
              <w:rPr>
                <w:sz w:val="20"/>
                <w:szCs w:val="20"/>
                <w:color w:val="auto"/>
              </w:rPr>
            </w:pPr>
            <w:r>
              <w:rPr>
                <w:rFonts w:ascii="Arial" w:cs="Arial" w:eastAsia="Arial" w:hAnsi="Arial"/>
                <w:sz w:val="14"/>
                <w:szCs w:val="14"/>
                <w:b w:val="1"/>
                <w:bCs w:val="1"/>
                <w:color w:val="auto"/>
                <w:w w:val="85"/>
              </w:rPr>
              <w:t>Shares</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20" w:type="dxa"/>
            <w:vAlign w:val="bottom"/>
          </w:tcPr>
          <w:p>
            <w:pPr>
              <w:jc w:val="center"/>
              <w:ind w:right="78"/>
              <w:spacing w:after="0" w:line="131" w:lineRule="exact"/>
              <w:rPr>
                <w:sz w:val="20"/>
                <w:szCs w:val="20"/>
                <w:color w:val="auto"/>
              </w:rPr>
            </w:pPr>
            <w:r>
              <w:rPr>
                <w:rFonts w:ascii="Arial" w:cs="Arial" w:eastAsia="Arial" w:hAnsi="Arial"/>
                <w:sz w:val="14"/>
                <w:szCs w:val="14"/>
                <w:b w:val="1"/>
                <w:bCs w:val="1"/>
                <w:color w:val="auto"/>
                <w:w w:val="91"/>
              </w:rPr>
              <w:t>Date Fair Value per</w:t>
            </w:r>
          </w:p>
        </w:tc>
        <w:tc>
          <w:tcPr>
            <w:tcW w:w="0" w:type="dxa"/>
            <w:vAlign w:val="bottom"/>
          </w:tcPr>
          <w:p>
            <w:pPr>
              <w:spacing w:after="0"/>
              <w:rPr>
                <w:sz w:val="1"/>
                <w:szCs w:val="1"/>
                <w:color w:val="auto"/>
              </w:rPr>
            </w:pPr>
          </w:p>
        </w:tc>
      </w:tr>
      <w:tr>
        <w:trPr>
          <w:trHeight w:val="183"/>
        </w:trPr>
        <w:tc>
          <w:tcPr>
            <w:tcW w:w="716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87"/>
              </w:rPr>
              <w:t>Share</w:t>
            </w:r>
          </w:p>
        </w:tc>
        <w:tc>
          <w:tcPr>
            <w:tcW w:w="0" w:type="dxa"/>
            <w:vAlign w:val="bottom"/>
          </w:tcPr>
          <w:p>
            <w:pPr>
              <w:spacing w:after="0"/>
              <w:rPr>
                <w:sz w:val="1"/>
                <w:szCs w:val="1"/>
                <w:color w:val="auto"/>
              </w:rPr>
            </w:pPr>
          </w:p>
        </w:tc>
      </w:tr>
      <w:tr>
        <w:trPr>
          <w:trHeight w:val="217"/>
        </w:trPr>
        <w:tc>
          <w:tcPr>
            <w:tcW w:w="7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Nonvested shares at June 30, 2020</w:t>
            </w:r>
          </w:p>
        </w:tc>
        <w:tc>
          <w:tcPr>
            <w:tcW w:w="1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1,234,918</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20.89</w:t>
            </w:r>
          </w:p>
        </w:tc>
        <w:tc>
          <w:tcPr>
            <w:tcW w:w="0" w:type="dxa"/>
            <w:vAlign w:val="bottom"/>
          </w:tcPr>
          <w:p>
            <w:pPr>
              <w:spacing w:after="0"/>
              <w:rPr>
                <w:sz w:val="1"/>
                <w:szCs w:val="1"/>
                <w:color w:val="auto"/>
              </w:rPr>
            </w:pPr>
          </w:p>
        </w:tc>
      </w:tr>
      <w:tr>
        <w:trPr>
          <w:trHeight w:val="223"/>
        </w:trPr>
        <w:tc>
          <w:tcPr>
            <w:tcW w:w="8360" w:type="dxa"/>
            <w:vAlign w:val="bottom"/>
            <w:gridSpan w:val="2"/>
          </w:tcPr>
          <w:p>
            <w:pPr>
              <w:ind w:left="20"/>
              <w:spacing w:after="0"/>
              <w:rPr>
                <w:sz w:val="20"/>
                <w:szCs w:val="20"/>
                <w:color w:val="auto"/>
              </w:rPr>
            </w:pPr>
            <w:r>
              <w:rPr>
                <w:rFonts w:ascii="Arial" w:cs="Arial" w:eastAsia="Arial" w:hAnsi="Arial"/>
                <w:sz w:val="17"/>
                <w:szCs w:val="17"/>
                <w:color w:val="auto"/>
              </w:rPr>
              <w:t>Shares granted</w:t>
            </w:r>
          </w:p>
        </w:tc>
        <w:tc>
          <w:tcPr>
            <w:tcW w:w="780" w:type="dxa"/>
            <w:vAlign w:val="bottom"/>
          </w:tcPr>
          <w:p>
            <w:pPr>
              <w:jc w:val="right"/>
              <w:spacing w:after="0"/>
              <w:rPr>
                <w:sz w:val="20"/>
                <w:szCs w:val="20"/>
                <w:color w:val="auto"/>
              </w:rPr>
            </w:pPr>
            <w:r>
              <w:rPr>
                <w:rFonts w:ascii="Arial" w:cs="Arial" w:eastAsia="Arial" w:hAnsi="Arial"/>
                <w:sz w:val="17"/>
                <w:szCs w:val="17"/>
                <w:color w:val="auto"/>
              </w:rPr>
              <w:t>665,597</w:t>
            </w:r>
          </w:p>
        </w:tc>
        <w:tc>
          <w:tcPr>
            <w:tcW w:w="2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720" w:type="dxa"/>
            <w:vAlign w:val="bottom"/>
          </w:tcPr>
          <w:p>
            <w:pPr>
              <w:jc w:val="right"/>
              <w:spacing w:after="0"/>
              <w:rPr>
                <w:sz w:val="20"/>
                <w:szCs w:val="20"/>
                <w:color w:val="auto"/>
              </w:rPr>
            </w:pPr>
            <w:r>
              <w:rPr>
                <w:rFonts w:ascii="Arial" w:cs="Arial" w:eastAsia="Arial" w:hAnsi="Arial"/>
                <w:sz w:val="17"/>
                <w:szCs w:val="17"/>
                <w:color w:val="auto"/>
              </w:rPr>
              <w:t>10.60</w:t>
            </w:r>
          </w:p>
        </w:tc>
        <w:tc>
          <w:tcPr>
            <w:tcW w:w="0" w:type="dxa"/>
            <w:vAlign w:val="bottom"/>
          </w:tcPr>
          <w:p>
            <w:pPr>
              <w:spacing w:after="0"/>
              <w:rPr>
                <w:sz w:val="1"/>
                <w:szCs w:val="1"/>
                <w:color w:val="auto"/>
              </w:rPr>
            </w:pPr>
          </w:p>
        </w:tc>
      </w:tr>
      <w:tr>
        <w:trPr>
          <w:trHeight w:val="223"/>
        </w:trPr>
        <w:tc>
          <w:tcPr>
            <w:tcW w:w="83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Performance shares earned in excess of target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15,314</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8360" w:type="dxa"/>
            <w:vAlign w:val="bottom"/>
            <w:gridSpan w:val="2"/>
          </w:tcPr>
          <w:p>
            <w:pPr>
              <w:ind w:left="20"/>
              <w:spacing w:after="0"/>
              <w:rPr>
                <w:sz w:val="20"/>
                <w:szCs w:val="20"/>
                <w:color w:val="auto"/>
              </w:rPr>
            </w:pPr>
            <w:r>
              <w:rPr>
                <w:rFonts w:ascii="Arial" w:cs="Arial" w:eastAsia="Arial" w:hAnsi="Arial"/>
                <w:sz w:val="17"/>
                <w:szCs w:val="17"/>
                <w:color w:val="auto"/>
              </w:rPr>
              <w:t>Shares vested and released</w:t>
            </w:r>
          </w:p>
        </w:tc>
        <w:tc>
          <w:tcPr>
            <w:tcW w:w="780" w:type="dxa"/>
            <w:vAlign w:val="bottom"/>
          </w:tcPr>
          <w:p>
            <w:pPr>
              <w:jc w:val="right"/>
              <w:spacing w:after="0"/>
              <w:rPr>
                <w:sz w:val="20"/>
                <w:szCs w:val="20"/>
                <w:color w:val="auto"/>
              </w:rPr>
            </w:pPr>
            <w:r>
              <w:rPr>
                <w:rFonts w:ascii="Arial" w:cs="Arial" w:eastAsia="Arial" w:hAnsi="Arial"/>
                <w:sz w:val="17"/>
                <w:szCs w:val="17"/>
                <w:color w:val="auto"/>
                <w:w w:val="98"/>
              </w:rPr>
              <w:t>(515,218)</w:t>
            </w:r>
          </w:p>
        </w:tc>
        <w:tc>
          <w:tcPr>
            <w:tcW w:w="2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720" w:type="dxa"/>
            <w:vAlign w:val="bottom"/>
          </w:tcPr>
          <w:p>
            <w:pPr>
              <w:jc w:val="right"/>
              <w:spacing w:after="0"/>
              <w:rPr>
                <w:sz w:val="20"/>
                <w:szCs w:val="20"/>
                <w:color w:val="auto"/>
              </w:rPr>
            </w:pPr>
            <w:r>
              <w:rPr>
                <w:rFonts w:ascii="Arial" w:cs="Arial" w:eastAsia="Arial" w:hAnsi="Arial"/>
                <w:sz w:val="17"/>
                <w:szCs w:val="17"/>
                <w:color w:val="auto"/>
              </w:rPr>
              <w:t>16.99</w:t>
            </w:r>
          </w:p>
        </w:tc>
        <w:tc>
          <w:tcPr>
            <w:tcW w:w="0" w:type="dxa"/>
            <w:vAlign w:val="bottom"/>
          </w:tcPr>
          <w:p>
            <w:pPr>
              <w:spacing w:after="0"/>
              <w:rPr>
                <w:sz w:val="1"/>
                <w:szCs w:val="1"/>
                <w:color w:val="auto"/>
              </w:rPr>
            </w:pPr>
          </w:p>
        </w:tc>
      </w:tr>
      <w:tr>
        <w:trPr>
          <w:trHeight w:val="223"/>
        </w:trPr>
        <w:tc>
          <w:tcPr>
            <w:tcW w:w="83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Shares canceled</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(119,904)</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20.67</w:t>
            </w:r>
          </w:p>
        </w:tc>
        <w:tc>
          <w:tcPr>
            <w:tcW w:w="0" w:type="dxa"/>
            <w:vAlign w:val="bottom"/>
          </w:tcPr>
          <w:p>
            <w:pPr>
              <w:spacing w:after="0"/>
              <w:rPr>
                <w:sz w:val="1"/>
                <w:szCs w:val="1"/>
                <w:color w:val="auto"/>
              </w:rPr>
            </w:pPr>
          </w:p>
        </w:tc>
      </w:tr>
      <w:tr>
        <w:trPr>
          <w:trHeight w:val="216"/>
        </w:trPr>
        <w:tc>
          <w:tcPr>
            <w:tcW w:w="7160" w:type="dxa"/>
            <w:vAlign w:val="bottom"/>
          </w:tcPr>
          <w:p>
            <w:pPr>
              <w:ind w:left="20"/>
              <w:spacing w:after="0"/>
              <w:rPr>
                <w:sz w:val="20"/>
                <w:szCs w:val="20"/>
                <w:color w:val="auto"/>
              </w:rPr>
            </w:pPr>
            <w:r>
              <w:rPr>
                <w:rFonts w:ascii="Arial" w:cs="Arial" w:eastAsia="Arial" w:hAnsi="Arial"/>
                <w:sz w:val="17"/>
                <w:szCs w:val="17"/>
                <w:color w:val="auto"/>
              </w:rPr>
              <w:t>Nonvested shares at June 30, 2021</w:t>
            </w:r>
          </w:p>
        </w:tc>
        <w:tc>
          <w:tcPr>
            <w:tcW w:w="1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9"/>
              </w:rPr>
              <w:t>1,280,707</w:t>
            </w:r>
          </w:p>
        </w:tc>
        <w:tc>
          <w:tcPr>
            <w:tcW w:w="2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720" w:type="dxa"/>
            <w:vAlign w:val="bottom"/>
          </w:tcPr>
          <w:p>
            <w:pPr>
              <w:jc w:val="right"/>
              <w:spacing w:after="0"/>
              <w:rPr>
                <w:sz w:val="20"/>
                <w:szCs w:val="20"/>
                <w:color w:val="auto"/>
              </w:rPr>
            </w:pPr>
            <w:r>
              <w:rPr>
                <w:rFonts w:ascii="Arial" w:cs="Arial" w:eastAsia="Arial" w:hAnsi="Arial"/>
                <w:sz w:val="17"/>
                <w:szCs w:val="17"/>
                <w:color w:val="auto"/>
              </w:rPr>
              <w:t>17.07</w:t>
            </w: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There were 490,322 and 602,148 deferred shares granted in fiscal 2020 and 2019 with average grant date fair values of $21.79 and $25.10 per share, respectively. There were 542,279 and 314,711 deferred shares that vested and were released in fiscal 2020 and 2019 with weighted average fair values of $19.43 and $16.23 per share, respectively.</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Cash-Settled Restricted Share Units</w:t>
      </w:r>
    </w:p>
    <w:p>
      <w:pPr>
        <w:spacing w:after="0" w:line="172"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In fiscal 2021, we granted 238,848 cash-settled restricted share units with a grant date fair value of $2.3 million. No cash-settled restricted share units were granted in fiscal years 2020 and 2019 and no settlements have occurred. The grant date fair value of these awards is based on the price of our common stock and the number of shares awarded on the date of grant. The award must be settled in cash and is accounted for as a liability-type award. The expense is recognized over the requisite service period with remeasurement at the end of each reporting period at fair value until settlement. The requisite service period is based on the vesting provisions of the awards which generally occur in four equal annual installments beginning one year after the grant date. These awards contain the same retirement provisions described for time-based awards in the nonvested deferred shares section above. We recognized $1.0 million of expense in fiscal 2021 for cash-settled restricted share units, which was included in selling, general and administrative expenses and cost of revenue in the Consolidated Statements of Income. As of June 30, 2021, the liability for cash-settled restricted share units was $1.0 million and is included in accrued wages and benefits in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77" w:name="page78"/>
    <w:bookmarkEnd w:id="77"/>
    <w:p>
      <w:pPr>
        <w:jc w:val="center"/>
        <w:spacing w:after="0"/>
        <w:rPr>
          <w:sz w:val="20"/>
          <w:szCs w:val="20"/>
          <w:color w:val="auto"/>
        </w:rPr>
      </w:pPr>
      <w:r>
        <w:rPr>
          <w:rFonts w:ascii="Arial" w:cs="Arial" w:eastAsia="Arial" w:hAnsi="Arial"/>
          <w:sz w:val="17"/>
          <w:szCs w:val="17"/>
          <w:b w:val="1"/>
          <w:bCs w:val="1"/>
          <w:color w:val="auto"/>
        </w:rPr>
        <w:t>Matrix Service Company</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11—Earnings per Common Share</w:t>
      </w:r>
    </w:p>
    <w:p>
      <w:pPr>
        <w:spacing w:after="0" w:line="178"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Basic earnings per share (“EPS”) is calculated based on the weighted average shares outstanding during the period. Diluted earnings per share includes the dilutive effect of employee and director stock options and nonvested deferred shares. Stock options are considered dilutive whenever the exercise price is less than the average market price of the stock during the period and antidilutive whenever the exercise price exceeds the average market price of the common stock during the period. Nonvested deferred shares are considered dilutive (antidilutive) whenever the average market value of the shares during the period exceeds (is less than) the sum of the related average unamortized compensation expense during the period plus the related hypothetical estimated excess tax benefit that will be realized when the shares vest. Stock options and nonvested deferred shares are considered antidilutive in the event we report a net loss.</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The computation of basic and diluted EPS is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2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8"/>
              </w:rPr>
              <w:t>Fiscal Years Ended</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6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60" w:type="dxa"/>
            <w:vAlign w:val="bottom"/>
            <w:gridSpan w:val="2"/>
          </w:tcPr>
          <w:p>
            <w:pPr>
              <w:ind w:left="220"/>
              <w:spacing w:after="0" w:line="130" w:lineRule="exact"/>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1"/>
                <w:szCs w:val="11"/>
                <w:color w:val="auto"/>
              </w:rPr>
            </w:pPr>
          </w:p>
        </w:tc>
        <w:tc>
          <w:tcPr>
            <w:tcW w:w="1520" w:type="dxa"/>
            <w:vAlign w:val="bottom"/>
            <w:gridSpan w:val="2"/>
          </w:tcPr>
          <w:p>
            <w:pPr>
              <w:jc w:val="center"/>
              <w:ind w:right="300"/>
              <w:spacing w:after="0" w:line="130" w:lineRule="exact"/>
              <w:rPr>
                <w:sz w:val="20"/>
                <w:szCs w:val="20"/>
                <w:color w:val="auto"/>
              </w:rPr>
            </w:pPr>
            <w:r>
              <w:rPr>
                <w:rFonts w:ascii="Arial" w:cs="Arial" w:eastAsia="Arial" w:hAnsi="Arial"/>
                <w:sz w:val="14"/>
                <w:szCs w:val="14"/>
                <w:b w:val="1"/>
                <w:bCs w:val="1"/>
                <w:color w:val="auto"/>
                <w:w w:val="89"/>
              </w:rPr>
              <w:t>June 30,</w:t>
            </w:r>
          </w:p>
        </w:tc>
        <w:tc>
          <w:tcPr>
            <w:tcW w:w="360" w:type="dxa"/>
            <w:vAlign w:val="bottom"/>
          </w:tcPr>
          <w:p>
            <w:pPr>
              <w:spacing w:after="0"/>
              <w:rPr>
                <w:sz w:val="11"/>
                <w:szCs w:val="11"/>
                <w:color w:val="auto"/>
              </w:rPr>
            </w:pPr>
          </w:p>
        </w:tc>
        <w:tc>
          <w:tcPr>
            <w:tcW w:w="1200" w:type="dxa"/>
            <w:vAlign w:val="bottom"/>
          </w:tcPr>
          <w:p>
            <w:pPr>
              <w:jc w:val="right"/>
              <w:ind w:right="456"/>
              <w:spacing w:after="0" w:line="130" w:lineRule="exact"/>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83"/>
        </w:trPr>
        <w:tc>
          <w:tcPr>
            <w:tcW w:w="62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77"/>
        </w:trPr>
        <w:tc>
          <w:tcPr>
            <w:tcW w:w="6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0" w:type="dxa"/>
            <w:vAlign w:val="bottom"/>
            <w:gridSpan w:val="6"/>
          </w:tcPr>
          <w:p>
            <w:pPr>
              <w:jc w:val="center"/>
              <w:ind w:left="797"/>
              <w:spacing w:after="0"/>
              <w:rPr>
                <w:sz w:val="20"/>
                <w:szCs w:val="20"/>
                <w:color w:val="auto"/>
              </w:rPr>
            </w:pPr>
            <w:r>
              <w:rPr>
                <w:rFonts w:ascii="Arial" w:cs="Arial" w:eastAsia="Arial" w:hAnsi="Arial"/>
                <w:sz w:val="14"/>
                <w:szCs w:val="14"/>
                <w:b w:val="1"/>
                <w:bCs w:val="1"/>
                <w:color w:val="auto"/>
                <w:w w:val="88"/>
              </w:rPr>
              <w:t>(In thousands, except per share data)</w:t>
            </w: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62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Basic EPS: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80" w:type="dxa"/>
            <w:vAlign w:val="bottom"/>
          </w:tcPr>
          <w:p>
            <w:pPr>
              <w:ind w:left="20"/>
              <w:spacing w:after="0"/>
              <w:rPr>
                <w:sz w:val="20"/>
                <w:szCs w:val="20"/>
                <w:color w:val="auto"/>
              </w:rPr>
            </w:pPr>
            <w:r>
              <w:rPr>
                <w:rFonts w:ascii="Arial" w:cs="Arial" w:eastAsia="Arial" w:hAnsi="Arial"/>
                <w:sz w:val="17"/>
                <w:szCs w:val="17"/>
                <w:color w:val="auto"/>
              </w:rPr>
              <w:t>Net income (loss)</w:t>
            </w:r>
          </w:p>
        </w:tc>
        <w:tc>
          <w:tcPr>
            <w:tcW w:w="32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(31,224)</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(33,074)</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3"/>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27,982</w:t>
            </w:r>
          </w:p>
        </w:tc>
        <w:tc>
          <w:tcPr>
            <w:tcW w:w="0" w:type="dxa"/>
            <w:vAlign w:val="bottom"/>
          </w:tcPr>
          <w:p>
            <w:pPr>
              <w:spacing w:after="0"/>
              <w:rPr>
                <w:sz w:val="1"/>
                <w:szCs w:val="1"/>
                <w:color w:val="auto"/>
              </w:rPr>
            </w:pPr>
          </w:p>
        </w:tc>
      </w:tr>
      <w:tr>
        <w:trPr>
          <w:trHeight w:val="20"/>
        </w:trPr>
        <w:tc>
          <w:tcPr>
            <w:tcW w:w="62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Weighted average shares outstanding</w:t>
            </w:r>
          </w:p>
        </w:tc>
        <w:tc>
          <w:tcPr>
            <w:tcW w:w="32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26,451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26,621</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26,891</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Basic earnings (loss) per share</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280" w:type="dxa"/>
            <w:vAlign w:val="bottom"/>
            <w:vMerge w:val="continue"/>
          </w:tcPr>
          <w:p>
            <w:pPr>
              <w:spacing w:after="0"/>
              <w:rPr>
                <w:sz w:val="16"/>
                <w:szCs w:val="16"/>
                <w:color w:val="auto"/>
              </w:rPr>
            </w:pPr>
          </w:p>
        </w:tc>
        <w:tc>
          <w:tcPr>
            <w:tcW w:w="32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(1.18)</w:t>
            </w:r>
          </w:p>
        </w:tc>
        <w:tc>
          <w:tcPr>
            <w:tcW w:w="12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(1.24)</w:t>
            </w:r>
          </w:p>
        </w:tc>
        <w:tc>
          <w:tcPr>
            <w:tcW w:w="120" w:type="dxa"/>
            <w:vAlign w:val="bottom"/>
          </w:tcPr>
          <w:p>
            <w:pPr>
              <w:spacing w:after="0"/>
              <w:rPr>
                <w:sz w:val="16"/>
                <w:szCs w:val="16"/>
                <w:color w:val="auto"/>
              </w:rPr>
            </w:pPr>
          </w:p>
        </w:tc>
        <w:tc>
          <w:tcPr>
            <w:tcW w:w="360" w:type="dxa"/>
            <w:vAlign w:val="bottom"/>
            <w:tcBorders>
              <w:bottom w:val="single" w:sz="8" w:color="auto"/>
            </w:tcBorders>
          </w:tcPr>
          <w:p>
            <w:pPr>
              <w:jc w:val="right"/>
              <w:ind w:right="173"/>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1.04</w:t>
            </w:r>
          </w:p>
        </w:tc>
        <w:tc>
          <w:tcPr>
            <w:tcW w:w="0" w:type="dxa"/>
            <w:vAlign w:val="bottom"/>
          </w:tcPr>
          <w:p>
            <w:pPr>
              <w:spacing w:after="0"/>
              <w:rPr>
                <w:sz w:val="1"/>
                <w:szCs w:val="1"/>
                <w:color w:val="auto"/>
              </w:rPr>
            </w:pPr>
          </w:p>
        </w:tc>
      </w:tr>
      <w:tr>
        <w:trPr>
          <w:trHeight w:val="20"/>
        </w:trPr>
        <w:tc>
          <w:tcPr>
            <w:tcW w:w="62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28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b w:val="1"/>
                <w:bCs w:val="1"/>
                <w:color w:val="auto"/>
              </w:rPr>
              <w:t>Diluted EPS:</w:t>
            </w:r>
          </w:p>
        </w:tc>
        <w:tc>
          <w:tcPr>
            <w:tcW w:w="3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280" w:type="dxa"/>
            <w:vAlign w:val="bottom"/>
          </w:tcPr>
          <w:p>
            <w:pPr>
              <w:ind w:left="20"/>
              <w:spacing w:after="0"/>
              <w:rPr>
                <w:sz w:val="20"/>
                <w:szCs w:val="20"/>
                <w:color w:val="auto"/>
              </w:rPr>
            </w:pPr>
            <w:r>
              <w:rPr>
                <w:rFonts w:ascii="Arial" w:cs="Arial" w:eastAsia="Arial" w:hAnsi="Arial"/>
                <w:sz w:val="17"/>
                <w:szCs w:val="17"/>
                <w:color w:val="auto"/>
              </w:rPr>
              <w:t>Weighted average shares outstanding—basic</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26,451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26,621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26,891</w:t>
            </w:r>
          </w:p>
        </w:tc>
        <w:tc>
          <w:tcPr>
            <w:tcW w:w="0" w:type="dxa"/>
            <w:vAlign w:val="bottom"/>
          </w:tcPr>
          <w:p>
            <w:pPr>
              <w:spacing w:after="0"/>
              <w:rPr>
                <w:sz w:val="1"/>
                <w:szCs w:val="1"/>
                <w:color w:val="auto"/>
              </w:rPr>
            </w:pPr>
          </w:p>
        </w:tc>
      </w:tr>
      <w:tr>
        <w:trPr>
          <w:trHeight w:val="223"/>
        </w:trPr>
        <w:tc>
          <w:tcPr>
            <w:tcW w:w="6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Dilutive stock options</w:t>
            </w:r>
          </w:p>
        </w:tc>
        <w:tc>
          <w:tcPr>
            <w:tcW w:w="3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223"/>
        </w:trPr>
        <w:tc>
          <w:tcPr>
            <w:tcW w:w="6280" w:type="dxa"/>
            <w:vAlign w:val="bottom"/>
          </w:tcPr>
          <w:p>
            <w:pPr>
              <w:ind w:left="20"/>
              <w:spacing w:after="0"/>
              <w:rPr>
                <w:sz w:val="20"/>
                <w:szCs w:val="20"/>
                <w:color w:val="auto"/>
              </w:rPr>
            </w:pPr>
            <w:r>
              <w:rPr>
                <w:rFonts w:ascii="Arial" w:cs="Arial" w:eastAsia="Arial" w:hAnsi="Arial"/>
                <w:sz w:val="17"/>
                <w:szCs w:val="17"/>
                <w:color w:val="auto"/>
              </w:rPr>
              <w:t>Dilutive nonvested deferred shares</w:t>
            </w:r>
          </w:p>
        </w:tc>
        <w:tc>
          <w:tcPr>
            <w:tcW w:w="3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668</w:t>
            </w:r>
          </w:p>
        </w:tc>
        <w:tc>
          <w:tcPr>
            <w:tcW w:w="0" w:type="dxa"/>
            <w:vAlign w:val="bottom"/>
          </w:tcPr>
          <w:p>
            <w:pPr>
              <w:spacing w:after="0"/>
              <w:rPr>
                <w:sz w:val="1"/>
                <w:szCs w:val="1"/>
                <w:color w:val="auto"/>
              </w:rPr>
            </w:pPr>
          </w:p>
        </w:tc>
      </w:tr>
      <w:tr>
        <w:trPr>
          <w:trHeight w:val="241"/>
        </w:trPr>
        <w:tc>
          <w:tcPr>
            <w:tcW w:w="6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Diluted weighted average shares</w:t>
            </w:r>
          </w:p>
        </w:tc>
        <w:tc>
          <w:tcPr>
            <w:tcW w:w="320" w:type="dxa"/>
            <w:vAlign w:val="bottom"/>
            <w:tcBorders>
              <w:top w:val="single" w:sz="8" w:color="auto"/>
              <w:bottom w:val="single" w:sz="8" w:color="auto"/>
            </w:tcBorders>
            <w:shd w:val="clear" w:color="auto" w:fill="CCEEFF"/>
          </w:tcPr>
          <w:p>
            <w:pPr>
              <w:spacing w:after="0"/>
              <w:rPr>
                <w:sz w:val="20"/>
                <w:szCs w:val="20"/>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26,451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26,621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27,587</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Diluted earnings (loss) per share</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280" w:type="dxa"/>
            <w:vAlign w:val="bottom"/>
            <w:vMerge w:val="continue"/>
          </w:tcPr>
          <w:p>
            <w:pPr>
              <w:spacing w:after="0"/>
              <w:rPr>
                <w:sz w:val="16"/>
                <w:szCs w:val="16"/>
                <w:color w:val="auto"/>
              </w:rPr>
            </w:pPr>
          </w:p>
        </w:tc>
        <w:tc>
          <w:tcPr>
            <w:tcW w:w="32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(1.18)</w:t>
            </w:r>
          </w:p>
        </w:tc>
        <w:tc>
          <w:tcPr>
            <w:tcW w:w="12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(1.24)</w:t>
            </w:r>
          </w:p>
        </w:tc>
        <w:tc>
          <w:tcPr>
            <w:tcW w:w="120" w:type="dxa"/>
            <w:vAlign w:val="bottom"/>
          </w:tcPr>
          <w:p>
            <w:pPr>
              <w:spacing w:after="0"/>
              <w:rPr>
                <w:sz w:val="16"/>
                <w:szCs w:val="16"/>
                <w:color w:val="auto"/>
              </w:rPr>
            </w:pPr>
          </w:p>
        </w:tc>
        <w:tc>
          <w:tcPr>
            <w:tcW w:w="360" w:type="dxa"/>
            <w:vAlign w:val="bottom"/>
            <w:tcBorders>
              <w:bottom w:val="single" w:sz="8" w:color="auto"/>
            </w:tcBorders>
          </w:tcPr>
          <w:p>
            <w:pPr>
              <w:jc w:val="right"/>
              <w:ind w:right="173"/>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1.01</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securities are considered antidilutive and have been excluded from the calculation of diluted earnings (loss) per share:</w:t>
      </w:r>
    </w:p>
    <w:p>
      <w:pPr>
        <w:spacing w:after="0" w:line="201" w:lineRule="exact"/>
        <w:rPr>
          <w:sz w:val="20"/>
          <w:szCs w:val="20"/>
          <w:color w:val="auto"/>
        </w:rPr>
      </w:pPr>
    </w:p>
    <w:p>
      <w:pPr>
        <w:ind w:left="8240"/>
        <w:spacing w:after="0"/>
        <w:rPr>
          <w:sz w:val="20"/>
          <w:szCs w:val="20"/>
          <w:color w:val="auto"/>
        </w:rPr>
      </w:pPr>
      <w:r>
        <w:rPr>
          <w:rFonts w:ascii="Arial" w:cs="Arial" w:eastAsia="Arial" w:hAnsi="Arial"/>
          <w:sz w:val="14"/>
          <w:szCs w:val="14"/>
          <w:b w:val="1"/>
          <w:bCs w:val="1"/>
          <w:color w:val="auto"/>
        </w:rPr>
        <w:t>Fiscal Years Ended</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6440" w:type="dxa"/>
            <w:vAlign w:val="bottom"/>
          </w:tcPr>
          <w:p>
            <w:pPr>
              <w:spacing w:after="0"/>
              <w:rPr>
                <w:sz w:val="11"/>
                <w:szCs w:val="11"/>
                <w:color w:val="auto"/>
              </w:rPr>
            </w:pPr>
          </w:p>
        </w:tc>
        <w:tc>
          <w:tcPr>
            <w:tcW w:w="1080" w:type="dxa"/>
            <w:vAlign w:val="bottom"/>
            <w:tcBorders>
              <w:top w:val="single" w:sz="8" w:color="auto"/>
            </w:tcBorders>
          </w:tcPr>
          <w:p>
            <w:pPr>
              <w:jc w:val="center"/>
              <w:ind w:left="350"/>
              <w:spacing w:after="0" w:line="135" w:lineRule="exact"/>
              <w:rPr>
                <w:sz w:val="20"/>
                <w:szCs w:val="20"/>
                <w:color w:val="auto"/>
              </w:rPr>
            </w:pPr>
            <w:r>
              <w:rPr>
                <w:rFonts w:ascii="Arial" w:cs="Arial" w:eastAsia="Arial" w:hAnsi="Arial"/>
                <w:sz w:val="14"/>
                <w:szCs w:val="14"/>
                <w:b w:val="1"/>
                <w:bCs w:val="1"/>
                <w:color w:val="auto"/>
                <w:w w:val="89"/>
              </w:rPr>
              <w:t>June 30,</w:t>
            </w:r>
          </w:p>
        </w:tc>
        <w:tc>
          <w:tcPr>
            <w:tcW w:w="4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620" w:type="dxa"/>
            <w:vAlign w:val="bottom"/>
            <w:tcBorders>
              <w:top w:val="single" w:sz="8" w:color="auto"/>
            </w:tcBorders>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89"/>
              </w:rPr>
              <w:t>June 30,</w:t>
            </w:r>
          </w:p>
        </w:tc>
        <w:tc>
          <w:tcPr>
            <w:tcW w:w="1540" w:type="dxa"/>
            <w:vAlign w:val="bottom"/>
            <w:tcBorders>
              <w:top w:val="single" w:sz="8" w:color="auto"/>
            </w:tcBorders>
          </w:tcPr>
          <w:p>
            <w:pPr>
              <w:jc w:val="right"/>
              <w:ind w:right="440"/>
              <w:spacing w:after="0" w:line="135" w:lineRule="exact"/>
              <w:rPr>
                <w:sz w:val="20"/>
                <w:szCs w:val="20"/>
                <w:color w:val="auto"/>
              </w:rPr>
            </w:pPr>
            <w:r>
              <w:rPr>
                <w:rFonts w:ascii="Arial" w:cs="Arial" w:eastAsia="Arial" w:hAnsi="Arial"/>
                <w:sz w:val="14"/>
                <w:szCs w:val="14"/>
                <w:b w:val="1"/>
                <w:bCs w:val="1"/>
                <w:color w:val="auto"/>
              </w:rPr>
              <w:t>June 30,</w:t>
            </w:r>
          </w:p>
        </w:tc>
      </w:tr>
      <w:tr>
        <w:trPr>
          <w:trHeight w:val="183"/>
        </w:trPr>
        <w:tc>
          <w:tcPr>
            <w:tcW w:w="7520" w:type="dxa"/>
            <w:vAlign w:val="bottom"/>
            <w:gridSpan w:val="2"/>
          </w:tcPr>
          <w:p>
            <w:pPr>
              <w:jc w:val="right"/>
              <w:ind w:right="130"/>
              <w:spacing w:after="0"/>
              <w:rPr>
                <w:sz w:val="20"/>
                <w:szCs w:val="20"/>
                <w:color w:val="auto"/>
              </w:rPr>
            </w:pPr>
            <w:r>
              <w:rPr>
                <w:rFonts w:ascii="Arial" w:cs="Arial" w:eastAsia="Arial" w:hAnsi="Arial"/>
                <w:sz w:val="14"/>
                <w:szCs w:val="14"/>
                <w:b w:val="1"/>
                <w:bCs w:val="1"/>
                <w:color w:val="auto"/>
              </w:rPr>
              <w:t>2021</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5"/>
                <w:szCs w:val="15"/>
                <w:color w:val="auto"/>
              </w:rPr>
            </w:pPr>
          </w:p>
        </w:tc>
        <w:tc>
          <w:tcPr>
            <w:tcW w:w="1540" w:type="dxa"/>
            <w:vAlign w:val="bottom"/>
          </w:tcPr>
          <w:p>
            <w:pPr>
              <w:jc w:val="right"/>
              <w:ind w:right="560"/>
              <w:spacing w:after="0"/>
              <w:rPr>
                <w:sz w:val="20"/>
                <w:szCs w:val="20"/>
                <w:color w:val="auto"/>
              </w:rPr>
            </w:pPr>
            <w:r>
              <w:rPr>
                <w:rFonts w:ascii="Arial" w:cs="Arial" w:eastAsia="Arial" w:hAnsi="Arial"/>
                <w:sz w:val="14"/>
                <w:szCs w:val="14"/>
                <w:b w:val="1"/>
                <w:bCs w:val="1"/>
                <w:color w:val="auto"/>
              </w:rPr>
              <w:t>2019</w:t>
            </w:r>
          </w:p>
        </w:tc>
      </w:tr>
      <w:tr>
        <w:trPr>
          <w:trHeight w:val="177"/>
        </w:trPr>
        <w:tc>
          <w:tcPr>
            <w:tcW w:w="6440" w:type="dxa"/>
            <w:vAlign w:val="bottom"/>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620" w:type="dxa"/>
            <w:vAlign w:val="bottom"/>
            <w:tcBorders>
              <w:top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87"/>
              </w:rPr>
              <w:t>(In thousands of shares)</w:t>
            </w:r>
          </w:p>
        </w:tc>
        <w:tc>
          <w:tcPr>
            <w:tcW w:w="1540" w:type="dxa"/>
            <w:vAlign w:val="bottom"/>
            <w:tcBorders>
              <w:top w:val="single" w:sz="8" w:color="auto"/>
            </w:tcBorders>
          </w:tcPr>
          <w:p>
            <w:pPr>
              <w:spacing w:after="0"/>
              <w:rPr>
                <w:sz w:val="15"/>
                <w:szCs w:val="15"/>
                <w:color w:val="auto"/>
              </w:rPr>
            </w:pPr>
          </w:p>
        </w:tc>
      </w:tr>
      <w:tr>
        <w:trPr>
          <w:trHeight w:val="223"/>
        </w:trPr>
        <w:tc>
          <w:tcPr>
            <w:tcW w:w="75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Stock options</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19</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7520" w:type="dxa"/>
            <w:vAlign w:val="bottom"/>
            <w:gridSpan w:val="2"/>
          </w:tcPr>
          <w:p>
            <w:pPr>
              <w:ind w:left="20"/>
              <w:spacing w:after="0"/>
              <w:rPr>
                <w:sz w:val="20"/>
                <w:szCs w:val="20"/>
                <w:color w:val="auto"/>
              </w:rPr>
            </w:pPr>
            <w:r>
              <w:rPr>
                <w:rFonts w:ascii="Arial" w:cs="Arial" w:eastAsia="Arial" w:hAnsi="Arial"/>
                <w:sz w:val="17"/>
                <w:szCs w:val="17"/>
                <w:color w:val="auto"/>
              </w:rPr>
              <w:t>Nonvested deferred shares</w:t>
            </w:r>
          </w:p>
        </w:tc>
        <w:tc>
          <w:tcPr>
            <w:tcW w:w="420" w:type="dxa"/>
            <w:vAlign w:val="bottom"/>
          </w:tcPr>
          <w:p>
            <w:pPr>
              <w:jc w:val="right"/>
              <w:spacing w:after="0"/>
              <w:rPr>
                <w:sz w:val="20"/>
                <w:szCs w:val="20"/>
                <w:color w:val="auto"/>
              </w:rPr>
            </w:pPr>
            <w:r>
              <w:rPr>
                <w:rFonts w:ascii="Arial" w:cs="Arial" w:eastAsia="Arial" w:hAnsi="Arial"/>
                <w:sz w:val="17"/>
                <w:szCs w:val="17"/>
                <w:color w:val="auto"/>
              </w:rPr>
              <w:t>399</w:t>
            </w:r>
          </w:p>
        </w:tc>
        <w:tc>
          <w:tcPr>
            <w:tcW w:w="100" w:type="dxa"/>
            <w:vAlign w:val="bottom"/>
          </w:tcPr>
          <w:p>
            <w:pPr>
              <w:spacing w:after="0"/>
              <w:rPr>
                <w:sz w:val="19"/>
                <w:szCs w:val="19"/>
                <w:color w:val="auto"/>
              </w:rPr>
            </w:pPr>
          </w:p>
        </w:tc>
        <w:tc>
          <w:tcPr>
            <w:tcW w:w="1520" w:type="dxa"/>
            <w:vAlign w:val="bottom"/>
          </w:tcPr>
          <w:p>
            <w:pPr>
              <w:jc w:val="right"/>
              <w:ind w:right="1"/>
              <w:spacing w:after="0"/>
              <w:rPr>
                <w:sz w:val="20"/>
                <w:szCs w:val="20"/>
                <w:color w:val="auto"/>
              </w:rPr>
            </w:pPr>
            <w:r>
              <w:rPr>
                <w:rFonts w:ascii="Arial" w:cs="Arial" w:eastAsia="Arial" w:hAnsi="Arial"/>
                <w:sz w:val="17"/>
                <w:szCs w:val="17"/>
                <w:color w:val="auto"/>
              </w:rPr>
              <w:t>662</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160</w:t>
            </w:r>
          </w:p>
        </w:tc>
      </w:tr>
      <w:tr>
        <w:trPr>
          <w:trHeight w:val="241"/>
        </w:trPr>
        <w:tc>
          <w:tcPr>
            <w:tcW w:w="6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antidilutive securities</w:t>
            </w:r>
          </w:p>
        </w:tc>
        <w:tc>
          <w:tcPr>
            <w:tcW w:w="1080" w:type="dxa"/>
            <w:vAlign w:val="bottom"/>
            <w:tcBorders>
              <w:top w:val="single" w:sz="8" w:color="auto"/>
              <w:bottom w:val="single" w:sz="8" w:color="auto"/>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5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681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160</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12—Employee Benefit Plans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Defined Contribution Plans</w:t>
      </w:r>
    </w:p>
    <w:p>
      <w:pPr>
        <w:spacing w:after="0" w:line="17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sponsor defined contribution savings plans for all eligible employees meeting length of service requirements. Under the primary plan, participants may contribute an amount up to 25% of pretax annual compensation subject to certain limitations. We match 100% of the first 3% of employee contributions and 50% of the next 2% of employee contributions. Our matching contributions vest immediately.</w:t>
      </w:r>
    </w:p>
    <w:p>
      <w:pPr>
        <w:spacing w:after="0" w:line="120"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Our matching contributions were $5.4 million in the fiscal year ended June 30, 2021, and $6.2 million in each of the fiscal years ended June 30, 2020 and June 30, 2019.</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78" w:name="page79"/>
    <w:bookmarkEnd w:id="78"/>
    <w:p>
      <w:pPr>
        <w:jc w:val="center"/>
        <w:spacing w:after="0"/>
        <w:rPr>
          <w:sz w:val="20"/>
          <w:szCs w:val="20"/>
          <w:color w:val="auto"/>
        </w:rPr>
      </w:pPr>
      <w:r>
        <w:rPr>
          <w:rFonts w:ascii="Arial" w:cs="Arial" w:eastAsia="Arial" w:hAnsi="Arial"/>
          <w:sz w:val="17"/>
          <w:szCs w:val="17"/>
          <w:b w:val="1"/>
          <w:bCs w:val="1"/>
          <w:color w:val="auto"/>
        </w:rPr>
        <w:t>Matrix Service Company</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Multiemployer Pension Plans</w:t>
      </w:r>
    </w:p>
    <w:p>
      <w:pPr>
        <w:spacing w:after="0" w:line="17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contribute to a number of multiemployer defined benefit pension plans in the U.S. and Canada under the terms of collective-bargaining agreements that cover our union-represented employees, who are represented by more than 90 local unions. The related collective-bargaining agreements between those organizations and us, which specify the rate at which we must contribute to the multi-employer defined pension plan, expire at different times between 2021 and 2024. Benefits under these plans are generally based on compensation levels and years of service.</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For us, the financial risks of participating in multiemployer plans are different from single-employer plans in the following respects:</w:t>
      </w:r>
    </w:p>
    <w:p>
      <w:pPr>
        <w:spacing w:after="0" w:line="172" w:lineRule="exact"/>
        <w:rPr>
          <w:sz w:val="20"/>
          <w:szCs w:val="20"/>
          <w:color w:val="auto"/>
        </w:rPr>
      </w:pPr>
    </w:p>
    <w:p>
      <w:pPr>
        <w:ind w:left="620" w:hanging="300"/>
        <w:spacing w:after="0"/>
        <w:tabs>
          <w:tab w:leader="none" w:pos="6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Assets contributed to the multiemployer plan by one employer may be used to provide benefits to employees of other participating employers.</w:t>
      </w:r>
    </w:p>
    <w:p>
      <w:pPr>
        <w:spacing w:after="0" w:line="183" w:lineRule="exact"/>
        <w:rPr>
          <w:rFonts w:ascii="Arial" w:cs="Arial" w:eastAsia="Arial" w:hAnsi="Arial"/>
          <w:sz w:val="16"/>
          <w:szCs w:val="16"/>
          <w:color w:val="auto"/>
        </w:rPr>
      </w:pPr>
    </w:p>
    <w:p>
      <w:pPr>
        <w:ind w:left="640" w:right="440" w:hanging="320"/>
        <w:spacing w:after="0" w:line="289" w:lineRule="auto"/>
        <w:tabs>
          <w:tab w:leader="none" w:pos="635" w:val="left"/>
        </w:tabs>
        <w:numPr>
          <w:ilvl w:val="0"/>
          <w:numId w:val="40"/>
        </w:numPr>
        <w:rPr>
          <w:rFonts w:ascii="Arial" w:cs="Arial" w:eastAsia="Arial" w:hAnsi="Arial"/>
          <w:sz w:val="17"/>
          <w:szCs w:val="17"/>
          <w:color w:val="auto"/>
        </w:rPr>
      </w:pPr>
      <w:r>
        <w:rPr>
          <w:rFonts w:ascii="Arial" w:cs="Arial" w:eastAsia="Arial" w:hAnsi="Arial"/>
          <w:sz w:val="17"/>
          <w:szCs w:val="17"/>
          <w:color w:val="auto"/>
        </w:rPr>
        <w:t>If a participating employer discontinues contributions to a plan, the unfunded obligations of the plan may be borne by the remaining participating employers.</w:t>
      </w:r>
    </w:p>
    <w:p>
      <w:pPr>
        <w:spacing w:after="0" w:line="106" w:lineRule="exact"/>
        <w:rPr>
          <w:rFonts w:ascii="Arial" w:cs="Arial" w:eastAsia="Arial" w:hAnsi="Arial"/>
          <w:sz w:val="17"/>
          <w:szCs w:val="17"/>
          <w:color w:val="auto"/>
        </w:rPr>
      </w:pPr>
    </w:p>
    <w:p>
      <w:pPr>
        <w:ind w:left="640" w:right="200" w:hanging="320"/>
        <w:spacing w:after="0" w:line="289" w:lineRule="auto"/>
        <w:tabs>
          <w:tab w:leader="none" w:pos="635" w:val="left"/>
        </w:tabs>
        <w:numPr>
          <w:ilvl w:val="0"/>
          <w:numId w:val="40"/>
        </w:numPr>
        <w:rPr>
          <w:rFonts w:ascii="Arial" w:cs="Arial" w:eastAsia="Arial" w:hAnsi="Arial"/>
          <w:sz w:val="17"/>
          <w:szCs w:val="17"/>
          <w:color w:val="auto"/>
        </w:rPr>
      </w:pPr>
      <w:r>
        <w:rPr>
          <w:rFonts w:ascii="Arial" w:cs="Arial" w:eastAsia="Arial" w:hAnsi="Arial"/>
          <w:sz w:val="17"/>
          <w:szCs w:val="17"/>
          <w:color w:val="auto"/>
        </w:rPr>
        <w:t>If a participating employer chooses to stop participating in a plan, a withdrawal liability may be created based on the unfunded vested benefits for all employees in the plan.</w:t>
      </w:r>
    </w:p>
    <w:p>
      <w:pPr>
        <w:spacing w:after="0" w:line="10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Under federal legislation regarding multiemployer pension plans, in the event of a withdrawal from a plan or plan termination, companies are required to continue funding their proportionate share of such plan’s unfunded vested benefits. We are a participant in multiple union sponsored multiemployer plans, and, as a plan participant, our potential obligation could be significant. The amount of the potential obligation is not currently ascertainable because the information required to determine such amount is not identifiable or readily available.</w:t>
      </w:r>
    </w:p>
    <w:p>
      <w:pPr>
        <w:spacing w:after="0" w:line="124"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Our participation in significant plans for the fiscal year ended June 30, 2021 is outlined in the table below. The “EIN/Pension Plan Number” column provides the Employer Identification Number (“EIN”) and the three digit plan number. The zone status is based on the latest information that the Company received from the plan and is certified by the plan’s actuary. Plans in the red zone are generally less than 65 percent funded, plans in the yellow zone are generally less than 80 percent funded, and plans in the green zone are generally at least 80 percent funded. The “FIP/RP Status Pending/Implemented” column indicates plans for which a financial improvement plan (“FIP”) or a rehabilitation plan (“RP”) is either pending or has been implemented. The “Surcharge Imposed” column includes plans in a red zone status that require a payment of a surcharge in excess of regular contributions. The last column lists the expiration date of the collective-bargaining agreement to which the plan is subject.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79" w:name="page80"/>
    <w:bookmarkEnd w:id="79"/>
    <w:p>
      <w:pPr>
        <w:jc w:val="center"/>
        <w:spacing w:after="0"/>
        <w:rPr>
          <w:sz w:val="20"/>
          <w:szCs w:val="20"/>
          <w:color w:val="auto"/>
        </w:rPr>
      </w:pPr>
      <w:r>
        <w:rPr>
          <w:rFonts w:ascii="Arial" w:cs="Arial" w:eastAsia="Arial" w:hAnsi="Arial"/>
          <w:sz w:val="17"/>
          <w:szCs w:val="17"/>
          <w:b w:val="1"/>
          <w:bCs w:val="1"/>
          <w:color w:val="auto"/>
        </w:rPr>
        <w:t>Matrix Service Company</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center"/>
              <w:ind w:left="604"/>
              <w:spacing w:after="0"/>
              <w:rPr>
                <w:sz w:val="20"/>
                <w:szCs w:val="20"/>
                <w:color w:val="auto"/>
              </w:rPr>
            </w:pPr>
            <w:r>
              <w:rPr>
                <w:rFonts w:ascii="Arial" w:cs="Arial" w:eastAsia="Arial" w:hAnsi="Arial"/>
                <w:sz w:val="14"/>
                <w:szCs w:val="14"/>
                <w:b w:val="1"/>
                <w:bCs w:val="1"/>
                <w:color w:val="auto"/>
                <w:w w:val="84"/>
              </w:rPr>
              <w:t>Pension</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7"/>
              </w:rPr>
              <w:t>FIP/RP</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2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780" w:type="dxa"/>
            <w:vAlign w:val="bottom"/>
            <w:gridSpan w:val="2"/>
            <w:vMerge w:val="restart"/>
          </w:tcPr>
          <w:p>
            <w:pPr>
              <w:jc w:val="center"/>
              <w:spacing w:after="0" w:line="131" w:lineRule="exact"/>
              <w:rPr>
                <w:sz w:val="20"/>
                <w:szCs w:val="20"/>
                <w:color w:val="auto"/>
              </w:rPr>
            </w:pPr>
            <w:r>
              <w:rPr>
                <w:rFonts w:ascii="Arial" w:cs="Arial" w:eastAsia="Arial" w:hAnsi="Arial"/>
                <w:sz w:val="14"/>
                <w:szCs w:val="14"/>
                <w:b w:val="1"/>
                <w:bCs w:val="1"/>
                <w:color w:val="auto"/>
                <w:w w:val="89"/>
              </w:rPr>
              <w:t>Protection Act</w:t>
            </w:r>
          </w:p>
        </w:tc>
        <w:tc>
          <w:tcPr>
            <w:tcW w:w="10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1940" w:type="dxa"/>
            <w:vAlign w:val="bottom"/>
            <w:gridSpan w:val="4"/>
            <w:vMerge w:val="restart"/>
          </w:tcPr>
          <w:p>
            <w:pPr>
              <w:jc w:val="center"/>
              <w:ind w:left="337"/>
              <w:spacing w:after="0" w:line="131" w:lineRule="exact"/>
              <w:rPr>
                <w:sz w:val="20"/>
                <w:szCs w:val="20"/>
                <w:color w:val="auto"/>
              </w:rPr>
            </w:pPr>
            <w:r>
              <w:rPr>
                <w:rFonts w:ascii="Arial" w:cs="Arial" w:eastAsia="Arial" w:hAnsi="Arial"/>
                <w:sz w:val="14"/>
                <w:szCs w:val="14"/>
                <w:b w:val="1"/>
                <w:bCs w:val="1"/>
                <w:color w:val="auto"/>
                <w:w w:val="91"/>
              </w:rPr>
              <w:t>Company Contributions</w:t>
            </w: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9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2"/>
        </w:trPr>
        <w:tc>
          <w:tcPr>
            <w:tcW w:w="2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8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300" w:type="dxa"/>
            <w:vAlign w:val="bottom"/>
            <w:gridSpan w:val="2"/>
            <w:vMerge w:val="restart"/>
          </w:tcPr>
          <w:p>
            <w:pPr>
              <w:jc w:val="center"/>
              <w:ind w:right="100"/>
              <w:spacing w:after="0" w:line="131" w:lineRule="exact"/>
              <w:rPr>
                <w:sz w:val="20"/>
                <w:szCs w:val="20"/>
                <w:color w:val="auto"/>
              </w:rPr>
            </w:pPr>
            <w:r>
              <w:rPr>
                <w:rFonts w:ascii="Arial" w:cs="Arial" w:eastAsia="Arial" w:hAnsi="Arial"/>
                <w:sz w:val="14"/>
                <w:szCs w:val="14"/>
                <w:b w:val="1"/>
                <w:bCs w:val="1"/>
                <w:color w:val="auto"/>
                <w:w w:val="84"/>
              </w:rPr>
              <w:t>Status</w:t>
            </w:r>
          </w:p>
        </w:tc>
        <w:tc>
          <w:tcPr>
            <w:tcW w:w="180" w:type="dxa"/>
            <w:vAlign w:val="bottom"/>
          </w:tcPr>
          <w:p>
            <w:pPr>
              <w:spacing w:after="0"/>
              <w:rPr>
                <w:sz w:val="4"/>
                <w:szCs w:val="4"/>
                <w:color w:val="auto"/>
              </w:rPr>
            </w:pPr>
          </w:p>
        </w:tc>
        <w:tc>
          <w:tcPr>
            <w:tcW w:w="1940" w:type="dxa"/>
            <w:vAlign w:val="bottom"/>
            <w:gridSpan w:val="4"/>
            <w:vMerge w:val="continue"/>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9"/>
        </w:trPr>
        <w:tc>
          <w:tcPr>
            <w:tcW w:w="2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7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9"/>
              </w:rPr>
              <w:t>Zone Status</w:t>
            </w:r>
          </w:p>
        </w:tc>
        <w:tc>
          <w:tcPr>
            <w:tcW w:w="10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6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vMerge w:val="restart"/>
          </w:tcPr>
          <w:p>
            <w:pPr>
              <w:jc w:val="center"/>
              <w:ind w:right="97"/>
              <w:spacing w:after="0"/>
              <w:rPr>
                <w:sz w:val="20"/>
                <w:szCs w:val="20"/>
                <w:color w:val="auto"/>
              </w:rPr>
            </w:pPr>
            <w:r>
              <w:rPr>
                <w:rFonts w:ascii="Arial" w:cs="Arial" w:eastAsia="Arial" w:hAnsi="Arial"/>
                <w:sz w:val="14"/>
                <w:szCs w:val="14"/>
                <w:b w:val="1"/>
                <w:bCs w:val="1"/>
                <w:color w:val="auto"/>
                <w:w w:val="89"/>
              </w:rPr>
              <w:t>Fiscal Year</w:t>
            </w:r>
          </w:p>
        </w:tc>
        <w:tc>
          <w:tcPr>
            <w:tcW w:w="2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9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2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tcPr>
          <w:p>
            <w:pPr>
              <w:jc w:val="center"/>
              <w:ind w:right="100"/>
              <w:spacing w:after="0" w:line="104" w:lineRule="exact"/>
              <w:rPr>
                <w:sz w:val="20"/>
                <w:szCs w:val="20"/>
                <w:color w:val="auto"/>
              </w:rPr>
            </w:pPr>
            <w:r>
              <w:rPr>
                <w:rFonts w:ascii="Arial" w:cs="Arial" w:eastAsia="Arial" w:hAnsi="Arial"/>
                <w:sz w:val="12"/>
                <w:szCs w:val="12"/>
                <w:b w:val="1"/>
                <w:bCs w:val="1"/>
                <w:color w:val="auto"/>
              </w:rPr>
              <w:t>EIN/Pension</w:t>
            </w:r>
          </w:p>
        </w:tc>
        <w:tc>
          <w:tcPr>
            <w:tcW w:w="1780" w:type="dxa"/>
            <w:vAlign w:val="bottom"/>
            <w:tcBorders>
              <w:bottom w:val="single" w:sz="8" w:color="auto"/>
            </w:tcBorders>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300" w:type="dxa"/>
            <w:vAlign w:val="bottom"/>
            <w:gridSpan w:val="2"/>
          </w:tcPr>
          <w:p>
            <w:pPr>
              <w:jc w:val="center"/>
              <w:ind w:right="100"/>
              <w:spacing w:after="0" w:line="104" w:lineRule="exact"/>
              <w:rPr>
                <w:sz w:val="20"/>
                <w:szCs w:val="20"/>
                <w:color w:val="auto"/>
              </w:rPr>
            </w:pPr>
            <w:r>
              <w:rPr>
                <w:rFonts w:ascii="Arial" w:cs="Arial" w:eastAsia="Arial" w:hAnsi="Arial"/>
                <w:sz w:val="12"/>
                <w:szCs w:val="12"/>
                <w:b w:val="1"/>
                <w:bCs w:val="1"/>
                <w:color w:val="auto"/>
              </w:rPr>
              <w:t>Pending or</w:t>
            </w:r>
          </w:p>
        </w:tc>
        <w:tc>
          <w:tcPr>
            <w:tcW w:w="1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vMerge w:val="continue"/>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jc w:val="center"/>
              <w:spacing w:after="0" w:line="104" w:lineRule="exact"/>
              <w:rPr>
                <w:sz w:val="20"/>
                <w:szCs w:val="20"/>
                <w:color w:val="auto"/>
              </w:rPr>
            </w:pPr>
            <w:r>
              <w:rPr>
                <w:rFonts w:ascii="Arial" w:cs="Arial" w:eastAsia="Arial" w:hAnsi="Arial"/>
                <w:sz w:val="12"/>
                <w:szCs w:val="12"/>
                <w:b w:val="1"/>
                <w:bCs w:val="1"/>
                <w:color w:val="auto"/>
              </w:rPr>
              <w:t>Surcharge</w:t>
            </w:r>
          </w:p>
        </w:tc>
        <w:tc>
          <w:tcPr>
            <w:tcW w:w="0" w:type="dxa"/>
            <w:vAlign w:val="bottom"/>
          </w:tcPr>
          <w:p>
            <w:pPr>
              <w:spacing w:after="0"/>
              <w:rPr>
                <w:sz w:val="1"/>
                <w:szCs w:val="1"/>
                <w:color w:val="auto"/>
              </w:rPr>
            </w:pPr>
          </w:p>
        </w:tc>
      </w:tr>
      <w:tr>
        <w:trPr>
          <w:trHeight w:val="190"/>
        </w:trPr>
        <w:tc>
          <w:tcPr>
            <w:tcW w:w="3000" w:type="dxa"/>
            <w:vAlign w:val="bottom"/>
            <w:gridSpan w:val="2"/>
          </w:tcPr>
          <w:p>
            <w:pPr>
              <w:ind w:left="1040"/>
              <w:spacing w:after="0"/>
              <w:rPr>
                <w:sz w:val="20"/>
                <w:szCs w:val="20"/>
                <w:color w:val="auto"/>
              </w:rPr>
            </w:pPr>
            <w:r>
              <w:rPr>
                <w:rFonts w:ascii="Arial" w:cs="Arial" w:eastAsia="Arial" w:hAnsi="Arial"/>
                <w:sz w:val="14"/>
                <w:szCs w:val="14"/>
                <w:b w:val="1"/>
                <w:bCs w:val="1"/>
                <w:color w:val="auto"/>
              </w:rPr>
              <w:t>Pension Fund</w:t>
            </w: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Plan Number</w:t>
            </w:r>
          </w:p>
        </w:tc>
        <w:tc>
          <w:tcPr>
            <w:tcW w:w="1120" w:type="dxa"/>
            <w:vAlign w:val="bottom"/>
          </w:tcPr>
          <w:p>
            <w:pPr>
              <w:jc w:val="center"/>
              <w:ind w:right="104"/>
              <w:spacing w:after="0"/>
              <w:rPr>
                <w:sz w:val="20"/>
                <w:szCs w:val="20"/>
                <w:color w:val="auto"/>
              </w:rPr>
            </w:pPr>
            <w:r>
              <w:rPr>
                <w:rFonts w:ascii="Arial" w:cs="Arial" w:eastAsia="Arial" w:hAnsi="Arial"/>
                <w:sz w:val="14"/>
                <w:szCs w:val="14"/>
                <w:b w:val="1"/>
                <w:bCs w:val="1"/>
                <w:color w:val="auto"/>
                <w:w w:val="89"/>
              </w:rPr>
              <w:t>2021</w:t>
            </w:r>
          </w:p>
        </w:tc>
        <w:tc>
          <w:tcPr>
            <w:tcW w:w="660" w:type="dxa"/>
            <w:vAlign w:val="bottom"/>
          </w:tcPr>
          <w:p>
            <w:pPr>
              <w:jc w:val="center"/>
              <w:ind w:right="78"/>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6"/>
                <w:szCs w:val="16"/>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Implemented</w:t>
            </w:r>
          </w:p>
        </w:tc>
        <w:tc>
          <w:tcPr>
            <w:tcW w:w="180" w:type="dxa"/>
            <w:vAlign w:val="bottom"/>
          </w:tcPr>
          <w:p>
            <w:pPr>
              <w:spacing w:after="0"/>
              <w:rPr>
                <w:sz w:val="16"/>
                <w:szCs w:val="16"/>
                <w:color w:val="auto"/>
              </w:rPr>
            </w:pPr>
          </w:p>
        </w:tc>
        <w:tc>
          <w:tcPr>
            <w:tcW w:w="680" w:type="dxa"/>
            <w:vAlign w:val="bottom"/>
          </w:tcPr>
          <w:p>
            <w:pPr>
              <w:jc w:val="right"/>
              <w:ind w:right="237"/>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6"/>
                <w:szCs w:val="16"/>
                <w:color w:val="auto"/>
              </w:rPr>
            </w:pPr>
          </w:p>
        </w:tc>
        <w:tc>
          <w:tcPr>
            <w:tcW w:w="820" w:type="dxa"/>
            <w:vAlign w:val="bottom"/>
          </w:tcPr>
          <w:p>
            <w:pPr>
              <w:jc w:val="center"/>
              <w:ind w:right="77"/>
              <w:spacing w:after="0"/>
              <w:rPr>
                <w:sz w:val="20"/>
                <w:szCs w:val="20"/>
                <w:color w:val="auto"/>
              </w:rPr>
            </w:pPr>
            <w:r>
              <w:rPr>
                <w:rFonts w:ascii="Arial" w:cs="Arial" w:eastAsia="Arial" w:hAnsi="Arial"/>
                <w:sz w:val="14"/>
                <w:szCs w:val="14"/>
                <w:b w:val="1"/>
                <w:bCs w:val="1"/>
                <w:color w:val="auto"/>
                <w:w w:val="89"/>
              </w:rPr>
              <w:t>2020</w:t>
            </w:r>
          </w:p>
        </w:tc>
        <w:tc>
          <w:tcPr>
            <w:tcW w:w="280" w:type="dxa"/>
            <w:vAlign w:val="bottom"/>
          </w:tcPr>
          <w:p>
            <w:pPr>
              <w:spacing w:after="0"/>
              <w:rPr>
                <w:sz w:val="16"/>
                <w:szCs w:val="16"/>
                <w:color w:val="auto"/>
              </w:rPr>
            </w:pPr>
          </w:p>
        </w:tc>
        <w:tc>
          <w:tcPr>
            <w:tcW w:w="580" w:type="dxa"/>
            <w:vAlign w:val="bottom"/>
          </w:tcPr>
          <w:p>
            <w:pPr>
              <w:jc w:val="right"/>
              <w:ind w:right="218"/>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0"/>
              </w:rPr>
              <w:t>Imposed</w:t>
            </w:r>
          </w:p>
        </w:tc>
        <w:tc>
          <w:tcPr>
            <w:tcW w:w="0" w:type="dxa"/>
            <w:vAlign w:val="bottom"/>
          </w:tcPr>
          <w:p>
            <w:pPr>
              <w:spacing w:after="0"/>
              <w:rPr>
                <w:sz w:val="1"/>
                <w:szCs w:val="1"/>
                <w:color w:val="auto"/>
              </w:rPr>
            </w:pPr>
          </w:p>
        </w:tc>
      </w:tr>
      <w:tr>
        <w:trPr>
          <w:trHeight w:val="177"/>
        </w:trPr>
        <w:tc>
          <w:tcPr>
            <w:tcW w:w="2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2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0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Boilermaker-Blacksmith National Pension Trust</w:t>
            </w:r>
          </w:p>
        </w:tc>
        <w:tc>
          <w:tcPr>
            <w:tcW w:w="11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3"/>
              </w:rPr>
              <w:t>48-6168020/001</w:t>
            </w: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jc w:val="center"/>
              <w:ind w:right="84"/>
              <w:spacing w:after="0"/>
              <w:rPr>
                <w:sz w:val="20"/>
                <w:szCs w:val="20"/>
                <w:color w:val="auto"/>
              </w:rPr>
            </w:pPr>
            <w:r>
              <w:rPr>
                <w:rFonts w:ascii="Arial" w:cs="Arial" w:eastAsia="Arial" w:hAnsi="Arial"/>
                <w:sz w:val="12"/>
                <w:szCs w:val="12"/>
                <w:color w:val="auto"/>
                <w:w w:val="96"/>
              </w:rPr>
              <w:t>Yellow</w:t>
            </w:r>
          </w:p>
        </w:tc>
        <w:tc>
          <w:tcPr>
            <w:tcW w:w="660" w:type="dxa"/>
            <w:vAlign w:val="bottom"/>
            <w:shd w:val="clear" w:color="auto" w:fill="CCEEFF"/>
          </w:tcPr>
          <w:p>
            <w:pPr>
              <w:jc w:val="center"/>
              <w:ind w:right="98"/>
              <w:spacing w:after="0"/>
              <w:rPr>
                <w:sz w:val="20"/>
                <w:szCs w:val="20"/>
                <w:color w:val="auto"/>
              </w:rPr>
            </w:pPr>
            <w:r>
              <w:rPr>
                <w:rFonts w:ascii="Arial" w:cs="Arial" w:eastAsia="Arial" w:hAnsi="Arial"/>
                <w:sz w:val="12"/>
                <w:szCs w:val="12"/>
                <w:color w:val="auto"/>
                <w:w w:val="96"/>
              </w:rPr>
              <w:t>Yellow</w:t>
            </w:r>
          </w:p>
        </w:tc>
        <w:tc>
          <w:tcPr>
            <w:tcW w:w="10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center"/>
              <w:ind w:right="100"/>
              <w:spacing w:after="0"/>
              <w:rPr>
                <w:sz w:val="20"/>
                <w:szCs w:val="20"/>
                <w:color w:val="auto"/>
              </w:rPr>
            </w:pPr>
            <w:r>
              <w:rPr>
                <w:rFonts w:ascii="Arial" w:cs="Arial" w:eastAsia="Arial" w:hAnsi="Arial"/>
                <w:sz w:val="12"/>
                <w:szCs w:val="12"/>
                <w:color w:val="auto"/>
                <w:w w:val="92"/>
              </w:rPr>
              <w:t>Implemented</w:t>
            </w:r>
          </w:p>
        </w:tc>
        <w:tc>
          <w:tcPr>
            <w:tcW w:w="18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w w:val="89"/>
              </w:rPr>
              <w:t>$</w:t>
            </w: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2"/>
                <w:szCs w:val="12"/>
                <w:color w:val="auto"/>
              </w:rPr>
              <w:t>4,003</w:t>
            </w: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ind w:right="77"/>
              <w:spacing w:after="0"/>
              <w:rPr>
                <w:sz w:val="20"/>
                <w:szCs w:val="20"/>
                <w:color w:val="auto"/>
              </w:rPr>
            </w:pPr>
            <w:r>
              <w:rPr>
                <w:rFonts w:ascii="Arial" w:cs="Arial" w:eastAsia="Arial" w:hAnsi="Arial"/>
                <w:sz w:val="12"/>
                <w:szCs w:val="12"/>
                <w:color w:val="auto"/>
              </w:rPr>
              <w:t>6,634</w:t>
            </w:r>
          </w:p>
        </w:tc>
        <w:tc>
          <w:tcPr>
            <w:tcW w:w="280" w:type="dxa"/>
            <w:vAlign w:val="bottom"/>
            <w:shd w:val="clear" w:color="auto" w:fill="CCEEFF"/>
          </w:tcPr>
          <w:p>
            <w:pPr>
              <w:jc w:val="right"/>
              <w:ind w:right="119"/>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12,434</w:t>
            </w: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No</w:t>
            </w:r>
          </w:p>
        </w:tc>
        <w:tc>
          <w:tcPr>
            <w:tcW w:w="0" w:type="dxa"/>
            <w:vAlign w:val="bottom"/>
          </w:tcPr>
          <w:p>
            <w:pPr>
              <w:spacing w:after="0"/>
              <w:rPr>
                <w:sz w:val="1"/>
                <w:szCs w:val="1"/>
                <w:color w:val="auto"/>
              </w:rPr>
            </w:pPr>
          </w:p>
        </w:tc>
      </w:tr>
      <w:tr>
        <w:trPr>
          <w:trHeight w:val="131"/>
        </w:trPr>
        <w:tc>
          <w:tcPr>
            <w:tcW w:w="3000" w:type="dxa"/>
            <w:vAlign w:val="bottom"/>
            <w:gridSpan w:val="2"/>
            <w:vMerge w:val="restart"/>
          </w:tcPr>
          <w:p>
            <w:pPr>
              <w:ind w:left="20"/>
              <w:spacing w:after="0"/>
              <w:rPr>
                <w:sz w:val="20"/>
                <w:szCs w:val="20"/>
                <w:color w:val="auto"/>
              </w:rPr>
            </w:pPr>
            <w:r>
              <w:rPr>
                <w:rFonts w:ascii="Arial" w:cs="Arial" w:eastAsia="Arial" w:hAnsi="Arial"/>
                <w:sz w:val="12"/>
                <w:szCs w:val="12"/>
                <w:color w:val="auto"/>
              </w:rPr>
              <w:t>Joint Pension Fund Local Union 164 IBEW</w:t>
            </w:r>
          </w:p>
        </w:tc>
        <w:tc>
          <w:tcPr>
            <w:tcW w:w="1180" w:type="dxa"/>
            <w:vAlign w:val="bottom"/>
            <w:vMerge w:val="restart"/>
          </w:tcPr>
          <w:p>
            <w:pPr>
              <w:jc w:val="center"/>
              <w:spacing w:after="0"/>
              <w:rPr>
                <w:sz w:val="20"/>
                <w:szCs w:val="20"/>
                <w:color w:val="auto"/>
              </w:rPr>
            </w:pPr>
            <w:r>
              <w:rPr>
                <w:rFonts w:ascii="Arial" w:cs="Arial" w:eastAsia="Arial" w:hAnsi="Arial"/>
                <w:sz w:val="12"/>
                <w:szCs w:val="12"/>
                <w:color w:val="auto"/>
                <w:w w:val="93"/>
              </w:rPr>
              <w:t>22-6031199/001</w:t>
            </w:r>
          </w:p>
        </w:tc>
        <w:tc>
          <w:tcPr>
            <w:tcW w:w="100" w:type="dxa"/>
            <w:vAlign w:val="bottom"/>
          </w:tcPr>
          <w:p>
            <w:pPr>
              <w:spacing w:after="0"/>
              <w:rPr>
                <w:sz w:val="11"/>
                <w:szCs w:val="11"/>
                <w:color w:val="auto"/>
              </w:rPr>
            </w:pPr>
          </w:p>
        </w:tc>
        <w:tc>
          <w:tcPr>
            <w:tcW w:w="1120" w:type="dxa"/>
            <w:vAlign w:val="bottom"/>
          </w:tcPr>
          <w:p>
            <w:pPr>
              <w:jc w:val="center"/>
              <w:ind w:right="84"/>
              <w:spacing w:after="0" w:line="132" w:lineRule="exact"/>
              <w:rPr>
                <w:sz w:val="20"/>
                <w:szCs w:val="20"/>
                <w:color w:val="auto"/>
              </w:rPr>
            </w:pPr>
            <w:r>
              <w:rPr>
                <w:rFonts w:ascii="Arial" w:cs="Arial" w:eastAsia="Arial" w:hAnsi="Arial"/>
                <w:sz w:val="12"/>
                <w:szCs w:val="12"/>
                <w:color w:val="auto"/>
                <w:w w:val="92"/>
              </w:rPr>
              <w:t>Described below</w:t>
            </w:r>
          </w:p>
        </w:tc>
        <w:tc>
          <w:tcPr>
            <w:tcW w:w="660" w:type="dxa"/>
            <w:vAlign w:val="bottom"/>
          </w:tcPr>
          <w:p>
            <w:pPr>
              <w:jc w:val="center"/>
              <w:ind w:right="98"/>
              <w:spacing w:after="0" w:line="132" w:lineRule="exact"/>
              <w:rPr>
                <w:sz w:val="20"/>
                <w:szCs w:val="20"/>
                <w:color w:val="auto"/>
              </w:rPr>
            </w:pPr>
            <w:r>
              <w:rPr>
                <w:rFonts w:ascii="Arial" w:cs="Arial" w:eastAsia="Arial" w:hAnsi="Arial"/>
                <w:sz w:val="12"/>
                <w:szCs w:val="12"/>
                <w:color w:val="auto"/>
                <w:w w:val="92"/>
              </w:rPr>
              <w:t>Described</w:t>
            </w:r>
          </w:p>
        </w:tc>
        <w:tc>
          <w:tcPr>
            <w:tcW w:w="100" w:type="dxa"/>
            <w:vAlign w:val="bottom"/>
          </w:tcPr>
          <w:p>
            <w:pPr>
              <w:spacing w:after="0"/>
              <w:rPr>
                <w:sz w:val="11"/>
                <w:szCs w:val="11"/>
                <w:color w:val="auto"/>
              </w:rPr>
            </w:pPr>
          </w:p>
        </w:tc>
        <w:tc>
          <w:tcPr>
            <w:tcW w:w="1300" w:type="dxa"/>
            <w:vAlign w:val="bottom"/>
            <w:gridSpan w:val="2"/>
            <w:vMerge w:val="restart"/>
          </w:tcPr>
          <w:p>
            <w:pPr>
              <w:jc w:val="center"/>
              <w:ind w:right="100"/>
              <w:spacing w:after="0"/>
              <w:rPr>
                <w:sz w:val="20"/>
                <w:szCs w:val="20"/>
                <w:color w:val="auto"/>
              </w:rPr>
            </w:pPr>
            <w:r>
              <w:rPr>
                <w:rFonts w:ascii="Arial" w:cs="Arial" w:eastAsia="Arial" w:hAnsi="Arial"/>
                <w:sz w:val="12"/>
                <w:szCs w:val="12"/>
                <w:color w:val="auto"/>
                <w:w w:val="92"/>
              </w:rPr>
              <w:t>Implemented</w:t>
            </w:r>
          </w:p>
        </w:tc>
        <w:tc>
          <w:tcPr>
            <w:tcW w:w="180" w:type="dxa"/>
            <w:vAlign w:val="bottom"/>
          </w:tcPr>
          <w:p>
            <w:pPr>
              <w:spacing w:after="0"/>
              <w:rPr>
                <w:sz w:val="11"/>
                <w:szCs w:val="11"/>
                <w:color w:val="auto"/>
              </w:rPr>
            </w:pPr>
          </w:p>
        </w:tc>
        <w:tc>
          <w:tcPr>
            <w:tcW w:w="680" w:type="dxa"/>
            <w:vAlign w:val="bottom"/>
            <w:vMerge w:val="restart"/>
          </w:tcPr>
          <w:p>
            <w:pPr>
              <w:jc w:val="right"/>
              <w:ind w:right="17"/>
              <w:spacing w:after="0"/>
              <w:rPr>
                <w:sz w:val="20"/>
                <w:szCs w:val="20"/>
                <w:color w:val="auto"/>
              </w:rPr>
            </w:pPr>
            <w:r>
              <w:rPr>
                <w:rFonts w:ascii="Arial" w:cs="Arial" w:eastAsia="Arial" w:hAnsi="Arial"/>
                <w:sz w:val="12"/>
                <w:szCs w:val="12"/>
                <w:color w:val="auto"/>
              </w:rPr>
              <w:t>1,958</w:t>
            </w:r>
          </w:p>
        </w:tc>
        <w:tc>
          <w:tcPr>
            <w:tcW w:w="160" w:type="dxa"/>
            <w:vAlign w:val="bottom"/>
          </w:tcPr>
          <w:p>
            <w:pPr>
              <w:spacing w:after="0"/>
              <w:rPr>
                <w:sz w:val="11"/>
                <w:szCs w:val="11"/>
                <w:color w:val="auto"/>
              </w:rPr>
            </w:pPr>
          </w:p>
        </w:tc>
        <w:tc>
          <w:tcPr>
            <w:tcW w:w="820" w:type="dxa"/>
            <w:vAlign w:val="bottom"/>
            <w:vMerge w:val="restart"/>
          </w:tcPr>
          <w:p>
            <w:pPr>
              <w:jc w:val="right"/>
              <w:ind w:right="77"/>
              <w:spacing w:after="0"/>
              <w:rPr>
                <w:sz w:val="20"/>
                <w:szCs w:val="20"/>
                <w:color w:val="auto"/>
              </w:rPr>
            </w:pPr>
            <w:r>
              <w:rPr>
                <w:rFonts w:ascii="Arial" w:cs="Arial" w:eastAsia="Arial" w:hAnsi="Arial"/>
                <w:sz w:val="12"/>
                <w:szCs w:val="12"/>
                <w:color w:val="auto"/>
              </w:rPr>
              <w:t>1,560</w:t>
            </w:r>
          </w:p>
        </w:tc>
        <w:tc>
          <w:tcPr>
            <w:tcW w:w="28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2"/>
                <w:szCs w:val="12"/>
                <w:color w:val="auto"/>
              </w:rPr>
              <w:t>2,180</w:t>
            </w:r>
          </w:p>
        </w:tc>
        <w:tc>
          <w:tcPr>
            <w:tcW w:w="120" w:type="dxa"/>
            <w:vAlign w:val="bottom"/>
          </w:tcPr>
          <w:p>
            <w:pPr>
              <w:spacing w:after="0"/>
              <w:rPr>
                <w:sz w:val="11"/>
                <w:szCs w:val="11"/>
                <w:color w:val="auto"/>
              </w:rPr>
            </w:pPr>
          </w:p>
        </w:tc>
        <w:tc>
          <w:tcPr>
            <w:tcW w:w="960" w:type="dxa"/>
            <w:vAlign w:val="bottom"/>
            <w:vMerge w:val="restart"/>
          </w:tcPr>
          <w:p>
            <w:pPr>
              <w:jc w:val="center"/>
              <w:spacing w:after="0"/>
              <w:rPr>
                <w:sz w:val="20"/>
                <w:szCs w:val="20"/>
                <w:color w:val="auto"/>
              </w:rPr>
            </w:pPr>
            <w:r>
              <w:rPr>
                <w:rFonts w:ascii="Arial" w:cs="Arial" w:eastAsia="Arial" w:hAnsi="Arial"/>
                <w:sz w:val="12"/>
                <w:szCs w:val="12"/>
                <w:color w:val="auto"/>
              </w:rPr>
              <w:t>No</w:t>
            </w:r>
          </w:p>
        </w:tc>
        <w:tc>
          <w:tcPr>
            <w:tcW w:w="0" w:type="dxa"/>
            <w:vAlign w:val="bottom"/>
          </w:tcPr>
          <w:p>
            <w:pPr>
              <w:spacing w:after="0"/>
              <w:rPr>
                <w:sz w:val="1"/>
                <w:szCs w:val="1"/>
                <w:color w:val="auto"/>
              </w:rPr>
            </w:pPr>
          </w:p>
        </w:tc>
      </w:tr>
      <w:tr>
        <w:trPr>
          <w:trHeight w:val="157"/>
        </w:trPr>
        <w:tc>
          <w:tcPr>
            <w:tcW w:w="3000" w:type="dxa"/>
            <w:vAlign w:val="bottom"/>
            <w:gridSpan w:val="2"/>
            <w:vMerge w:val="continue"/>
          </w:tcPr>
          <w:p>
            <w:pPr>
              <w:spacing w:after="0"/>
              <w:rPr>
                <w:sz w:val="13"/>
                <w:szCs w:val="13"/>
                <w:color w:val="auto"/>
              </w:rPr>
            </w:pPr>
          </w:p>
        </w:tc>
        <w:tc>
          <w:tcPr>
            <w:tcW w:w="11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jc w:val="center"/>
              <w:ind w:right="84"/>
              <w:spacing w:after="0"/>
              <w:rPr>
                <w:sz w:val="20"/>
                <w:szCs w:val="20"/>
                <w:color w:val="auto"/>
              </w:rPr>
            </w:pPr>
            <w:r>
              <w:rPr>
                <w:rFonts w:ascii="Arial" w:cs="Arial" w:eastAsia="Arial" w:hAnsi="Arial"/>
                <w:sz w:val="8"/>
                <w:szCs w:val="8"/>
                <w:color w:val="auto"/>
              </w:rPr>
              <w:t>(1)</w:t>
            </w:r>
          </w:p>
        </w:tc>
        <w:tc>
          <w:tcPr>
            <w:tcW w:w="660" w:type="dxa"/>
            <w:vAlign w:val="bottom"/>
          </w:tcPr>
          <w:p>
            <w:pPr>
              <w:jc w:val="center"/>
              <w:ind w:right="98"/>
              <w:spacing w:after="0" w:line="157" w:lineRule="exact"/>
              <w:rPr>
                <w:sz w:val="20"/>
                <w:szCs w:val="20"/>
                <w:color w:val="auto"/>
              </w:rPr>
            </w:pPr>
            <w:r>
              <w:rPr>
                <w:rFonts w:ascii="Arial" w:cs="Arial" w:eastAsia="Arial" w:hAnsi="Arial"/>
                <w:sz w:val="12"/>
                <w:szCs w:val="12"/>
                <w:color w:val="auto"/>
                <w:w w:val="89"/>
              </w:rPr>
              <w:t xml:space="preserve">below </w:t>
            </w:r>
            <w:r>
              <w:rPr>
                <w:rFonts w:ascii="Arial" w:cs="Arial" w:eastAsia="Arial" w:hAnsi="Arial"/>
                <w:sz w:val="15"/>
                <w:szCs w:val="15"/>
                <w:color w:val="auto"/>
                <w:w w:val="89"/>
                <w:vertAlign w:val="superscript"/>
              </w:rPr>
              <w:t>(1)</w:t>
            </w:r>
          </w:p>
        </w:tc>
        <w:tc>
          <w:tcPr>
            <w:tcW w:w="100" w:type="dxa"/>
            <w:vAlign w:val="bottom"/>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3000" w:type="dxa"/>
            <w:vAlign w:val="bottom"/>
            <w:gridSpan w:val="2"/>
            <w:vMerge w:val="restart"/>
            <w:shd w:val="clear" w:color="auto" w:fill="CCEEFF"/>
          </w:tcPr>
          <w:p>
            <w:pPr>
              <w:ind w:left="20"/>
              <w:spacing w:after="0"/>
              <w:rPr>
                <w:sz w:val="20"/>
                <w:szCs w:val="20"/>
                <w:color w:val="auto"/>
              </w:rPr>
            </w:pPr>
            <w:r>
              <w:rPr>
                <w:rFonts w:ascii="Arial" w:cs="Arial" w:eastAsia="Arial" w:hAnsi="Arial"/>
                <w:sz w:val="12"/>
                <w:szCs w:val="12"/>
                <w:color w:val="auto"/>
              </w:rPr>
              <w:t>Joint Pension Fund of Local Union No 102 IBEW</w:t>
            </w:r>
          </w:p>
        </w:tc>
        <w:tc>
          <w:tcPr>
            <w:tcW w:w="1180" w:type="dxa"/>
            <w:vAlign w:val="bottom"/>
            <w:vMerge w:val="restart"/>
            <w:shd w:val="clear" w:color="auto" w:fill="CCEEFF"/>
          </w:tcPr>
          <w:p>
            <w:pPr>
              <w:jc w:val="center"/>
              <w:spacing w:after="0"/>
              <w:rPr>
                <w:sz w:val="20"/>
                <w:szCs w:val="20"/>
                <w:color w:val="auto"/>
              </w:rPr>
            </w:pPr>
            <w:r>
              <w:rPr>
                <w:rFonts w:ascii="Arial" w:cs="Arial" w:eastAsia="Arial" w:hAnsi="Arial"/>
                <w:sz w:val="12"/>
                <w:szCs w:val="12"/>
                <w:color w:val="auto"/>
                <w:w w:val="93"/>
              </w:rPr>
              <w:t>22-1615726/001</w:t>
            </w:r>
          </w:p>
        </w:tc>
        <w:tc>
          <w:tcPr>
            <w:tcW w:w="100" w:type="dxa"/>
            <w:vAlign w:val="bottom"/>
            <w:shd w:val="clear" w:color="auto" w:fill="CCEEFF"/>
          </w:tcPr>
          <w:p>
            <w:pPr>
              <w:spacing w:after="0"/>
              <w:rPr>
                <w:sz w:val="10"/>
                <w:szCs w:val="10"/>
                <w:color w:val="auto"/>
              </w:rPr>
            </w:pPr>
          </w:p>
        </w:tc>
        <w:tc>
          <w:tcPr>
            <w:tcW w:w="1120" w:type="dxa"/>
            <w:vAlign w:val="bottom"/>
            <w:shd w:val="clear" w:color="auto" w:fill="CCEEFF"/>
          </w:tcPr>
          <w:p>
            <w:pPr>
              <w:jc w:val="center"/>
              <w:ind w:right="84"/>
              <w:spacing w:after="0" w:line="118" w:lineRule="exact"/>
              <w:rPr>
                <w:sz w:val="20"/>
                <w:szCs w:val="20"/>
                <w:color w:val="auto"/>
              </w:rPr>
            </w:pPr>
            <w:r>
              <w:rPr>
                <w:rFonts w:ascii="Arial" w:cs="Arial" w:eastAsia="Arial" w:hAnsi="Arial"/>
                <w:sz w:val="12"/>
                <w:szCs w:val="12"/>
                <w:color w:val="auto"/>
                <w:w w:val="92"/>
              </w:rPr>
              <w:t>Described below</w:t>
            </w:r>
          </w:p>
        </w:tc>
        <w:tc>
          <w:tcPr>
            <w:tcW w:w="660" w:type="dxa"/>
            <w:vAlign w:val="bottom"/>
            <w:vMerge w:val="restart"/>
            <w:shd w:val="clear" w:color="auto" w:fill="CCEEFF"/>
          </w:tcPr>
          <w:p>
            <w:pPr>
              <w:jc w:val="center"/>
              <w:ind w:right="98"/>
              <w:spacing w:after="0"/>
              <w:rPr>
                <w:sz w:val="20"/>
                <w:szCs w:val="20"/>
                <w:color w:val="auto"/>
              </w:rPr>
            </w:pPr>
            <w:r>
              <w:rPr>
                <w:rFonts w:ascii="Arial" w:cs="Arial" w:eastAsia="Arial" w:hAnsi="Arial"/>
                <w:sz w:val="12"/>
                <w:szCs w:val="12"/>
                <w:color w:val="auto"/>
                <w:w w:val="89"/>
              </w:rPr>
              <w:t>Green</w:t>
            </w:r>
          </w:p>
        </w:tc>
        <w:tc>
          <w:tcPr>
            <w:tcW w:w="100" w:type="dxa"/>
            <w:vAlign w:val="bottom"/>
            <w:shd w:val="clear" w:color="auto" w:fill="CCEEFF"/>
          </w:tcPr>
          <w:p>
            <w:pPr>
              <w:spacing w:after="0"/>
              <w:rPr>
                <w:sz w:val="10"/>
                <w:szCs w:val="10"/>
                <w:color w:val="auto"/>
              </w:rPr>
            </w:pPr>
          </w:p>
        </w:tc>
        <w:tc>
          <w:tcPr>
            <w:tcW w:w="130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2"/>
                <w:szCs w:val="12"/>
                <w:color w:val="auto"/>
                <w:w w:val="95"/>
              </w:rPr>
              <w:t>NA</w:t>
            </w:r>
          </w:p>
        </w:tc>
        <w:tc>
          <w:tcPr>
            <w:tcW w:w="18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ind w:right="17"/>
              <w:spacing w:after="0"/>
              <w:rPr>
                <w:sz w:val="20"/>
                <w:szCs w:val="20"/>
                <w:color w:val="auto"/>
              </w:rPr>
            </w:pPr>
            <w:r>
              <w:rPr>
                <w:rFonts w:ascii="Arial" w:cs="Arial" w:eastAsia="Arial" w:hAnsi="Arial"/>
                <w:sz w:val="12"/>
                <w:szCs w:val="12"/>
                <w:color w:val="auto"/>
              </w:rPr>
              <w:t>1,341</w:t>
            </w:r>
          </w:p>
        </w:tc>
        <w:tc>
          <w:tcPr>
            <w:tcW w:w="16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ind w:right="77"/>
              <w:spacing w:after="0"/>
              <w:rPr>
                <w:sz w:val="20"/>
                <w:szCs w:val="20"/>
                <w:color w:val="auto"/>
              </w:rPr>
            </w:pPr>
            <w:r>
              <w:rPr>
                <w:rFonts w:ascii="Arial" w:cs="Arial" w:eastAsia="Arial" w:hAnsi="Arial"/>
                <w:sz w:val="12"/>
                <w:szCs w:val="12"/>
                <w:color w:val="auto"/>
              </w:rPr>
              <w:t>1,227</w:t>
            </w:r>
          </w:p>
        </w:tc>
        <w:tc>
          <w:tcPr>
            <w:tcW w:w="28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1,610</w:t>
            </w:r>
          </w:p>
        </w:tc>
        <w:tc>
          <w:tcPr>
            <w:tcW w:w="120" w:type="dxa"/>
            <w:vAlign w:val="bottom"/>
            <w:shd w:val="clear" w:color="auto" w:fill="CCEEFF"/>
          </w:tcPr>
          <w:p>
            <w:pPr>
              <w:spacing w:after="0"/>
              <w:rPr>
                <w:sz w:val="10"/>
                <w:szCs w:val="10"/>
                <w:color w:val="auto"/>
              </w:rPr>
            </w:pPr>
          </w:p>
        </w:tc>
        <w:tc>
          <w:tcPr>
            <w:tcW w:w="960" w:type="dxa"/>
            <w:vAlign w:val="bottom"/>
            <w:vMerge w:val="restart"/>
            <w:shd w:val="clear" w:color="auto" w:fill="CCEEFF"/>
          </w:tcPr>
          <w:p>
            <w:pPr>
              <w:jc w:val="center"/>
              <w:spacing w:after="0"/>
              <w:rPr>
                <w:sz w:val="20"/>
                <w:szCs w:val="20"/>
                <w:color w:val="auto"/>
              </w:rPr>
            </w:pPr>
            <w:r>
              <w:rPr>
                <w:rFonts w:ascii="Arial" w:cs="Arial" w:eastAsia="Arial" w:hAnsi="Arial"/>
                <w:sz w:val="12"/>
                <w:szCs w:val="12"/>
                <w:color w:val="auto"/>
              </w:rPr>
              <w:t>No</w:t>
            </w:r>
          </w:p>
        </w:tc>
        <w:tc>
          <w:tcPr>
            <w:tcW w:w="0" w:type="dxa"/>
            <w:vAlign w:val="bottom"/>
          </w:tcPr>
          <w:p>
            <w:pPr>
              <w:spacing w:after="0"/>
              <w:rPr>
                <w:sz w:val="1"/>
                <w:szCs w:val="1"/>
                <w:color w:val="auto"/>
              </w:rPr>
            </w:pPr>
          </w:p>
        </w:tc>
      </w:tr>
      <w:tr>
        <w:trPr>
          <w:trHeight w:val="111"/>
        </w:trPr>
        <w:tc>
          <w:tcPr>
            <w:tcW w:w="3000" w:type="dxa"/>
            <w:vAlign w:val="bottom"/>
            <w:tcBorders>
              <w:bottom w:val="single" w:sz="8" w:color="CCEEFF"/>
            </w:tcBorders>
            <w:gridSpan w:val="2"/>
            <w:vMerge w:val="continue"/>
            <w:shd w:val="clear" w:color="auto" w:fill="CCEEFF"/>
          </w:tcPr>
          <w:p>
            <w:pPr>
              <w:spacing w:after="0"/>
              <w:rPr>
                <w:sz w:val="9"/>
                <w:szCs w:val="9"/>
                <w:color w:val="auto"/>
              </w:rPr>
            </w:pPr>
          </w:p>
        </w:tc>
        <w:tc>
          <w:tcPr>
            <w:tcW w:w="1180" w:type="dxa"/>
            <w:vAlign w:val="bottom"/>
            <w:tcBorders>
              <w:bottom w:val="single" w:sz="8" w:color="CCEEFF"/>
            </w:tcBorders>
            <w:vMerge w:val="continue"/>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1120" w:type="dxa"/>
            <w:vAlign w:val="bottom"/>
            <w:tcBorders>
              <w:bottom w:val="single" w:sz="8" w:color="CCEEFF"/>
            </w:tcBorders>
            <w:shd w:val="clear" w:color="auto" w:fill="CCEEFF"/>
          </w:tcPr>
          <w:p>
            <w:pPr>
              <w:jc w:val="center"/>
              <w:ind w:right="84"/>
              <w:spacing w:after="0"/>
              <w:rPr>
                <w:sz w:val="20"/>
                <w:szCs w:val="20"/>
                <w:color w:val="auto"/>
              </w:rPr>
            </w:pPr>
            <w:r>
              <w:rPr>
                <w:rFonts w:ascii="Arial" w:cs="Arial" w:eastAsia="Arial" w:hAnsi="Arial"/>
                <w:sz w:val="8"/>
                <w:szCs w:val="8"/>
                <w:color w:val="auto"/>
              </w:rPr>
              <w:t>(1)</w:t>
            </w:r>
          </w:p>
        </w:tc>
        <w:tc>
          <w:tcPr>
            <w:tcW w:w="660" w:type="dxa"/>
            <w:vAlign w:val="bottom"/>
            <w:tcBorders>
              <w:bottom w:val="single" w:sz="8" w:color="CCEEFF"/>
            </w:tcBorders>
            <w:vMerge w:val="continue"/>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1300" w:type="dxa"/>
            <w:vAlign w:val="bottom"/>
            <w:tcBorders>
              <w:bottom w:val="single" w:sz="8" w:color="CCEEFF"/>
            </w:tcBorders>
            <w:gridSpan w:val="2"/>
            <w:vMerge w:val="continue"/>
            <w:shd w:val="clear" w:color="auto" w:fill="CCEEFF"/>
          </w:tcPr>
          <w:p>
            <w:pPr>
              <w:spacing w:after="0"/>
              <w:rPr>
                <w:sz w:val="9"/>
                <w:szCs w:val="9"/>
                <w:color w:val="auto"/>
              </w:rPr>
            </w:pPr>
          </w:p>
        </w:tc>
        <w:tc>
          <w:tcPr>
            <w:tcW w:w="180" w:type="dxa"/>
            <w:vAlign w:val="bottom"/>
            <w:tcBorders>
              <w:bottom w:val="single" w:sz="8" w:color="CCEEFF"/>
            </w:tcBorders>
            <w:shd w:val="clear" w:color="auto" w:fill="CCEEFF"/>
          </w:tcPr>
          <w:p>
            <w:pPr>
              <w:spacing w:after="0"/>
              <w:rPr>
                <w:sz w:val="9"/>
                <w:szCs w:val="9"/>
                <w:color w:val="auto"/>
              </w:rPr>
            </w:pPr>
          </w:p>
        </w:tc>
        <w:tc>
          <w:tcPr>
            <w:tcW w:w="680" w:type="dxa"/>
            <w:vAlign w:val="bottom"/>
            <w:tcBorders>
              <w:bottom w:val="single" w:sz="8" w:color="CCEEFF"/>
            </w:tcBorders>
            <w:vMerge w:val="continue"/>
            <w:shd w:val="clear" w:color="auto" w:fill="CCEEFF"/>
          </w:tcPr>
          <w:p>
            <w:pPr>
              <w:spacing w:after="0"/>
              <w:rPr>
                <w:sz w:val="9"/>
                <w:szCs w:val="9"/>
                <w:color w:val="auto"/>
              </w:rPr>
            </w:pPr>
          </w:p>
        </w:tc>
        <w:tc>
          <w:tcPr>
            <w:tcW w:w="160" w:type="dxa"/>
            <w:vAlign w:val="bottom"/>
            <w:tcBorders>
              <w:bottom w:val="single" w:sz="8" w:color="CCEEFF"/>
            </w:tcBorders>
            <w:shd w:val="clear" w:color="auto" w:fill="CCEEFF"/>
          </w:tcPr>
          <w:p>
            <w:pPr>
              <w:spacing w:after="0"/>
              <w:rPr>
                <w:sz w:val="9"/>
                <w:szCs w:val="9"/>
                <w:color w:val="auto"/>
              </w:rPr>
            </w:pPr>
          </w:p>
        </w:tc>
        <w:tc>
          <w:tcPr>
            <w:tcW w:w="820" w:type="dxa"/>
            <w:vAlign w:val="bottom"/>
            <w:tcBorders>
              <w:bottom w:val="single" w:sz="8" w:color="CCEEFF"/>
            </w:tcBorders>
            <w:vMerge w:val="continue"/>
            <w:shd w:val="clear" w:color="auto" w:fill="CCEEFF"/>
          </w:tcPr>
          <w:p>
            <w:pPr>
              <w:spacing w:after="0"/>
              <w:rPr>
                <w:sz w:val="9"/>
                <w:szCs w:val="9"/>
                <w:color w:val="auto"/>
              </w:rPr>
            </w:pPr>
          </w:p>
        </w:tc>
        <w:tc>
          <w:tcPr>
            <w:tcW w:w="280" w:type="dxa"/>
            <w:vAlign w:val="bottom"/>
            <w:tcBorders>
              <w:bottom w:val="single" w:sz="8" w:color="CCEEFF"/>
            </w:tcBorders>
            <w:shd w:val="clear" w:color="auto" w:fill="CCEEFF"/>
          </w:tcPr>
          <w:p>
            <w:pPr>
              <w:spacing w:after="0"/>
              <w:rPr>
                <w:sz w:val="9"/>
                <w:szCs w:val="9"/>
                <w:color w:val="auto"/>
              </w:rPr>
            </w:pPr>
          </w:p>
        </w:tc>
        <w:tc>
          <w:tcPr>
            <w:tcW w:w="580" w:type="dxa"/>
            <w:vAlign w:val="bottom"/>
            <w:tcBorders>
              <w:bottom w:val="single" w:sz="8" w:color="CCEEFF"/>
            </w:tcBorders>
            <w:vMerge w:val="continue"/>
            <w:shd w:val="clear" w:color="auto" w:fill="CCEEFF"/>
          </w:tcPr>
          <w:p>
            <w:pPr>
              <w:spacing w:after="0"/>
              <w:rPr>
                <w:sz w:val="9"/>
                <w:szCs w:val="9"/>
                <w:color w:val="auto"/>
              </w:rPr>
            </w:pPr>
          </w:p>
        </w:tc>
        <w:tc>
          <w:tcPr>
            <w:tcW w:w="120" w:type="dxa"/>
            <w:vAlign w:val="bottom"/>
            <w:tcBorders>
              <w:bottom w:val="single" w:sz="8" w:color="CCEEFF"/>
            </w:tcBorders>
            <w:shd w:val="clear" w:color="auto" w:fill="CCEEFF"/>
          </w:tcPr>
          <w:p>
            <w:pPr>
              <w:spacing w:after="0"/>
              <w:rPr>
                <w:sz w:val="9"/>
                <w:szCs w:val="9"/>
                <w:color w:val="auto"/>
              </w:rPr>
            </w:pPr>
          </w:p>
        </w:tc>
        <w:tc>
          <w:tcPr>
            <w:tcW w:w="960" w:type="dxa"/>
            <w:vAlign w:val="bottom"/>
            <w:tcBorders>
              <w:bottom w:val="single" w:sz="8" w:color="CCEEFF"/>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3000" w:type="dxa"/>
            <w:vAlign w:val="bottom"/>
            <w:gridSpan w:val="2"/>
          </w:tcPr>
          <w:p>
            <w:pPr>
              <w:ind w:left="20"/>
              <w:spacing w:after="0"/>
              <w:rPr>
                <w:sz w:val="20"/>
                <w:szCs w:val="20"/>
                <w:color w:val="auto"/>
              </w:rPr>
            </w:pPr>
            <w:r>
              <w:rPr>
                <w:rFonts w:ascii="Arial" w:cs="Arial" w:eastAsia="Arial" w:hAnsi="Arial"/>
                <w:sz w:val="12"/>
                <w:szCs w:val="12"/>
                <w:color w:val="auto"/>
              </w:rPr>
              <w:t>IBEW Local 456 Pension Plan</w:t>
            </w:r>
          </w:p>
        </w:tc>
        <w:tc>
          <w:tcPr>
            <w:tcW w:w="1180" w:type="dxa"/>
            <w:vAlign w:val="bottom"/>
          </w:tcPr>
          <w:p>
            <w:pPr>
              <w:jc w:val="center"/>
              <w:spacing w:after="0"/>
              <w:rPr>
                <w:sz w:val="20"/>
                <w:szCs w:val="20"/>
                <w:color w:val="auto"/>
              </w:rPr>
            </w:pPr>
            <w:r>
              <w:rPr>
                <w:rFonts w:ascii="Arial" w:cs="Arial" w:eastAsia="Arial" w:hAnsi="Arial"/>
                <w:sz w:val="12"/>
                <w:szCs w:val="12"/>
                <w:color w:val="auto"/>
                <w:w w:val="93"/>
              </w:rPr>
              <w:t>22-6238995/001</w:t>
            </w:r>
          </w:p>
        </w:tc>
        <w:tc>
          <w:tcPr>
            <w:tcW w:w="100" w:type="dxa"/>
            <w:vAlign w:val="bottom"/>
          </w:tcPr>
          <w:p>
            <w:pPr>
              <w:spacing w:after="0"/>
              <w:rPr>
                <w:sz w:val="14"/>
                <w:szCs w:val="14"/>
                <w:color w:val="auto"/>
              </w:rPr>
            </w:pPr>
          </w:p>
        </w:tc>
        <w:tc>
          <w:tcPr>
            <w:tcW w:w="1120" w:type="dxa"/>
            <w:vAlign w:val="bottom"/>
          </w:tcPr>
          <w:p>
            <w:pPr>
              <w:jc w:val="center"/>
              <w:ind w:right="84"/>
              <w:spacing w:after="0"/>
              <w:rPr>
                <w:sz w:val="20"/>
                <w:szCs w:val="20"/>
                <w:color w:val="auto"/>
              </w:rPr>
            </w:pPr>
            <w:r>
              <w:rPr>
                <w:rFonts w:ascii="Arial" w:cs="Arial" w:eastAsia="Arial" w:hAnsi="Arial"/>
                <w:sz w:val="12"/>
                <w:szCs w:val="12"/>
                <w:color w:val="auto"/>
                <w:w w:val="89"/>
              </w:rPr>
              <w:t>Green</w:t>
            </w:r>
          </w:p>
        </w:tc>
        <w:tc>
          <w:tcPr>
            <w:tcW w:w="660" w:type="dxa"/>
            <w:vAlign w:val="bottom"/>
          </w:tcPr>
          <w:p>
            <w:pPr>
              <w:jc w:val="center"/>
              <w:ind w:right="98"/>
              <w:spacing w:after="0"/>
              <w:rPr>
                <w:sz w:val="20"/>
                <w:szCs w:val="20"/>
                <w:color w:val="auto"/>
              </w:rPr>
            </w:pPr>
            <w:r>
              <w:rPr>
                <w:rFonts w:ascii="Arial" w:cs="Arial" w:eastAsia="Arial" w:hAnsi="Arial"/>
                <w:sz w:val="12"/>
                <w:szCs w:val="12"/>
                <w:color w:val="auto"/>
                <w:w w:val="89"/>
              </w:rPr>
              <w:t>Green</w:t>
            </w:r>
          </w:p>
        </w:tc>
        <w:tc>
          <w:tcPr>
            <w:tcW w:w="100" w:type="dxa"/>
            <w:vAlign w:val="bottom"/>
          </w:tcPr>
          <w:p>
            <w:pPr>
              <w:spacing w:after="0"/>
              <w:rPr>
                <w:sz w:val="14"/>
                <w:szCs w:val="14"/>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2"/>
                <w:szCs w:val="12"/>
                <w:color w:val="auto"/>
                <w:w w:val="95"/>
              </w:rPr>
              <w:t>NA</w:t>
            </w:r>
          </w:p>
        </w:tc>
        <w:tc>
          <w:tcPr>
            <w:tcW w:w="180" w:type="dxa"/>
            <w:vAlign w:val="bottom"/>
          </w:tcPr>
          <w:p>
            <w:pPr>
              <w:spacing w:after="0"/>
              <w:rPr>
                <w:sz w:val="14"/>
                <w:szCs w:val="14"/>
                <w:color w:val="auto"/>
              </w:rPr>
            </w:pPr>
          </w:p>
        </w:tc>
        <w:tc>
          <w:tcPr>
            <w:tcW w:w="680" w:type="dxa"/>
            <w:vAlign w:val="bottom"/>
          </w:tcPr>
          <w:p>
            <w:pPr>
              <w:jc w:val="right"/>
              <w:ind w:right="17"/>
              <w:spacing w:after="0"/>
              <w:rPr>
                <w:sz w:val="20"/>
                <w:szCs w:val="20"/>
                <w:color w:val="auto"/>
              </w:rPr>
            </w:pPr>
            <w:r>
              <w:rPr>
                <w:rFonts w:ascii="Arial" w:cs="Arial" w:eastAsia="Arial" w:hAnsi="Arial"/>
                <w:sz w:val="12"/>
                <w:szCs w:val="12"/>
                <w:color w:val="auto"/>
              </w:rPr>
              <w:t>595</w:t>
            </w:r>
          </w:p>
        </w:tc>
        <w:tc>
          <w:tcPr>
            <w:tcW w:w="160" w:type="dxa"/>
            <w:vAlign w:val="bottom"/>
          </w:tcPr>
          <w:p>
            <w:pPr>
              <w:spacing w:after="0"/>
              <w:rPr>
                <w:sz w:val="14"/>
                <w:szCs w:val="14"/>
                <w:color w:val="auto"/>
              </w:rPr>
            </w:pPr>
          </w:p>
        </w:tc>
        <w:tc>
          <w:tcPr>
            <w:tcW w:w="820" w:type="dxa"/>
            <w:vAlign w:val="bottom"/>
          </w:tcPr>
          <w:p>
            <w:pPr>
              <w:jc w:val="right"/>
              <w:ind w:right="77"/>
              <w:spacing w:after="0"/>
              <w:rPr>
                <w:sz w:val="20"/>
                <w:szCs w:val="20"/>
                <w:color w:val="auto"/>
              </w:rPr>
            </w:pPr>
            <w:r>
              <w:rPr>
                <w:rFonts w:ascii="Arial" w:cs="Arial" w:eastAsia="Arial" w:hAnsi="Arial"/>
                <w:sz w:val="12"/>
                <w:szCs w:val="12"/>
                <w:color w:val="auto"/>
              </w:rPr>
              <w:t>427</w:t>
            </w:r>
          </w:p>
        </w:tc>
        <w:tc>
          <w:tcPr>
            <w:tcW w:w="2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574</w:t>
            </w:r>
          </w:p>
        </w:tc>
        <w:tc>
          <w:tcPr>
            <w:tcW w:w="12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2"/>
                <w:szCs w:val="12"/>
                <w:color w:val="auto"/>
              </w:rPr>
              <w:t>No</w:t>
            </w:r>
          </w:p>
        </w:tc>
        <w:tc>
          <w:tcPr>
            <w:tcW w:w="0" w:type="dxa"/>
            <w:vAlign w:val="bottom"/>
          </w:tcPr>
          <w:p>
            <w:pPr>
              <w:spacing w:after="0"/>
              <w:rPr>
                <w:sz w:val="1"/>
                <w:szCs w:val="1"/>
                <w:color w:val="auto"/>
              </w:rPr>
            </w:pPr>
          </w:p>
        </w:tc>
      </w:tr>
      <w:tr>
        <w:trPr>
          <w:trHeight w:val="126"/>
        </w:trPr>
        <w:tc>
          <w:tcPr>
            <w:tcW w:w="3000" w:type="dxa"/>
            <w:vAlign w:val="bottom"/>
            <w:gridSpan w:val="2"/>
            <w:vMerge w:val="restart"/>
            <w:shd w:val="clear" w:color="auto" w:fill="CCEEFF"/>
          </w:tcPr>
          <w:p>
            <w:pPr>
              <w:ind w:left="20"/>
              <w:spacing w:after="0"/>
              <w:rPr>
                <w:sz w:val="20"/>
                <w:szCs w:val="20"/>
                <w:color w:val="auto"/>
              </w:rPr>
            </w:pPr>
            <w:r>
              <w:rPr>
                <w:rFonts w:ascii="Arial" w:cs="Arial" w:eastAsia="Arial" w:hAnsi="Arial"/>
                <w:sz w:val="12"/>
                <w:szCs w:val="12"/>
                <w:color w:val="auto"/>
              </w:rPr>
              <w:t>Local 351 IBEW Pension Plan</w:t>
            </w:r>
          </w:p>
        </w:tc>
        <w:tc>
          <w:tcPr>
            <w:tcW w:w="1180" w:type="dxa"/>
            <w:vAlign w:val="bottom"/>
            <w:vMerge w:val="restart"/>
            <w:shd w:val="clear" w:color="auto" w:fill="CCEEFF"/>
          </w:tcPr>
          <w:p>
            <w:pPr>
              <w:jc w:val="center"/>
              <w:spacing w:after="0"/>
              <w:rPr>
                <w:sz w:val="20"/>
                <w:szCs w:val="20"/>
                <w:color w:val="auto"/>
              </w:rPr>
            </w:pPr>
            <w:r>
              <w:rPr>
                <w:rFonts w:ascii="Arial" w:cs="Arial" w:eastAsia="Arial" w:hAnsi="Arial"/>
                <w:sz w:val="12"/>
                <w:szCs w:val="12"/>
                <w:color w:val="auto"/>
                <w:w w:val="93"/>
              </w:rPr>
              <w:t>22-3417366/001</w:t>
            </w:r>
          </w:p>
        </w:tc>
        <w:tc>
          <w:tcPr>
            <w:tcW w:w="100" w:type="dxa"/>
            <w:vAlign w:val="bottom"/>
            <w:shd w:val="clear" w:color="auto" w:fill="CCEEFF"/>
          </w:tcPr>
          <w:p>
            <w:pPr>
              <w:spacing w:after="0"/>
              <w:rPr>
                <w:sz w:val="10"/>
                <w:szCs w:val="10"/>
                <w:color w:val="auto"/>
              </w:rPr>
            </w:pPr>
          </w:p>
        </w:tc>
        <w:tc>
          <w:tcPr>
            <w:tcW w:w="1120" w:type="dxa"/>
            <w:vAlign w:val="bottom"/>
            <w:shd w:val="clear" w:color="auto" w:fill="CCEEFF"/>
          </w:tcPr>
          <w:p>
            <w:pPr>
              <w:jc w:val="center"/>
              <w:ind w:right="84"/>
              <w:spacing w:after="0" w:line="126" w:lineRule="exact"/>
              <w:rPr>
                <w:sz w:val="20"/>
                <w:szCs w:val="20"/>
                <w:color w:val="auto"/>
              </w:rPr>
            </w:pPr>
            <w:r>
              <w:rPr>
                <w:rFonts w:ascii="Arial" w:cs="Arial" w:eastAsia="Arial" w:hAnsi="Arial"/>
                <w:sz w:val="12"/>
                <w:szCs w:val="12"/>
                <w:color w:val="auto"/>
                <w:w w:val="92"/>
              </w:rPr>
              <w:t>Described below</w:t>
            </w:r>
          </w:p>
        </w:tc>
        <w:tc>
          <w:tcPr>
            <w:tcW w:w="660" w:type="dxa"/>
            <w:vAlign w:val="bottom"/>
            <w:vMerge w:val="restart"/>
            <w:shd w:val="clear" w:color="auto" w:fill="CCEEFF"/>
          </w:tcPr>
          <w:p>
            <w:pPr>
              <w:jc w:val="center"/>
              <w:ind w:right="98"/>
              <w:spacing w:after="0"/>
              <w:rPr>
                <w:sz w:val="20"/>
                <w:szCs w:val="20"/>
                <w:color w:val="auto"/>
              </w:rPr>
            </w:pPr>
            <w:r>
              <w:rPr>
                <w:rFonts w:ascii="Arial" w:cs="Arial" w:eastAsia="Arial" w:hAnsi="Arial"/>
                <w:sz w:val="12"/>
                <w:szCs w:val="12"/>
                <w:color w:val="auto"/>
                <w:w w:val="89"/>
              </w:rPr>
              <w:t>Green</w:t>
            </w:r>
          </w:p>
        </w:tc>
        <w:tc>
          <w:tcPr>
            <w:tcW w:w="100" w:type="dxa"/>
            <w:vAlign w:val="bottom"/>
            <w:shd w:val="clear" w:color="auto" w:fill="CCEEFF"/>
          </w:tcPr>
          <w:p>
            <w:pPr>
              <w:spacing w:after="0"/>
              <w:rPr>
                <w:sz w:val="10"/>
                <w:szCs w:val="10"/>
                <w:color w:val="auto"/>
              </w:rPr>
            </w:pPr>
          </w:p>
        </w:tc>
        <w:tc>
          <w:tcPr>
            <w:tcW w:w="130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2"/>
                <w:szCs w:val="12"/>
                <w:color w:val="auto"/>
                <w:w w:val="95"/>
              </w:rPr>
              <w:t>NA</w:t>
            </w:r>
          </w:p>
        </w:tc>
        <w:tc>
          <w:tcPr>
            <w:tcW w:w="18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ind w:right="17"/>
              <w:spacing w:after="0"/>
              <w:rPr>
                <w:sz w:val="20"/>
                <w:szCs w:val="20"/>
                <w:color w:val="auto"/>
              </w:rPr>
            </w:pPr>
            <w:r>
              <w:rPr>
                <w:rFonts w:ascii="Arial" w:cs="Arial" w:eastAsia="Arial" w:hAnsi="Arial"/>
                <w:sz w:val="12"/>
                <w:szCs w:val="12"/>
                <w:color w:val="auto"/>
              </w:rPr>
              <w:t>479</w:t>
            </w:r>
          </w:p>
        </w:tc>
        <w:tc>
          <w:tcPr>
            <w:tcW w:w="16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ind w:right="77"/>
              <w:spacing w:after="0"/>
              <w:rPr>
                <w:sz w:val="20"/>
                <w:szCs w:val="20"/>
                <w:color w:val="auto"/>
              </w:rPr>
            </w:pPr>
            <w:r>
              <w:rPr>
                <w:rFonts w:ascii="Arial" w:cs="Arial" w:eastAsia="Arial" w:hAnsi="Arial"/>
                <w:sz w:val="12"/>
                <w:szCs w:val="12"/>
                <w:color w:val="auto"/>
              </w:rPr>
              <w:t>1,709</w:t>
            </w:r>
          </w:p>
        </w:tc>
        <w:tc>
          <w:tcPr>
            <w:tcW w:w="28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2,025</w:t>
            </w:r>
          </w:p>
        </w:tc>
        <w:tc>
          <w:tcPr>
            <w:tcW w:w="120" w:type="dxa"/>
            <w:vAlign w:val="bottom"/>
            <w:shd w:val="clear" w:color="auto" w:fill="CCEEFF"/>
          </w:tcPr>
          <w:p>
            <w:pPr>
              <w:spacing w:after="0"/>
              <w:rPr>
                <w:sz w:val="10"/>
                <w:szCs w:val="10"/>
                <w:color w:val="auto"/>
              </w:rPr>
            </w:pPr>
          </w:p>
        </w:tc>
        <w:tc>
          <w:tcPr>
            <w:tcW w:w="960" w:type="dxa"/>
            <w:vAlign w:val="bottom"/>
            <w:vMerge w:val="restart"/>
            <w:shd w:val="clear" w:color="auto" w:fill="CCEEFF"/>
          </w:tcPr>
          <w:p>
            <w:pPr>
              <w:jc w:val="center"/>
              <w:spacing w:after="0"/>
              <w:rPr>
                <w:sz w:val="20"/>
                <w:szCs w:val="20"/>
                <w:color w:val="auto"/>
              </w:rPr>
            </w:pPr>
            <w:r>
              <w:rPr>
                <w:rFonts w:ascii="Arial" w:cs="Arial" w:eastAsia="Arial" w:hAnsi="Arial"/>
                <w:sz w:val="12"/>
                <w:szCs w:val="12"/>
                <w:color w:val="auto"/>
              </w:rPr>
              <w:t>No</w:t>
            </w:r>
          </w:p>
        </w:tc>
        <w:tc>
          <w:tcPr>
            <w:tcW w:w="0" w:type="dxa"/>
            <w:vAlign w:val="bottom"/>
          </w:tcPr>
          <w:p>
            <w:pPr>
              <w:spacing w:after="0"/>
              <w:rPr>
                <w:sz w:val="1"/>
                <w:szCs w:val="1"/>
                <w:color w:val="auto"/>
              </w:rPr>
            </w:pPr>
          </w:p>
        </w:tc>
      </w:tr>
      <w:tr>
        <w:trPr>
          <w:trHeight w:val="111"/>
        </w:trPr>
        <w:tc>
          <w:tcPr>
            <w:tcW w:w="3000" w:type="dxa"/>
            <w:vAlign w:val="bottom"/>
            <w:tcBorders>
              <w:bottom w:val="single" w:sz="8" w:color="CCEEFF"/>
            </w:tcBorders>
            <w:gridSpan w:val="2"/>
            <w:vMerge w:val="continue"/>
            <w:shd w:val="clear" w:color="auto" w:fill="CCEEFF"/>
          </w:tcPr>
          <w:p>
            <w:pPr>
              <w:spacing w:after="0"/>
              <w:rPr>
                <w:sz w:val="9"/>
                <w:szCs w:val="9"/>
                <w:color w:val="auto"/>
              </w:rPr>
            </w:pPr>
          </w:p>
        </w:tc>
        <w:tc>
          <w:tcPr>
            <w:tcW w:w="1180" w:type="dxa"/>
            <w:vAlign w:val="bottom"/>
            <w:tcBorders>
              <w:bottom w:val="single" w:sz="8" w:color="CCEEFF"/>
            </w:tcBorders>
            <w:vMerge w:val="continue"/>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1120" w:type="dxa"/>
            <w:vAlign w:val="bottom"/>
            <w:tcBorders>
              <w:bottom w:val="single" w:sz="8" w:color="CCEEFF"/>
            </w:tcBorders>
            <w:shd w:val="clear" w:color="auto" w:fill="CCEEFF"/>
          </w:tcPr>
          <w:p>
            <w:pPr>
              <w:jc w:val="center"/>
              <w:ind w:right="84"/>
              <w:spacing w:after="0"/>
              <w:rPr>
                <w:sz w:val="20"/>
                <w:szCs w:val="20"/>
                <w:color w:val="auto"/>
              </w:rPr>
            </w:pPr>
            <w:r>
              <w:rPr>
                <w:rFonts w:ascii="Arial" w:cs="Arial" w:eastAsia="Arial" w:hAnsi="Arial"/>
                <w:sz w:val="8"/>
                <w:szCs w:val="8"/>
                <w:color w:val="auto"/>
              </w:rPr>
              <w:t>(1)</w:t>
            </w:r>
          </w:p>
        </w:tc>
        <w:tc>
          <w:tcPr>
            <w:tcW w:w="660" w:type="dxa"/>
            <w:vAlign w:val="bottom"/>
            <w:tcBorders>
              <w:bottom w:val="single" w:sz="8" w:color="CCEEFF"/>
            </w:tcBorders>
            <w:vMerge w:val="continue"/>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1300" w:type="dxa"/>
            <w:vAlign w:val="bottom"/>
            <w:tcBorders>
              <w:bottom w:val="single" w:sz="8" w:color="CCEEFF"/>
            </w:tcBorders>
            <w:gridSpan w:val="2"/>
            <w:vMerge w:val="continue"/>
            <w:shd w:val="clear" w:color="auto" w:fill="CCEEFF"/>
          </w:tcPr>
          <w:p>
            <w:pPr>
              <w:spacing w:after="0"/>
              <w:rPr>
                <w:sz w:val="9"/>
                <w:szCs w:val="9"/>
                <w:color w:val="auto"/>
              </w:rPr>
            </w:pPr>
          </w:p>
        </w:tc>
        <w:tc>
          <w:tcPr>
            <w:tcW w:w="180" w:type="dxa"/>
            <w:vAlign w:val="bottom"/>
            <w:tcBorders>
              <w:bottom w:val="single" w:sz="8" w:color="CCEEFF"/>
            </w:tcBorders>
            <w:shd w:val="clear" w:color="auto" w:fill="CCEEFF"/>
          </w:tcPr>
          <w:p>
            <w:pPr>
              <w:spacing w:after="0"/>
              <w:rPr>
                <w:sz w:val="9"/>
                <w:szCs w:val="9"/>
                <w:color w:val="auto"/>
              </w:rPr>
            </w:pPr>
          </w:p>
        </w:tc>
        <w:tc>
          <w:tcPr>
            <w:tcW w:w="680" w:type="dxa"/>
            <w:vAlign w:val="bottom"/>
            <w:tcBorders>
              <w:bottom w:val="single" w:sz="8" w:color="CCEEFF"/>
            </w:tcBorders>
            <w:vMerge w:val="continue"/>
            <w:shd w:val="clear" w:color="auto" w:fill="CCEEFF"/>
          </w:tcPr>
          <w:p>
            <w:pPr>
              <w:spacing w:after="0"/>
              <w:rPr>
                <w:sz w:val="9"/>
                <w:szCs w:val="9"/>
                <w:color w:val="auto"/>
              </w:rPr>
            </w:pPr>
          </w:p>
        </w:tc>
        <w:tc>
          <w:tcPr>
            <w:tcW w:w="160" w:type="dxa"/>
            <w:vAlign w:val="bottom"/>
            <w:tcBorders>
              <w:bottom w:val="single" w:sz="8" w:color="CCEEFF"/>
            </w:tcBorders>
            <w:shd w:val="clear" w:color="auto" w:fill="CCEEFF"/>
          </w:tcPr>
          <w:p>
            <w:pPr>
              <w:spacing w:after="0"/>
              <w:rPr>
                <w:sz w:val="9"/>
                <w:szCs w:val="9"/>
                <w:color w:val="auto"/>
              </w:rPr>
            </w:pPr>
          </w:p>
        </w:tc>
        <w:tc>
          <w:tcPr>
            <w:tcW w:w="820" w:type="dxa"/>
            <w:vAlign w:val="bottom"/>
            <w:tcBorders>
              <w:bottom w:val="single" w:sz="8" w:color="CCEEFF"/>
            </w:tcBorders>
            <w:vMerge w:val="continue"/>
            <w:shd w:val="clear" w:color="auto" w:fill="CCEEFF"/>
          </w:tcPr>
          <w:p>
            <w:pPr>
              <w:spacing w:after="0"/>
              <w:rPr>
                <w:sz w:val="9"/>
                <w:szCs w:val="9"/>
                <w:color w:val="auto"/>
              </w:rPr>
            </w:pPr>
          </w:p>
        </w:tc>
        <w:tc>
          <w:tcPr>
            <w:tcW w:w="280" w:type="dxa"/>
            <w:vAlign w:val="bottom"/>
            <w:tcBorders>
              <w:bottom w:val="single" w:sz="8" w:color="CCEEFF"/>
            </w:tcBorders>
            <w:shd w:val="clear" w:color="auto" w:fill="CCEEFF"/>
          </w:tcPr>
          <w:p>
            <w:pPr>
              <w:spacing w:after="0"/>
              <w:rPr>
                <w:sz w:val="9"/>
                <w:szCs w:val="9"/>
                <w:color w:val="auto"/>
              </w:rPr>
            </w:pPr>
          </w:p>
        </w:tc>
        <w:tc>
          <w:tcPr>
            <w:tcW w:w="580" w:type="dxa"/>
            <w:vAlign w:val="bottom"/>
            <w:tcBorders>
              <w:bottom w:val="single" w:sz="8" w:color="CCEEFF"/>
            </w:tcBorders>
            <w:vMerge w:val="continue"/>
            <w:shd w:val="clear" w:color="auto" w:fill="CCEEFF"/>
          </w:tcPr>
          <w:p>
            <w:pPr>
              <w:spacing w:after="0"/>
              <w:rPr>
                <w:sz w:val="9"/>
                <w:szCs w:val="9"/>
                <w:color w:val="auto"/>
              </w:rPr>
            </w:pPr>
          </w:p>
        </w:tc>
        <w:tc>
          <w:tcPr>
            <w:tcW w:w="120" w:type="dxa"/>
            <w:vAlign w:val="bottom"/>
            <w:tcBorders>
              <w:bottom w:val="single" w:sz="8" w:color="CCEEFF"/>
            </w:tcBorders>
            <w:shd w:val="clear" w:color="auto" w:fill="CCEEFF"/>
          </w:tcPr>
          <w:p>
            <w:pPr>
              <w:spacing w:after="0"/>
              <w:rPr>
                <w:sz w:val="9"/>
                <w:szCs w:val="9"/>
                <w:color w:val="auto"/>
              </w:rPr>
            </w:pPr>
          </w:p>
        </w:tc>
        <w:tc>
          <w:tcPr>
            <w:tcW w:w="960" w:type="dxa"/>
            <w:vAlign w:val="bottom"/>
            <w:tcBorders>
              <w:bottom w:val="single" w:sz="8" w:color="CCEEFF"/>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3000" w:type="dxa"/>
            <w:vAlign w:val="bottom"/>
            <w:gridSpan w:val="2"/>
            <w:vMerge w:val="restart"/>
          </w:tcPr>
          <w:p>
            <w:pPr>
              <w:ind w:left="20"/>
              <w:spacing w:after="0"/>
              <w:rPr>
                <w:sz w:val="20"/>
                <w:szCs w:val="20"/>
                <w:color w:val="auto"/>
              </w:rPr>
            </w:pPr>
            <w:r>
              <w:rPr>
                <w:rFonts w:ascii="Arial" w:cs="Arial" w:eastAsia="Arial" w:hAnsi="Arial"/>
                <w:sz w:val="12"/>
                <w:szCs w:val="12"/>
                <w:color w:val="auto"/>
              </w:rPr>
              <w:t>Steamfitters Local Union No 420 Pension Plan</w:t>
            </w:r>
          </w:p>
        </w:tc>
        <w:tc>
          <w:tcPr>
            <w:tcW w:w="1180" w:type="dxa"/>
            <w:vAlign w:val="bottom"/>
            <w:vMerge w:val="restart"/>
          </w:tcPr>
          <w:p>
            <w:pPr>
              <w:jc w:val="center"/>
              <w:spacing w:after="0"/>
              <w:rPr>
                <w:sz w:val="20"/>
                <w:szCs w:val="20"/>
                <w:color w:val="auto"/>
              </w:rPr>
            </w:pPr>
            <w:r>
              <w:rPr>
                <w:rFonts w:ascii="Arial" w:cs="Arial" w:eastAsia="Arial" w:hAnsi="Arial"/>
                <w:sz w:val="12"/>
                <w:szCs w:val="12"/>
                <w:color w:val="auto"/>
                <w:w w:val="93"/>
              </w:rPr>
              <w:t>23-2004424/001</w:t>
            </w:r>
          </w:p>
        </w:tc>
        <w:tc>
          <w:tcPr>
            <w:tcW w:w="100" w:type="dxa"/>
            <w:vAlign w:val="bottom"/>
          </w:tcPr>
          <w:p>
            <w:pPr>
              <w:spacing w:after="0"/>
              <w:rPr>
                <w:sz w:val="10"/>
                <w:szCs w:val="10"/>
                <w:color w:val="auto"/>
              </w:rPr>
            </w:pPr>
          </w:p>
        </w:tc>
        <w:tc>
          <w:tcPr>
            <w:tcW w:w="1120" w:type="dxa"/>
            <w:vAlign w:val="bottom"/>
          </w:tcPr>
          <w:p>
            <w:pPr>
              <w:jc w:val="center"/>
              <w:ind w:right="84"/>
              <w:spacing w:after="0" w:line="118" w:lineRule="exact"/>
              <w:rPr>
                <w:sz w:val="20"/>
                <w:szCs w:val="20"/>
                <w:color w:val="auto"/>
              </w:rPr>
            </w:pPr>
            <w:r>
              <w:rPr>
                <w:rFonts w:ascii="Arial" w:cs="Arial" w:eastAsia="Arial" w:hAnsi="Arial"/>
                <w:sz w:val="12"/>
                <w:szCs w:val="12"/>
                <w:color w:val="auto"/>
                <w:w w:val="92"/>
              </w:rPr>
              <w:t>Described below</w:t>
            </w:r>
          </w:p>
        </w:tc>
        <w:tc>
          <w:tcPr>
            <w:tcW w:w="660" w:type="dxa"/>
            <w:vAlign w:val="bottom"/>
            <w:vMerge w:val="restart"/>
          </w:tcPr>
          <w:p>
            <w:pPr>
              <w:jc w:val="center"/>
              <w:ind w:right="98"/>
              <w:spacing w:after="0"/>
              <w:rPr>
                <w:sz w:val="20"/>
                <w:szCs w:val="20"/>
                <w:color w:val="auto"/>
              </w:rPr>
            </w:pPr>
            <w:r>
              <w:rPr>
                <w:rFonts w:ascii="Arial" w:cs="Arial" w:eastAsia="Arial" w:hAnsi="Arial"/>
                <w:sz w:val="12"/>
                <w:szCs w:val="12"/>
                <w:color w:val="auto"/>
                <w:w w:val="81"/>
              </w:rPr>
              <w:t>Red</w:t>
            </w:r>
          </w:p>
        </w:tc>
        <w:tc>
          <w:tcPr>
            <w:tcW w:w="100" w:type="dxa"/>
            <w:vAlign w:val="bottom"/>
          </w:tcPr>
          <w:p>
            <w:pPr>
              <w:spacing w:after="0"/>
              <w:rPr>
                <w:sz w:val="10"/>
                <w:szCs w:val="10"/>
                <w:color w:val="auto"/>
              </w:rPr>
            </w:pPr>
          </w:p>
        </w:tc>
        <w:tc>
          <w:tcPr>
            <w:tcW w:w="1300" w:type="dxa"/>
            <w:vAlign w:val="bottom"/>
            <w:gridSpan w:val="2"/>
            <w:vMerge w:val="restart"/>
          </w:tcPr>
          <w:p>
            <w:pPr>
              <w:jc w:val="center"/>
              <w:ind w:right="100"/>
              <w:spacing w:after="0"/>
              <w:rPr>
                <w:sz w:val="20"/>
                <w:szCs w:val="20"/>
                <w:color w:val="auto"/>
              </w:rPr>
            </w:pPr>
            <w:r>
              <w:rPr>
                <w:rFonts w:ascii="Arial" w:cs="Arial" w:eastAsia="Arial" w:hAnsi="Arial"/>
                <w:sz w:val="12"/>
                <w:szCs w:val="12"/>
                <w:color w:val="auto"/>
                <w:w w:val="92"/>
              </w:rPr>
              <w:t>Implemented</w:t>
            </w:r>
          </w:p>
        </w:tc>
        <w:tc>
          <w:tcPr>
            <w:tcW w:w="180" w:type="dxa"/>
            <w:vAlign w:val="bottom"/>
          </w:tcPr>
          <w:p>
            <w:pPr>
              <w:spacing w:after="0"/>
              <w:rPr>
                <w:sz w:val="10"/>
                <w:szCs w:val="10"/>
                <w:color w:val="auto"/>
              </w:rPr>
            </w:pPr>
          </w:p>
        </w:tc>
        <w:tc>
          <w:tcPr>
            <w:tcW w:w="680" w:type="dxa"/>
            <w:vAlign w:val="bottom"/>
            <w:vMerge w:val="restart"/>
          </w:tcPr>
          <w:p>
            <w:pPr>
              <w:jc w:val="right"/>
              <w:ind w:right="17"/>
              <w:spacing w:after="0"/>
              <w:rPr>
                <w:sz w:val="20"/>
                <w:szCs w:val="20"/>
                <w:color w:val="auto"/>
              </w:rPr>
            </w:pPr>
            <w:r>
              <w:rPr>
                <w:rFonts w:ascii="Arial" w:cs="Arial" w:eastAsia="Arial" w:hAnsi="Arial"/>
                <w:sz w:val="12"/>
                <w:szCs w:val="12"/>
                <w:color w:val="auto"/>
              </w:rPr>
              <w:t>442</w:t>
            </w:r>
          </w:p>
        </w:tc>
        <w:tc>
          <w:tcPr>
            <w:tcW w:w="160" w:type="dxa"/>
            <w:vAlign w:val="bottom"/>
          </w:tcPr>
          <w:p>
            <w:pPr>
              <w:spacing w:after="0"/>
              <w:rPr>
                <w:sz w:val="10"/>
                <w:szCs w:val="10"/>
                <w:color w:val="auto"/>
              </w:rPr>
            </w:pPr>
          </w:p>
        </w:tc>
        <w:tc>
          <w:tcPr>
            <w:tcW w:w="820" w:type="dxa"/>
            <w:vAlign w:val="bottom"/>
            <w:vMerge w:val="restart"/>
          </w:tcPr>
          <w:p>
            <w:pPr>
              <w:jc w:val="right"/>
              <w:ind w:right="77"/>
              <w:spacing w:after="0"/>
              <w:rPr>
                <w:sz w:val="20"/>
                <w:szCs w:val="20"/>
                <w:color w:val="auto"/>
              </w:rPr>
            </w:pPr>
            <w:r>
              <w:rPr>
                <w:rFonts w:ascii="Arial" w:cs="Arial" w:eastAsia="Arial" w:hAnsi="Arial"/>
                <w:sz w:val="12"/>
                <w:szCs w:val="12"/>
                <w:color w:val="auto"/>
              </w:rPr>
              <w:t>1,523</w:t>
            </w:r>
          </w:p>
        </w:tc>
        <w:tc>
          <w:tcPr>
            <w:tcW w:w="28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Arial" w:cs="Arial" w:eastAsia="Arial" w:hAnsi="Arial"/>
                <w:sz w:val="12"/>
                <w:szCs w:val="12"/>
                <w:color w:val="auto"/>
              </w:rPr>
              <w:t>639</w:t>
            </w:r>
          </w:p>
        </w:tc>
        <w:tc>
          <w:tcPr>
            <w:tcW w:w="120" w:type="dxa"/>
            <w:vAlign w:val="bottom"/>
          </w:tcPr>
          <w:p>
            <w:pPr>
              <w:spacing w:after="0"/>
              <w:rPr>
                <w:sz w:val="10"/>
                <w:szCs w:val="10"/>
                <w:color w:val="auto"/>
              </w:rPr>
            </w:pPr>
          </w:p>
        </w:tc>
        <w:tc>
          <w:tcPr>
            <w:tcW w:w="960" w:type="dxa"/>
            <w:vAlign w:val="bottom"/>
            <w:vMerge w:val="restart"/>
          </w:tcPr>
          <w:p>
            <w:pPr>
              <w:jc w:val="center"/>
              <w:spacing w:after="0"/>
              <w:rPr>
                <w:sz w:val="20"/>
                <w:szCs w:val="20"/>
                <w:color w:val="auto"/>
              </w:rPr>
            </w:pPr>
            <w:r>
              <w:rPr>
                <w:rFonts w:ascii="Arial" w:cs="Arial" w:eastAsia="Arial" w:hAnsi="Arial"/>
                <w:sz w:val="12"/>
                <w:szCs w:val="12"/>
                <w:color w:val="auto"/>
                <w:w w:val="86"/>
              </w:rPr>
              <w:t>Yes</w:t>
            </w:r>
          </w:p>
        </w:tc>
        <w:tc>
          <w:tcPr>
            <w:tcW w:w="0" w:type="dxa"/>
            <w:vAlign w:val="bottom"/>
          </w:tcPr>
          <w:p>
            <w:pPr>
              <w:spacing w:after="0"/>
              <w:rPr>
                <w:sz w:val="1"/>
                <w:szCs w:val="1"/>
                <w:color w:val="auto"/>
              </w:rPr>
            </w:pPr>
          </w:p>
        </w:tc>
      </w:tr>
      <w:tr>
        <w:trPr>
          <w:trHeight w:val="99"/>
        </w:trPr>
        <w:tc>
          <w:tcPr>
            <w:tcW w:w="3000" w:type="dxa"/>
            <w:vAlign w:val="bottom"/>
            <w:gridSpan w:val="2"/>
            <w:vMerge w:val="continue"/>
          </w:tcPr>
          <w:p>
            <w:pPr>
              <w:spacing w:after="0"/>
              <w:rPr>
                <w:sz w:val="8"/>
                <w:szCs w:val="8"/>
                <w:color w:val="auto"/>
              </w:rPr>
            </w:pPr>
          </w:p>
        </w:tc>
        <w:tc>
          <w:tcPr>
            <w:tcW w:w="11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tcPr>
          <w:p>
            <w:pPr>
              <w:jc w:val="center"/>
              <w:ind w:right="84"/>
              <w:spacing w:after="0"/>
              <w:rPr>
                <w:sz w:val="20"/>
                <w:szCs w:val="20"/>
                <w:color w:val="auto"/>
              </w:rPr>
            </w:pPr>
            <w:r>
              <w:rPr>
                <w:rFonts w:ascii="Arial" w:cs="Arial" w:eastAsia="Arial" w:hAnsi="Arial"/>
                <w:sz w:val="8"/>
                <w:szCs w:val="8"/>
                <w:color w:val="auto"/>
              </w:rPr>
              <w:t>(1)</w:t>
            </w:r>
          </w:p>
        </w:tc>
        <w:tc>
          <w:tcPr>
            <w:tcW w:w="6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2"/>
        </w:trPr>
        <w:tc>
          <w:tcPr>
            <w:tcW w:w="2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30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IBEW Local Union 98 Pension Plan</w:t>
            </w:r>
          </w:p>
        </w:tc>
        <w:tc>
          <w:tcPr>
            <w:tcW w:w="11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3"/>
              </w:rPr>
              <w:t>23-1990722/001</w:t>
            </w: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jc w:val="center"/>
              <w:ind w:right="104"/>
              <w:spacing w:after="0"/>
              <w:rPr>
                <w:sz w:val="20"/>
                <w:szCs w:val="20"/>
                <w:color w:val="auto"/>
              </w:rPr>
            </w:pPr>
            <w:r>
              <w:rPr>
                <w:rFonts w:ascii="Arial" w:cs="Arial" w:eastAsia="Arial" w:hAnsi="Arial"/>
                <w:sz w:val="12"/>
                <w:szCs w:val="12"/>
                <w:color w:val="auto"/>
                <w:w w:val="90"/>
              </w:rPr>
              <w:t>Red</w:t>
            </w:r>
          </w:p>
        </w:tc>
        <w:tc>
          <w:tcPr>
            <w:tcW w:w="660" w:type="dxa"/>
            <w:vAlign w:val="bottom"/>
            <w:shd w:val="clear" w:color="auto" w:fill="CCEEFF"/>
          </w:tcPr>
          <w:p>
            <w:pPr>
              <w:jc w:val="center"/>
              <w:ind w:right="98"/>
              <w:spacing w:after="0"/>
              <w:rPr>
                <w:sz w:val="20"/>
                <w:szCs w:val="20"/>
                <w:color w:val="auto"/>
              </w:rPr>
            </w:pPr>
            <w:r>
              <w:rPr>
                <w:rFonts w:ascii="Arial" w:cs="Arial" w:eastAsia="Arial" w:hAnsi="Arial"/>
                <w:sz w:val="12"/>
                <w:szCs w:val="12"/>
                <w:color w:val="auto"/>
                <w:w w:val="81"/>
              </w:rPr>
              <w:t>Red</w:t>
            </w:r>
          </w:p>
        </w:tc>
        <w:tc>
          <w:tcPr>
            <w:tcW w:w="10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center"/>
              <w:ind w:right="100"/>
              <w:spacing w:after="0"/>
              <w:rPr>
                <w:sz w:val="20"/>
                <w:szCs w:val="20"/>
                <w:color w:val="auto"/>
              </w:rPr>
            </w:pPr>
            <w:r>
              <w:rPr>
                <w:rFonts w:ascii="Arial" w:cs="Arial" w:eastAsia="Arial" w:hAnsi="Arial"/>
                <w:sz w:val="12"/>
                <w:szCs w:val="12"/>
                <w:color w:val="auto"/>
                <w:w w:val="92"/>
              </w:rPr>
              <w:t>Implemented</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2"/>
                <w:szCs w:val="12"/>
                <w:color w:val="auto"/>
              </w:rPr>
              <w:t>195</w:t>
            </w: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77"/>
              <w:spacing w:after="0"/>
              <w:rPr>
                <w:sz w:val="20"/>
                <w:szCs w:val="20"/>
                <w:color w:val="auto"/>
              </w:rPr>
            </w:pPr>
            <w:r>
              <w:rPr>
                <w:rFonts w:ascii="Arial" w:cs="Arial" w:eastAsia="Arial" w:hAnsi="Arial"/>
                <w:sz w:val="12"/>
                <w:szCs w:val="12"/>
                <w:color w:val="auto"/>
              </w:rPr>
              <w:t>352</w:t>
            </w:r>
          </w:p>
        </w:tc>
        <w:tc>
          <w:tcPr>
            <w:tcW w:w="2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828</w:t>
            </w: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6"/>
              </w:rPr>
              <w:t>Yes</w:t>
            </w:r>
          </w:p>
        </w:tc>
        <w:tc>
          <w:tcPr>
            <w:tcW w:w="0" w:type="dxa"/>
            <w:vAlign w:val="bottom"/>
          </w:tcPr>
          <w:p>
            <w:pPr>
              <w:spacing w:after="0"/>
              <w:rPr>
                <w:sz w:val="1"/>
                <w:szCs w:val="1"/>
                <w:color w:val="auto"/>
              </w:rPr>
            </w:pPr>
          </w:p>
        </w:tc>
      </w:tr>
      <w:tr>
        <w:trPr>
          <w:trHeight w:val="118"/>
        </w:trPr>
        <w:tc>
          <w:tcPr>
            <w:tcW w:w="3000" w:type="dxa"/>
            <w:vAlign w:val="bottom"/>
            <w:gridSpan w:val="2"/>
            <w:vMerge w:val="restart"/>
          </w:tcPr>
          <w:p>
            <w:pPr>
              <w:ind w:left="20"/>
              <w:spacing w:after="0"/>
              <w:rPr>
                <w:sz w:val="20"/>
                <w:szCs w:val="20"/>
                <w:color w:val="auto"/>
              </w:rPr>
            </w:pPr>
            <w:r>
              <w:rPr>
                <w:rFonts w:ascii="Arial" w:cs="Arial" w:eastAsia="Arial" w:hAnsi="Arial"/>
                <w:sz w:val="12"/>
                <w:szCs w:val="12"/>
                <w:color w:val="auto"/>
              </w:rPr>
              <w:t>Indiana Laborers Pension Fund</w:t>
            </w:r>
          </w:p>
        </w:tc>
        <w:tc>
          <w:tcPr>
            <w:tcW w:w="1180" w:type="dxa"/>
            <w:vAlign w:val="bottom"/>
            <w:vMerge w:val="restart"/>
          </w:tcPr>
          <w:p>
            <w:pPr>
              <w:jc w:val="center"/>
              <w:spacing w:after="0"/>
              <w:rPr>
                <w:sz w:val="20"/>
                <w:szCs w:val="20"/>
                <w:color w:val="auto"/>
              </w:rPr>
            </w:pPr>
            <w:r>
              <w:rPr>
                <w:rFonts w:ascii="Arial" w:cs="Arial" w:eastAsia="Arial" w:hAnsi="Arial"/>
                <w:sz w:val="12"/>
                <w:szCs w:val="12"/>
                <w:color w:val="auto"/>
                <w:w w:val="93"/>
              </w:rPr>
              <w:t>35-6027150/001</w:t>
            </w:r>
          </w:p>
        </w:tc>
        <w:tc>
          <w:tcPr>
            <w:tcW w:w="100" w:type="dxa"/>
            <w:vAlign w:val="bottom"/>
          </w:tcPr>
          <w:p>
            <w:pPr>
              <w:spacing w:after="0"/>
              <w:rPr>
                <w:sz w:val="10"/>
                <w:szCs w:val="10"/>
                <w:color w:val="auto"/>
              </w:rPr>
            </w:pPr>
          </w:p>
        </w:tc>
        <w:tc>
          <w:tcPr>
            <w:tcW w:w="1120" w:type="dxa"/>
            <w:vAlign w:val="bottom"/>
          </w:tcPr>
          <w:p>
            <w:pPr>
              <w:jc w:val="center"/>
              <w:ind w:right="84"/>
              <w:spacing w:after="0" w:line="118" w:lineRule="exact"/>
              <w:rPr>
                <w:sz w:val="20"/>
                <w:szCs w:val="20"/>
                <w:color w:val="auto"/>
              </w:rPr>
            </w:pPr>
            <w:r>
              <w:rPr>
                <w:rFonts w:ascii="Arial" w:cs="Arial" w:eastAsia="Arial" w:hAnsi="Arial"/>
                <w:sz w:val="12"/>
                <w:szCs w:val="12"/>
                <w:color w:val="auto"/>
                <w:w w:val="92"/>
              </w:rPr>
              <w:t>Described below</w:t>
            </w:r>
          </w:p>
        </w:tc>
        <w:tc>
          <w:tcPr>
            <w:tcW w:w="660" w:type="dxa"/>
            <w:vAlign w:val="bottom"/>
            <w:vMerge w:val="restart"/>
          </w:tcPr>
          <w:p>
            <w:pPr>
              <w:jc w:val="center"/>
              <w:ind w:right="98"/>
              <w:spacing w:after="0"/>
              <w:rPr>
                <w:sz w:val="20"/>
                <w:szCs w:val="20"/>
                <w:color w:val="auto"/>
              </w:rPr>
            </w:pPr>
            <w:r>
              <w:rPr>
                <w:rFonts w:ascii="Arial" w:cs="Arial" w:eastAsia="Arial" w:hAnsi="Arial"/>
                <w:sz w:val="12"/>
                <w:szCs w:val="12"/>
                <w:color w:val="auto"/>
                <w:w w:val="89"/>
              </w:rPr>
              <w:t>Green</w:t>
            </w:r>
          </w:p>
        </w:tc>
        <w:tc>
          <w:tcPr>
            <w:tcW w:w="100" w:type="dxa"/>
            <w:vAlign w:val="bottom"/>
          </w:tcPr>
          <w:p>
            <w:pPr>
              <w:spacing w:after="0"/>
              <w:rPr>
                <w:sz w:val="10"/>
                <w:szCs w:val="10"/>
                <w:color w:val="auto"/>
              </w:rPr>
            </w:pPr>
          </w:p>
        </w:tc>
        <w:tc>
          <w:tcPr>
            <w:tcW w:w="1300" w:type="dxa"/>
            <w:vAlign w:val="bottom"/>
            <w:gridSpan w:val="2"/>
            <w:vMerge w:val="restart"/>
          </w:tcPr>
          <w:p>
            <w:pPr>
              <w:jc w:val="center"/>
              <w:ind w:right="100"/>
              <w:spacing w:after="0"/>
              <w:rPr>
                <w:sz w:val="20"/>
                <w:szCs w:val="20"/>
                <w:color w:val="auto"/>
              </w:rPr>
            </w:pPr>
            <w:r>
              <w:rPr>
                <w:rFonts w:ascii="Arial" w:cs="Arial" w:eastAsia="Arial" w:hAnsi="Arial"/>
                <w:sz w:val="12"/>
                <w:szCs w:val="12"/>
                <w:color w:val="auto"/>
                <w:w w:val="95"/>
              </w:rPr>
              <w:t>NA</w:t>
            </w:r>
          </w:p>
        </w:tc>
        <w:tc>
          <w:tcPr>
            <w:tcW w:w="180" w:type="dxa"/>
            <w:vAlign w:val="bottom"/>
          </w:tcPr>
          <w:p>
            <w:pPr>
              <w:spacing w:after="0"/>
              <w:rPr>
                <w:sz w:val="10"/>
                <w:szCs w:val="10"/>
                <w:color w:val="auto"/>
              </w:rPr>
            </w:pPr>
          </w:p>
        </w:tc>
        <w:tc>
          <w:tcPr>
            <w:tcW w:w="680" w:type="dxa"/>
            <w:vAlign w:val="bottom"/>
            <w:vMerge w:val="restart"/>
          </w:tcPr>
          <w:p>
            <w:pPr>
              <w:jc w:val="right"/>
              <w:ind w:right="17"/>
              <w:spacing w:after="0"/>
              <w:rPr>
                <w:sz w:val="20"/>
                <w:szCs w:val="20"/>
                <w:color w:val="auto"/>
              </w:rPr>
            </w:pPr>
            <w:r>
              <w:rPr>
                <w:rFonts w:ascii="Arial" w:cs="Arial" w:eastAsia="Arial" w:hAnsi="Arial"/>
                <w:sz w:val="12"/>
                <w:szCs w:val="12"/>
                <w:color w:val="auto"/>
              </w:rPr>
              <w:t>20</w:t>
            </w:r>
          </w:p>
        </w:tc>
        <w:tc>
          <w:tcPr>
            <w:tcW w:w="160" w:type="dxa"/>
            <w:vAlign w:val="bottom"/>
          </w:tcPr>
          <w:p>
            <w:pPr>
              <w:spacing w:after="0"/>
              <w:rPr>
                <w:sz w:val="10"/>
                <w:szCs w:val="10"/>
                <w:color w:val="auto"/>
              </w:rPr>
            </w:pPr>
          </w:p>
        </w:tc>
        <w:tc>
          <w:tcPr>
            <w:tcW w:w="820" w:type="dxa"/>
            <w:vAlign w:val="bottom"/>
            <w:vMerge w:val="restart"/>
          </w:tcPr>
          <w:p>
            <w:pPr>
              <w:jc w:val="right"/>
              <w:ind w:right="77"/>
              <w:spacing w:after="0"/>
              <w:rPr>
                <w:sz w:val="20"/>
                <w:szCs w:val="20"/>
                <w:color w:val="auto"/>
              </w:rPr>
            </w:pPr>
            <w:r>
              <w:rPr>
                <w:rFonts w:ascii="Arial" w:cs="Arial" w:eastAsia="Arial" w:hAnsi="Arial"/>
                <w:sz w:val="12"/>
                <w:szCs w:val="12"/>
                <w:color w:val="auto"/>
              </w:rPr>
              <w:t>1,604</w:t>
            </w:r>
          </w:p>
        </w:tc>
        <w:tc>
          <w:tcPr>
            <w:tcW w:w="28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Arial" w:cs="Arial" w:eastAsia="Arial" w:hAnsi="Arial"/>
                <w:sz w:val="12"/>
                <w:szCs w:val="12"/>
                <w:color w:val="auto"/>
              </w:rPr>
              <w:t>3,349</w:t>
            </w:r>
          </w:p>
        </w:tc>
        <w:tc>
          <w:tcPr>
            <w:tcW w:w="120" w:type="dxa"/>
            <w:vAlign w:val="bottom"/>
          </w:tcPr>
          <w:p>
            <w:pPr>
              <w:spacing w:after="0"/>
              <w:rPr>
                <w:sz w:val="10"/>
                <w:szCs w:val="10"/>
                <w:color w:val="auto"/>
              </w:rPr>
            </w:pPr>
          </w:p>
        </w:tc>
        <w:tc>
          <w:tcPr>
            <w:tcW w:w="960" w:type="dxa"/>
            <w:vAlign w:val="bottom"/>
            <w:vMerge w:val="restart"/>
          </w:tcPr>
          <w:p>
            <w:pPr>
              <w:jc w:val="center"/>
              <w:spacing w:after="0"/>
              <w:rPr>
                <w:sz w:val="20"/>
                <w:szCs w:val="20"/>
                <w:color w:val="auto"/>
              </w:rPr>
            </w:pPr>
            <w:r>
              <w:rPr>
                <w:rFonts w:ascii="Arial" w:cs="Arial" w:eastAsia="Arial" w:hAnsi="Arial"/>
                <w:sz w:val="12"/>
                <w:szCs w:val="12"/>
                <w:color w:val="auto"/>
              </w:rPr>
              <w:t>No</w:t>
            </w:r>
          </w:p>
        </w:tc>
        <w:tc>
          <w:tcPr>
            <w:tcW w:w="0" w:type="dxa"/>
            <w:vAlign w:val="bottom"/>
          </w:tcPr>
          <w:p>
            <w:pPr>
              <w:spacing w:after="0"/>
              <w:rPr>
                <w:sz w:val="1"/>
                <w:szCs w:val="1"/>
                <w:color w:val="auto"/>
              </w:rPr>
            </w:pPr>
          </w:p>
        </w:tc>
      </w:tr>
      <w:tr>
        <w:trPr>
          <w:trHeight w:val="99"/>
        </w:trPr>
        <w:tc>
          <w:tcPr>
            <w:tcW w:w="3000" w:type="dxa"/>
            <w:vAlign w:val="bottom"/>
            <w:gridSpan w:val="2"/>
            <w:vMerge w:val="continue"/>
          </w:tcPr>
          <w:p>
            <w:pPr>
              <w:spacing w:after="0"/>
              <w:rPr>
                <w:sz w:val="8"/>
                <w:szCs w:val="8"/>
                <w:color w:val="auto"/>
              </w:rPr>
            </w:pPr>
          </w:p>
        </w:tc>
        <w:tc>
          <w:tcPr>
            <w:tcW w:w="11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tcPr>
          <w:p>
            <w:pPr>
              <w:jc w:val="center"/>
              <w:ind w:right="84"/>
              <w:spacing w:after="0"/>
              <w:rPr>
                <w:sz w:val="20"/>
                <w:szCs w:val="20"/>
                <w:color w:val="auto"/>
              </w:rPr>
            </w:pPr>
            <w:r>
              <w:rPr>
                <w:rFonts w:ascii="Arial" w:cs="Arial" w:eastAsia="Arial" w:hAnsi="Arial"/>
                <w:sz w:val="8"/>
                <w:szCs w:val="8"/>
                <w:color w:val="auto"/>
              </w:rPr>
              <w:t>(1)</w:t>
            </w:r>
          </w:p>
        </w:tc>
        <w:tc>
          <w:tcPr>
            <w:tcW w:w="6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2"/>
        </w:trPr>
        <w:tc>
          <w:tcPr>
            <w:tcW w:w="2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8"/>
        </w:trPr>
        <w:tc>
          <w:tcPr>
            <w:tcW w:w="3000" w:type="dxa"/>
            <w:vAlign w:val="bottom"/>
            <w:gridSpan w:val="2"/>
            <w:vMerge w:val="restart"/>
            <w:shd w:val="clear" w:color="auto" w:fill="CCEEFF"/>
          </w:tcPr>
          <w:p>
            <w:pPr>
              <w:ind w:left="20"/>
              <w:spacing w:after="0"/>
              <w:rPr>
                <w:sz w:val="20"/>
                <w:szCs w:val="20"/>
                <w:color w:val="auto"/>
              </w:rPr>
            </w:pPr>
            <w:r>
              <w:rPr>
                <w:rFonts w:ascii="Arial" w:cs="Arial" w:eastAsia="Arial" w:hAnsi="Arial"/>
                <w:sz w:val="12"/>
                <w:szCs w:val="12"/>
                <w:color w:val="auto"/>
              </w:rPr>
              <w:t>Iron Workers Mid-America Pension Plan, Local 395</w:t>
            </w:r>
          </w:p>
        </w:tc>
        <w:tc>
          <w:tcPr>
            <w:tcW w:w="1180" w:type="dxa"/>
            <w:vAlign w:val="bottom"/>
            <w:vMerge w:val="restart"/>
            <w:shd w:val="clear" w:color="auto" w:fill="CCEEFF"/>
          </w:tcPr>
          <w:p>
            <w:pPr>
              <w:jc w:val="center"/>
              <w:spacing w:after="0"/>
              <w:rPr>
                <w:sz w:val="20"/>
                <w:szCs w:val="20"/>
                <w:color w:val="auto"/>
              </w:rPr>
            </w:pPr>
            <w:r>
              <w:rPr>
                <w:rFonts w:ascii="Arial" w:cs="Arial" w:eastAsia="Arial" w:hAnsi="Arial"/>
                <w:sz w:val="12"/>
                <w:szCs w:val="12"/>
                <w:color w:val="auto"/>
                <w:w w:val="93"/>
              </w:rPr>
              <w:t>36-6488227/001</w:t>
            </w:r>
          </w:p>
        </w:tc>
        <w:tc>
          <w:tcPr>
            <w:tcW w:w="100" w:type="dxa"/>
            <w:vAlign w:val="bottom"/>
            <w:shd w:val="clear" w:color="auto" w:fill="CCEEFF"/>
          </w:tcPr>
          <w:p>
            <w:pPr>
              <w:spacing w:after="0"/>
              <w:rPr>
                <w:sz w:val="10"/>
                <w:szCs w:val="10"/>
                <w:color w:val="auto"/>
              </w:rPr>
            </w:pPr>
          </w:p>
        </w:tc>
        <w:tc>
          <w:tcPr>
            <w:tcW w:w="1120" w:type="dxa"/>
            <w:vAlign w:val="bottom"/>
            <w:shd w:val="clear" w:color="auto" w:fill="CCEEFF"/>
          </w:tcPr>
          <w:p>
            <w:pPr>
              <w:jc w:val="center"/>
              <w:ind w:right="84"/>
              <w:spacing w:after="0" w:line="118" w:lineRule="exact"/>
              <w:rPr>
                <w:sz w:val="20"/>
                <w:szCs w:val="20"/>
                <w:color w:val="auto"/>
              </w:rPr>
            </w:pPr>
            <w:r>
              <w:rPr>
                <w:rFonts w:ascii="Arial" w:cs="Arial" w:eastAsia="Arial" w:hAnsi="Arial"/>
                <w:sz w:val="12"/>
                <w:szCs w:val="12"/>
                <w:color w:val="auto"/>
                <w:w w:val="92"/>
              </w:rPr>
              <w:t>Described below</w:t>
            </w:r>
          </w:p>
        </w:tc>
        <w:tc>
          <w:tcPr>
            <w:tcW w:w="660" w:type="dxa"/>
            <w:vAlign w:val="bottom"/>
            <w:vMerge w:val="restart"/>
            <w:shd w:val="clear" w:color="auto" w:fill="CCEEFF"/>
          </w:tcPr>
          <w:p>
            <w:pPr>
              <w:jc w:val="center"/>
              <w:ind w:right="98"/>
              <w:spacing w:after="0"/>
              <w:rPr>
                <w:sz w:val="20"/>
                <w:szCs w:val="20"/>
                <w:color w:val="auto"/>
              </w:rPr>
            </w:pPr>
            <w:r>
              <w:rPr>
                <w:rFonts w:ascii="Arial" w:cs="Arial" w:eastAsia="Arial" w:hAnsi="Arial"/>
                <w:sz w:val="12"/>
                <w:szCs w:val="12"/>
                <w:color w:val="auto"/>
                <w:w w:val="89"/>
              </w:rPr>
              <w:t>Green</w:t>
            </w:r>
          </w:p>
        </w:tc>
        <w:tc>
          <w:tcPr>
            <w:tcW w:w="100" w:type="dxa"/>
            <w:vAlign w:val="bottom"/>
            <w:shd w:val="clear" w:color="auto" w:fill="CCEEFF"/>
          </w:tcPr>
          <w:p>
            <w:pPr>
              <w:spacing w:after="0"/>
              <w:rPr>
                <w:sz w:val="10"/>
                <w:szCs w:val="10"/>
                <w:color w:val="auto"/>
              </w:rPr>
            </w:pPr>
          </w:p>
        </w:tc>
        <w:tc>
          <w:tcPr>
            <w:tcW w:w="130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2"/>
                <w:szCs w:val="12"/>
                <w:color w:val="auto"/>
                <w:w w:val="95"/>
              </w:rPr>
              <w:t>NA</w:t>
            </w:r>
          </w:p>
        </w:tc>
        <w:tc>
          <w:tcPr>
            <w:tcW w:w="18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ind w:right="17"/>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ind w:right="77"/>
              <w:spacing w:after="0"/>
              <w:rPr>
                <w:sz w:val="20"/>
                <w:szCs w:val="20"/>
                <w:color w:val="auto"/>
              </w:rPr>
            </w:pPr>
            <w:r>
              <w:rPr>
                <w:rFonts w:ascii="Arial" w:cs="Arial" w:eastAsia="Arial" w:hAnsi="Arial"/>
                <w:sz w:val="12"/>
                <w:szCs w:val="12"/>
                <w:color w:val="auto"/>
              </w:rPr>
              <w:t>840</w:t>
            </w:r>
          </w:p>
        </w:tc>
        <w:tc>
          <w:tcPr>
            <w:tcW w:w="28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2,596</w:t>
            </w:r>
          </w:p>
        </w:tc>
        <w:tc>
          <w:tcPr>
            <w:tcW w:w="120" w:type="dxa"/>
            <w:vAlign w:val="bottom"/>
            <w:shd w:val="clear" w:color="auto" w:fill="CCEEFF"/>
          </w:tcPr>
          <w:p>
            <w:pPr>
              <w:spacing w:after="0"/>
              <w:rPr>
                <w:sz w:val="10"/>
                <w:szCs w:val="10"/>
                <w:color w:val="auto"/>
              </w:rPr>
            </w:pPr>
          </w:p>
        </w:tc>
        <w:tc>
          <w:tcPr>
            <w:tcW w:w="960" w:type="dxa"/>
            <w:vAlign w:val="bottom"/>
            <w:vMerge w:val="restart"/>
            <w:shd w:val="clear" w:color="auto" w:fill="CCEEFF"/>
          </w:tcPr>
          <w:p>
            <w:pPr>
              <w:jc w:val="center"/>
              <w:spacing w:after="0"/>
              <w:rPr>
                <w:sz w:val="20"/>
                <w:szCs w:val="20"/>
                <w:color w:val="auto"/>
              </w:rPr>
            </w:pPr>
            <w:r>
              <w:rPr>
                <w:rFonts w:ascii="Arial" w:cs="Arial" w:eastAsia="Arial" w:hAnsi="Arial"/>
                <w:sz w:val="12"/>
                <w:szCs w:val="12"/>
                <w:color w:val="auto"/>
              </w:rPr>
              <w:t>No</w:t>
            </w:r>
          </w:p>
        </w:tc>
        <w:tc>
          <w:tcPr>
            <w:tcW w:w="0" w:type="dxa"/>
            <w:vAlign w:val="bottom"/>
          </w:tcPr>
          <w:p>
            <w:pPr>
              <w:spacing w:after="0"/>
              <w:rPr>
                <w:sz w:val="1"/>
                <w:szCs w:val="1"/>
                <w:color w:val="auto"/>
              </w:rPr>
            </w:pPr>
          </w:p>
        </w:tc>
      </w:tr>
      <w:tr>
        <w:trPr>
          <w:trHeight w:val="111"/>
        </w:trPr>
        <w:tc>
          <w:tcPr>
            <w:tcW w:w="3000" w:type="dxa"/>
            <w:vAlign w:val="bottom"/>
            <w:tcBorders>
              <w:bottom w:val="single" w:sz="8" w:color="CCEEFF"/>
            </w:tcBorders>
            <w:gridSpan w:val="2"/>
            <w:vMerge w:val="continue"/>
            <w:shd w:val="clear" w:color="auto" w:fill="CCEEFF"/>
          </w:tcPr>
          <w:p>
            <w:pPr>
              <w:spacing w:after="0"/>
              <w:rPr>
                <w:sz w:val="9"/>
                <w:szCs w:val="9"/>
                <w:color w:val="auto"/>
              </w:rPr>
            </w:pPr>
          </w:p>
        </w:tc>
        <w:tc>
          <w:tcPr>
            <w:tcW w:w="1180" w:type="dxa"/>
            <w:vAlign w:val="bottom"/>
            <w:tcBorders>
              <w:bottom w:val="single" w:sz="8" w:color="CCEEFF"/>
            </w:tcBorders>
            <w:vMerge w:val="continue"/>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1120" w:type="dxa"/>
            <w:vAlign w:val="bottom"/>
            <w:tcBorders>
              <w:bottom w:val="single" w:sz="8" w:color="CCEEFF"/>
            </w:tcBorders>
            <w:shd w:val="clear" w:color="auto" w:fill="CCEEFF"/>
          </w:tcPr>
          <w:p>
            <w:pPr>
              <w:jc w:val="center"/>
              <w:ind w:right="84"/>
              <w:spacing w:after="0"/>
              <w:rPr>
                <w:sz w:val="20"/>
                <w:szCs w:val="20"/>
                <w:color w:val="auto"/>
              </w:rPr>
            </w:pPr>
            <w:r>
              <w:rPr>
                <w:rFonts w:ascii="Arial" w:cs="Arial" w:eastAsia="Arial" w:hAnsi="Arial"/>
                <w:sz w:val="8"/>
                <w:szCs w:val="8"/>
                <w:color w:val="auto"/>
              </w:rPr>
              <w:t>(1)</w:t>
            </w:r>
          </w:p>
        </w:tc>
        <w:tc>
          <w:tcPr>
            <w:tcW w:w="660" w:type="dxa"/>
            <w:vAlign w:val="bottom"/>
            <w:tcBorders>
              <w:bottom w:val="single" w:sz="8" w:color="CCEEFF"/>
            </w:tcBorders>
            <w:vMerge w:val="continue"/>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1300" w:type="dxa"/>
            <w:vAlign w:val="bottom"/>
            <w:tcBorders>
              <w:bottom w:val="single" w:sz="8" w:color="CCEEFF"/>
            </w:tcBorders>
            <w:gridSpan w:val="2"/>
            <w:vMerge w:val="continue"/>
            <w:shd w:val="clear" w:color="auto" w:fill="CCEEFF"/>
          </w:tcPr>
          <w:p>
            <w:pPr>
              <w:spacing w:after="0"/>
              <w:rPr>
                <w:sz w:val="9"/>
                <w:szCs w:val="9"/>
                <w:color w:val="auto"/>
              </w:rPr>
            </w:pPr>
          </w:p>
        </w:tc>
        <w:tc>
          <w:tcPr>
            <w:tcW w:w="180" w:type="dxa"/>
            <w:vAlign w:val="bottom"/>
            <w:tcBorders>
              <w:bottom w:val="single" w:sz="8" w:color="CCEEFF"/>
            </w:tcBorders>
            <w:shd w:val="clear" w:color="auto" w:fill="CCEEFF"/>
          </w:tcPr>
          <w:p>
            <w:pPr>
              <w:spacing w:after="0"/>
              <w:rPr>
                <w:sz w:val="9"/>
                <w:szCs w:val="9"/>
                <w:color w:val="auto"/>
              </w:rPr>
            </w:pPr>
          </w:p>
        </w:tc>
        <w:tc>
          <w:tcPr>
            <w:tcW w:w="680" w:type="dxa"/>
            <w:vAlign w:val="bottom"/>
            <w:tcBorders>
              <w:bottom w:val="single" w:sz="8" w:color="CCEEFF"/>
            </w:tcBorders>
            <w:vMerge w:val="continue"/>
            <w:shd w:val="clear" w:color="auto" w:fill="CCEEFF"/>
          </w:tcPr>
          <w:p>
            <w:pPr>
              <w:spacing w:after="0"/>
              <w:rPr>
                <w:sz w:val="9"/>
                <w:szCs w:val="9"/>
                <w:color w:val="auto"/>
              </w:rPr>
            </w:pPr>
          </w:p>
        </w:tc>
        <w:tc>
          <w:tcPr>
            <w:tcW w:w="160" w:type="dxa"/>
            <w:vAlign w:val="bottom"/>
            <w:tcBorders>
              <w:bottom w:val="single" w:sz="8" w:color="CCEEFF"/>
            </w:tcBorders>
            <w:shd w:val="clear" w:color="auto" w:fill="CCEEFF"/>
          </w:tcPr>
          <w:p>
            <w:pPr>
              <w:spacing w:after="0"/>
              <w:rPr>
                <w:sz w:val="9"/>
                <w:szCs w:val="9"/>
                <w:color w:val="auto"/>
              </w:rPr>
            </w:pPr>
          </w:p>
        </w:tc>
        <w:tc>
          <w:tcPr>
            <w:tcW w:w="820" w:type="dxa"/>
            <w:vAlign w:val="bottom"/>
            <w:tcBorders>
              <w:bottom w:val="single" w:sz="8" w:color="CCEEFF"/>
            </w:tcBorders>
            <w:vMerge w:val="continue"/>
            <w:shd w:val="clear" w:color="auto" w:fill="CCEEFF"/>
          </w:tcPr>
          <w:p>
            <w:pPr>
              <w:spacing w:after="0"/>
              <w:rPr>
                <w:sz w:val="9"/>
                <w:szCs w:val="9"/>
                <w:color w:val="auto"/>
              </w:rPr>
            </w:pPr>
          </w:p>
        </w:tc>
        <w:tc>
          <w:tcPr>
            <w:tcW w:w="280" w:type="dxa"/>
            <w:vAlign w:val="bottom"/>
            <w:tcBorders>
              <w:bottom w:val="single" w:sz="8" w:color="CCEEFF"/>
            </w:tcBorders>
            <w:shd w:val="clear" w:color="auto" w:fill="CCEEFF"/>
          </w:tcPr>
          <w:p>
            <w:pPr>
              <w:spacing w:after="0"/>
              <w:rPr>
                <w:sz w:val="9"/>
                <w:szCs w:val="9"/>
                <w:color w:val="auto"/>
              </w:rPr>
            </w:pPr>
          </w:p>
        </w:tc>
        <w:tc>
          <w:tcPr>
            <w:tcW w:w="580" w:type="dxa"/>
            <w:vAlign w:val="bottom"/>
            <w:tcBorders>
              <w:bottom w:val="single" w:sz="8" w:color="CCEEFF"/>
            </w:tcBorders>
            <w:vMerge w:val="continue"/>
            <w:shd w:val="clear" w:color="auto" w:fill="CCEEFF"/>
          </w:tcPr>
          <w:p>
            <w:pPr>
              <w:spacing w:after="0"/>
              <w:rPr>
                <w:sz w:val="9"/>
                <w:szCs w:val="9"/>
                <w:color w:val="auto"/>
              </w:rPr>
            </w:pPr>
          </w:p>
        </w:tc>
        <w:tc>
          <w:tcPr>
            <w:tcW w:w="120" w:type="dxa"/>
            <w:vAlign w:val="bottom"/>
            <w:tcBorders>
              <w:bottom w:val="single" w:sz="8" w:color="CCEEFF"/>
            </w:tcBorders>
            <w:shd w:val="clear" w:color="auto" w:fill="CCEEFF"/>
          </w:tcPr>
          <w:p>
            <w:pPr>
              <w:spacing w:after="0"/>
              <w:rPr>
                <w:sz w:val="9"/>
                <w:szCs w:val="9"/>
                <w:color w:val="auto"/>
              </w:rPr>
            </w:pPr>
          </w:p>
        </w:tc>
        <w:tc>
          <w:tcPr>
            <w:tcW w:w="960" w:type="dxa"/>
            <w:vAlign w:val="bottom"/>
            <w:tcBorders>
              <w:bottom w:val="single" w:sz="8" w:color="CCEEFF"/>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3000" w:type="dxa"/>
            <w:vAlign w:val="bottom"/>
            <w:gridSpan w:val="2"/>
          </w:tcPr>
          <w:p>
            <w:pPr>
              <w:ind w:left="20"/>
              <w:spacing w:after="0"/>
              <w:rPr>
                <w:sz w:val="20"/>
                <w:szCs w:val="20"/>
                <w:color w:val="auto"/>
              </w:rPr>
            </w:pPr>
            <w:r>
              <w:rPr>
                <w:rFonts w:ascii="Arial" w:cs="Arial" w:eastAsia="Arial" w:hAnsi="Arial"/>
                <w:sz w:val="12"/>
                <w:szCs w:val="12"/>
                <w:color w:val="auto"/>
              </w:rPr>
              <w:t>Pipefitters Retirement Fund, Local 597</w:t>
            </w:r>
          </w:p>
        </w:tc>
        <w:tc>
          <w:tcPr>
            <w:tcW w:w="1180" w:type="dxa"/>
            <w:vAlign w:val="bottom"/>
          </w:tcPr>
          <w:p>
            <w:pPr>
              <w:jc w:val="center"/>
              <w:spacing w:after="0"/>
              <w:rPr>
                <w:sz w:val="20"/>
                <w:szCs w:val="20"/>
                <w:color w:val="auto"/>
              </w:rPr>
            </w:pPr>
            <w:r>
              <w:rPr>
                <w:rFonts w:ascii="Arial" w:cs="Arial" w:eastAsia="Arial" w:hAnsi="Arial"/>
                <w:sz w:val="12"/>
                <w:szCs w:val="12"/>
                <w:color w:val="auto"/>
                <w:w w:val="93"/>
              </w:rPr>
              <w:t>62-6105084/001</w:t>
            </w:r>
          </w:p>
        </w:tc>
        <w:tc>
          <w:tcPr>
            <w:tcW w:w="100" w:type="dxa"/>
            <w:vAlign w:val="bottom"/>
          </w:tcPr>
          <w:p>
            <w:pPr>
              <w:spacing w:after="0"/>
              <w:rPr>
                <w:sz w:val="14"/>
                <w:szCs w:val="14"/>
                <w:color w:val="auto"/>
              </w:rPr>
            </w:pPr>
          </w:p>
        </w:tc>
        <w:tc>
          <w:tcPr>
            <w:tcW w:w="1120" w:type="dxa"/>
            <w:vAlign w:val="bottom"/>
          </w:tcPr>
          <w:p>
            <w:pPr>
              <w:jc w:val="center"/>
              <w:ind w:right="84"/>
              <w:spacing w:after="0"/>
              <w:rPr>
                <w:sz w:val="20"/>
                <w:szCs w:val="20"/>
                <w:color w:val="auto"/>
              </w:rPr>
            </w:pPr>
            <w:r>
              <w:rPr>
                <w:rFonts w:ascii="Arial" w:cs="Arial" w:eastAsia="Arial" w:hAnsi="Arial"/>
                <w:sz w:val="12"/>
                <w:szCs w:val="12"/>
                <w:color w:val="auto"/>
                <w:w w:val="89"/>
              </w:rPr>
              <w:t>Green</w:t>
            </w:r>
          </w:p>
        </w:tc>
        <w:tc>
          <w:tcPr>
            <w:tcW w:w="660" w:type="dxa"/>
            <w:vAlign w:val="bottom"/>
          </w:tcPr>
          <w:p>
            <w:pPr>
              <w:jc w:val="center"/>
              <w:ind w:right="98"/>
              <w:spacing w:after="0"/>
              <w:rPr>
                <w:sz w:val="20"/>
                <w:szCs w:val="20"/>
                <w:color w:val="auto"/>
              </w:rPr>
            </w:pPr>
            <w:r>
              <w:rPr>
                <w:rFonts w:ascii="Arial" w:cs="Arial" w:eastAsia="Arial" w:hAnsi="Arial"/>
                <w:sz w:val="12"/>
                <w:szCs w:val="12"/>
                <w:color w:val="auto"/>
                <w:w w:val="89"/>
              </w:rPr>
              <w:t>Green</w:t>
            </w:r>
          </w:p>
        </w:tc>
        <w:tc>
          <w:tcPr>
            <w:tcW w:w="100" w:type="dxa"/>
            <w:vAlign w:val="bottom"/>
          </w:tcPr>
          <w:p>
            <w:pPr>
              <w:spacing w:after="0"/>
              <w:rPr>
                <w:sz w:val="14"/>
                <w:szCs w:val="14"/>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2"/>
                <w:szCs w:val="12"/>
                <w:color w:val="auto"/>
                <w:w w:val="95"/>
              </w:rPr>
              <w:t>NA</w:t>
            </w:r>
          </w:p>
        </w:tc>
        <w:tc>
          <w:tcPr>
            <w:tcW w:w="180" w:type="dxa"/>
            <w:vAlign w:val="bottom"/>
          </w:tcPr>
          <w:p>
            <w:pPr>
              <w:spacing w:after="0"/>
              <w:rPr>
                <w:sz w:val="14"/>
                <w:szCs w:val="14"/>
                <w:color w:val="auto"/>
              </w:rPr>
            </w:pPr>
          </w:p>
        </w:tc>
        <w:tc>
          <w:tcPr>
            <w:tcW w:w="680" w:type="dxa"/>
            <w:vAlign w:val="bottom"/>
          </w:tcPr>
          <w:p>
            <w:pPr>
              <w:jc w:val="right"/>
              <w:ind w:right="17"/>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820" w:type="dxa"/>
            <w:vAlign w:val="bottom"/>
          </w:tcPr>
          <w:p>
            <w:pPr>
              <w:jc w:val="right"/>
              <w:ind w:right="77"/>
              <w:spacing w:after="0"/>
              <w:rPr>
                <w:sz w:val="20"/>
                <w:szCs w:val="20"/>
                <w:color w:val="auto"/>
              </w:rPr>
            </w:pPr>
            <w:r>
              <w:rPr>
                <w:rFonts w:ascii="Arial" w:cs="Arial" w:eastAsia="Arial" w:hAnsi="Arial"/>
                <w:sz w:val="12"/>
                <w:szCs w:val="12"/>
                <w:color w:val="auto"/>
              </w:rPr>
              <w:t>835</w:t>
            </w:r>
          </w:p>
        </w:tc>
        <w:tc>
          <w:tcPr>
            <w:tcW w:w="2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3,469</w:t>
            </w:r>
          </w:p>
        </w:tc>
        <w:tc>
          <w:tcPr>
            <w:tcW w:w="12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2"/>
                <w:szCs w:val="12"/>
                <w:color w:val="auto"/>
              </w:rPr>
              <w:t>No</w:t>
            </w:r>
          </w:p>
        </w:tc>
        <w:tc>
          <w:tcPr>
            <w:tcW w:w="0" w:type="dxa"/>
            <w:vAlign w:val="bottom"/>
          </w:tcPr>
          <w:p>
            <w:pPr>
              <w:spacing w:after="0"/>
              <w:rPr>
                <w:sz w:val="1"/>
                <w:szCs w:val="1"/>
                <w:color w:val="auto"/>
              </w:rPr>
            </w:pPr>
          </w:p>
        </w:tc>
      </w:tr>
      <w:tr>
        <w:trPr>
          <w:trHeight w:val="139"/>
        </w:trPr>
        <w:tc>
          <w:tcPr>
            <w:tcW w:w="30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Iron Workers Pension Plan of Western Pennsylvania,</w:t>
            </w:r>
          </w:p>
        </w:tc>
        <w:tc>
          <w:tcPr>
            <w:tcW w:w="1180" w:type="dxa"/>
            <w:vAlign w:val="bottom"/>
            <w:vMerge w:val="restart"/>
            <w:shd w:val="clear" w:color="auto" w:fill="CCEEFF"/>
          </w:tcPr>
          <w:p>
            <w:pPr>
              <w:jc w:val="center"/>
              <w:spacing w:after="0"/>
              <w:rPr>
                <w:sz w:val="20"/>
                <w:szCs w:val="20"/>
                <w:color w:val="auto"/>
              </w:rPr>
            </w:pPr>
            <w:r>
              <w:rPr>
                <w:rFonts w:ascii="Arial" w:cs="Arial" w:eastAsia="Arial" w:hAnsi="Arial"/>
                <w:sz w:val="12"/>
                <w:szCs w:val="12"/>
                <w:color w:val="auto"/>
                <w:w w:val="93"/>
              </w:rPr>
              <w:t>25-1283169/001</w:t>
            </w: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jc w:val="center"/>
              <w:ind w:right="84"/>
              <w:spacing w:after="0"/>
              <w:rPr>
                <w:sz w:val="20"/>
                <w:szCs w:val="20"/>
                <w:color w:val="auto"/>
              </w:rPr>
            </w:pPr>
            <w:r>
              <w:rPr>
                <w:rFonts w:ascii="Arial" w:cs="Arial" w:eastAsia="Arial" w:hAnsi="Arial"/>
                <w:sz w:val="12"/>
                <w:szCs w:val="12"/>
                <w:color w:val="auto"/>
                <w:w w:val="92"/>
              </w:rPr>
              <w:t>Described below</w:t>
            </w:r>
          </w:p>
        </w:tc>
        <w:tc>
          <w:tcPr>
            <w:tcW w:w="660" w:type="dxa"/>
            <w:vAlign w:val="bottom"/>
            <w:shd w:val="clear" w:color="auto" w:fill="CCEEFF"/>
          </w:tcPr>
          <w:p>
            <w:pPr>
              <w:jc w:val="center"/>
              <w:ind w:right="98"/>
              <w:spacing w:after="0"/>
              <w:rPr>
                <w:sz w:val="20"/>
                <w:szCs w:val="20"/>
                <w:color w:val="auto"/>
              </w:rPr>
            </w:pPr>
            <w:r>
              <w:rPr>
                <w:rFonts w:ascii="Arial" w:cs="Arial" w:eastAsia="Arial" w:hAnsi="Arial"/>
                <w:sz w:val="12"/>
                <w:szCs w:val="12"/>
                <w:color w:val="auto"/>
                <w:w w:val="92"/>
              </w:rPr>
              <w:t>Described</w:t>
            </w:r>
          </w:p>
        </w:tc>
        <w:tc>
          <w:tcPr>
            <w:tcW w:w="100" w:type="dxa"/>
            <w:vAlign w:val="bottom"/>
            <w:shd w:val="clear" w:color="auto" w:fill="CCEEFF"/>
          </w:tcPr>
          <w:p>
            <w:pPr>
              <w:spacing w:after="0"/>
              <w:rPr>
                <w:sz w:val="12"/>
                <w:szCs w:val="12"/>
                <w:color w:val="auto"/>
              </w:rPr>
            </w:pPr>
          </w:p>
        </w:tc>
        <w:tc>
          <w:tcPr>
            <w:tcW w:w="130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2"/>
                <w:szCs w:val="12"/>
                <w:color w:val="auto"/>
                <w:w w:val="92"/>
              </w:rPr>
              <w:t>Implemented</w:t>
            </w:r>
          </w:p>
        </w:tc>
        <w:tc>
          <w:tcPr>
            <w:tcW w:w="18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ind w:right="17"/>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77"/>
              <w:spacing w:after="0"/>
              <w:rPr>
                <w:sz w:val="20"/>
                <w:szCs w:val="20"/>
                <w:color w:val="auto"/>
              </w:rPr>
            </w:pPr>
            <w:r>
              <w:rPr>
                <w:rFonts w:ascii="Arial" w:cs="Arial" w:eastAsia="Arial" w:hAnsi="Arial"/>
                <w:sz w:val="12"/>
                <w:szCs w:val="12"/>
                <w:color w:val="auto"/>
              </w:rPr>
              <w:t>500</w:t>
            </w:r>
          </w:p>
        </w:tc>
        <w:tc>
          <w:tcPr>
            <w:tcW w:w="28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2,317</w:t>
            </w:r>
          </w:p>
        </w:tc>
        <w:tc>
          <w:tcPr>
            <w:tcW w:w="12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center"/>
              <w:spacing w:after="0"/>
              <w:rPr>
                <w:sz w:val="20"/>
                <w:szCs w:val="20"/>
                <w:color w:val="auto"/>
              </w:rPr>
            </w:pPr>
            <w:r>
              <w:rPr>
                <w:rFonts w:ascii="Arial" w:cs="Arial" w:eastAsia="Arial" w:hAnsi="Arial"/>
                <w:sz w:val="12"/>
                <w:szCs w:val="12"/>
                <w:color w:val="auto"/>
              </w:rPr>
              <w:t>No</w:t>
            </w:r>
          </w:p>
        </w:tc>
        <w:tc>
          <w:tcPr>
            <w:tcW w:w="0" w:type="dxa"/>
            <w:vAlign w:val="bottom"/>
          </w:tcPr>
          <w:p>
            <w:pPr>
              <w:spacing w:after="0"/>
              <w:rPr>
                <w:sz w:val="1"/>
                <w:szCs w:val="1"/>
                <w:color w:val="auto"/>
              </w:rPr>
            </w:pPr>
          </w:p>
        </w:tc>
      </w:tr>
      <w:tr>
        <w:trPr>
          <w:trHeight w:val="157"/>
        </w:trPr>
        <w:tc>
          <w:tcPr>
            <w:tcW w:w="30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Local 3</w:t>
            </w:r>
          </w:p>
        </w:tc>
        <w:tc>
          <w:tcPr>
            <w:tcW w:w="118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jc w:val="center"/>
              <w:ind w:right="84"/>
              <w:spacing w:after="0"/>
              <w:rPr>
                <w:sz w:val="20"/>
                <w:szCs w:val="20"/>
                <w:color w:val="auto"/>
              </w:rPr>
            </w:pPr>
            <w:r>
              <w:rPr>
                <w:rFonts w:ascii="Arial" w:cs="Arial" w:eastAsia="Arial" w:hAnsi="Arial"/>
                <w:sz w:val="8"/>
                <w:szCs w:val="8"/>
                <w:color w:val="auto"/>
              </w:rPr>
              <w:t>(1)</w:t>
            </w:r>
          </w:p>
        </w:tc>
        <w:tc>
          <w:tcPr>
            <w:tcW w:w="660" w:type="dxa"/>
            <w:vAlign w:val="bottom"/>
            <w:shd w:val="clear" w:color="auto" w:fill="CCEEFF"/>
          </w:tcPr>
          <w:p>
            <w:pPr>
              <w:jc w:val="center"/>
              <w:ind w:right="98"/>
              <w:spacing w:after="0" w:line="157" w:lineRule="exact"/>
              <w:rPr>
                <w:sz w:val="20"/>
                <w:szCs w:val="20"/>
                <w:color w:val="auto"/>
              </w:rPr>
            </w:pPr>
            <w:r>
              <w:rPr>
                <w:rFonts w:ascii="Arial" w:cs="Arial" w:eastAsia="Arial" w:hAnsi="Arial"/>
                <w:sz w:val="12"/>
                <w:szCs w:val="12"/>
                <w:color w:val="auto"/>
                <w:w w:val="89"/>
              </w:rPr>
              <w:t xml:space="preserve">below </w:t>
            </w:r>
            <w:r>
              <w:rPr>
                <w:rFonts w:ascii="Arial" w:cs="Arial" w:eastAsia="Arial" w:hAnsi="Arial"/>
                <w:sz w:val="15"/>
                <w:szCs w:val="15"/>
                <w:color w:val="auto"/>
                <w:w w:val="89"/>
                <w:vertAlign w:val="superscript"/>
              </w:rPr>
              <w:t>(1)</w:t>
            </w:r>
          </w:p>
        </w:tc>
        <w:tc>
          <w:tcPr>
            <w:tcW w:w="100" w:type="dxa"/>
            <w:vAlign w:val="bottom"/>
            <w:shd w:val="clear" w:color="auto" w:fill="CCEEFF"/>
          </w:tcPr>
          <w:p>
            <w:pPr>
              <w:spacing w:after="0"/>
              <w:rPr>
                <w:sz w:val="13"/>
                <w:szCs w:val="13"/>
                <w:color w:val="auto"/>
              </w:rPr>
            </w:pPr>
          </w:p>
        </w:tc>
        <w:tc>
          <w:tcPr>
            <w:tcW w:w="1300" w:type="dxa"/>
            <w:vAlign w:val="bottom"/>
            <w:gridSpan w:val="2"/>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vMerge w:val="continue"/>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357" w:right="339" w:bottom="1440" w:gutter="0" w:footer="0" w:header="0"/>
        </w:sectPr>
      </w:pPr>
    </w:p>
    <w:p>
      <w:pPr>
        <w:spacing w:after="0" w:line="37" w:lineRule="exact"/>
        <w:rPr>
          <w:sz w:val="20"/>
          <w:szCs w:val="20"/>
          <w:color w:val="auto"/>
        </w:rPr>
      </w:pPr>
    </w:p>
    <w:p>
      <w:pPr>
        <w:ind w:left="20"/>
        <w:spacing w:after="0"/>
        <w:rPr>
          <w:sz w:val="20"/>
          <w:szCs w:val="20"/>
          <w:color w:val="auto"/>
        </w:rPr>
      </w:pPr>
      <w:r>
        <w:rPr>
          <w:rFonts w:ascii="Arial" w:cs="Arial" w:eastAsia="Arial" w:hAnsi="Arial"/>
          <w:sz w:val="12"/>
          <w:szCs w:val="12"/>
          <w:color w:val="auto"/>
        </w:rPr>
        <w:t>Iron Workers Pension Plan, Local 55</w:t>
      </w:r>
    </w:p>
    <w:p>
      <w:pPr>
        <w:spacing w:after="0" w:line="72" w:lineRule="exact"/>
        <w:rPr>
          <w:sz w:val="20"/>
          <w:szCs w:val="20"/>
          <w:color w:val="auto"/>
        </w:rPr>
      </w:pPr>
    </w:p>
    <w:p>
      <w:pPr>
        <w:ind w:left="20"/>
        <w:spacing w:after="0" w:line="237" w:lineRule="auto"/>
        <w:rPr>
          <w:sz w:val="20"/>
          <w:szCs w:val="20"/>
          <w:color w:val="auto"/>
        </w:rPr>
      </w:pPr>
      <w:r>
        <w:rPr>
          <w:rFonts w:ascii="Arial" w:cs="Arial" w:eastAsia="Arial" w:hAnsi="Arial"/>
          <w:sz w:val="12"/>
          <w:szCs w:val="12"/>
          <w:color w:val="auto"/>
        </w:rPr>
        <w:t>National Electrical Benefit Fund, IBEW locals 71, 126, 488, and 1319</w:t>
      </w:r>
    </w:p>
    <w:p>
      <w:pPr>
        <w:spacing w:after="0" w:line="16" w:lineRule="exact"/>
        <w:rPr>
          <w:sz w:val="20"/>
          <w:szCs w:val="20"/>
          <w:color w:val="auto"/>
        </w:rPr>
      </w:pPr>
    </w:p>
    <w:p>
      <w:pPr>
        <w:ind w:left="20" w:right="160"/>
        <w:spacing w:after="0" w:line="237" w:lineRule="auto"/>
        <w:rPr>
          <w:sz w:val="20"/>
          <w:szCs w:val="20"/>
          <w:color w:val="auto"/>
        </w:rPr>
      </w:pPr>
      <w:r>
        <w:rPr>
          <w:rFonts w:ascii="Arial" w:cs="Arial" w:eastAsia="Arial" w:hAnsi="Arial"/>
          <w:sz w:val="12"/>
          <w:szCs w:val="12"/>
          <w:color w:val="auto"/>
        </w:rPr>
        <w:t>Connecticut Plumbers and Pipefitters Pension Fund, Local 777</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8"/>
        </w:trPr>
        <w:tc>
          <w:tcPr>
            <w:tcW w:w="1000" w:type="dxa"/>
            <w:vAlign w:val="bottom"/>
            <w:vMerge w:val="restart"/>
          </w:tcPr>
          <w:p>
            <w:pPr>
              <w:jc w:val="right"/>
              <w:ind w:right="119"/>
              <w:spacing w:after="0"/>
              <w:rPr>
                <w:sz w:val="20"/>
                <w:szCs w:val="20"/>
                <w:color w:val="auto"/>
              </w:rPr>
            </w:pPr>
            <w:r>
              <w:rPr>
                <w:rFonts w:ascii="Arial" w:cs="Arial" w:eastAsia="Arial" w:hAnsi="Arial"/>
                <w:sz w:val="12"/>
                <w:szCs w:val="12"/>
                <w:color w:val="auto"/>
                <w:w w:val="91"/>
              </w:rPr>
              <w:t>34-6682351/001</w:t>
            </w:r>
          </w:p>
        </w:tc>
        <w:tc>
          <w:tcPr>
            <w:tcW w:w="1160" w:type="dxa"/>
            <w:vAlign w:val="bottom"/>
          </w:tcPr>
          <w:p>
            <w:pPr>
              <w:jc w:val="center"/>
              <w:spacing w:after="0" w:line="118" w:lineRule="exact"/>
              <w:rPr>
                <w:sz w:val="20"/>
                <w:szCs w:val="20"/>
                <w:color w:val="auto"/>
              </w:rPr>
            </w:pPr>
            <w:r>
              <w:rPr>
                <w:rFonts w:ascii="Arial" w:cs="Arial" w:eastAsia="Arial" w:hAnsi="Arial"/>
                <w:sz w:val="12"/>
                <w:szCs w:val="12"/>
                <w:color w:val="auto"/>
                <w:w w:val="92"/>
              </w:rPr>
              <w:t>Described below</w:t>
            </w:r>
          </w:p>
        </w:tc>
        <w:tc>
          <w:tcPr>
            <w:tcW w:w="900" w:type="dxa"/>
            <w:vAlign w:val="bottom"/>
            <w:vMerge w:val="restart"/>
          </w:tcPr>
          <w:p>
            <w:pPr>
              <w:ind w:left="160"/>
              <w:spacing w:after="0"/>
              <w:rPr>
                <w:sz w:val="20"/>
                <w:szCs w:val="20"/>
                <w:color w:val="auto"/>
              </w:rPr>
            </w:pPr>
            <w:r>
              <w:rPr>
                <w:rFonts w:ascii="Arial" w:cs="Arial" w:eastAsia="Arial" w:hAnsi="Arial"/>
                <w:sz w:val="12"/>
                <w:szCs w:val="12"/>
                <w:color w:val="auto"/>
              </w:rPr>
              <w:t>Green</w:t>
            </w:r>
          </w:p>
        </w:tc>
        <w:tc>
          <w:tcPr>
            <w:tcW w:w="1160" w:type="dxa"/>
            <w:vAlign w:val="bottom"/>
            <w:vMerge w:val="restart"/>
          </w:tcPr>
          <w:p>
            <w:pPr>
              <w:ind w:left="440"/>
              <w:spacing w:after="0"/>
              <w:rPr>
                <w:sz w:val="20"/>
                <w:szCs w:val="20"/>
                <w:color w:val="auto"/>
              </w:rPr>
            </w:pPr>
            <w:r>
              <w:rPr>
                <w:rFonts w:ascii="Arial" w:cs="Arial" w:eastAsia="Arial" w:hAnsi="Arial"/>
                <w:sz w:val="12"/>
                <w:szCs w:val="12"/>
                <w:color w:val="auto"/>
              </w:rPr>
              <w:t>NA</w:t>
            </w:r>
          </w:p>
        </w:tc>
        <w:tc>
          <w:tcPr>
            <w:tcW w:w="1160" w:type="dxa"/>
            <w:vAlign w:val="bottom"/>
            <w:vMerge w:val="restart"/>
          </w:tcPr>
          <w:p>
            <w:pPr>
              <w:jc w:val="right"/>
              <w:ind w:right="259"/>
              <w:spacing w:after="0"/>
              <w:rPr>
                <w:sz w:val="20"/>
                <w:szCs w:val="20"/>
                <w:color w:val="auto"/>
              </w:rPr>
            </w:pPr>
            <w:r>
              <w:rPr>
                <w:rFonts w:ascii="Arial" w:cs="Arial" w:eastAsia="Arial" w:hAnsi="Arial"/>
                <w:sz w:val="12"/>
                <w:szCs w:val="12"/>
                <w:color w:val="auto"/>
              </w:rPr>
              <w:t>—</w:t>
            </w:r>
          </w:p>
        </w:tc>
        <w:tc>
          <w:tcPr>
            <w:tcW w:w="940" w:type="dxa"/>
            <w:vAlign w:val="bottom"/>
            <w:vMerge w:val="restart"/>
          </w:tcPr>
          <w:p>
            <w:pPr>
              <w:jc w:val="right"/>
              <w:ind w:right="279"/>
              <w:spacing w:after="0"/>
              <w:rPr>
                <w:sz w:val="20"/>
                <w:szCs w:val="20"/>
                <w:color w:val="auto"/>
              </w:rPr>
            </w:pPr>
            <w:r>
              <w:rPr>
                <w:rFonts w:ascii="Arial" w:cs="Arial" w:eastAsia="Arial" w:hAnsi="Arial"/>
                <w:sz w:val="12"/>
                <w:szCs w:val="12"/>
                <w:color w:val="auto"/>
              </w:rPr>
              <w:t>2,951</w:t>
            </w:r>
          </w:p>
        </w:tc>
        <w:tc>
          <w:tcPr>
            <w:tcW w:w="900" w:type="dxa"/>
            <w:vAlign w:val="bottom"/>
            <w:vMerge w:val="restart"/>
          </w:tcPr>
          <w:p>
            <w:pPr>
              <w:jc w:val="right"/>
              <w:ind w:right="219"/>
              <w:spacing w:after="0"/>
              <w:rPr>
                <w:sz w:val="20"/>
                <w:szCs w:val="20"/>
                <w:color w:val="auto"/>
              </w:rPr>
            </w:pPr>
            <w:r>
              <w:rPr>
                <w:rFonts w:ascii="Arial" w:cs="Arial" w:eastAsia="Arial" w:hAnsi="Arial"/>
                <w:sz w:val="12"/>
                <w:szCs w:val="12"/>
                <w:color w:val="auto"/>
              </w:rPr>
              <w:t>4,333</w:t>
            </w:r>
          </w:p>
        </w:tc>
        <w:tc>
          <w:tcPr>
            <w:tcW w:w="440" w:type="dxa"/>
            <w:vAlign w:val="bottom"/>
            <w:vMerge w:val="restart"/>
          </w:tcPr>
          <w:p>
            <w:pPr>
              <w:ind w:left="280"/>
              <w:spacing w:after="0"/>
              <w:rPr>
                <w:sz w:val="20"/>
                <w:szCs w:val="20"/>
                <w:color w:val="auto"/>
              </w:rPr>
            </w:pPr>
            <w:r>
              <w:rPr>
                <w:rFonts w:ascii="Arial" w:cs="Arial" w:eastAsia="Arial" w:hAnsi="Arial"/>
                <w:sz w:val="12"/>
                <w:szCs w:val="12"/>
                <w:color w:val="auto"/>
                <w:w w:val="90"/>
              </w:rPr>
              <w:t>No</w:t>
            </w:r>
          </w:p>
        </w:tc>
        <w:tc>
          <w:tcPr>
            <w:tcW w:w="0" w:type="dxa"/>
            <w:vAlign w:val="bottom"/>
          </w:tcPr>
          <w:p>
            <w:pPr>
              <w:spacing w:after="0"/>
              <w:rPr>
                <w:sz w:val="1"/>
                <w:szCs w:val="1"/>
                <w:color w:val="auto"/>
              </w:rPr>
            </w:pPr>
          </w:p>
        </w:tc>
      </w:tr>
      <w:tr>
        <w:trPr>
          <w:trHeight w:val="99"/>
        </w:trPr>
        <w:tc>
          <w:tcPr>
            <w:tcW w:w="1000" w:type="dxa"/>
            <w:vAlign w:val="bottom"/>
            <w:vMerge w:val="continue"/>
          </w:tcPr>
          <w:p>
            <w:pPr>
              <w:spacing w:after="0"/>
              <w:rPr>
                <w:sz w:val="8"/>
                <w:szCs w:val="8"/>
                <w:color w:val="auto"/>
              </w:rPr>
            </w:pPr>
          </w:p>
        </w:tc>
        <w:tc>
          <w:tcPr>
            <w:tcW w:w="1160" w:type="dxa"/>
            <w:vAlign w:val="bottom"/>
          </w:tcPr>
          <w:p>
            <w:pPr>
              <w:jc w:val="center"/>
              <w:spacing w:after="0"/>
              <w:rPr>
                <w:sz w:val="20"/>
                <w:szCs w:val="20"/>
                <w:color w:val="auto"/>
              </w:rPr>
            </w:pPr>
            <w:r>
              <w:rPr>
                <w:rFonts w:ascii="Arial" w:cs="Arial" w:eastAsia="Arial" w:hAnsi="Arial"/>
                <w:sz w:val="8"/>
                <w:szCs w:val="8"/>
                <w:color w:val="auto"/>
              </w:rPr>
              <w:t>(1)</w:t>
            </w:r>
          </w:p>
        </w:tc>
        <w:tc>
          <w:tcPr>
            <w:tcW w:w="900" w:type="dxa"/>
            <w:vAlign w:val="bottom"/>
            <w:vMerge w:val="continue"/>
          </w:tcPr>
          <w:p>
            <w:pPr>
              <w:spacing w:after="0"/>
              <w:rPr>
                <w:sz w:val="8"/>
                <w:szCs w:val="8"/>
                <w:color w:val="auto"/>
              </w:rPr>
            </w:pPr>
          </w:p>
        </w:tc>
        <w:tc>
          <w:tcPr>
            <w:tcW w:w="1160" w:type="dxa"/>
            <w:vAlign w:val="bottom"/>
            <w:vMerge w:val="continue"/>
          </w:tcPr>
          <w:p>
            <w:pPr>
              <w:spacing w:after="0"/>
              <w:rPr>
                <w:sz w:val="8"/>
                <w:szCs w:val="8"/>
                <w:color w:val="auto"/>
              </w:rPr>
            </w:pPr>
          </w:p>
        </w:tc>
        <w:tc>
          <w:tcPr>
            <w:tcW w:w="116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3"/>
        </w:trPr>
        <w:tc>
          <w:tcPr>
            <w:tcW w:w="1000" w:type="dxa"/>
            <w:vAlign w:val="bottom"/>
            <w:vMerge w:val="restart"/>
          </w:tcPr>
          <w:p>
            <w:pPr>
              <w:jc w:val="right"/>
              <w:ind w:right="119"/>
              <w:spacing w:after="0"/>
              <w:rPr>
                <w:sz w:val="20"/>
                <w:szCs w:val="20"/>
                <w:color w:val="auto"/>
              </w:rPr>
            </w:pPr>
            <w:r>
              <w:rPr>
                <w:rFonts w:ascii="Arial" w:cs="Arial" w:eastAsia="Arial" w:hAnsi="Arial"/>
                <w:sz w:val="12"/>
                <w:szCs w:val="12"/>
                <w:color w:val="auto"/>
                <w:w w:val="91"/>
              </w:rPr>
              <w:t>53-0181657/001</w:t>
            </w:r>
          </w:p>
        </w:tc>
        <w:tc>
          <w:tcPr>
            <w:tcW w:w="1160" w:type="dxa"/>
            <w:vAlign w:val="bottom"/>
          </w:tcPr>
          <w:p>
            <w:pPr>
              <w:jc w:val="center"/>
              <w:spacing w:after="0"/>
              <w:rPr>
                <w:sz w:val="20"/>
                <w:szCs w:val="20"/>
                <w:color w:val="auto"/>
              </w:rPr>
            </w:pPr>
            <w:r>
              <w:rPr>
                <w:rFonts w:ascii="Arial" w:cs="Arial" w:eastAsia="Arial" w:hAnsi="Arial"/>
                <w:sz w:val="12"/>
                <w:szCs w:val="12"/>
                <w:color w:val="auto"/>
                <w:w w:val="92"/>
              </w:rPr>
              <w:t>Described below</w:t>
            </w:r>
          </w:p>
        </w:tc>
        <w:tc>
          <w:tcPr>
            <w:tcW w:w="900" w:type="dxa"/>
            <w:vAlign w:val="bottom"/>
            <w:vMerge w:val="restart"/>
          </w:tcPr>
          <w:p>
            <w:pPr>
              <w:ind w:left="160"/>
              <w:spacing w:after="0"/>
              <w:rPr>
                <w:sz w:val="20"/>
                <w:szCs w:val="20"/>
                <w:color w:val="auto"/>
              </w:rPr>
            </w:pPr>
            <w:r>
              <w:rPr>
                <w:rFonts w:ascii="Arial" w:cs="Arial" w:eastAsia="Arial" w:hAnsi="Arial"/>
                <w:sz w:val="12"/>
                <w:szCs w:val="12"/>
                <w:color w:val="auto"/>
              </w:rPr>
              <w:t>Green</w:t>
            </w:r>
          </w:p>
        </w:tc>
        <w:tc>
          <w:tcPr>
            <w:tcW w:w="1160" w:type="dxa"/>
            <w:vAlign w:val="bottom"/>
            <w:vMerge w:val="restart"/>
          </w:tcPr>
          <w:p>
            <w:pPr>
              <w:ind w:left="440"/>
              <w:spacing w:after="0"/>
              <w:rPr>
                <w:sz w:val="20"/>
                <w:szCs w:val="20"/>
                <w:color w:val="auto"/>
              </w:rPr>
            </w:pPr>
            <w:r>
              <w:rPr>
                <w:rFonts w:ascii="Arial" w:cs="Arial" w:eastAsia="Arial" w:hAnsi="Arial"/>
                <w:sz w:val="12"/>
                <w:szCs w:val="12"/>
                <w:color w:val="auto"/>
              </w:rPr>
              <w:t>NA</w:t>
            </w:r>
          </w:p>
        </w:tc>
        <w:tc>
          <w:tcPr>
            <w:tcW w:w="1160" w:type="dxa"/>
            <w:vAlign w:val="bottom"/>
            <w:vMerge w:val="restart"/>
          </w:tcPr>
          <w:p>
            <w:pPr>
              <w:jc w:val="right"/>
              <w:ind w:right="259"/>
              <w:spacing w:after="0"/>
              <w:rPr>
                <w:sz w:val="20"/>
                <w:szCs w:val="20"/>
                <w:color w:val="auto"/>
              </w:rPr>
            </w:pPr>
            <w:r>
              <w:rPr>
                <w:rFonts w:ascii="Arial" w:cs="Arial" w:eastAsia="Arial" w:hAnsi="Arial"/>
                <w:sz w:val="12"/>
                <w:szCs w:val="12"/>
                <w:color w:val="auto"/>
              </w:rPr>
              <w:t>1,865</w:t>
            </w:r>
          </w:p>
        </w:tc>
        <w:tc>
          <w:tcPr>
            <w:tcW w:w="940" w:type="dxa"/>
            <w:vAlign w:val="bottom"/>
            <w:vMerge w:val="restart"/>
          </w:tcPr>
          <w:p>
            <w:pPr>
              <w:jc w:val="right"/>
              <w:ind w:right="279"/>
              <w:spacing w:after="0"/>
              <w:rPr>
                <w:sz w:val="20"/>
                <w:szCs w:val="20"/>
                <w:color w:val="auto"/>
              </w:rPr>
            </w:pPr>
            <w:r>
              <w:rPr>
                <w:rFonts w:ascii="Arial" w:cs="Arial" w:eastAsia="Arial" w:hAnsi="Arial"/>
                <w:sz w:val="12"/>
                <w:szCs w:val="12"/>
                <w:color w:val="auto"/>
              </w:rPr>
              <w:t>2,674</w:t>
            </w:r>
          </w:p>
        </w:tc>
        <w:tc>
          <w:tcPr>
            <w:tcW w:w="900" w:type="dxa"/>
            <w:vAlign w:val="bottom"/>
            <w:vMerge w:val="restart"/>
          </w:tcPr>
          <w:p>
            <w:pPr>
              <w:jc w:val="right"/>
              <w:ind w:right="219"/>
              <w:spacing w:after="0"/>
              <w:rPr>
                <w:sz w:val="20"/>
                <w:szCs w:val="20"/>
                <w:color w:val="auto"/>
              </w:rPr>
            </w:pPr>
            <w:r>
              <w:rPr>
                <w:rFonts w:ascii="Arial" w:cs="Arial" w:eastAsia="Arial" w:hAnsi="Arial"/>
                <w:sz w:val="12"/>
                <w:szCs w:val="12"/>
                <w:color w:val="auto"/>
              </w:rPr>
              <w:t>5,893</w:t>
            </w:r>
          </w:p>
        </w:tc>
        <w:tc>
          <w:tcPr>
            <w:tcW w:w="440" w:type="dxa"/>
            <w:vAlign w:val="bottom"/>
            <w:vMerge w:val="restart"/>
          </w:tcPr>
          <w:p>
            <w:pPr>
              <w:ind w:left="280"/>
              <w:spacing w:after="0"/>
              <w:rPr>
                <w:sz w:val="20"/>
                <w:szCs w:val="20"/>
                <w:color w:val="auto"/>
              </w:rPr>
            </w:pPr>
            <w:r>
              <w:rPr>
                <w:rFonts w:ascii="Arial" w:cs="Arial" w:eastAsia="Arial" w:hAnsi="Arial"/>
                <w:sz w:val="12"/>
                <w:szCs w:val="12"/>
                <w:color w:val="auto"/>
                <w:w w:val="90"/>
              </w:rPr>
              <w:t>No</w:t>
            </w:r>
          </w:p>
        </w:tc>
        <w:tc>
          <w:tcPr>
            <w:tcW w:w="0" w:type="dxa"/>
            <w:vAlign w:val="bottom"/>
          </w:tcPr>
          <w:p>
            <w:pPr>
              <w:spacing w:after="0"/>
              <w:rPr>
                <w:sz w:val="1"/>
                <w:szCs w:val="1"/>
                <w:color w:val="auto"/>
              </w:rPr>
            </w:pPr>
          </w:p>
        </w:tc>
      </w:tr>
      <w:tr>
        <w:trPr>
          <w:trHeight w:val="99"/>
        </w:trPr>
        <w:tc>
          <w:tcPr>
            <w:tcW w:w="1000" w:type="dxa"/>
            <w:vAlign w:val="bottom"/>
            <w:vMerge w:val="continue"/>
          </w:tcPr>
          <w:p>
            <w:pPr>
              <w:spacing w:after="0"/>
              <w:rPr>
                <w:sz w:val="8"/>
                <w:szCs w:val="8"/>
                <w:color w:val="auto"/>
              </w:rPr>
            </w:pPr>
          </w:p>
        </w:tc>
        <w:tc>
          <w:tcPr>
            <w:tcW w:w="1160" w:type="dxa"/>
            <w:vAlign w:val="bottom"/>
          </w:tcPr>
          <w:p>
            <w:pPr>
              <w:jc w:val="center"/>
              <w:spacing w:after="0"/>
              <w:rPr>
                <w:sz w:val="20"/>
                <w:szCs w:val="20"/>
                <w:color w:val="auto"/>
              </w:rPr>
            </w:pPr>
            <w:r>
              <w:rPr>
                <w:rFonts w:ascii="Arial" w:cs="Arial" w:eastAsia="Arial" w:hAnsi="Arial"/>
                <w:sz w:val="8"/>
                <w:szCs w:val="8"/>
                <w:color w:val="auto"/>
              </w:rPr>
              <w:t>(1)</w:t>
            </w:r>
          </w:p>
        </w:tc>
        <w:tc>
          <w:tcPr>
            <w:tcW w:w="900" w:type="dxa"/>
            <w:vAlign w:val="bottom"/>
            <w:vMerge w:val="continue"/>
          </w:tcPr>
          <w:p>
            <w:pPr>
              <w:spacing w:after="0"/>
              <w:rPr>
                <w:sz w:val="8"/>
                <w:szCs w:val="8"/>
                <w:color w:val="auto"/>
              </w:rPr>
            </w:pPr>
          </w:p>
        </w:tc>
        <w:tc>
          <w:tcPr>
            <w:tcW w:w="1160" w:type="dxa"/>
            <w:vAlign w:val="bottom"/>
            <w:vMerge w:val="continue"/>
          </w:tcPr>
          <w:p>
            <w:pPr>
              <w:spacing w:after="0"/>
              <w:rPr>
                <w:sz w:val="8"/>
                <w:szCs w:val="8"/>
                <w:color w:val="auto"/>
              </w:rPr>
            </w:pPr>
          </w:p>
        </w:tc>
        <w:tc>
          <w:tcPr>
            <w:tcW w:w="116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65"/>
        </w:trPr>
        <w:tc>
          <w:tcPr>
            <w:tcW w:w="1000" w:type="dxa"/>
            <w:vAlign w:val="bottom"/>
          </w:tcPr>
          <w:p>
            <w:pPr>
              <w:jc w:val="right"/>
              <w:ind w:right="119"/>
              <w:spacing w:after="0"/>
              <w:rPr>
                <w:sz w:val="20"/>
                <w:szCs w:val="20"/>
                <w:color w:val="auto"/>
              </w:rPr>
            </w:pPr>
            <w:r>
              <w:rPr>
                <w:rFonts w:ascii="Arial" w:cs="Arial" w:eastAsia="Arial" w:hAnsi="Arial"/>
                <w:sz w:val="12"/>
                <w:szCs w:val="12"/>
                <w:color w:val="auto"/>
                <w:w w:val="91"/>
              </w:rPr>
              <w:t>06-6050353/001</w:t>
            </w:r>
          </w:p>
        </w:tc>
        <w:tc>
          <w:tcPr>
            <w:tcW w:w="1160" w:type="dxa"/>
            <w:vAlign w:val="bottom"/>
          </w:tcPr>
          <w:p>
            <w:pPr>
              <w:jc w:val="center"/>
              <w:spacing w:after="0"/>
              <w:rPr>
                <w:sz w:val="20"/>
                <w:szCs w:val="20"/>
                <w:color w:val="auto"/>
              </w:rPr>
            </w:pPr>
            <w:r>
              <w:rPr>
                <w:rFonts w:ascii="Arial" w:cs="Arial" w:eastAsia="Arial" w:hAnsi="Arial"/>
                <w:sz w:val="12"/>
                <w:szCs w:val="12"/>
                <w:color w:val="auto"/>
                <w:w w:val="89"/>
              </w:rPr>
              <w:t>Green</w:t>
            </w:r>
          </w:p>
        </w:tc>
        <w:tc>
          <w:tcPr>
            <w:tcW w:w="900" w:type="dxa"/>
            <w:vAlign w:val="bottom"/>
          </w:tcPr>
          <w:p>
            <w:pPr>
              <w:ind w:left="160"/>
              <w:spacing w:after="0"/>
              <w:rPr>
                <w:sz w:val="20"/>
                <w:szCs w:val="20"/>
                <w:color w:val="auto"/>
              </w:rPr>
            </w:pPr>
            <w:r>
              <w:rPr>
                <w:rFonts w:ascii="Arial" w:cs="Arial" w:eastAsia="Arial" w:hAnsi="Arial"/>
                <w:sz w:val="12"/>
                <w:szCs w:val="12"/>
                <w:color w:val="auto"/>
              </w:rPr>
              <w:t>Green</w:t>
            </w:r>
          </w:p>
        </w:tc>
        <w:tc>
          <w:tcPr>
            <w:tcW w:w="1160" w:type="dxa"/>
            <w:vAlign w:val="bottom"/>
          </w:tcPr>
          <w:p>
            <w:pPr>
              <w:ind w:left="440"/>
              <w:spacing w:after="0"/>
              <w:rPr>
                <w:sz w:val="20"/>
                <w:szCs w:val="20"/>
                <w:color w:val="auto"/>
              </w:rPr>
            </w:pPr>
            <w:r>
              <w:rPr>
                <w:rFonts w:ascii="Arial" w:cs="Arial" w:eastAsia="Arial" w:hAnsi="Arial"/>
                <w:sz w:val="12"/>
                <w:szCs w:val="12"/>
                <w:color w:val="auto"/>
              </w:rPr>
              <w:t>NA</w:t>
            </w:r>
          </w:p>
        </w:tc>
        <w:tc>
          <w:tcPr>
            <w:tcW w:w="1160" w:type="dxa"/>
            <w:vAlign w:val="bottom"/>
          </w:tcPr>
          <w:p>
            <w:pPr>
              <w:jc w:val="right"/>
              <w:ind w:right="259"/>
              <w:spacing w:after="0"/>
              <w:rPr>
                <w:sz w:val="20"/>
                <w:szCs w:val="20"/>
                <w:color w:val="auto"/>
              </w:rPr>
            </w:pPr>
            <w:r>
              <w:rPr>
                <w:rFonts w:ascii="Arial" w:cs="Arial" w:eastAsia="Arial" w:hAnsi="Arial"/>
                <w:sz w:val="12"/>
                <w:szCs w:val="12"/>
                <w:color w:val="auto"/>
              </w:rPr>
              <w:t>—</w:t>
            </w:r>
          </w:p>
        </w:tc>
        <w:tc>
          <w:tcPr>
            <w:tcW w:w="940" w:type="dxa"/>
            <w:vAlign w:val="bottom"/>
          </w:tcPr>
          <w:p>
            <w:pPr>
              <w:jc w:val="right"/>
              <w:ind w:right="279"/>
              <w:spacing w:after="0"/>
              <w:rPr>
                <w:sz w:val="20"/>
                <w:szCs w:val="20"/>
                <w:color w:val="auto"/>
              </w:rPr>
            </w:pPr>
            <w:r>
              <w:rPr>
                <w:rFonts w:ascii="Arial" w:cs="Arial" w:eastAsia="Arial" w:hAnsi="Arial"/>
                <w:sz w:val="12"/>
                <w:szCs w:val="12"/>
                <w:color w:val="auto"/>
              </w:rPr>
              <w:t>—</w:t>
            </w:r>
          </w:p>
        </w:tc>
        <w:tc>
          <w:tcPr>
            <w:tcW w:w="900" w:type="dxa"/>
            <w:vAlign w:val="bottom"/>
          </w:tcPr>
          <w:p>
            <w:pPr>
              <w:jc w:val="right"/>
              <w:ind w:right="219"/>
              <w:spacing w:after="0"/>
              <w:rPr>
                <w:sz w:val="20"/>
                <w:szCs w:val="20"/>
                <w:color w:val="auto"/>
              </w:rPr>
            </w:pPr>
            <w:r>
              <w:rPr>
                <w:rFonts w:ascii="Arial" w:cs="Arial" w:eastAsia="Arial" w:hAnsi="Arial"/>
                <w:sz w:val="12"/>
                <w:szCs w:val="12"/>
                <w:color w:val="auto"/>
              </w:rPr>
              <w:t>3,307</w:t>
            </w:r>
          </w:p>
        </w:tc>
        <w:tc>
          <w:tcPr>
            <w:tcW w:w="440" w:type="dxa"/>
            <w:vAlign w:val="bottom"/>
          </w:tcPr>
          <w:p>
            <w:pPr>
              <w:ind w:left="280"/>
              <w:spacing w:after="0"/>
              <w:rPr>
                <w:sz w:val="20"/>
                <w:szCs w:val="20"/>
                <w:color w:val="auto"/>
              </w:rPr>
            </w:pPr>
            <w:r>
              <w:rPr>
                <w:rFonts w:ascii="Arial" w:cs="Arial" w:eastAsia="Arial" w:hAnsi="Arial"/>
                <w:sz w:val="12"/>
                <w:szCs w:val="12"/>
                <w:color w:val="auto"/>
                <w:w w:val="90"/>
              </w:rPr>
              <w:t>No</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-2015490</wp:posOffset>
            </wp:positionH>
            <wp:positionV relativeFrom="paragraph">
              <wp:posOffset>-313690</wp:posOffset>
            </wp:positionV>
            <wp:extent cx="7136130" cy="18288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6130" cy="182880"/>
                    </a:xfrm>
                    <a:prstGeom prst="rect">
                      <a:avLst/>
                    </a:prstGeom>
                    <a:noFill/>
                  </pic:spPr>
                </pic:pic>
              </a:graphicData>
            </a:graphic>
          </wp:anchor>
        </w:drawing>
      </w:r>
    </w:p>
    <w:p>
      <w:pPr>
        <w:spacing w:after="0" w:line="75" w:lineRule="exact"/>
        <w:rPr>
          <w:sz w:val="20"/>
          <w:szCs w:val="20"/>
          <w:color w:val="auto"/>
        </w:rPr>
      </w:pPr>
    </w:p>
    <w:p>
      <w:pPr>
        <w:sectPr>
          <w:pgSz w:w="11900" w:h="16838" w:orient="portrait"/>
          <w:cols w:equalWidth="0" w:num="2">
            <w:col w:w="2740" w:space="440"/>
            <w:col w:w="8060"/>
          </w:cols>
          <w:pgMar w:left="320" w:top="357" w:right="339" w:bottom="1440" w:gutter="0" w:footer="0" w:header="0"/>
          <w:type w:val="continuous"/>
        </w:sectPr>
      </w:pPr>
    </w:p>
    <w:tbl>
      <w:tblPr>
        <w:tblLayout w:type="fixed"/>
        <w:tblInd w:w="0" w:type="dxa"/>
        <w:tblCellMar>
          <w:top w:w="0" w:type="dxa"/>
          <w:left w:w="0" w:type="dxa"/>
          <w:bottom w:w="0" w:type="dxa"/>
          <w:right w:w="0" w:type="dxa"/>
        </w:tblCellMar>
      </w:tblPr>
      <w:tr>
        <w:trPr>
          <w:trHeight w:val="138"/>
        </w:trPr>
        <w:tc>
          <w:tcPr>
            <w:tcW w:w="2920" w:type="dxa"/>
            <w:vAlign w:val="bottom"/>
            <w:shd w:val="clear" w:color="auto" w:fill="CCEEFF"/>
          </w:tcPr>
          <w:p>
            <w:pPr>
              <w:ind w:left="20"/>
              <w:spacing w:after="0"/>
              <w:rPr>
                <w:sz w:val="20"/>
                <w:szCs w:val="20"/>
                <w:color w:val="auto"/>
              </w:rPr>
            </w:pPr>
            <w:r>
              <w:rPr>
                <w:rFonts w:ascii="Arial" w:cs="Arial" w:eastAsia="Arial" w:hAnsi="Arial"/>
                <w:sz w:val="12"/>
                <w:szCs w:val="12"/>
                <w:color w:val="auto"/>
              </w:rPr>
              <w:t>Northwestern Ohio Plumbers and Pipefitters Pension,</w:t>
            </w:r>
          </w:p>
        </w:tc>
        <w:tc>
          <w:tcPr>
            <w:tcW w:w="1220" w:type="dxa"/>
            <w:vAlign w:val="bottom"/>
            <w:vMerge w:val="restart"/>
            <w:shd w:val="clear" w:color="auto" w:fill="CCEEFF"/>
          </w:tcPr>
          <w:p>
            <w:pPr>
              <w:jc w:val="right"/>
              <w:ind w:right="79"/>
              <w:spacing w:after="0"/>
              <w:rPr>
                <w:sz w:val="20"/>
                <w:szCs w:val="20"/>
                <w:color w:val="auto"/>
              </w:rPr>
            </w:pPr>
            <w:r>
              <w:rPr>
                <w:rFonts w:ascii="Arial" w:cs="Arial" w:eastAsia="Arial" w:hAnsi="Arial"/>
                <w:sz w:val="12"/>
                <w:szCs w:val="12"/>
                <w:color w:val="auto"/>
              </w:rPr>
              <w:t>34-6502487/001</w:t>
            </w:r>
          </w:p>
        </w:tc>
        <w:tc>
          <w:tcPr>
            <w:tcW w:w="1200" w:type="dxa"/>
            <w:vAlign w:val="bottom"/>
            <w:shd w:val="clear" w:color="auto" w:fill="CCEEFF"/>
          </w:tcPr>
          <w:p>
            <w:pPr>
              <w:jc w:val="center"/>
              <w:ind w:left="7"/>
              <w:spacing w:after="0"/>
              <w:rPr>
                <w:sz w:val="20"/>
                <w:szCs w:val="20"/>
                <w:color w:val="auto"/>
              </w:rPr>
            </w:pPr>
            <w:r>
              <w:rPr>
                <w:rFonts w:ascii="Arial" w:cs="Arial" w:eastAsia="Arial" w:hAnsi="Arial"/>
                <w:sz w:val="12"/>
                <w:szCs w:val="12"/>
                <w:color w:val="auto"/>
                <w:w w:val="92"/>
              </w:rPr>
              <w:t>Described below</w:t>
            </w:r>
          </w:p>
        </w:tc>
        <w:tc>
          <w:tcPr>
            <w:tcW w:w="1080" w:type="dxa"/>
            <w:vAlign w:val="bottom"/>
            <w:vMerge w:val="restart"/>
            <w:shd w:val="clear" w:color="auto" w:fill="CCEEFF"/>
          </w:tcPr>
          <w:p>
            <w:pPr>
              <w:jc w:val="center"/>
              <w:ind w:right="399"/>
              <w:spacing w:after="0"/>
              <w:rPr>
                <w:sz w:val="20"/>
                <w:szCs w:val="20"/>
                <w:color w:val="auto"/>
              </w:rPr>
            </w:pPr>
            <w:r>
              <w:rPr>
                <w:rFonts w:ascii="Arial" w:cs="Arial" w:eastAsia="Arial" w:hAnsi="Arial"/>
                <w:sz w:val="12"/>
                <w:szCs w:val="12"/>
                <w:color w:val="auto"/>
                <w:w w:val="89"/>
              </w:rPr>
              <w:t>Green</w:t>
            </w:r>
          </w:p>
        </w:tc>
        <w:tc>
          <w:tcPr>
            <w:tcW w:w="1040" w:type="dxa"/>
            <w:vAlign w:val="bottom"/>
            <w:vMerge w:val="restart"/>
            <w:shd w:val="clear" w:color="auto" w:fill="CCEEFF"/>
          </w:tcPr>
          <w:p>
            <w:pPr>
              <w:jc w:val="center"/>
              <w:ind w:right="299"/>
              <w:spacing w:after="0"/>
              <w:rPr>
                <w:sz w:val="20"/>
                <w:szCs w:val="20"/>
                <w:color w:val="auto"/>
              </w:rPr>
            </w:pPr>
            <w:r>
              <w:rPr>
                <w:rFonts w:ascii="Arial" w:cs="Arial" w:eastAsia="Arial" w:hAnsi="Arial"/>
                <w:sz w:val="12"/>
                <w:szCs w:val="12"/>
                <w:color w:val="auto"/>
                <w:w w:val="95"/>
              </w:rPr>
              <w:t>NA</w:t>
            </w:r>
          </w:p>
        </w:tc>
        <w:tc>
          <w:tcPr>
            <w:tcW w:w="26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2,504</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1,161</w:t>
            </w:r>
          </w:p>
        </w:tc>
        <w:tc>
          <w:tcPr>
            <w:tcW w:w="1080" w:type="dxa"/>
            <w:vAlign w:val="bottom"/>
            <w:vMerge w:val="restart"/>
            <w:shd w:val="clear" w:color="auto" w:fill="CCEEFF"/>
          </w:tcPr>
          <w:p>
            <w:pPr>
              <w:ind w:left="520"/>
              <w:spacing w:after="0"/>
              <w:rPr>
                <w:sz w:val="20"/>
                <w:szCs w:val="20"/>
                <w:color w:val="auto"/>
              </w:rPr>
            </w:pPr>
            <w:r>
              <w:rPr>
                <w:rFonts w:ascii="Arial" w:cs="Arial" w:eastAsia="Arial" w:hAnsi="Arial"/>
                <w:sz w:val="12"/>
                <w:szCs w:val="12"/>
                <w:color w:val="auto"/>
              </w:rPr>
              <w:t>No</w:t>
            </w:r>
          </w:p>
        </w:tc>
        <w:tc>
          <w:tcPr>
            <w:tcW w:w="0" w:type="dxa"/>
            <w:vAlign w:val="bottom"/>
          </w:tcPr>
          <w:p>
            <w:pPr>
              <w:spacing w:after="0"/>
              <w:rPr>
                <w:sz w:val="1"/>
                <w:szCs w:val="1"/>
                <w:color w:val="auto"/>
              </w:rPr>
            </w:pPr>
          </w:p>
        </w:tc>
      </w:tr>
      <w:tr>
        <w:trPr>
          <w:trHeight w:val="137"/>
        </w:trPr>
        <w:tc>
          <w:tcPr>
            <w:tcW w:w="2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Local 50</w:t>
            </w:r>
          </w:p>
        </w:tc>
        <w:tc>
          <w:tcPr>
            <w:tcW w:w="1220" w:type="dxa"/>
            <w:vAlign w:val="bottom"/>
            <w:tcBorders>
              <w:bottom w:val="single" w:sz="8" w:color="CCEEFF"/>
            </w:tcBorders>
            <w:vMerge w:val="continue"/>
            <w:shd w:val="clear" w:color="auto" w:fill="CCEEFF"/>
          </w:tcPr>
          <w:p>
            <w:pPr>
              <w:spacing w:after="0"/>
              <w:rPr>
                <w:sz w:val="11"/>
                <w:szCs w:val="11"/>
                <w:color w:val="auto"/>
              </w:rPr>
            </w:pPr>
          </w:p>
        </w:tc>
        <w:tc>
          <w:tcPr>
            <w:tcW w:w="1200" w:type="dxa"/>
            <w:vAlign w:val="bottom"/>
            <w:tcBorders>
              <w:bottom w:val="single" w:sz="8" w:color="CCEEFF"/>
            </w:tcBorders>
            <w:shd w:val="clear" w:color="auto" w:fill="CCEEFF"/>
          </w:tcPr>
          <w:p>
            <w:pPr>
              <w:jc w:val="center"/>
              <w:ind w:left="7"/>
              <w:spacing w:after="0"/>
              <w:rPr>
                <w:sz w:val="20"/>
                <w:szCs w:val="20"/>
                <w:color w:val="auto"/>
              </w:rPr>
            </w:pPr>
            <w:r>
              <w:rPr>
                <w:rFonts w:ascii="Arial" w:cs="Arial" w:eastAsia="Arial" w:hAnsi="Arial"/>
                <w:sz w:val="8"/>
                <w:szCs w:val="8"/>
                <w:color w:val="auto"/>
              </w:rPr>
              <w:t>(1)</w:t>
            </w:r>
          </w:p>
        </w:tc>
        <w:tc>
          <w:tcPr>
            <w:tcW w:w="1080" w:type="dxa"/>
            <w:vAlign w:val="bottom"/>
            <w:tcBorders>
              <w:bottom w:val="single" w:sz="8" w:color="CCEEFF"/>
            </w:tcBorders>
            <w:vMerge w:val="continue"/>
            <w:shd w:val="clear" w:color="auto" w:fill="CCEEFF"/>
          </w:tcPr>
          <w:p>
            <w:pPr>
              <w:spacing w:after="0"/>
              <w:rPr>
                <w:sz w:val="11"/>
                <w:szCs w:val="11"/>
                <w:color w:val="auto"/>
              </w:rPr>
            </w:pPr>
          </w:p>
        </w:tc>
        <w:tc>
          <w:tcPr>
            <w:tcW w:w="1040" w:type="dxa"/>
            <w:vAlign w:val="bottom"/>
            <w:tcBorders>
              <w:bottom w:val="single" w:sz="8" w:color="CCEEFF"/>
            </w:tcBorders>
            <w:vMerge w:val="continue"/>
            <w:shd w:val="clear" w:color="auto" w:fill="CCEEFF"/>
          </w:tcPr>
          <w:p>
            <w:pPr>
              <w:spacing w:after="0"/>
              <w:rPr>
                <w:sz w:val="11"/>
                <w:szCs w:val="11"/>
                <w:color w:val="auto"/>
              </w:rPr>
            </w:pPr>
          </w:p>
        </w:tc>
        <w:tc>
          <w:tcPr>
            <w:tcW w:w="26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gridSpan w:val="2"/>
            <w:vMerge w:val="continue"/>
            <w:shd w:val="clear" w:color="auto" w:fill="CCEEFF"/>
          </w:tcPr>
          <w:p>
            <w:pPr>
              <w:spacing w:after="0"/>
              <w:rPr>
                <w:sz w:val="11"/>
                <w:szCs w:val="11"/>
                <w:color w:val="auto"/>
              </w:rPr>
            </w:pPr>
          </w:p>
        </w:tc>
        <w:tc>
          <w:tcPr>
            <w:tcW w:w="26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vMerge w:val="continue"/>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28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vMerge w:val="continue"/>
            <w:shd w:val="clear" w:color="auto" w:fill="CCEEFF"/>
          </w:tcPr>
          <w:p>
            <w:pPr>
              <w:spacing w:after="0"/>
              <w:rPr>
                <w:sz w:val="11"/>
                <w:szCs w:val="11"/>
                <w:color w:val="auto"/>
              </w:rPr>
            </w:pPr>
          </w:p>
        </w:tc>
        <w:tc>
          <w:tcPr>
            <w:tcW w:w="1080" w:type="dxa"/>
            <w:vAlign w:val="bottom"/>
            <w:tcBorders>
              <w:bottom w:val="single" w:sz="8" w:color="CCEEFF"/>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2920" w:type="dxa"/>
            <w:vAlign w:val="bottom"/>
            <w:vMerge w:val="restart"/>
          </w:tcPr>
          <w:p>
            <w:pPr>
              <w:ind w:left="20"/>
              <w:spacing w:after="0"/>
              <w:rPr>
                <w:sz w:val="20"/>
                <w:szCs w:val="20"/>
                <w:color w:val="auto"/>
              </w:rPr>
            </w:pPr>
            <w:r>
              <w:rPr>
                <w:rFonts w:ascii="Arial" w:cs="Arial" w:eastAsia="Arial" w:hAnsi="Arial"/>
                <w:sz w:val="12"/>
                <w:szCs w:val="12"/>
                <w:color w:val="auto"/>
              </w:rPr>
              <w:t>Ohio Carpenters' Pension Fund, Locals 1090 and 351</w:t>
            </w:r>
          </w:p>
        </w:tc>
        <w:tc>
          <w:tcPr>
            <w:tcW w:w="1220" w:type="dxa"/>
            <w:vAlign w:val="bottom"/>
            <w:vMerge w:val="restart"/>
          </w:tcPr>
          <w:p>
            <w:pPr>
              <w:jc w:val="right"/>
              <w:ind w:right="79"/>
              <w:spacing w:after="0"/>
              <w:rPr>
                <w:sz w:val="20"/>
                <w:szCs w:val="20"/>
                <w:color w:val="auto"/>
              </w:rPr>
            </w:pPr>
            <w:r>
              <w:rPr>
                <w:rFonts w:ascii="Arial" w:cs="Arial" w:eastAsia="Arial" w:hAnsi="Arial"/>
                <w:sz w:val="12"/>
                <w:szCs w:val="12"/>
                <w:color w:val="auto"/>
              </w:rPr>
              <w:t>34-6574360/001</w:t>
            </w:r>
          </w:p>
        </w:tc>
        <w:tc>
          <w:tcPr>
            <w:tcW w:w="1200" w:type="dxa"/>
            <w:vAlign w:val="bottom"/>
          </w:tcPr>
          <w:p>
            <w:pPr>
              <w:jc w:val="center"/>
              <w:ind w:left="7"/>
              <w:spacing w:after="0" w:line="118" w:lineRule="exact"/>
              <w:rPr>
                <w:sz w:val="20"/>
                <w:szCs w:val="20"/>
                <w:color w:val="auto"/>
              </w:rPr>
            </w:pPr>
            <w:r>
              <w:rPr>
                <w:rFonts w:ascii="Arial" w:cs="Arial" w:eastAsia="Arial" w:hAnsi="Arial"/>
                <w:sz w:val="12"/>
                <w:szCs w:val="12"/>
                <w:color w:val="auto"/>
                <w:w w:val="92"/>
              </w:rPr>
              <w:t>Described below</w:t>
            </w:r>
          </w:p>
        </w:tc>
        <w:tc>
          <w:tcPr>
            <w:tcW w:w="1080" w:type="dxa"/>
            <w:vAlign w:val="bottom"/>
            <w:vMerge w:val="restart"/>
          </w:tcPr>
          <w:p>
            <w:pPr>
              <w:jc w:val="center"/>
              <w:ind w:right="399"/>
              <w:spacing w:after="0"/>
              <w:rPr>
                <w:sz w:val="20"/>
                <w:szCs w:val="20"/>
                <w:color w:val="auto"/>
              </w:rPr>
            </w:pPr>
            <w:r>
              <w:rPr>
                <w:rFonts w:ascii="Arial" w:cs="Arial" w:eastAsia="Arial" w:hAnsi="Arial"/>
                <w:sz w:val="12"/>
                <w:szCs w:val="12"/>
                <w:color w:val="auto"/>
                <w:w w:val="81"/>
              </w:rPr>
              <w:t>Red</w:t>
            </w:r>
          </w:p>
        </w:tc>
        <w:tc>
          <w:tcPr>
            <w:tcW w:w="1040" w:type="dxa"/>
            <w:vAlign w:val="bottom"/>
            <w:vMerge w:val="restart"/>
          </w:tcPr>
          <w:p>
            <w:pPr>
              <w:jc w:val="center"/>
              <w:ind w:right="299"/>
              <w:spacing w:after="0"/>
              <w:rPr>
                <w:sz w:val="20"/>
                <w:szCs w:val="20"/>
                <w:color w:val="auto"/>
              </w:rPr>
            </w:pPr>
            <w:r>
              <w:rPr>
                <w:rFonts w:ascii="Arial" w:cs="Arial" w:eastAsia="Arial" w:hAnsi="Arial"/>
                <w:sz w:val="12"/>
                <w:szCs w:val="12"/>
                <w:color w:val="auto"/>
                <w:w w:val="92"/>
              </w:rPr>
              <w:t>Implemented</w:t>
            </w:r>
          </w:p>
        </w:tc>
        <w:tc>
          <w:tcPr>
            <w:tcW w:w="260" w:type="dxa"/>
            <w:vAlign w:val="bottom"/>
          </w:tcPr>
          <w:p>
            <w:pPr>
              <w:spacing w:after="0"/>
              <w:rPr>
                <w:sz w:val="10"/>
                <w:szCs w:val="10"/>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2"/>
                <w:szCs w:val="12"/>
                <w:color w:val="auto"/>
              </w:rPr>
              <w:t>3,042</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2"/>
                <w:szCs w:val="12"/>
                <w:color w:val="auto"/>
              </w:rPr>
              <w:t>2,962</w:t>
            </w:r>
          </w:p>
        </w:tc>
        <w:tc>
          <w:tcPr>
            <w:tcW w:w="1080" w:type="dxa"/>
            <w:vAlign w:val="bottom"/>
            <w:vMerge w:val="restart"/>
          </w:tcPr>
          <w:p>
            <w:pPr>
              <w:ind w:left="500"/>
              <w:spacing w:after="0"/>
              <w:rPr>
                <w:sz w:val="20"/>
                <w:szCs w:val="20"/>
                <w:color w:val="auto"/>
              </w:rPr>
            </w:pPr>
            <w:r>
              <w:rPr>
                <w:rFonts w:ascii="Arial" w:cs="Arial" w:eastAsia="Arial" w:hAnsi="Arial"/>
                <w:sz w:val="12"/>
                <w:szCs w:val="12"/>
                <w:color w:val="auto"/>
              </w:rPr>
              <w:t>Yes</w:t>
            </w:r>
          </w:p>
        </w:tc>
        <w:tc>
          <w:tcPr>
            <w:tcW w:w="0" w:type="dxa"/>
            <w:vAlign w:val="bottom"/>
          </w:tcPr>
          <w:p>
            <w:pPr>
              <w:spacing w:after="0"/>
              <w:rPr>
                <w:sz w:val="1"/>
                <w:szCs w:val="1"/>
                <w:color w:val="auto"/>
              </w:rPr>
            </w:pPr>
          </w:p>
        </w:tc>
      </w:tr>
      <w:tr>
        <w:trPr>
          <w:trHeight w:val="99"/>
        </w:trPr>
        <w:tc>
          <w:tcPr>
            <w:tcW w:w="292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1200" w:type="dxa"/>
            <w:vAlign w:val="bottom"/>
          </w:tcPr>
          <w:p>
            <w:pPr>
              <w:jc w:val="center"/>
              <w:ind w:left="7"/>
              <w:spacing w:after="0"/>
              <w:rPr>
                <w:sz w:val="20"/>
                <w:szCs w:val="20"/>
                <w:color w:val="auto"/>
              </w:rPr>
            </w:pPr>
            <w:r>
              <w:rPr>
                <w:rFonts w:ascii="Arial" w:cs="Arial" w:eastAsia="Arial" w:hAnsi="Arial"/>
                <w:sz w:val="8"/>
                <w:szCs w:val="8"/>
                <w:color w:val="auto"/>
              </w:rPr>
              <w:t>(1)</w:t>
            </w:r>
          </w:p>
        </w:tc>
        <w:tc>
          <w:tcPr>
            <w:tcW w:w="108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2"/>
        </w:trPr>
        <w:tc>
          <w:tcPr>
            <w:tcW w:w="29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8"/>
        </w:trPr>
        <w:tc>
          <w:tcPr>
            <w:tcW w:w="2920" w:type="dxa"/>
            <w:vAlign w:val="bottom"/>
            <w:vMerge w:val="restart"/>
            <w:shd w:val="clear" w:color="auto" w:fill="CCEEFF"/>
          </w:tcPr>
          <w:p>
            <w:pPr>
              <w:ind w:left="20"/>
              <w:spacing w:after="0"/>
              <w:rPr>
                <w:sz w:val="20"/>
                <w:szCs w:val="20"/>
                <w:color w:val="auto"/>
              </w:rPr>
            </w:pPr>
            <w:r>
              <w:rPr>
                <w:rFonts w:ascii="Arial" w:cs="Arial" w:eastAsia="Arial" w:hAnsi="Arial"/>
                <w:sz w:val="12"/>
                <w:szCs w:val="12"/>
                <w:color w:val="auto"/>
              </w:rPr>
              <w:t>IBEW Local 654 Pension Plan</w:t>
            </w:r>
          </w:p>
        </w:tc>
        <w:tc>
          <w:tcPr>
            <w:tcW w:w="1220" w:type="dxa"/>
            <w:vAlign w:val="bottom"/>
            <w:vMerge w:val="restart"/>
            <w:shd w:val="clear" w:color="auto" w:fill="CCEEFF"/>
          </w:tcPr>
          <w:p>
            <w:pPr>
              <w:jc w:val="right"/>
              <w:ind w:right="79"/>
              <w:spacing w:after="0"/>
              <w:rPr>
                <w:sz w:val="20"/>
                <w:szCs w:val="20"/>
                <w:color w:val="auto"/>
              </w:rPr>
            </w:pPr>
            <w:r>
              <w:rPr>
                <w:rFonts w:ascii="Arial" w:cs="Arial" w:eastAsia="Arial" w:hAnsi="Arial"/>
                <w:sz w:val="12"/>
                <w:szCs w:val="12"/>
                <w:color w:val="auto"/>
              </w:rPr>
              <w:t>23-6538183/001</w:t>
            </w:r>
          </w:p>
        </w:tc>
        <w:tc>
          <w:tcPr>
            <w:tcW w:w="1200" w:type="dxa"/>
            <w:vAlign w:val="bottom"/>
            <w:shd w:val="clear" w:color="auto" w:fill="CCEEFF"/>
          </w:tcPr>
          <w:p>
            <w:pPr>
              <w:jc w:val="center"/>
              <w:ind w:left="7"/>
              <w:spacing w:after="0" w:line="118" w:lineRule="exact"/>
              <w:rPr>
                <w:sz w:val="20"/>
                <w:szCs w:val="20"/>
                <w:color w:val="auto"/>
              </w:rPr>
            </w:pPr>
            <w:r>
              <w:rPr>
                <w:rFonts w:ascii="Arial" w:cs="Arial" w:eastAsia="Arial" w:hAnsi="Arial"/>
                <w:sz w:val="12"/>
                <w:szCs w:val="12"/>
                <w:color w:val="auto"/>
                <w:w w:val="92"/>
              </w:rPr>
              <w:t>Described below</w:t>
            </w:r>
          </w:p>
        </w:tc>
        <w:tc>
          <w:tcPr>
            <w:tcW w:w="1080" w:type="dxa"/>
            <w:vAlign w:val="bottom"/>
            <w:vMerge w:val="restart"/>
            <w:shd w:val="clear" w:color="auto" w:fill="CCEEFF"/>
          </w:tcPr>
          <w:p>
            <w:pPr>
              <w:jc w:val="center"/>
              <w:ind w:right="399"/>
              <w:spacing w:after="0"/>
              <w:rPr>
                <w:sz w:val="20"/>
                <w:szCs w:val="20"/>
                <w:color w:val="auto"/>
              </w:rPr>
            </w:pPr>
            <w:r>
              <w:rPr>
                <w:rFonts w:ascii="Arial" w:cs="Arial" w:eastAsia="Arial" w:hAnsi="Arial"/>
                <w:sz w:val="12"/>
                <w:szCs w:val="12"/>
                <w:color w:val="auto"/>
                <w:w w:val="89"/>
              </w:rPr>
              <w:t>Green</w:t>
            </w:r>
          </w:p>
        </w:tc>
        <w:tc>
          <w:tcPr>
            <w:tcW w:w="1040" w:type="dxa"/>
            <w:vAlign w:val="bottom"/>
            <w:vMerge w:val="restart"/>
            <w:shd w:val="clear" w:color="auto" w:fill="CCEEFF"/>
          </w:tcPr>
          <w:p>
            <w:pPr>
              <w:jc w:val="center"/>
              <w:ind w:right="299"/>
              <w:spacing w:after="0"/>
              <w:rPr>
                <w:sz w:val="20"/>
                <w:szCs w:val="20"/>
                <w:color w:val="auto"/>
              </w:rPr>
            </w:pPr>
            <w:r>
              <w:rPr>
                <w:rFonts w:ascii="Arial" w:cs="Arial" w:eastAsia="Arial" w:hAnsi="Arial"/>
                <w:sz w:val="12"/>
                <w:szCs w:val="12"/>
                <w:color w:val="auto"/>
                <w:w w:val="95"/>
              </w:rPr>
              <w:t>NA</w:t>
            </w:r>
          </w:p>
        </w:tc>
        <w:tc>
          <w:tcPr>
            <w:tcW w:w="26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818</w:t>
            </w: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1,021</w:t>
            </w: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1,006</w:t>
            </w:r>
          </w:p>
        </w:tc>
        <w:tc>
          <w:tcPr>
            <w:tcW w:w="1080" w:type="dxa"/>
            <w:vAlign w:val="bottom"/>
            <w:vMerge w:val="restart"/>
            <w:shd w:val="clear" w:color="auto" w:fill="CCEEFF"/>
          </w:tcPr>
          <w:p>
            <w:pPr>
              <w:ind w:left="520"/>
              <w:spacing w:after="0"/>
              <w:rPr>
                <w:sz w:val="20"/>
                <w:szCs w:val="20"/>
                <w:color w:val="auto"/>
              </w:rPr>
            </w:pPr>
            <w:r>
              <w:rPr>
                <w:rFonts w:ascii="Arial" w:cs="Arial" w:eastAsia="Arial" w:hAnsi="Arial"/>
                <w:sz w:val="12"/>
                <w:szCs w:val="12"/>
                <w:color w:val="auto"/>
              </w:rPr>
              <w:t>No</w:t>
            </w:r>
          </w:p>
        </w:tc>
        <w:tc>
          <w:tcPr>
            <w:tcW w:w="0" w:type="dxa"/>
            <w:vAlign w:val="bottom"/>
          </w:tcPr>
          <w:p>
            <w:pPr>
              <w:spacing w:after="0"/>
              <w:rPr>
                <w:sz w:val="1"/>
                <w:szCs w:val="1"/>
                <w:color w:val="auto"/>
              </w:rPr>
            </w:pPr>
          </w:p>
        </w:tc>
      </w:tr>
      <w:tr>
        <w:trPr>
          <w:trHeight w:val="111"/>
        </w:trPr>
        <w:tc>
          <w:tcPr>
            <w:tcW w:w="2920" w:type="dxa"/>
            <w:vAlign w:val="bottom"/>
            <w:tcBorders>
              <w:bottom w:val="single" w:sz="8" w:color="CCEEFF"/>
            </w:tcBorders>
            <w:vMerge w:val="continue"/>
            <w:shd w:val="clear" w:color="auto" w:fill="CCEEFF"/>
          </w:tcPr>
          <w:p>
            <w:pPr>
              <w:spacing w:after="0"/>
              <w:rPr>
                <w:sz w:val="9"/>
                <w:szCs w:val="9"/>
                <w:color w:val="auto"/>
              </w:rPr>
            </w:pPr>
          </w:p>
        </w:tc>
        <w:tc>
          <w:tcPr>
            <w:tcW w:w="1220" w:type="dxa"/>
            <w:vAlign w:val="bottom"/>
            <w:tcBorders>
              <w:bottom w:val="single" w:sz="8" w:color="CCEEFF"/>
            </w:tcBorders>
            <w:vMerge w:val="continue"/>
            <w:shd w:val="clear" w:color="auto" w:fill="CCEEFF"/>
          </w:tcPr>
          <w:p>
            <w:pPr>
              <w:spacing w:after="0"/>
              <w:rPr>
                <w:sz w:val="9"/>
                <w:szCs w:val="9"/>
                <w:color w:val="auto"/>
              </w:rPr>
            </w:pPr>
          </w:p>
        </w:tc>
        <w:tc>
          <w:tcPr>
            <w:tcW w:w="1200" w:type="dxa"/>
            <w:vAlign w:val="bottom"/>
            <w:tcBorders>
              <w:bottom w:val="single" w:sz="8" w:color="CCEEFF"/>
            </w:tcBorders>
            <w:shd w:val="clear" w:color="auto" w:fill="CCEEFF"/>
          </w:tcPr>
          <w:p>
            <w:pPr>
              <w:jc w:val="center"/>
              <w:ind w:left="7"/>
              <w:spacing w:after="0"/>
              <w:rPr>
                <w:sz w:val="20"/>
                <w:szCs w:val="20"/>
                <w:color w:val="auto"/>
              </w:rPr>
            </w:pPr>
            <w:r>
              <w:rPr>
                <w:rFonts w:ascii="Arial" w:cs="Arial" w:eastAsia="Arial" w:hAnsi="Arial"/>
                <w:sz w:val="8"/>
                <w:szCs w:val="8"/>
                <w:color w:val="auto"/>
              </w:rPr>
              <w:t>(1)</w:t>
            </w:r>
          </w:p>
        </w:tc>
        <w:tc>
          <w:tcPr>
            <w:tcW w:w="1080" w:type="dxa"/>
            <w:vAlign w:val="bottom"/>
            <w:tcBorders>
              <w:bottom w:val="single" w:sz="8" w:color="CCEEFF"/>
            </w:tcBorders>
            <w:vMerge w:val="continue"/>
            <w:shd w:val="clear" w:color="auto" w:fill="CCEEFF"/>
          </w:tcPr>
          <w:p>
            <w:pPr>
              <w:spacing w:after="0"/>
              <w:rPr>
                <w:sz w:val="9"/>
                <w:szCs w:val="9"/>
                <w:color w:val="auto"/>
              </w:rPr>
            </w:pPr>
          </w:p>
        </w:tc>
        <w:tc>
          <w:tcPr>
            <w:tcW w:w="1040" w:type="dxa"/>
            <w:vAlign w:val="bottom"/>
            <w:tcBorders>
              <w:bottom w:val="single" w:sz="8" w:color="CCEEFF"/>
            </w:tcBorders>
            <w:vMerge w:val="continue"/>
            <w:shd w:val="clear" w:color="auto" w:fill="CCEEFF"/>
          </w:tcPr>
          <w:p>
            <w:pPr>
              <w:spacing w:after="0"/>
              <w:rPr>
                <w:sz w:val="9"/>
                <w:szCs w:val="9"/>
                <w:color w:val="auto"/>
              </w:rPr>
            </w:pPr>
          </w:p>
        </w:tc>
        <w:tc>
          <w:tcPr>
            <w:tcW w:w="260" w:type="dxa"/>
            <w:vAlign w:val="bottom"/>
            <w:tcBorders>
              <w:bottom w:val="single" w:sz="8" w:color="CCEEFF"/>
            </w:tcBorders>
            <w:shd w:val="clear" w:color="auto" w:fill="CCEEFF"/>
          </w:tcPr>
          <w:p>
            <w:pPr>
              <w:spacing w:after="0"/>
              <w:rPr>
                <w:sz w:val="9"/>
                <w:szCs w:val="9"/>
                <w:color w:val="auto"/>
              </w:rPr>
            </w:pPr>
          </w:p>
        </w:tc>
        <w:tc>
          <w:tcPr>
            <w:tcW w:w="580" w:type="dxa"/>
            <w:vAlign w:val="bottom"/>
            <w:tcBorders>
              <w:bottom w:val="single" w:sz="8" w:color="CCEEFF"/>
            </w:tcBorders>
            <w:vMerge w:val="continue"/>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260" w:type="dxa"/>
            <w:vAlign w:val="bottom"/>
            <w:tcBorders>
              <w:bottom w:val="single" w:sz="8" w:color="CCEEFF"/>
            </w:tcBorders>
            <w:shd w:val="clear" w:color="auto" w:fill="CCEEFF"/>
          </w:tcPr>
          <w:p>
            <w:pPr>
              <w:spacing w:after="0"/>
              <w:rPr>
                <w:sz w:val="9"/>
                <w:szCs w:val="9"/>
                <w:color w:val="auto"/>
              </w:rPr>
            </w:pPr>
          </w:p>
        </w:tc>
        <w:tc>
          <w:tcPr>
            <w:tcW w:w="560" w:type="dxa"/>
            <w:vAlign w:val="bottom"/>
            <w:tcBorders>
              <w:bottom w:val="single" w:sz="8" w:color="CCEEFF"/>
            </w:tcBorders>
            <w:vMerge w:val="continue"/>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280" w:type="dxa"/>
            <w:vAlign w:val="bottom"/>
            <w:tcBorders>
              <w:bottom w:val="single" w:sz="8" w:color="CCEEFF"/>
            </w:tcBorders>
            <w:shd w:val="clear" w:color="auto" w:fill="CCEEFF"/>
          </w:tcPr>
          <w:p>
            <w:pPr>
              <w:spacing w:after="0"/>
              <w:rPr>
                <w:sz w:val="9"/>
                <w:szCs w:val="9"/>
                <w:color w:val="auto"/>
              </w:rPr>
            </w:pPr>
          </w:p>
        </w:tc>
        <w:tc>
          <w:tcPr>
            <w:tcW w:w="560" w:type="dxa"/>
            <w:vAlign w:val="bottom"/>
            <w:tcBorders>
              <w:bottom w:val="single" w:sz="8" w:color="CCEEFF"/>
            </w:tcBorders>
            <w:vMerge w:val="continue"/>
            <w:shd w:val="clear" w:color="auto" w:fill="CCEEFF"/>
          </w:tcPr>
          <w:p>
            <w:pPr>
              <w:spacing w:after="0"/>
              <w:rPr>
                <w:sz w:val="9"/>
                <w:szCs w:val="9"/>
                <w:color w:val="auto"/>
              </w:rPr>
            </w:pPr>
          </w:p>
        </w:tc>
        <w:tc>
          <w:tcPr>
            <w:tcW w:w="1080" w:type="dxa"/>
            <w:vAlign w:val="bottom"/>
            <w:tcBorders>
              <w:bottom w:val="single" w:sz="8" w:color="CCEEFF"/>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2920" w:type="dxa"/>
            <w:vAlign w:val="bottom"/>
            <w:tcBorders>
              <w:bottom w:val="single" w:sz="8" w:color="CCEEFF"/>
            </w:tcBorders>
          </w:tcPr>
          <w:p>
            <w:pPr>
              <w:spacing w:after="0"/>
              <w:rPr>
                <w:sz w:val="14"/>
                <w:szCs w:val="14"/>
                <w:color w:val="auto"/>
              </w:rPr>
            </w:pPr>
          </w:p>
        </w:tc>
        <w:tc>
          <w:tcPr>
            <w:tcW w:w="1220" w:type="dxa"/>
            <w:vAlign w:val="bottom"/>
            <w:tcBorders>
              <w:bottom w:val="single" w:sz="8" w:color="CCEEFF"/>
            </w:tcBorders>
          </w:tcPr>
          <w:p>
            <w:pPr>
              <w:spacing w:after="0"/>
              <w:rPr>
                <w:sz w:val="14"/>
                <w:szCs w:val="14"/>
                <w:color w:val="auto"/>
              </w:rPr>
            </w:pPr>
          </w:p>
        </w:tc>
        <w:tc>
          <w:tcPr>
            <w:tcW w:w="2280" w:type="dxa"/>
            <w:vAlign w:val="bottom"/>
            <w:tcBorders>
              <w:bottom w:val="single" w:sz="8" w:color="CCEEFF"/>
            </w:tcBorders>
            <w:gridSpan w:val="2"/>
          </w:tcPr>
          <w:p>
            <w:pPr>
              <w:ind w:left="160"/>
              <w:spacing w:after="0"/>
              <w:rPr>
                <w:sz w:val="20"/>
                <w:szCs w:val="20"/>
                <w:color w:val="auto"/>
              </w:rPr>
            </w:pPr>
            <w:r>
              <w:rPr>
                <w:rFonts w:ascii="Arial" w:cs="Arial" w:eastAsia="Arial" w:hAnsi="Arial"/>
                <w:sz w:val="12"/>
                <w:szCs w:val="12"/>
                <w:color w:val="auto"/>
                <w:w w:val="93"/>
              </w:rPr>
              <w:t>Contributions to other multiemployer plans</w:t>
            </w:r>
          </w:p>
        </w:tc>
        <w:tc>
          <w:tcPr>
            <w:tcW w:w="104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3,653</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8,000</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13,703</w:t>
            </w:r>
          </w:p>
        </w:tc>
        <w:tc>
          <w:tcPr>
            <w:tcW w:w="10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92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spacing w:after="0"/>
              <w:rPr>
                <w:sz w:val="16"/>
                <w:szCs w:val="16"/>
                <w:color w:val="auto"/>
              </w:rPr>
            </w:pPr>
          </w:p>
        </w:tc>
        <w:tc>
          <w:tcPr>
            <w:tcW w:w="22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2"/>
                <w:szCs w:val="12"/>
                <w:color w:val="auto"/>
              </w:rPr>
              <w:t>Total contributions made</w:t>
            </w:r>
          </w:p>
        </w:tc>
        <w:tc>
          <w:tcPr>
            <w:tcW w:w="104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2"/>
                <w:szCs w:val="12"/>
                <w:color w:val="auto"/>
                <w:w w:val="8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15,369</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2"/>
                <w:szCs w:val="12"/>
                <w:color w:val="auto"/>
                <w:w w:val="8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37,403</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2"/>
                <w:szCs w:val="12"/>
                <w:color w:val="auto"/>
                <w:w w:val="8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64,386</w:t>
            </w:r>
          </w:p>
        </w:tc>
        <w:tc>
          <w:tcPr>
            <w:tcW w:w="10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433070</wp:posOffset>
            </wp:positionV>
            <wp:extent cx="79946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994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ind w:left="440" w:hanging="317"/>
        <w:spacing w:after="0" w:line="283" w:lineRule="auto"/>
        <w:tabs>
          <w:tab w:leader="none" w:pos="432" w:val="left"/>
        </w:tabs>
        <w:numPr>
          <w:ilvl w:val="0"/>
          <w:numId w:val="41"/>
        </w:numPr>
        <w:rPr>
          <w:rFonts w:ascii="Arial" w:cs="Arial" w:eastAsia="Arial" w:hAnsi="Arial"/>
          <w:sz w:val="12"/>
          <w:szCs w:val="12"/>
          <w:color w:val="auto"/>
        </w:rPr>
      </w:pPr>
      <w:r>
        <w:rPr>
          <w:rFonts w:ascii="Arial" w:cs="Arial" w:eastAsia="Arial" w:hAnsi="Arial"/>
          <w:sz w:val="12"/>
          <w:szCs w:val="12"/>
          <w:color w:val="auto"/>
        </w:rPr>
        <w:t>For the Local 164 IBEW Pension Plan, Local IBEW 102 IBEW Pension Plan, Local 351 IBEW Pension Plan, Steamfitters Local Union No. 420 Pension Plan, Indiana Laborers Pension Fund, Local 395 Iron Workers Mid-America Pension Plan, Local 3 Iron Workers Pension Plan of Western Pennsylvania, Iron Workers Pension Plan Local 55, National Electrical Benefit Fund for Locals 71/126/488/1319, Local 777 Connecticut Plumbers and Pipefitters Pension Fund, Local 50 Northwestern Ohio Plumbers and Pipefitters Pension, and Local 654 IBEW Pension Plan, we have not received a funding notification that covers our fiscal year 2021 during the preparation of this Form 10-K. For Local 164 IBEW Pension Plan and Local 3 Iron Workers Pension Plan of Western Pennsylvania, we have not received a funding notification that covers our fiscal year 2020 either. Under Federal pension law, if a multiemployer pension plan is determined to be in critical or endangered status, the plan must provide notice of this status to participants, beneficiaries, the bargaining parties, the Pension Benefit Guaranty Corporation, and the Department of Labor. We also observed that these plans have not submitted any Critical or Endangered Status Notices to the Department of Labor for calendar years that we have not received notification. The Critical or Endangered Status Notices can be accessed at https://www.dol.gov/agencies/ebsa/about-ebsa/our-activities/public-disclosure/2021-funding-status-notices#2020-c-and-d.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type w:val="continuous"/>
        </w:sectPr>
      </w:pPr>
    </w:p>
    <w:bookmarkStart w:id="80" w:name="page81"/>
    <w:bookmarkEnd w:id="80"/>
    <w:p>
      <w:pPr>
        <w:jc w:val="center"/>
        <w:spacing w:after="0"/>
        <w:rPr>
          <w:sz w:val="20"/>
          <w:szCs w:val="20"/>
          <w:color w:val="auto"/>
        </w:rPr>
      </w:pPr>
      <w:r>
        <w:rPr>
          <w:rFonts w:ascii="Arial" w:cs="Arial" w:eastAsia="Arial" w:hAnsi="Arial"/>
          <w:sz w:val="17"/>
          <w:szCs w:val="17"/>
          <w:b w:val="1"/>
          <w:bCs w:val="1"/>
          <w:color w:val="auto"/>
        </w:rPr>
        <w:t>Matrix Service Company</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Employee Stock Purchase Plan</w:t>
      </w:r>
    </w:p>
    <w:p>
      <w:pPr>
        <w:spacing w:after="0" w:line="172"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The Matrix Service Company 2011 Employee Stock Purchase Plan (“ESPP”) was effective January 1, 2011. The ESPP allows employees to purchase shares through payroll deductions and members of the Board of Directors to purchase shares from amounts withheld from their cash retainers. Share purchases are limited to an aggregate market value of no greater than $60,000 per calendar year per participant and are purchased from us at the current market value with no discount to the participant. Contributions are with after tax earnings and are accumulated in non-interest bearing accounts for quarterly purchases of company stock. Upon the purchase of shares, the participants receive all stockholder rights including dividend and voting rights, and are permitted to sell their shares at any time. We have made 1,000,000 shares available under the ESPP. The ESPP can be terminated at any time at the discretion of the Board of Directors and will automatically terminate once the plan shares are exhausted. Shares are issued from Treasury Stock under the ESPP. There were 29,171 shares issued in fiscal 2021, 20,733 shares in fiscal 2020, and 15,812 shares in fiscal 2019.</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13—Segment Information</w:t>
      </w:r>
    </w:p>
    <w:p>
      <w:pPr>
        <w:spacing w:after="0" w:line="283" w:lineRule="exact"/>
        <w:rPr>
          <w:sz w:val="20"/>
          <w:szCs w:val="20"/>
          <w:color w:val="auto"/>
        </w:rPr>
      </w:pPr>
    </w:p>
    <w:p>
      <w:pPr>
        <w:jc w:val="both"/>
        <w:spacing w:after="0" w:line="322" w:lineRule="auto"/>
        <w:rPr>
          <w:sz w:val="20"/>
          <w:szCs w:val="20"/>
          <w:color w:val="auto"/>
        </w:rPr>
      </w:pPr>
      <w:r>
        <w:rPr>
          <w:rFonts w:ascii="Arial" w:cs="Arial" w:eastAsia="Arial" w:hAnsi="Arial"/>
          <w:sz w:val="16"/>
          <w:szCs w:val="16"/>
          <w:color w:val="auto"/>
        </w:rPr>
        <w:t>Due to changing markets facing our clients and to better align our financial reporting with our long-term strategic growth areas, we began reporting our financial results under new reportable segments effective July 1, 2020. The new reportable segments along with a description of each are as follows:</w:t>
      </w:r>
    </w:p>
    <w:p>
      <w:pPr>
        <w:spacing w:after="0" w:line="77" w:lineRule="exact"/>
        <w:rPr>
          <w:sz w:val="20"/>
          <w:szCs w:val="20"/>
          <w:color w:val="auto"/>
        </w:rPr>
      </w:pPr>
    </w:p>
    <w:p>
      <w:pPr>
        <w:jc w:val="both"/>
        <w:ind w:left="640" w:hanging="320"/>
        <w:spacing w:after="0" w:line="317" w:lineRule="auto"/>
        <w:tabs>
          <w:tab w:leader="none" w:pos="635" w:val="left"/>
        </w:tabs>
        <w:numPr>
          <w:ilvl w:val="0"/>
          <w:numId w:val="42"/>
        </w:numPr>
        <w:rPr>
          <w:rFonts w:ascii="Arial" w:cs="Arial" w:eastAsia="Arial" w:hAnsi="Arial"/>
          <w:sz w:val="15"/>
          <w:szCs w:val="15"/>
          <w:color w:val="auto"/>
        </w:rPr>
      </w:pPr>
      <w:r>
        <w:rPr>
          <w:rFonts w:ascii="Arial" w:cs="Arial" w:eastAsia="Arial" w:hAnsi="Arial"/>
          <w:sz w:val="15"/>
          <w:szCs w:val="15"/>
          <w:b w:val="1"/>
          <w:bCs w:val="1"/>
          <w:u w:val="single" w:color="auto"/>
          <w:color w:val="auto"/>
        </w:rPr>
        <w:t>Utility and Power Infrastructure</w:t>
      </w:r>
      <w:r>
        <w:rPr>
          <w:rFonts w:ascii="Arial" w:cs="Arial" w:eastAsia="Arial" w:hAnsi="Arial"/>
          <w:sz w:val="15"/>
          <w:szCs w:val="15"/>
          <w:color w:val="auto"/>
        </w:rPr>
        <w:t>: consists of power delivery services provided to investor owned utilities, including construction of new substations,</w:t>
      </w:r>
      <w:r>
        <w:rPr>
          <w:rFonts w:ascii="Arial" w:cs="Arial" w:eastAsia="Arial" w:hAnsi="Arial"/>
          <w:sz w:val="15"/>
          <w:szCs w:val="15"/>
          <w:b w:val="1"/>
          <w:bCs w:val="1"/>
          <w:color w:val="auto"/>
        </w:rPr>
        <w:t xml:space="preserve"> </w:t>
      </w:r>
      <w:r>
        <w:rPr>
          <w:rFonts w:ascii="Arial" w:cs="Arial" w:eastAsia="Arial" w:hAnsi="Arial"/>
          <w:sz w:val="15"/>
          <w:szCs w:val="15"/>
          <w:color w:val="auto"/>
        </w:rPr>
        <w:t>upgrades of existing substations, transmission and distribution line installations, upgrades and maintenance, as well as emergency and storm restoration services. We also provide construction and maintenance services to a variety of power generation facilities, including natural gas fired facilities in simple or combined cycle configuration and provide engineering, fabrication, and construction services for LNG utility peak shaving facilities.</w:t>
      </w:r>
    </w:p>
    <w:p>
      <w:pPr>
        <w:spacing w:after="0" w:line="85" w:lineRule="exact"/>
        <w:rPr>
          <w:rFonts w:ascii="Arial" w:cs="Arial" w:eastAsia="Arial" w:hAnsi="Arial"/>
          <w:sz w:val="15"/>
          <w:szCs w:val="15"/>
          <w:color w:val="auto"/>
        </w:rPr>
      </w:pPr>
    </w:p>
    <w:p>
      <w:pPr>
        <w:jc w:val="both"/>
        <w:ind w:left="640" w:hanging="320"/>
        <w:spacing w:after="0" w:line="267" w:lineRule="auto"/>
        <w:tabs>
          <w:tab w:leader="none" w:pos="635" w:val="left"/>
        </w:tabs>
        <w:numPr>
          <w:ilvl w:val="0"/>
          <w:numId w:val="42"/>
        </w:numPr>
        <w:rPr>
          <w:rFonts w:ascii="Arial" w:cs="Arial" w:eastAsia="Arial" w:hAnsi="Arial"/>
          <w:sz w:val="17"/>
          <w:szCs w:val="17"/>
          <w:color w:val="auto"/>
        </w:rPr>
      </w:pPr>
      <w:r>
        <w:rPr>
          <w:rFonts w:ascii="Arial" w:cs="Arial" w:eastAsia="Arial" w:hAnsi="Arial"/>
          <w:sz w:val="17"/>
          <w:szCs w:val="17"/>
          <w:b w:val="1"/>
          <w:bCs w:val="1"/>
          <w:u w:val="single" w:color="auto"/>
          <w:color w:val="auto"/>
        </w:rPr>
        <w:t>Process and Industrial Facilities</w:t>
      </w:r>
      <w:r>
        <w:rPr>
          <w:rFonts w:ascii="Arial" w:cs="Arial" w:eastAsia="Arial" w:hAnsi="Arial"/>
          <w:sz w:val="17"/>
          <w:szCs w:val="17"/>
          <w:color w:val="auto"/>
        </w:rPr>
        <w:t>: primarily serves customers in the downstream and midstream petroleum industries who are engaged in refining</w:t>
      </w:r>
      <w:r>
        <w:rPr>
          <w:rFonts w:ascii="Arial" w:cs="Arial" w:eastAsia="Arial" w:hAnsi="Arial"/>
          <w:sz w:val="17"/>
          <w:szCs w:val="17"/>
          <w:b w:val="1"/>
          <w:bCs w:val="1"/>
          <w:color w:val="auto"/>
        </w:rPr>
        <w:t xml:space="preserve"> </w:t>
      </w:r>
      <w:r>
        <w:rPr>
          <w:rFonts w:ascii="Arial" w:cs="Arial" w:eastAsia="Arial" w:hAnsi="Arial"/>
          <w:sz w:val="17"/>
          <w:szCs w:val="17"/>
          <w:color w:val="auto"/>
        </w:rPr>
        <w:t>crude oil and processing, fractionating, and marketing of natural gas and natural gas liquids. We also serve customers in various other industries such as petrochemical, sulfur, mining and minerals companies engaged primarily in the extraction of non-ferrous metals, aerospace and defense, cement, agriculture, and other industrial customers. Our services include plant maintenance, turnarounds, industrial cleaning services, engineering, fabrication, and capital construction.</w:t>
      </w:r>
    </w:p>
    <w:p>
      <w:pPr>
        <w:spacing w:after="0" w:line="119" w:lineRule="exact"/>
        <w:rPr>
          <w:rFonts w:ascii="Arial" w:cs="Arial" w:eastAsia="Arial" w:hAnsi="Arial"/>
          <w:sz w:val="17"/>
          <w:szCs w:val="17"/>
          <w:color w:val="auto"/>
        </w:rPr>
      </w:pPr>
    </w:p>
    <w:p>
      <w:pPr>
        <w:jc w:val="both"/>
        <w:ind w:left="640" w:hanging="320"/>
        <w:spacing w:after="0" w:line="265" w:lineRule="auto"/>
        <w:tabs>
          <w:tab w:leader="none" w:pos="635" w:val="left"/>
        </w:tabs>
        <w:numPr>
          <w:ilvl w:val="0"/>
          <w:numId w:val="42"/>
        </w:numPr>
        <w:rPr>
          <w:rFonts w:ascii="Arial" w:cs="Arial" w:eastAsia="Arial" w:hAnsi="Arial"/>
          <w:sz w:val="17"/>
          <w:szCs w:val="17"/>
          <w:color w:val="auto"/>
        </w:rPr>
      </w:pPr>
      <w:r>
        <w:rPr>
          <w:rFonts w:ascii="Arial" w:cs="Arial" w:eastAsia="Arial" w:hAnsi="Arial"/>
          <w:sz w:val="17"/>
          <w:szCs w:val="17"/>
          <w:b w:val="1"/>
          <w:bCs w:val="1"/>
          <w:u w:val="single" w:color="auto"/>
          <w:color w:val="auto"/>
        </w:rPr>
        <w:t>Storage and Terminal Solutions</w:t>
      </w:r>
      <w:r>
        <w:rPr>
          <w:rFonts w:ascii="Arial" w:cs="Arial" w:eastAsia="Arial" w:hAnsi="Arial"/>
          <w:sz w:val="17"/>
          <w:szCs w:val="17"/>
          <w:color w:val="auto"/>
        </w:rPr>
        <w:t>: consists of work related to aboveground storage tanks and terminals. We also include work related to cryogenic and</w:t>
      </w:r>
      <w:r>
        <w:rPr>
          <w:rFonts w:ascii="Arial" w:cs="Arial" w:eastAsia="Arial" w:hAnsi="Arial"/>
          <w:sz w:val="17"/>
          <w:szCs w:val="17"/>
          <w:b w:val="1"/>
          <w:bCs w:val="1"/>
          <w:color w:val="auto"/>
        </w:rPr>
        <w:t xml:space="preserve"> </w:t>
      </w:r>
      <w:r>
        <w:rPr>
          <w:rFonts w:ascii="Arial" w:cs="Arial" w:eastAsia="Arial" w:hAnsi="Arial"/>
          <w:sz w:val="17"/>
          <w:szCs w:val="17"/>
          <w:color w:val="auto"/>
        </w:rPr>
        <w:t>other specialty storage tanks and terminals, including LNG, liquid nitrogen/liquid oxygen, liquid petroleum, hydrogen and other specialty vessels such as spheres in this segment, as well work related to marine structures and truck and rail loading/offloading facilities. Our services include engineering, fabrication, construction, and maintenance and repair, which includes planned and emergency services for both tanks and full terminals. Finally, we offer tank products, including geodesic domes, aluminum internal floating roofs, floating suction and skimmer systems, roof drain systems and floating roof seals.</w:t>
      </w:r>
    </w:p>
    <w:p>
      <w:pPr>
        <w:spacing w:after="0" w:line="206" w:lineRule="exact"/>
        <w:rPr>
          <w:sz w:val="20"/>
          <w:szCs w:val="20"/>
          <w:color w:val="auto"/>
        </w:rPr>
      </w:pPr>
    </w:p>
    <w:p>
      <w:pPr>
        <w:spacing w:after="0" w:line="322" w:lineRule="auto"/>
        <w:rPr>
          <w:sz w:val="20"/>
          <w:szCs w:val="20"/>
          <w:color w:val="auto"/>
        </w:rPr>
      </w:pPr>
      <w:r>
        <w:rPr>
          <w:rFonts w:ascii="Arial" w:cs="Arial" w:eastAsia="Arial" w:hAnsi="Arial"/>
          <w:sz w:val="16"/>
          <w:szCs w:val="16"/>
          <w:color w:val="auto"/>
        </w:rPr>
        <w:t>All prior period segment information has been restated to conform with our new reportable segments. In addition, beginning July 1, 2020, we separately report corporate selling, general and administrative expenses and other corporate expenses that were previously allocated to the segments.</w:t>
      </w:r>
    </w:p>
    <w:p>
      <w:pPr>
        <w:spacing w:after="0" w:line="162" w:lineRule="exact"/>
        <w:rPr>
          <w:sz w:val="20"/>
          <w:szCs w:val="20"/>
          <w:color w:val="auto"/>
        </w:rPr>
      </w:pPr>
    </w:p>
    <w:p>
      <w:pPr>
        <w:spacing w:after="0" w:line="289" w:lineRule="auto"/>
        <w:rPr>
          <w:sz w:val="20"/>
          <w:szCs w:val="20"/>
          <w:color w:val="auto"/>
        </w:rPr>
      </w:pPr>
      <w:r>
        <w:rPr>
          <w:rFonts w:ascii="Arial" w:cs="Arial" w:eastAsia="Arial" w:hAnsi="Arial"/>
          <w:sz w:val="17"/>
          <w:szCs w:val="17"/>
          <w:color w:val="auto"/>
        </w:rPr>
        <w:t>We evaluate performance and allocate resources based on operating income. We record intersegment sales and transfers at cost; therefore, no intercompany profit or loss is recognized.</w:t>
      </w:r>
    </w:p>
    <w:p>
      <w:pPr>
        <w:spacing w:after="0" w:line="185" w:lineRule="exact"/>
        <w:rPr>
          <w:sz w:val="20"/>
          <w:szCs w:val="20"/>
          <w:color w:val="auto"/>
        </w:rPr>
      </w:pPr>
    </w:p>
    <w:p>
      <w:pPr>
        <w:spacing w:after="0" w:line="289" w:lineRule="auto"/>
        <w:rPr>
          <w:sz w:val="20"/>
          <w:szCs w:val="20"/>
          <w:color w:val="auto"/>
        </w:rPr>
      </w:pPr>
      <w:r>
        <w:rPr>
          <w:rFonts w:ascii="Arial" w:cs="Arial" w:eastAsia="Arial" w:hAnsi="Arial"/>
          <w:sz w:val="17"/>
          <w:szCs w:val="17"/>
          <w:color w:val="auto"/>
        </w:rPr>
        <w:t>Segment assets consist primarily of accounts receivable, costs and estimated earnings in excess of billings on uncompleted contracts, property, plant and equipment, right-of-use lease assets, goodwill and other intangible assets.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81" w:name="page82"/>
    <w:bookmarkEnd w:id="81"/>
    <w:p>
      <w:pPr>
        <w:jc w:val="center"/>
        <w:ind w:right="540"/>
        <w:spacing w:after="0"/>
        <w:rPr>
          <w:sz w:val="20"/>
          <w:szCs w:val="20"/>
          <w:color w:val="auto"/>
        </w:rPr>
      </w:pPr>
      <w:r>
        <w:rPr>
          <w:rFonts w:ascii="Arial" w:cs="Arial" w:eastAsia="Arial" w:hAnsi="Arial"/>
          <w:sz w:val="17"/>
          <w:szCs w:val="17"/>
          <w:b w:val="1"/>
          <w:bCs w:val="1"/>
          <w:color w:val="auto"/>
        </w:rPr>
        <w:t>Matrix Service Company</w:t>
      </w:r>
    </w:p>
    <w:p>
      <w:pPr>
        <w:spacing w:after="0" w:line="250" w:lineRule="exact"/>
        <w:rPr>
          <w:sz w:val="20"/>
          <w:szCs w:val="20"/>
          <w:color w:val="auto"/>
        </w:rPr>
      </w:pPr>
    </w:p>
    <w:p>
      <w:pPr>
        <w:ind w:left="3120"/>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Results of Operations</w:t>
      </w:r>
    </w:p>
    <w:p>
      <w:pPr>
        <w:spacing w:after="0" w:line="32"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00" w:type="dxa"/>
            <w:vAlign w:val="bottom"/>
          </w:tcPr>
          <w:p>
            <w:pPr>
              <w:spacing w:after="0"/>
              <w:rPr>
                <w:sz w:val="14"/>
                <w:szCs w:val="14"/>
                <w:color w:val="auto"/>
              </w:rPr>
            </w:pPr>
          </w:p>
        </w:tc>
        <w:tc>
          <w:tcPr>
            <w:tcW w:w="1720" w:type="dxa"/>
            <w:vAlign w:val="bottom"/>
            <w:gridSpan w:val="3"/>
            <w:vMerge w:val="restart"/>
          </w:tcPr>
          <w:p>
            <w:pPr>
              <w:ind w:left="500"/>
              <w:spacing w:after="0"/>
              <w:rPr>
                <w:sz w:val="20"/>
                <w:szCs w:val="20"/>
                <w:color w:val="auto"/>
              </w:rPr>
            </w:pPr>
            <w:r>
              <w:rPr>
                <w:rFonts w:ascii="Arial" w:cs="Arial" w:eastAsia="Arial" w:hAnsi="Arial"/>
                <w:sz w:val="14"/>
                <w:szCs w:val="14"/>
                <w:b w:val="1"/>
                <w:bCs w:val="1"/>
                <w:color w:val="auto"/>
              </w:rPr>
              <w:t>Utility and Power</w:t>
            </w:r>
          </w:p>
        </w:tc>
        <w:tc>
          <w:tcPr>
            <w:tcW w:w="600" w:type="dxa"/>
            <w:vAlign w:val="bottom"/>
          </w:tcPr>
          <w:p>
            <w:pPr>
              <w:spacing w:after="0"/>
              <w:rPr>
                <w:sz w:val="14"/>
                <w:szCs w:val="14"/>
                <w:color w:val="auto"/>
              </w:rPr>
            </w:pPr>
          </w:p>
        </w:tc>
        <w:tc>
          <w:tcPr>
            <w:tcW w:w="11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Process and</w:t>
            </w:r>
          </w:p>
        </w:tc>
        <w:tc>
          <w:tcPr>
            <w:tcW w:w="600" w:type="dxa"/>
            <w:vAlign w:val="bottom"/>
          </w:tcPr>
          <w:p>
            <w:pPr>
              <w:spacing w:after="0"/>
              <w:rPr>
                <w:sz w:val="14"/>
                <w:szCs w:val="14"/>
                <w:color w:val="auto"/>
              </w:rPr>
            </w:pPr>
          </w:p>
        </w:tc>
        <w:tc>
          <w:tcPr>
            <w:tcW w:w="1100" w:type="dxa"/>
            <w:vAlign w:val="bottom"/>
            <w:gridSpan w:val="2"/>
          </w:tcPr>
          <w:p>
            <w:pPr>
              <w:ind w:left="60"/>
              <w:spacing w:after="0"/>
              <w:rPr>
                <w:sz w:val="20"/>
                <w:szCs w:val="20"/>
                <w:color w:val="auto"/>
              </w:rPr>
            </w:pPr>
            <w:r>
              <w:rPr>
                <w:rFonts w:ascii="Arial" w:cs="Arial" w:eastAsia="Arial" w:hAnsi="Arial"/>
                <w:sz w:val="14"/>
                <w:szCs w:val="14"/>
                <w:b w:val="1"/>
                <w:bCs w:val="1"/>
                <w:color w:val="auto"/>
              </w:rPr>
              <w:t>Storage and</w:t>
            </w: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900" w:type="dxa"/>
            <w:vAlign w:val="bottom"/>
          </w:tcPr>
          <w:p>
            <w:pPr>
              <w:spacing w:after="0"/>
              <w:rPr>
                <w:sz w:val="11"/>
                <w:szCs w:val="11"/>
                <w:color w:val="auto"/>
              </w:rPr>
            </w:pPr>
          </w:p>
        </w:tc>
        <w:tc>
          <w:tcPr>
            <w:tcW w:w="1720" w:type="dxa"/>
            <w:vAlign w:val="bottom"/>
            <w:gridSpan w:val="3"/>
            <w:vMerge w:val="continue"/>
          </w:tcPr>
          <w:p>
            <w:pPr>
              <w:spacing w:after="0"/>
              <w:rPr>
                <w:sz w:val="11"/>
                <w:szCs w:val="11"/>
                <w:color w:val="auto"/>
              </w:rPr>
            </w:pPr>
          </w:p>
        </w:tc>
        <w:tc>
          <w:tcPr>
            <w:tcW w:w="60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700" w:type="dxa"/>
            <w:vAlign w:val="bottom"/>
            <w:gridSpan w:val="3"/>
          </w:tcPr>
          <w:p>
            <w:pPr>
              <w:ind w:left="520"/>
              <w:spacing w:after="0" w:line="131" w:lineRule="exact"/>
              <w:rPr>
                <w:sz w:val="20"/>
                <w:szCs w:val="20"/>
                <w:color w:val="auto"/>
              </w:rPr>
            </w:pPr>
            <w:r>
              <w:rPr>
                <w:rFonts w:ascii="Arial" w:cs="Arial" w:eastAsia="Arial" w:hAnsi="Arial"/>
                <w:sz w:val="14"/>
                <w:szCs w:val="14"/>
                <w:b w:val="1"/>
                <w:bCs w:val="1"/>
                <w:color w:val="auto"/>
              </w:rPr>
              <w:t>Terminal</w:t>
            </w:r>
          </w:p>
        </w:tc>
        <w:tc>
          <w:tcPr>
            <w:tcW w:w="560" w:type="dxa"/>
            <w:vAlign w:val="bottom"/>
          </w:tcPr>
          <w:p>
            <w:pPr>
              <w:spacing w:after="0"/>
              <w:rPr>
                <w:sz w:val="11"/>
                <w:szCs w:val="11"/>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Corporate</w:t>
            </w:r>
          </w:p>
        </w:tc>
        <w:tc>
          <w:tcPr>
            <w:tcW w:w="740" w:type="dxa"/>
            <w:vAlign w:val="bottom"/>
          </w:tcPr>
          <w:p>
            <w:pPr>
              <w:spacing w:after="0"/>
              <w:rPr>
                <w:sz w:val="11"/>
                <w:szCs w:val="11"/>
                <w:color w:val="auto"/>
              </w:rPr>
            </w:pPr>
          </w:p>
        </w:tc>
        <w:tc>
          <w:tcPr>
            <w:tcW w:w="68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2900" w:type="dxa"/>
            <w:vAlign w:val="bottom"/>
          </w:tcPr>
          <w:p>
            <w:pPr>
              <w:spacing w:after="0"/>
              <w:rPr>
                <w:sz w:val="15"/>
                <w:szCs w:val="15"/>
                <w:color w:val="auto"/>
              </w:rPr>
            </w:pPr>
          </w:p>
        </w:tc>
        <w:tc>
          <w:tcPr>
            <w:tcW w:w="1720" w:type="dxa"/>
            <w:vAlign w:val="bottom"/>
            <w:gridSpan w:val="3"/>
          </w:tcPr>
          <w:p>
            <w:pPr>
              <w:ind w:left="380"/>
              <w:spacing w:after="0"/>
              <w:rPr>
                <w:sz w:val="20"/>
                <w:szCs w:val="20"/>
                <w:color w:val="auto"/>
              </w:rPr>
            </w:pPr>
            <w:r>
              <w:rPr>
                <w:rFonts w:ascii="Arial" w:cs="Arial" w:eastAsia="Arial" w:hAnsi="Arial"/>
                <w:sz w:val="14"/>
                <w:szCs w:val="14"/>
                <w:b w:val="1"/>
                <w:bCs w:val="1"/>
                <w:color w:val="auto"/>
              </w:rPr>
              <w:t>Infrastructure</w:t>
            </w:r>
          </w:p>
        </w:tc>
        <w:tc>
          <w:tcPr>
            <w:tcW w:w="1720" w:type="dxa"/>
            <w:vAlign w:val="bottom"/>
            <w:gridSpan w:val="3"/>
          </w:tcPr>
          <w:p>
            <w:pPr>
              <w:ind w:left="220"/>
              <w:spacing w:after="0"/>
              <w:rPr>
                <w:sz w:val="20"/>
                <w:szCs w:val="20"/>
                <w:color w:val="auto"/>
              </w:rPr>
            </w:pPr>
            <w:r>
              <w:rPr>
                <w:rFonts w:ascii="Arial" w:cs="Arial" w:eastAsia="Arial" w:hAnsi="Arial"/>
                <w:sz w:val="14"/>
                <w:szCs w:val="14"/>
                <w:b w:val="1"/>
                <w:bCs w:val="1"/>
                <w:color w:val="auto"/>
              </w:rPr>
              <w:t>Industrial Facilities</w:t>
            </w:r>
          </w:p>
        </w:tc>
        <w:tc>
          <w:tcPr>
            <w:tcW w:w="1700" w:type="dxa"/>
            <w:vAlign w:val="bottom"/>
            <w:gridSpan w:val="3"/>
          </w:tcPr>
          <w:p>
            <w:pPr>
              <w:ind w:left="520"/>
              <w:spacing w:after="0"/>
              <w:rPr>
                <w:sz w:val="20"/>
                <w:szCs w:val="20"/>
                <w:color w:val="auto"/>
              </w:rPr>
            </w:pPr>
            <w:r>
              <w:rPr>
                <w:rFonts w:ascii="Arial" w:cs="Arial" w:eastAsia="Arial" w:hAnsi="Arial"/>
                <w:sz w:val="14"/>
                <w:szCs w:val="14"/>
                <w:b w:val="1"/>
                <w:bCs w:val="1"/>
                <w:color w:val="auto"/>
              </w:rPr>
              <w:t>Solutions</w:t>
            </w:r>
          </w:p>
        </w:tc>
        <w:tc>
          <w:tcPr>
            <w:tcW w:w="56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900" w:type="dxa"/>
            <w:vAlign w:val="bottom"/>
          </w:tcPr>
          <w:p>
            <w:pPr>
              <w:ind w:left="440"/>
              <w:spacing w:after="0" w:line="176" w:lineRule="exact"/>
              <w:rPr>
                <w:sz w:val="20"/>
                <w:szCs w:val="20"/>
                <w:color w:val="auto"/>
              </w:rPr>
            </w:pPr>
            <w:r>
              <w:rPr>
                <w:rFonts w:ascii="Arial" w:cs="Arial" w:eastAsia="Arial" w:hAnsi="Arial"/>
                <w:sz w:val="17"/>
                <w:szCs w:val="17"/>
                <w:b w:val="1"/>
                <w:bCs w:val="1"/>
                <w:color w:val="auto"/>
              </w:rPr>
              <w:t>Fiscal year ended June 30,</w:t>
            </w:r>
          </w:p>
        </w:tc>
        <w:tc>
          <w:tcPr>
            <w:tcW w:w="7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900" w:type="dxa"/>
            <w:vAlign w:val="bottom"/>
          </w:tcPr>
          <w:p>
            <w:pPr>
              <w:ind w:left="20"/>
              <w:spacing w:after="0"/>
              <w:rPr>
                <w:sz w:val="20"/>
                <w:szCs w:val="20"/>
                <w:color w:val="auto"/>
              </w:rPr>
            </w:pPr>
            <w:r>
              <w:rPr>
                <w:rFonts w:ascii="Arial" w:cs="Arial" w:eastAsia="Arial" w:hAnsi="Arial"/>
                <w:sz w:val="17"/>
                <w:szCs w:val="17"/>
                <w:b w:val="1"/>
                <w:bCs w:val="1"/>
                <w:color w:val="auto"/>
              </w:rPr>
              <w:t>2021</w:t>
            </w:r>
          </w:p>
        </w:tc>
        <w:tc>
          <w:tcPr>
            <w:tcW w:w="7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00" w:type="dxa"/>
            <w:vAlign w:val="bottom"/>
            <w:shd w:val="clear" w:color="auto" w:fill="CCEEFF"/>
          </w:tcPr>
          <w:p>
            <w:pPr>
              <w:ind w:left="440"/>
              <w:spacing w:after="0"/>
              <w:rPr>
                <w:sz w:val="20"/>
                <w:szCs w:val="20"/>
                <w:color w:val="auto"/>
              </w:rPr>
            </w:pPr>
            <w:r>
              <w:rPr>
                <w:rFonts w:ascii="Arial" w:cs="Arial" w:eastAsia="Arial" w:hAnsi="Arial"/>
                <w:sz w:val="17"/>
                <w:szCs w:val="17"/>
                <w:color w:val="auto"/>
              </w:rPr>
              <w:t>Gross revenue</w:t>
            </w:r>
          </w:p>
        </w:tc>
        <w:tc>
          <w:tcPr>
            <w:tcW w:w="760" w:type="dxa"/>
            <w:vAlign w:val="bottom"/>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210,052</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201,472</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267,982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679,</w:t>
            </w:r>
          </w:p>
        </w:tc>
        <w:tc>
          <w:tcPr>
            <w:tcW w:w="0" w:type="dxa"/>
            <w:vAlign w:val="bottom"/>
          </w:tcPr>
          <w:p>
            <w:pPr>
              <w:spacing w:after="0"/>
              <w:rPr>
                <w:sz w:val="1"/>
                <w:szCs w:val="1"/>
                <w:color w:val="auto"/>
              </w:rPr>
            </w:pPr>
          </w:p>
        </w:tc>
      </w:tr>
      <w:tr>
        <w:trPr>
          <w:trHeight w:val="223"/>
        </w:trPr>
        <w:tc>
          <w:tcPr>
            <w:tcW w:w="2900" w:type="dxa"/>
            <w:vAlign w:val="bottom"/>
            <w:tcBorders>
              <w:bottom w:val="single" w:sz="8" w:color="CCEEFF"/>
            </w:tcBorders>
          </w:tcPr>
          <w:p>
            <w:pPr>
              <w:ind w:left="440"/>
              <w:spacing w:after="0"/>
              <w:rPr>
                <w:sz w:val="20"/>
                <w:szCs w:val="20"/>
                <w:color w:val="auto"/>
              </w:rPr>
            </w:pPr>
            <w:r>
              <w:rPr>
                <w:rFonts w:ascii="Arial" w:cs="Arial" w:eastAsia="Arial" w:hAnsi="Arial"/>
                <w:sz w:val="17"/>
                <w:szCs w:val="17"/>
                <w:color w:val="auto"/>
              </w:rPr>
              <w:t>Less: inter-segment revenue</w:t>
            </w:r>
          </w:p>
        </w:tc>
        <w:tc>
          <w:tcPr>
            <w:tcW w:w="7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1,555</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4,553</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ind w:left="440"/>
              <w:spacing w:after="0"/>
              <w:rPr>
                <w:sz w:val="20"/>
                <w:szCs w:val="20"/>
                <w:color w:val="auto"/>
              </w:rPr>
            </w:pPr>
            <w:r>
              <w:rPr>
                <w:rFonts w:ascii="Arial" w:cs="Arial" w:eastAsia="Arial" w:hAnsi="Arial"/>
                <w:sz w:val="17"/>
                <w:szCs w:val="17"/>
                <w:color w:val="auto"/>
              </w:rPr>
              <w:t>Consolidated revenue</w:t>
            </w:r>
          </w:p>
        </w:tc>
        <w:tc>
          <w:tcPr>
            <w:tcW w:w="7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210,052</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199,917</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263,429</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673,</w:t>
            </w:r>
          </w:p>
        </w:tc>
        <w:tc>
          <w:tcPr>
            <w:tcW w:w="0" w:type="dxa"/>
            <w:vAlign w:val="bottom"/>
          </w:tcPr>
          <w:p>
            <w:pPr>
              <w:spacing w:after="0"/>
              <w:rPr>
                <w:sz w:val="1"/>
                <w:szCs w:val="1"/>
                <w:color w:val="auto"/>
              </w:rPr>
            </w:pPr>
          </w:p>
        </w:tc>
      </w:tr>
      <w:tr>
        <w:trPr>
          <w:trHeight w:val="223"/>
        </w:trPr>
        <w:tc>
          <w:tcPr>
            <w:tcW w:w="2900" w:type="dxa"/>
            <w:vAlign w:val="bottom"/>
          </w:tcPr>
          <w:p>
            <w:pPr>
              <w:ind w:left="440"/>
              <w:spacing w:after="0"/>
              <w:rPr>
                <w:sz w:val="20"/>
                <w:szCs w:val="20"/>
                <w:color w:val="auto"/>
              </w:rPr>
            </w:pPr>
            <w:r>
              <w:rPr>
                <w:rFonts w:ascii="Arial" w:cs="Arial" w:eastAsia="Arial" w:hAnsi="Arial"/>
                <w:sz w:val="17"/>
                <w:szCs w:val="17"/>
                <w:color w:val="auto"/>
              </w:rPr>
              <w:t>Gross profit</w:t>
            </w:r>
          </w:p>
        </w:tc>
        <w:tc>
          <w:tcPr>
            <w:tcW w:w="7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1,506</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17,642</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13,617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7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32,</w:t>
            </w:r>
          </w:p>
        </w:tc>
        <w:tc>
          <w:tcPr>
            <w:tcW w:w="0" w:type="dxa"/>
            <w:vAlign w:val="bottom"/>
          </w:tcPr>
          <w:p>
            <w:pPr>
              <w:spacing w:after="0"/>
              <w:rPr>
                <w:sz w:val="1"/>
                <w:szCs w:val="1"/>
                <w:color w:val="auto"/>
              </w:rPr>
            </w:pPr>
          </w:p>
        </w:tc>
      </w:tr>
      <w:tr>
        <w:trPr>
          <w:trHeight w:val="171"/>
        </w:trPr>
        <w:tc>
          <w:tcPr>
            <w:tcW w:w="2900" w:type="dxa"/>
            <w:vAlign w:val="bottom"/>
            <w:shd w:val="clear" w:color="auto" w:fill="CCEEFF"/>
          </w:tcPr>
          <w:p>
            <w:pPr>
              <w:ind w:left="440"/>
              <w:spacing w:after="0" w:line="172" w:lineRule="exact"/>
              <w:rPr>
                <w:sz w:val="20"/>
                <w:szCs w:val="20"/>
                <w:color w:val="auto"/>
              </w:rPr>
            </w:pPr>
            <w:r>
              <w:rPr>
                <w:rFonts w:ascii="Arial" w:cs="Arial" w:eastAsia="Arial" w:hAnsi="Arial"/>
                <w:sz w:val="17"/>
                <w:szCs w:val="17"/>
                <w:color w:val="auto"/>
              </w:rPr>
              <w:t>Selling, general and</w:t>
            </w:r>
          </w:p>
        </w:tc>
        <w:tc>
          <w:tcPr>
            <w:tcW w:w="76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9,882</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14,756</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18,644</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26,474</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69,</w:t>
            </w:r>
          </w:p>
        </w:tc>
        <w:tc>
          <w:tcPr>
            <w:tcW w:w="0" w:type="dxa"/>
            <w:vAlign w:val="bottom"/>
          </w:tcPr>
          <w:p>
            <w:pPr>
              <w:spacing w:after="0"/>
              <w:rPr>
                <w:sz w:val="1"/>
                <w:szCs w:val="1"/>
                <w:color w:val="auto"/>
              </w:rPr>
            </w:pPr>
          </w:p>
        </w:tc>
      </w:tr>
      <w:tr>
        <w:trPr>
          <w:trHeight w:val="222"/>
        </w:trPr>
        <w:tc>
          <w:tcPr>
            <w:tcW w:w="2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administrative expenses</w:t>
            </w:r>
          </w:p>
        </w:tc>
        <w:tc>
          <w:tcPr>
            <w:tcW w:w="76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00" w:type="dxa"/>
            <w:vAlign w:val="bottom"/>
          </w:tcPr>
          <w:p>
            <w:pPr>
              <w:ind w:left="440"/>
              <w:spacing w:after="0"/>
              <w:rPr>
                <w:sz w:val="20"/>
                <w:szCs w:val="20"/>
                <w:color w:val="auto"/>
              </w:rPr>
            </w:pPr>
            <w:r>
              <w:rPr>
                <w:rFonts w:ascii="Arial" w:cs="Arial" w:eastAsia="Arial" w:hAnsi="Arial"/>
                <w:sz w:val="17"/>
                <w:szCs w:val="17"/>
                <w:color w:val="auto"/>
              </w:rPr>
              <w:t>Restructuring costs</w:t>
            </w:r>
          </w:p>
        </w:tc>
        <w:tc>
          <w:tcPr>
            <w:tcW w:w="7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1,312</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3,807</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1,391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246</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23"/>
        </w:trPr>
        <w:tc>
          <w:tcPr>
            <w:tcW w:w="2900" w:type="dxa"/>
            <w:vAlign w:val="bottom"/>
            <w:shd w:val="clear" w:color="auto" w:fill="CCEEFF"/>
          </w:tcPr>
          <w:p>
            <w:pPr>
              <w:ind w:left="440"/>
              <w:spacing w:after="0"/>
              <w:rPr>
                <w:sz w:val="20"/>
                <w:szCs w:val="20"/>
                <w:color w:val="auto"/>
              </w:rPr>
            </w:pPr>
            <w:r>
              <w:rPr>
                <w:rFonts w:ascii="Arial" w:cs="Arial" w:eastAsia="Arial" w:hAnsi="Arial"/>
                <w:sz w:val="17"/>
                <w:szCs w:val="17"/>
                <w:color w:val="auto"/>
              </w:rPr>
              <w:t>Operating loss</w:t>
            </w:r>
          </w:p>
        </w:tc>
        <w:tc>
          <w:tcPr>
            <w:tcW w:w="7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(9,688)</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(921)</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(6,418)</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(26,720)</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w:t>
            </w:r>
          </w:p>
        </w:tc>
        <w:tc>
          <w:tcPr>
            <w:tcW w:w="0" w:type="dxa"/>
            <w:vAlign w:val="bottom"/>
          </w:tcPr>
          <w:p>
            <w:pPr>
              <w:spacing w:after="0"/>
              <w:rPr>
                <w:sz w:val="1"/>
                <w:szCs w:val="1"/>
                <w:color w:val="auto"/>
              </w:rPr>
            </w:pPr>
          </w:p>
        </w:tc>
      </w:tr>
      <w:tr>
        <w:trPr>
          <w:trHeight w:val="223"/>
        </w:trPr>
        <w:tc>
          <w:tcPr>
            <w:tcW w:w="2900" w:type="dxa"/>
            <w:vAlign w:val="bottom"/>
          </w:tcPr>
          <w:p>
            <w:pPr>
              <w:ind w:left="440"/>
              <w:spacing w:after="0"/>
              <w:rPr>
                <w:sz w:val="20"/>
                <w:szCs w:val="20"/>
                <w:color w:val="auto"/>
              </w:rPr>
            </w:pPr>
            <w:r>
              <w:rPr>
                <w:rFonts w:ascii="Arial" w:cs="Arial" w:eastAsia="Arial" w:hAnsi="Arial"/>
                <w:sz w:val="17"/>
                <w:szCs w:val="17"/>
                <w:color w:val="auto"/>
              </w:rPr>
              <w:t>Segment assets</w:t>
            </w:r>
          </w:p>
        </w:tc>
        <w:tc>
          <w:tcPr>
            <w:tcW w:w="7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81,717</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106,619</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160,782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118,438</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467,</w:t>
            </w:r>
          </w:p>
        </w:tc>
        <w:tc>
          <w:tcPr>
            <w:tcW w:w="0" w:type="dxa"/>
            <w:vAlign w:val="bottom"/>
          </w:tcPr>
          <w:p>
            <w:pPr>
              <w:spacing w:after="0"/>
              <w:rPr>
                <w:sz w:val="1"/>
                <w:szCs w:val="1"/>
                <w:color w:val="auto"/>
              </w:rPr>
            </w:pPr>
          </w:p>
        </w:tc>
      </w:tr>
      <w:tr>
        <w:trPr>
          <w:trHeight w:val="223"/>
        </w:trPr>
        <w:tc>
          <w:tcPr>
            <w:tcW w:w="2900" w:type="dxa"/>
            <w:vAlign w:val="bottom"/>
            <w:shd w:val="clear" w:color="auto" w:fill="CCEEFF"/>
          </w:tcPr>
          <w:p>
            <w:pPr>
              <w:ind w:left="440"/>
              <w:spacing w:after="0"/>
              <w:rPr>
                <w:sz w:val="20"/>
                <w:szCs w:val="20"/>
                <w:color w:val="auto"/>
              </w:rPr>
            </w:pPr>
            <w:r>
              <w:rPr>
                <w:rFonts w:ascii="Arial" w:cs="Arial" w:eastAsia="Arial" w:hAnsi="Arial"/>
                <w:sz w:val="17"/>
                <w:szCs w:val="17"/>
                <w:color w:val="auto"/>
              </w:rPr>
              <w:t>Capital expenditures</w:t>
            </w:r>
          </w:p>
        </w:tc>
        <w:tc>
          <w:tcPr>
            <w:tcW w:w="7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1,183</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834</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1,136</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1,201</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171"/>
        </w:trPr>
        <w:tc>
          <w:tcPr>
            <w:tcW w:w="2900" w:type="dxa"/>
            <w:vAlign w:val="bottom"/>
          </w:tcPr>
          <w:p>
            <w:pPr>
              <w:ind w:left="440"/>
              <w:spacing w:after="0" w:line="172" w:lineRule="exact"/>
              <w:rPr>
                <w:sz w:val="20"/>
                <w:szCs w:val="20"/>
                <w:color w:val="auto"/>
              </w:rPr>
            </w:pPr>
            <w:r>
              <w:rPr>
                <w:rFonts w:ascii="Arial" w:cs="Arial" w:eastAsia="Arial" w:hAnsi="Arial"/>
                <w:sz w:val="17"/>
                <w:szCs w:val="17"/>
                <w:color w:val="auto"/>
              </w:rPr>
              <w:t>Depreciation and amortization</w:t>
            </w:r>
          </w:p>
        </w:tc>
        <w:tc>
          <w:tcPr>
            <w:tcW w:w="76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7"/>
                <w:szCs w:val="17"/>
                <w:color w:val="auto"/>
              </w:rPr>
              <w:t>4,127</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7"/>
                <w:szCs w:val="17"/>
                <w:color w:val="auto"/>
              </w:rPr>
              <w:t>6,018</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7"/>
                <w:szCs w:val="17"/>
                <w:color w:val="auto"/>
              </w:rPr>
              <w:t>7,456</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7"/>
                <w:szCs w:val="17"/>
                <w:color w:val="auto"/>
              </w:rPr>
              <w:t>257</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222"/>
        </w:trPr>
        <w:tc>
          <w:tcPr>
            <w:tcW w:w="2900" w:type="dxa"/>
            <w:vAlign w:val="bottom"/>
          </w:tcPr>
          <w:p>
            <w:pPr>
              <w:ind w:left="20"/>
              <w:spacing w:after="0"/>
              <w:rPr>
                <w:sz w:val="20"/>
                <w:szCs w:val="20"/>
                <w:color w:val="auto"/>
              </w:rPr>
            </w:pPr>
            <w:r>
              <w:rPr>
                <w:rFonts w:ascii="Arial" w:cs="Arial" w:eastAsia="Arial" w:hAnsi="Arial"/>
                <w:sz w:val="17"/>
                <w:szCs w:val="17"/>
                <w:color w:val="auto"/>
              </w:rPr>
              <w:t>expense</w:t>
            </w:r>
          </w:p>
        </w:tc>
        <w:tc>
          <w:tcPr>
            <w:tcW w:w="76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2900" w:type="dxa"/>
            <w:vAlign w:val="bottom"/>
            <w:shd w:val="clear" w:color="auto" w:fill="CCEEFF"/>
          </w:tcPr>
          <w:p>
            <w:pPr>
              <w:ind w:left="440"/>
              <w:spacing w:after="0" w:line="171" w:lineRule="exact"/>
              <w:rPr>
                <w:sz w:val="20"/>
                <w:szCs w:val="20"/>
                <w:color w:val="auto"/>
              </w:rPr>
            </w:pPr>
            <w:r>
              <w:rPr>
                <w:rFonts w:ascii="Arial" w:cs="Arial" w:eastAsia="Arial" w:hAnsi="Arial"/>
                <w:sz w:val="17"/>
                <w:szCs w:val="17"/>
                <w:b w:val="1"/>
                <w:bCs w:val="1"/>
                <w:color w:val="auto"/>
              </w:rPr>
              <w:t>Fiscal year ended June 30,</w:t>
            </w:r>
          </w:p>
        </w:tc>
        <w:tc>
          <w:tcPr>
            <w:tcW w:w="7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9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2020</w:t>
            </w:r>
          </w:p>
        </w:tc>
        <w:tc>
          <w:tcPr>
            <w:tcW w:w="7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00" w:type="dxa"/>
            <w:vAlign w:val="bottom"/>
          </w:tcPr>
          <w:p>
            <w:pPr>
              <w:ind w:left="440"/>
              <w:spacing w:after="0"/>
              <w:rPr>
                <w:sz w:val="20"/>
                <w:szCs w:val="20"/>
                <w:color w:val="auto"/>
              </w:rPr>
            </w:pPr>
            <w:r>
              <w:rPr>
                <w:rFonts w:ascii="Arial" w:cs="Arial" w:eastAsia="Arial" w:hAnsi="Arial"/>
                <w:sz w:val="17"/>
                <w:szCs w:val="17"/>
                <w:color w:val="auto"/>
              </w:rPr>
              <w:t>Gross revenue</w:t>
            </w:r>
          </w:p>
        </w:tc>
        <w:tc>
          <w:tcPr>
            <w:tcW w:w="760" w:type="dxa"/>
            <w:vAlign w:val="bottom"/>
          </w:tcPr>
          <w:p>
            <w:pPr>
              <w:jc w:val="right"/>
              <w:ind w:right="140"/>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212,001</w:t>
            </w: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424,710</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470,871</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740" w:type="dxa"/>
            <w:vAlign w:val="bottom"/>
          </w:tcPr>
          <w:p>
            <w:pPr>
              <w:jc w:val="right"/>
              <w:ind w:right="113"/>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1,107,</w:t>
            </w:r>
          </w:p>
        </w:tc>
        <w:tc>
          <w:tcPr>
            <w:tcW w:w="0" w:type="dxa"/>
            <w:vAlign w:val="bottom"/>
          </w:tcPr>
          <w:p>
            <w:pPr>
              <w:spacing w:after="0"/>
              <w:rPr>
                <w:sz w:val="1"/>
                <w:szCs w:val="1"/>
                <w:color w:val="auto"/>
              </w:rPr>
            </w:pPr>
          </w:p>
        </w:tc>
      </w:tr>
      <w:tr>
        <w:trPr>
          <w:trHeight w:val="223"/>
        </w:trPr>
        <w:tc>
          <w:tcPr>
            <w:tcW w:w="2900" w:type="dxa"/>
            <w:vAlign w:val="bottom"/>
            <w:shd w:val="clear" w:color="auto" w:fill="CCEEFF"/>
          </w:tcPr>
          <w:p>
            <w:pPr>
              <w:ind w:left="440"/>
              <w:spacing w:after="0"/>
              <w:rPr>
                <w:sz w:val="20"/>
                <w:szCs w:val="20"/>
                <w:color w:val="auto"/>
              </w:rPr>
            </w:pPr>
            <w:r>
              <w:rPr>
                <w:rFonts w:ascii="Arial" w:cs="Arial" w:eastAsia="Arial" w:hAnsi="Arial"/>
                <w:sz w:val="17"/>
                <w:szCs w:val="17"/>
                <w:color w:val="auto"/>
              </w:rPr>
              <w:t>Less: inter-segment revenue</w:t>
            </w:r>
          </w:p>
        </w:tc>
        <w:tc>
          <w:tcPr>
            <w:tcW w:w="7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2,839</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3,805</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16"/>
        </w:trPr>
        <w:tc>
          <w:tcPr>
            <w:tcW w:w="2900" w:type="dxa"/>
            <w:vAlign w:val="bottom"/>
          </w:tcPr>
          <w:p>
            <w:pPr>
              <w:ind w:left="440"/>
              <w:spacing w:after="0"/>
              <w:rPr>
                <w:sz w:val="20"/>
                <w:szCs w:val="20"/>
                <w:color w:val="auto"/>
              </w:rPr>
            </w:pPr>
            <w:r>
              <w:rPr>
                <w:rFonts w:ascii="Arial" w:cs="Arial" w:eastAsia="Arial" w:hAnsi="Arial"/>
                <w:sz w:val="17"/>
                <w:szCs w:val="17"/>
                <w:color w:val="auto"/>
              </w:rPr>
              <w:t>Consolidated revenue</w:t>
            </w:r>
          </w:p>
        </w:tc>
        <w:tc>
          <w:tcPr>
            <w:tcW w:w="7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212,001</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421,871</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467,066</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7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1,100,</w:t>
            </w:r>
          </w:p>
        </w:tc>
        <w:tc>
          <w:tcPr>
            <w:tcW w:w="0" w:type="dxa"/>
            <w:vAlign w:val="bottom"/>
          </w:tcPr>
          <w:p>
            <w:pPr>
              <w:spacing w:after="0"/>
              <w:rPr>
                <w:sz w:val="1"/>
                <w:szCs w:val="1"/>
                <w:color w:val="auto"/>
              </w:rPr>
            </w:pPr>
          </w:p>
        </w:tc>
      </w:tr>
      <w:tr>
        <w:trPr>
          <w:trHeight w:val="223"/>
        </w:trPr>
        <w:tc>
          <w:tcPr>
            <w:tcW w:w="2900" w:type="dxa"/>
            <w:vAlign w:val="bottom"/>
            <w:shd w:val="clear" w:color="auto" w:fill="CCEEFF"/>
          </w:tcPr>
          <w:p>
            <w:pPr>
              <w:ind w:left="440"/>
              <w:spacing w:after="0"/>
              <w:rPr>
                <w:sz w:val="20"/>
                <w:szCs w:val="20"/>
                <w:color w:val="auto"/>
              </w:rPr>
            </w:pPr>
            <w:r>
              <w:rPr>
                <w:rFonts w:ascii="Arial" w:cs="Arial" w:eastAsia="Arial" w:hAnsi="Arial"/>
                <w:sz w:val="17"/>
                <w:szCs w:val="17"/>
                <w:color w:val="auto"/>
              </w:rPr>
              <w:t>Gross profit (loss)</w:t>
            </w:r>
          </w:p>
        </w:tc>
        <w:tc>
          <w:tcPr>
            <w:tcW w:w="7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7,081</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36,349</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61,413</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(2,667)</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w:t>
            </w:r>
          </w:p>
        </w:tc>
        <w:tc>
          <w:tcPr>
            <w:tcW w:w="0" w:type="dxa"/>
            <w:vAlign w:val="bottom"/>
          </w:tcPr>
          <w:p>
            <w:pPr>
              <w:spacing w:after="0"/>
              <w:rPr>
                <w:sz w:val="1"/>
                <w:szCs w:val="1"/>
                <w:color w:val="auto"/>
              </w:rPr>
            </w:pPr>
          </w:p>
        </w:tc>
      </w:tr>
      <w:tr>
        <w:trPr>
          <w:trHeight w:val="171"/>
        </w:trPr>
        <w:tc>
          <w:tcPr>
            <w:tcW w:w="2900" w:type="dxa"/>
            <w:vAlign w:val="bottom"/>
          </w:tcPr>
          <w:p>
            <w:pPr>
              <w:ind w:left="440"/>
              <w:spacing w:after="0" w:line="172" w:lineRule="exact"/>
              <w:rPr>
                <w:sz w:val="20"/>
                <w:szCs w:val="20"/>
                <w:color w:val="auto"/>
              </w:rPr>
            </w:pPr>
            <w:r>
              <w:rPr>
                <w:rFonts w:ascii="Arial" w:cs="Arial" w:eastAsia="Arial" w:hAnsi="Arial"/>
                <w:sz w:val="17"/>
                <w:szCs w:val="17"/>
                <w:color w:val="auto"/>
              </w:rPr>
              <w:t>Selling, general and</w:t>
            </w:r>
          </w:p>
        </w:tc>
        <w:tc>
          <w:tcPr>
            <w:tcW w:w="76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7"/>
                <w:szCs w:val="17"/>
                <w:color w:val="auto"/>
              </w:rPr>
              <w:t>10,047</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7"/>
                <w:szCs w:val="17"/>
                <w:color w:val="auto"/>
              </w:rPr>
              <w:t>24,266</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7"/>
                <w:szCs w:val="17"/>
                <w:color w:val="auto"/>
              </w:rPr>
              <w:t>26,386</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7"/>
                <w:szCs w:val="17"/>
                <w:color w:val="auto"/>
              </w:rPr>
              <w:t>25,577</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7"/>
                <w:szCs w:val="17"/>
                <w:color w:val="auto"/>
              </w:rPr>
              <w:t>86,</w:t>
            </w:r>
          </w:p>
        </w:tc>
        <w:tc>
          <w:tcPr>
            <w:tcW w:w="0" w:type="dxa"/>
            <w:vAlign w:val="bottom"/>
          </w:tcPr>
          <w:p>
            <w:pPr>
              <w:spacing w:after="0"/>
              <w:rPr>
                <w:sz w:val="1"/>
                <w:szCs w:val="1"/>
                <w:color w:val="auto"/>
              </w:rPr>
            </w:pPr>
          </w:p>
        </w:tc>
      </w:tr>
      <w:tr>
        <w:trPr>
          <w:trHeight w:val="222"/>
        </w:trPr>
        <w:tc>
          <w:tcPr>
            <w:tcW w:w="2900" w:type="dxa"/>
            <w:vAlign w:val="bottom"/>
          </w:tcPr>
          <w:p>
            <w:pPr>
              <w:ind w:left="20"/>
              <w:spacing w:after="0"/>
              <w:rPr>
                <w:sz w:val="20"/>
                <w:szCs w:val="20"/>
                <w:color w:val="auto"/>
              </w:rPr>
            </w:pPr>
            <w:r>
              <w:rPr>
                <w:rFonts w:ascii="Arial" w:cs="Arial" w:eastAsia="Arial" w:hAnsi="Arial"/>
                <w:sz w:val="17"/>
                <w:szCs w:val="17"/>
                <w:color w:val="auto"/>
              </w:rPr>
              <w:t>administrative expenses</w:t>
            </w:r>
          </w:p>
        </w:tc>
        <w:tc>
          <w:tcPr>
            <w:tcW w:w="76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2900" w:type="dxa"/>
            <w:vAlign w:val="bottom"/>
            <w:shd w:val="clear" w:color="auto" w:fill="CCEEFF"/>
          </w:tcPr>
          <w:p>
            <w:pPr>
              <w:ind w:left="440"/>
              <w:spacing w:after="0" w:line="172" w:lineRule="exact"/>
              <w:rPr>
                <w:sz w:val="20"/>
                <w:szCs w:val="20"/>
                <w:color w:val="auto"/>
              </w:rPr>
            </w:pPr>
            <w:r>
              <w:rPr>
                <w:rFonts w:ascii="Arial" w:cs="Arial" w:eastAsia="Arial" w:hAnsi="Arial"/>
                <w:sz w:val="17"/>
                <w:szCs w:val="17"/>
                <w:color w:val="auto"/>
                <w:w w:val="97"/>
              </w:rPr>
              <w:t>Intangible asset impairments and</w:t>
            </w:r>
          </w:p>
        </w:tc>
        <w:tc>
          <w:tcPr>
            <w:tcW w:w="76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27,625</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22,914</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1,066</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920</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52,</w:t>
            </w:r>
          </w:p>
        </w:tc>
        <w:tc>
          <w:tcPr>
            <w:tcW w:w="0" w:type="dxa"/>
            <w:vAlign w:val="bottom"/>
          </w:tcPr>
          <w:p>
            <w:pPr>
              <w:spacing w:after="0"/>
              <w:rPr>
                <w:sz w:val="1"/>
                <w:szCs w:val="1"/>
                <w:color w:val="auto"/>
              </w:rPr>
            </w:pPr>
          </w:p>
        </w:tc>
      </w:tr>
      <w:tr>
        <w:trPr>
          <w:trHeight w:val="222"/>
        </w:trPr>
        <w:tc>
          <w:tcPr>
            <w:tcW w:w="2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restructuring costs</w:t>
            </w:r>
          </w:p>
        </w:tc>
        <w:tc>
          <w:tcPr>
            <w:tcW w:w="76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00" w:type="dxa"/>
            <w:vAlign w:val="bottom"/>
          </w:tcPr>
          <w:p>
            <w:pPr>
              <w:ind w:left="440"/>
              <w:spacing w:after="0"/>
              <w:rPr>
                <w:sz w:val="20"/>
                <w:szCs w:val="20"/>
                <w:color w:val="auto"/>
              </w:rPr>
            </w:pPr>
            <w:r>
              <w:rPr>
                <w:rFonts w:ascii="Arial" w:cs="Arial" w:eastAsia="Arial" w:hAnsi="Arial"/>
                <w:sz w:val="17"/>
                <w:szCs w:val="17"/>
                <w:color w:val="auto"/>
              </w:rPr>
              <w:t>Operating income (loss)</w:t>
            </w:r>
          </w:p>
        </w:tc>
        <w:tc>
          <w:tcPr>
            <w:tcW w:w="7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(30,591)</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(10,831)</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33,961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(29,164)</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(36,</w:t>
            </w:r>
          </w:p>
        </w:tc>
        <w:tc>
          <w:tcPr>
            <w:tcW w:w="0" w:type="dxa"/>
            <w:vAlign w:val="bottom"/>
          </w:tcPr>
          <w:p>
            <w:pPr>
              <w:spacing w:after="0"/>
              <w:rPr>
                <w:sz w:val="1"/>
                <w:szCs w:val="1"/>
                <w:color w:val="auto"/>
              </w:rPr>
            </w:pPr>
          </w:p>
        </w:tc>
      </w:tr>
      <w:tr>
        <w:trPr>
          <w:trHeight w:val="223"/>
        </w:trPr>
        <w:tc>
          <w:tcPr>
            <w:tcW w:w="2900" w:type="dxa"/>
            <w:vAlign w:val="bottom"/>
            <w:shd w:val="clear" w:color="auto" w:fill="CCEEFF"/>
          </w:tcPr>
          <w:p>
            <w:pPr>
              <w:ind w:left="440"/>
              <w:spacing w:after="0"/>
              <w:rPr>
                <w:sz w:val="20"/>
                <w:szCs w:val="20"/>
                <w:color w:val="auto"/>
              </w:rPr>
            </w:pPr>
            <w:r>
              <w:rPr>
                <w:rFonts w:ascii="Arial" w:cs="Arial" w:eastAsia="Arial" w:hAnsi="Arial"/>
                <w:sz w:val="17"/>
                <w:szCs w:val="17"/>
                <w:color w:val="auto"/>
              </w:rPr>
              <w:t>Segment assets</w:t>
            </w:r>
          </w:p>
        </w:tc>
        <w:tc>
          <w:tcPr>
            <w:tcW w:w="7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67,398</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138,734</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187,167</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124,011</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517,</w:t>
            </w:r>
          </w:p>
        </w:tc>
        <w:tc>
          <w:tcPr>
            <w:tcW w:w="0" w:type="dxa"/>
            <w:vAlign w:val="bottom"/>
          </w:tcPr>
          <w:p>
            <w:pPr>
              <w:spacing w:after="0"/>
              <w:rPr>
                <w:sz w:val="1"/>
                <w:szCs w:val="1"/>
                <w:color w:val="auto"/>
              </w:rPr>
            </w:pPr>
          </w:p>
        </w:tc>
      </w:tr>
      <w:tr>
        <w:trPr>
          <w:trHeight w:val="223"/>
        </w:trPr>
        <w:tc>
          <w:tcPr>
            <w:tcW w:w="2900" w:type="dxa"/>
            <w:vAlign w:val="bottom"/>
          </w:tcPr>
          <w:p>
            <w:pPr>
              <w:ind w:left="440"/>
              <w:spacing w:after="0"/>
              <w:rPr>
                <w:sz w:val="20"/>
                <w:szCs w:val="20"/>
                <w:color w:val="auto"/>
              </w:rPr>
            </w:pPr>
            <w:r>
              <w:rPr>
                <w:rFonts w:ascii="Arial" w:cs="Arial" w:eastAsia="Arial" w:hAnsi="Arial"/>
                <w:sz w:val="17"/>
                <w:szCs w:val="17"/>
                <w:color w:val="auto"/>
              </w:rPr>
              <w:t>Capital expenditures</w:t>
            </w:r>
          </w:p>
        </w:tc>
        <w:tc>
          <w:tcPr>
            <w:tcW w:w="7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3,285</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7,523</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4,921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2,810</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171"/>
        </w:trPr>
        <w:tc>
          <w:tcPr>
            <w:tcW w:w="2900" w:type="dxa"/>
            <w:vAlign w:val="bottom"/>
            <w:shd w:val="clear" w:color="auto" w:fill="CCEEFF"/>
          </w:tcPr>
          <w:p>
            <w:pPr>
              <w:ind w:left="440"/>
              <w:spacing w:after="0" w:line="172" w:lineRule="exact"/>
              <w:rPr>
                <w:sz w:val="20"/>
                <w:szCs w:val="20"/>
                <w:color w:val="auto"/>
              </w:rPr>
            </w:pPr>
            <w:r>
              <w:rPr>
                <w:rFonts w:ascii="Arial" w:cs="Arial" w:eastAsia="Arial" w:hAnsi="Arial"/>
                <w:sz w:val="17"/>
                <w:szCs w:val="17"/>
                <w:color w:val="auto"/>
              </w:rPr>
              <w:t>Depreciation and amortization</w:t>
            </w:r>
          </w:p>
        </w:tc>
        <w:tc>
          <w:tcPr>
            <w:tcW w:w="76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3,054</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8,014</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7,743</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313</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222"/>
        </w:trPr>
        <w:tc>
          <w:tcPr>
            <w:tcW w:w="2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expense</w:t>
            </w:r>
          </w:p>
        </w:tc>
        <w:tc>
          <w:tcPr>
            <w:tcW w:w="76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2900" w:type="dxa"/>
            <w:vAlign w:val="bottom"/>
          </w:tcPr>
          <w:p>
            <w:pPr>
              <w:ind w:left="440"/>
              <w:spacing w:after="0" w:line="171" w:lineRule="exact"/>
              <w:rPr>
                <w:sz w:val="20"/>
                <w:szCs w:val="20"/>
                <w:color w:val="auto"/>
              </w:rPr>
            </w:pPr>
            <w:r>
              <w:rPr>
                <w:rFonts w:ascii="Arial" w:cs="Arial" w:eastAsia="Arial" w:hAnsi="Arial"/>
                <w:sz w:val="17"/>
                <w:szCs w:val="17"/>
                <w:b w:val="1"/>
                <w:bCs w:val="1"/>
                <w:color w:val="auto"/>
              </w:rPr>
              <w:t>Fiscal year ended June 30,</w:t>
            </w: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900" w:type="dxa"/>
            <w:vAlign w:val="bottom"/>
          </w:tcPr>
          <w:p>
            <w:pPr>
              <w:ind w:left="20"/>
              <w:spacing w:after="0"/>
              <w:rPr>
                <w:sz w:val="20"/>
                <w:szCs w:val="20"/>
                <w:color w:val="auto"/>
              </w:rPr>
            </w:pPr>
            <w:r>
              <w:rPr>
                <w:rFonts w:ascii="Arial" w:cs="Arial" w:eastAsia="Arial" w:hAnsi="Arial"/>
                <w:sz w:val="17"/>
                <w:szCs w:val="17"/>
                <w:b w:val="1"/>
                <w:bCs w:val="1"/>
                <w:color w:val="auto"/>
              </w:rPr>
              <w:t>2019</w:t>
            </w:r>
          </w:p>
        </w:tc>
        <w:tc>
          <w:tcPr>
            <w:tcW w:w="7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00" w:type="dxa"/>
            <w:vAlign w:val="bottom"/>
            <w:shd w:val="clear" w:color="auto" w:fill="CCEEFF"/>
          </w:tcPr>
          <w:p>
            <w:pPr>
              <w:ind w:left="440"/>
              <w:spacing w:after="0"/>
              <w:rPr>
                <w:sz w:val="20"/>
                <w:szCs w:val="20"/>
                <w:color w:val="auto"/>
              </w:rPr>
            </w:pPr>
            <w:r>
              <w:rPr>
                <w:rFonts w:ascii="Arial" w:cs="Arial" w:eastAsia="Arial" w:hAnsi="Arial"/>
                <w:sz w:val="17"/>
                <w:szCs w:val="17"/>
                <w:color w:val="auto"/>
              </w:rPr>
              <w:t>Gross revenue</w:t>
            </w:r>
          </w:p>
        </w:tc>
        <w:tc>
          <w:tcPr>
            <w:tcW w:w="760" w:type="dxa"/>
            <w:vAlign w:val="bottom"/>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249,867</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656,137</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514,948</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1,420,</w:t>
            </w:r>
          </w:p>
        </w:tc>
        <w:tc>
          <w:tcPr>
            <w:tcW w:w="0" w:type="dxa"/>
            <w:vAlign w:val="bottom"/>
          </w:tcPr>
          <w:p>
            <w:pPr>
              <w:spacing w:after="0"/>
              <w:rPr>
                <w:sz w:val="1"/>
                <w:szCs w:val="1"/>
                <w:color w:val="auto"/>
              </w:rPr>
            </w:pPr>
          </w:p>
        </w:tc>
      </w:tr>
      <w:tr>
        <w:trPr>
          <w:trHeight w:val="223"/>
        </w:trPr>
        <w:tc>
          <w:tcPr>
            <w:tcW w:w="2900" w:type="dxa"/>
            <w:vAlign w:val="bottom"/>
            <w:tcBorders>
              <w:bottom w:val="single" w:sz="8" w:color="CCEEFF"/>
            </w:tcBorders>
          </w:tcPr>
          <w:p>
            <w:pPr>
              <w:ind w:left="440"/>
              <w:spacing w:after="0"/>
              <w:rPr>
                <w:sz w:val="20"/>
                <w:szCs w:val="20"/>
                <w:color w:val="auto"/>
              </w:rPr>
            </w:pPr>
            <w:r>
              <w:rPr>
                <w:rFonts w:ascii="Arial" w:cs="Arial" w:eastAsia="Arial" w:hAnsi="Arial"/>
                <w:sz w:val="17"/>
                <w:szCs w:val="17"/>
                <w:color w:val="auto"/>
              </w:rPr>
              <w:t>Less: inter-segment revenue</w:t>
            </w:r>
          </w:p>
        </w:tc>
        <w:tc>
          <w:tcPr>
            <w:tcW w:w="7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2,123</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2,149</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ind w:left="440"/>
              <w:spacing w:after="0"/>
              <w:rPr>
                <w:sz w:val="20"/>
                <w:szCs w:val="20"/>
                <w:color w:val="auto"/>
              </w:rPr>
            </w:pPr>
            <w:r>
              <w:rPr>
                <w:rFonts w:ascii="Arial" w:cs="Arial" w:eastAsia="Arial" w:hAnsi="Arial"/>
                <w:sz w:val="17"/>
                <w:szCs w:val="17"/>
                <w:color w:val="auto"/>
              </w:rPr>
              <w:t>Consolidated revenue</w:t>
            </w:r>
          </w:p>
        </w:tc>
        <w:tc>
          <w:tcPr>
            <w:tcW w:w="7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249,867</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654,014</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512,799</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1,416,</w:t>
            </w:r>
          </w:p>
        </w:tc>
        <w:tc>
          <w:tcPr>
            <w:tcW w:w="0" w:type="dxa"/>
            <w:vAlign w:val="bottom"/>
          </w:tcPr>
          <w:p>
            <w:pPr>
              <w:spacing w:after="0"/>
              <w:rPr>
                <w:sz w:val="1"/>
                <w:szCs w:val="1"/>
                <w:color w:val="auto"/>
              </w:rPr>
            </w:pPr>
          </w:p>
        </w:tc>
      </w:tr>
      <w:tr>
        <w:trPr>
          <w:trHeight w:val="223"/>
        </w:trPr>
        <w:tc>
          <w:tcPr>
            <w:tcW w:w="2900" w:type="dxa"/>
            <w:vAlign w:val="bottom"/>
          </w:tcPr>
          <w:p>
            <w:pPr>
              <w:ind w:left="440"/>
              <w:spacing w:after="0"/>
              <w:rPr>
                <w:sz w:val="20"/>
                <w:szCs w:val="20"/>
                <w:color w:val="auto"/>
              </w:rPr>
            </w:pPr>
            <w:r>
              <w:rPr>
                <w:rFonts w:ascii="Arial" w:cs="Arial" w:eastAsia="Arial" w:hAnsi="Arial"/>
                <w:sz w:val="17"/>
                <w:szCs w:val="17"/>
                <w:color w:val="auto"/>
              </w:rPr>
              <w:t>Gross profit (loss)</w:t>
            </w:r>
          </w:p>
        </w:tc>
        <w:tc>
          <w:tcPr>
            <w:tcW w:w="7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21,161</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58,853</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54,600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(2,663)</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131,</w:t>
            </w:r>
          </w:p>
        </w:tc>
        <w:tc>
          <w:tcPr>
            <w:tcW w:w="0" w:type="dxa"/>
            <w:vAlign w:val="bottom"/>
          </w:tcPr>
          <w:p>
            <w:pPr>
              <w:spacing w:after="0"/>
              <w:rPr>
                <w:sz w:val="1"/>
                <w:szCs w:val="1"/>
                <w:color w:val="auto"/>
              </w:rPr>
            </w:pPr>
          </w:p>
        </w:tc>
      </w:tr>
      <w:tr>
        <w:trPr>
          <w:trHeight w:val="171"/>
        </w:trPr>
        <w:tc>
          <w:tcPr>
            <w:tcW w:w="2900" w:type="dxa"/>
            <w:vAlign w:val="bottom"/>
            <w:shd w:val="clear" w:color="auto" w:fill="CCEEFF"/>
          </w:tcPr>
          <w:p>
            <w:pPr>
              <w:ind w:left="440"/>
              <w:spacing w:after="0" w:line="172" w:lineRule="exact"/>
              <w:rPr>
                <w:sz w:val="20"/>
                <w:szCs w:val="20"/>
                <w:color w:val="auto"/>
              </w:rPr>
            </w:pPr>
            <w:r>
              <w:rPr>
                <w:rFonts w:ascii="Arial" w:cs="Arial" w:eastAsia="Arial" w:hAnsi="Arial"/>
                <w:sz w:val="17"/>
                <w:szCs w:val="17"/>
                <w:color w:val="auto"/>
              </w:rPr>
              <w:t>Selling, general and</w:t>
            </w:r>
          </w:p>
        </w:tc>
        <w:tc>
          <w:tcPr>
            <w:tcW w:w="76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9,842</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26,932</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30,319</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26,928</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94,</w:t>
            </w:r>
          </w:p>
        </w:tc>
        <w:tc>
          <w:tcPr>
            <w:tcW w:w="0" w:type="dxa"/>
            <w:vAlign w:val="bottom"/>
          </w:tcPr>
          <w:p>
            <w:pPr>
              <w:spacing w:after="0"/>
              <w:rPr>
                <w:sz w:val="1"/>
                <w:szCs w:val="1"/>
                <w:color w:val="auto"/>
              </w:rPr>
            </w:pPr>
          </w:p>
        </w:tc>
      </w:tr>
      <w:tr>
        <w:trPr>
          <w:trHeight w:val="222"/>
        </w:trPr>
        <w:tc>
          <w:tcPr>
            <w:tcW w:w="2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administrative expenses</w:t>
            </w:r>
          </w:p>
        </w:tc>
        <w:tc>
          <w:tcPr>
            <w:tcW w:w="76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00" w:type="dxa"/>
            <w:vAlign w:val="bottom"/>
          </w:tcPr>
          <w:p>
            <w:pPr>
              <w:ind w:left="440"/>
              <w:spacing w:after="0"/>
              <w:rPr>
                <w:sz w:val="20"/>
                <w:szCs w:val="20"/>
                <w:color w:val="auto"/>
              </w:rPr>
            </w:pPr>
            <w:r>
              <w:rPr>
                <w:rFonts w:ascii="Arial" w:cs="Arial" w:eastAsia="Arial" w:hAnsi="Arial"/>
                <w:sz w:val="17"/>
                <w:szCs w:val="17"/>
                <w:color w:val="auto"/>
              </w:rPr>
              <w:t>Operating income (loss)</w:t>
            </w:r>
          </w:p>
        </w:tc>
        <w:tc>
          <w:tcPr>
            <w:tcW w:w="7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11,319</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31,921</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24,281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(29,591)</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37,</w:t>
            </w:r>
          </w:p>
        </w:tc>
        <w:tc>
          <w:tcPr>
            <w:tcW w:w="0" w:type="dxa"/>
            <w:vAlign w:val="bottom"/>
          </w:tcPr>
          <w:p>
            <w:pPr>
              <w:spacing w:after="0"/>
              <w:rPr>
                <w:sz w:val="1"/>
                <w:szCs w:val="1"/>
                <w:color w:val="auto"/>
              </w:rPr>
            </w:pPr>
          </w:p>
        </w:tc>
      </w:tr>
      <w:tr>
        <w:trPr>
          <w:trHeight w:val="223"/>
        </w:trPr>
        <w:tc>
          <w:tcPr>
            <w:tcW w:w="2900" w:type="dxa"/>
            <w:vAlign w:val="bottom"/>
            <w:shd w:val="clear" w:color="auto" w:fill="CCEEFF"/>
          </w:tcPr>
          <w:p>
            <w:pPr>
              <w:ind w:left="440"/>
              <w:spacing w:after="0"/>
              <w:rPr>
                <w:sz w:val="20"/>
                <w:szCs w:val="20"/>
                <w:color w:val="auto"/>
              </w:rPr>
            </w:pPr>
            <w:r>
              <w:rPr>
                <w:rFonts w:ascii="Arial" w:cs="Arial" w:eastAsia="Arial" w:hAnsi="Arial"/>
                <w:sz w:val="17"/>
                <w:szCs w:val="17"/>
                <w:color w:val="auto"/>
              </w:rPr>
              <w:t>Segment assets</w:t>
            </w:r>
          </w:p>
        </w:tc>
        <w:tc>
          <w:tcPr>
            <w:tcW w:w="7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166,857</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162,449</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197,781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106,307</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633,</w:t>
            </w:r>
          </w:p>
        </w:tc>
        <w:tc>
          <w:tcPr>
            <w:tcW w:w="0" w:type="dxa"/>
            <w:vAlign w:val="bottom"/>
          </w:tcPr>
          <w:p>
            <w:pPr>
              <w:spacing w:after="0"/>
              <w:rPr>
                <w:sz w:val="1"/>
                <w:szCs w:val="1"/>
                <w:color w:val="auto"/>
              </w:rPr>
            </w:pPr>
          </w:p>
        </w:tc>
      </w:tr>
      <w:tr>
        <w:trPr>
          <w:trHeight w:val="223"/>
        </w:trPr>
        <w:tc>
          <w:tcPr>
            <w:tcW w:w="2900" w:type="dxa"/>
            <w:vAlign w:val="bottom"/>
          </w:tcPr>
          <w:p>
            <w:pPr>
              <w:ind w:left="440"/>
              <w:spacing w:after="0"/>
              <w:rPr>
                <w:sz w:val="20"/>
                <w:szCs w:val="20"/>
                <w:color w:val="auto"/>
              </w:rPr>
            </w:pPr>
            <w:r>
              <w:rPr>
                <w:rFonts w:ascii="Arial" w:cs="Arial" w:eastAsia="Arial" w:hAnsi="Arial"/>
                <w:sz w:val="17"/>
                <w:szCs w:val="17"/>
                <w:color w:val="auto"/>
              </w:rPr>
              <w:t>Capital expenditures</w:t>
            </w:r>
          </w:p>
        </w:tc>
        <w:tc>
          <w:tcPr>
            <w:tcW w:w="7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2,711</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6,673</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4,284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5,890</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171"/>
        </w:trPr>
        <w:tc>
          <w:tcPr>
            <w:tcW w:w="2900" w:type="dxa"/>
            <w:vAlign w:val="bottom"/>
            <w:shd w:val="clear" w:color="auto" w:fill="CCEEFF"/>
          </w:tcPr>
          <w:p>
            <w:pPr>
              <w:ind w:left="440"/>
              <w:spacing w:after="0" w:line="172" w:lineRule="exact"/>
              <w:rPr>
                <w:sz w:val="20"/>
                <w:szCs w:val="20"/>
                <w:color w:val="auto"/>
              </w:rPr>
            </w:pPr>
            <w:r>
              <w:rPr>
                <w:rFonts w:ascii="Arial" w:cs="Arial" w:eastAsia="Arial" w:hAnsi="Arial"/>
                <w:sz w:val="17"/>
                <w:szCs w:val="17"/>
                <w:color w:val="auto"/>
              </w:rPr>
              <w:t>Depreciation and amortization</w:t>
            </w:r>
          </w:p>
        </w:tc>
        <w:tc>
          <w:tcPr>
            <w:tcW w:w="76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2,567</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8,232</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7,132</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293</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222"/>
        </w:trPr>
        <w:tc>
          <w:tcPr>
            <w:tcW w:w="2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expense</w:t>
            </w:r>
          </w:p>
        </w:tc>
        <w:tc>
          <w:tcPr>
            <w:tcW w:w="76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540"/>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71120</wp:posOffset>
            </wp:positionV>
            <wp:extent cx="7161530"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900"/>
          </w:cols>
          <w:pgMar w:left="760" w:top="357" w:right="239" w:bottom="1440" w:gutter="0" w:footer="0" w:header="0"/>
        </w:sectPr>
      </w:pPr>
    </w:p>
    <w:bookmarkStart w:id="82" w:name="page83"/>
    <w:bookmarkEnd w:id="82"/>
    <w:p>
      <w:pPr>
        <w:jc w:val="center"/>
        <w:spacing w:after="0"/>
        <w:rPr>
          <w:sz w:val="20"/>
          <w:szCs w:val="20"/>
          <w:color w:val="auto"/>
        </w:rPr>
      </w:pPr>
      <w:r>
        <w:rPr>
          <w:rFonts w:ascii="Arial" w:cs="Arial" w:eastAsia="Arial" w:hAnsi="Arial"/>
          <w:sz w:val="17"/>
          <w:szCs w:val="17"/>
          <w:b w:val="1"/>
          <w:bCs w:val="1"/>
          <w:color w:val="auto"/>
        </w:rPr>
        <w:t>Matrix Service Company</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7"/>
          <w:szCs w:val="17"/>
          <w:color w:val="auto"/>
        </w:rPr>
        <w:t>Geographical information is as follows:</w:t>
      </w: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7"/>
              </w:rPr>
              <w:t>Long-Lived Assets</w:t>
            </w: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129"/>
        </w:trPr>
        <w:tc>
          <w:tcPr>
            <w:tcW w:w="6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60" w:type="dxa"/>
            <w:vAlign w:val="bottom"/>
            <w:gridSpan w:val="2"/>
          </w:tcPr>
          <w:p>
            <w:pPr>
              <w:ind w:left="220"/>
              <w:spacing w:after="0" w:line="130" w:lineRule="exact"/>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1"/>
                <w:szCs w:val="11"/>
                <w:color w:val="auto"/>
              </w:rPr>
            </w:pPr>
          </w:p>
        </w:tc>
        <w:tc>
          <w:tcPr>
            <w:tcW w:w="1520" w:type="dxa"/>
            <w:vAlign w:val="bottom"/>
            <w:gridSpan w:val="2"/>
          </w:tcPr>
          <w:p>
            <w:pPr>
              <w:jc w:val="center"/>
              <w:ind w:right="280"/>
              <w:spacing w:after="0" w:line="130" w:lineRule="exact"/>
              <w:rPr>
                <w:sz w:val="20"/>
                <w:szCs w:val="20"/>
                <w:color w:val="auto"/>
              </w:rPr>
            </w:pPr>
            <w:r>
              <w:rPr>
                <w:rFonts w:ascii="Arial" w:cs="Arial" w:eastAsia="Arial" w:hAnsi="Arial"/>
                <w:sz w:val="14"/>
                <w:szCs w:val="14"/>
                <w:b w:val="1"/>
                <w:bCs w:val="1"/>
                <w:color w:val="auto"/>
                <w:w w:val="85"/>
              </w:rPr>
              <w:t>June 30,</w:t>
            </w:r>
          </w:p>
        </w:tc>
        <w:tc>
          <w:tcPr>
            <w:tcW w:w="320" w:type="dxa"/>
            <w:vAlign w:val="bottom"/>
          </w:tcPr>
          <w:p>
            <w:pPr>
              <w:spacing w:after="0"/>
              <w:rPr>
                <w:sz w:val="11"/>
                <w:szCs w:val="11"/>
                <w:color w:val="auto"/>
              </w:rPr>
            </w:pPr>
          </w:p>
        </w:tc>
        <w:tc>
          <w:tcPr>
            <w:tcW w:w="1280" w:type="dxa"/>
            <w:vAlign w:val="bottom"/>
          </w:tcPr>
          <w:p>
            <w:pPr>
              <w:jc w:val="right"/>
              <w:ind w:right="478"/>
              <w:spacing w:after="0" w:line="130" w:lineRule="exact"/>
              <w:rPr>
                <w:sz w:val="20"/>
                <w:szCs w:val="20"/>
                <w:color w:val="auto"/>
              </w:rPr>
            </w:pPr>
            <w:r>
              <w:rPr>
                <w:rFonts w:ascii="Arial" w:cs="Arial" w:eastAsia="Arial" w:hAnsi="Arial"/>
                <w:sz w:val="14"/>
                <w:szCs w:val="14"/>
                <w:b w:val="1"/>
                <w:bCs w:val="1"/>
                <w:color w:val="auto"/>
              </w:rPr>
              <w:t>June 30,</w:t>
            </w:r>
          </w:p>
        </w:tc>
      </w:tr>
      <w:tr>
        <w:trPr>
          <w:trHeight w:val="183"/>
        </w:trPr>
        <w:tc>
          <w:tcPr>
            <w:tcW w:w="62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5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78"/>
              <w:spacing w:after="0"/>
              <w:rPr>
                <w:sz w:val="20"/>
                <w:szCs w:val="20"/>
                <w:color w:val="auto"/>
              </w:rPr>
            </w:pPr>
            <w:r>
              <w:rPr>
                <w:rFonts w:ascii="Arial" w:cs="Arial" w:eastAsia="Arial" w:hAnsi="Arial"/>
                <w:sz w:val="14"/>
                <w:szCs w:val="14"/>
                <w:b w:val="1"/>
                <w:bCs w:val="1"/>
                <w:color w:val="auto"/>
              </w:rPr>
              <w:t>2019</w:t>
            </w:r>
          </w:p>
        </w:tc>
      </w:tr>
      <w:tr>
        <w:trPr>
          <w:trHeight w:val="177"/>
        </w:trPr>
        <w:tc>
          <w:tcPr>
            <w:tcW w:w="6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(In thousands)</w:t>
            </w:r>
          </w:p>
        </w:tc>
        <w:tc>
          <w:tcPr>
            <w:tcW w:w="32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223"/>
        </w:trPr>
        <w:tc>
          <w:tcPr>
            <w:tcW w:w="6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United States</w:t>
            </w: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157,442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164,056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193,472</w:t>
            </w:r>
          </w:p>
        </w:tc>
      </w:tr>
      <w:tr>
        <w:trPr>
          <w:trHeight w:val="223"/>
        </w:trPr>
        <w:tc>
          <w:tcPr>
            <w:tcW w:w="6240" w:type="dxa"/>
            <w:vAlign w:val="bottom"/>
          </w:tcPr>
          <w:p>
            <w:pPr>
              <w:ind w:left="20"/>
              <w:spacing w:after="0"/>
              <w:rPr>
                <w:sz w:val="20"/>
                <w:szCs w:val="20"/>
                <w:color w:val="auto"/>
              </w:rPr>
            </w:pPr>
            <w:r>
              <w:rPr>
                <w:rFonts w:ascii="Arial" w:cs="Arial" w:eastAsia="Arial" w:hAnsi="Arial"/>
                <w:sz w:val="17"/>
                <w:szCs w:val="17"/>
                <w:color w:val="auto"/>
              </w:rPr>
              <w:t>Canada</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6,523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5,659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10,110</w:t>
            </w:r>
          </w:p>
        </w:tc>
      </w:tr>
      <w:tr>
        <w:trPr>
          <w:trHeight w:val="223"/>
        </w:trPr>
        <w:tc>
          <w:tcPr>
            <w:tcW w:w="6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international</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12,372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12,435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12,502</w:t>
            </w:r>
          </w:p>
        </w:tc>
      </w:tr>
      <w:tr>
        <w:trPr>
          <w:trHeight w:val="216"/>
        </w:trPr>
        <w:tc>
          <w:tcPr>
            <w:tcW w:w="6240" w:type="dxa"/>
            <w:vAlign w:val="bottom"/>
          </w:tcPr>
          <w:p>
            <w:pPr>
              <w:spacing w:after="0"/>
              <w:rPr>
                <w:sz w:val="18"/>
                <w:szCs w:val="18"/>
                <w:color w:val="auto"/>
              </w:rPr>
            </w:pPr>
          </w:p>
        </w:tc>
        <w:tc>
          <w:tcPr>
            <w:tcW w:w="32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176,337</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182,150</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216,084</w:t>
            </w:r>
          </w:p>
        </w:tc>
      </w:tr>
      <w:tr>
        <w:trPr>
          <w:trHeight w:val="20"/>
        </w:trPr>
        <w:tc>
          <w:tcPr>
            <w:tcW w:w="6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7"/>
          <w:szCs w:val="17"/>
          <w:color w:val="auto"/>
        </w:rPr>
        <w:t>Information about Significant Customers: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9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4480" w:type="dxa"/>
            <w:vAlign w:val="bottom"/>
            <w:tcBorders>
              <w:bottom w:val="single" w:sz="8" w:color="auto"/>
            </w:tcBorders>
            <w:gridSpan w:val="7"/>
          </w:tcPr>
          <w:p>
            <w:pPr>
              <w:ind w:left="940"/>
              <w:spacing w:after="0"/>
              <w:rPr>
                <w:sz w:val="20"/>
                <w:szCs w:val="20"/>
                <w:color w:val="auto"/>
              </w:rPr>
            </w:pPr>
            <w:r>
              <w:rPr>
                <w:rFonts w:ascii="Arial" w:cs="Arial" w:eastAsia="Arial" w:hAnsi="Arial"/>
                <w:sz w:val="14"/>
                <w:szCs w:val="14"/>
                <w:b w:val="1"/>
                <w:bCs w:val="1"/>
                <w:color w:val="auto"/>
                <w:w w:val="87"/>
              </w:rPr>
              <w:t>Significant Customers as a Percentage of Segment Revenue</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39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3"/>
              </w:rPr>
              <w:t>Utility and Power</w:t>
            </w:r>
          </w:p>
        </w:tc>
        <w:tc>
          <w:tcPr>
            <w:tcW w:w="1580" w:type="dxa"/>
            <w:vAlign w:val="bottom"/>
            <w:gridSpan w:val="3"/>
            <w:vMerge w:val="restart"/>
          </w:tcPr>
          <w:p>
            <w:pPr>
              <w:jc w:val="center"/>
              <w:ind w:right="320"/>
              <w:spacing w:after="0"/>
              <w:rPr>
                <w:sz w:val="20"/>
                <w:szCs w:val="20"/>
                <w:color w:val="auto"/>
              </w:rPr>
            </w:pPr>
            <w:r>
              <w:rPr>
                <w:rFonts w:ascii="Arial" w:cs="Arial" w:eastAsia="Arial" w:hAnsi="Arial"/>
                <w:sz w:val="14"/>
                <w:szCs w:val="14"/>
                <w:b w:val="1"/>
                <w:bCs w:val="1"/>
                <w:color w:val="auto"/>
                <w:w w:val="84"/>
              </w:rPr>
              <w:t>Process and</w:t>
            </w:r>
          </w:p>
        </w:tc>
        <w:tc>
          <w:tcPr>
            <w:tcW w:w="940" w:type="dxa"/>
            <w:vAlign w:val="bottom"/>
          </w:tcPr>
          <w:p>
            <w:pPr>
              <w:jc w:val="right"/>
              <w:ind w:right="135"/>
              <w:spacing w:after="0" w:line="130" w:lineRule="exact"/>
              <w:rPr>
                <w:sz w:val="20"/>
                <w:szCs w:val="20"/>
                <w:color w:val="auto"/>
              </w:rPr>
            </w:pPr>
            <w:r>
              <w:rPr>
                <w:rFonts w:ascii="Arial" w:cs="Arial" w:eastAsia="Arial" w:hAnsi="Arial"/>
                <w:sz w:val="14"/>
                <w:szCs w:val="14"/>
                <w:b w:val="1"/>
                <w:bCs w:val="1"/>
                <w:color w:val="auto"/>
                <w:w w:val="86"/>
              </w:rPr>
              <w:t>Storage and</w:t>
            </w:r>
          </w:p>
        </w:tc>
        <w:tc>
          <w:tcPr>
            <w:tcW w:w="0" w:type="dxa"/>
            <w:vAlign w:val="bottom"/>
          </w:tcPr>
          <w:p>
            <w:pPr>
              <w:spacing w:after="0"/>
              <w:rPr>
                <w:sz w:val="1"/>
                <w:szCs w:val="1"/>
                <w:color w:val="auto"/>
              </w:rPr>
            </w:pPr>
          </w:p>
        </w:tc>
      </w:tr>
      <w:tr>
        <w:trPr>
          <w:trHeight w:val="131"/>
        </w:trPr>
        <w:tc>
          <w:tcPr>
            <w:tcW w:w="39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Consolidated</w:t>
            </w:r>
          </w:p>
        </w:tc>
        <w:tc>
          <w:tcPr>
            <w:tcW w:w="1460" w:type="dxa"/>
            <w:vAlign w:val="bottom"/>
            <w:gridSpan w:val="2"/>
            <w:vMerge w:val="continue"/>
          </w:tcPr>
          <w:p>
            <w:pPr>
              <w:spacing w:after="0"/>
              <w:rPr>
                <w:sz w:val="11"/>
                <w:szCs w:val="11"/>
                <w:color w:val="auto"/>
              </w:rPr>
            </w:pPr>
          </w:p>
        </w:tc>
        <w:tc>
          <w:tcPr>
            <w:tcW w:w="1580" w:type="dxa"/>
            <w:vAlign w:val="bottom"/>
            <w:gridSpan w:val="3"/>
            <w:vMerge w:val="continue"/>
          </w:tcPr>
          <w:p>
            <w:pPr>
              <w:spacing w:after="0"/>
              <w:rPr>
                <w:sz w:val="11"/>
                <w:szCs w:val="11"/>
                <w:color w:val="auto"/>
              </w:rPr>
            </w:pPr>
          </w:p>
        </w:tc>
        <w:tc>
          <w:tcPr>
            <w:tcW w:w="940" w:type="dxa"/>
            <w:vAlign w:val="bottom"/>
          </w:tcPr>
          <w:p>
            <w:pPr>
              <w:jc w:val="right"/>
              <w:ind w:right="215"/>
              <w:spacing w:after="0" w:line="131" w:lineRule="exact"/>
              <w:rPr>
                <w:sz w:val="20"/>
                <w:szCs w:val="20"/>
                <w:color w:val="auto"/>
              </w:rPr>
            </w:pPr>
            <w:r>
              <w:rPr>
                <w:rFonts w:ascii="Arial" w:cs="Arial" w:eastAsia="Arial" w:hAnsi="Arial"/>
                <w:sz w:val="14"/>
                <w:szCs w:val="14"/>
                <w:b w:val="1"/>
                <w:bCs w:val="1"/>
                <w:color w:val="auto"/>
              </w:rPr>
              <w:t>Terminal</w:t>
            </w:r>
          </w:p>
        </w:tc>
        <w:tc>
          <w:tcPr>
            <w:tcW w:w="0" w:type="dxa"/>
            <w:vAlign w:val="bottom"/>
          </w:tcPr>
          <w:p>
            <w:pPr>
              <w:spacing w:after="0"/>
              <w:rPr>
                <w:sz w:val="1"/>
                <w:szCs w:val="1"/>
                <w:color w:val="auto"/>
              </w:rPr>
            </w:pPr>
          </w:p>
        </w:tc>
      </w:tr>
      <w:tr>
        <w:trPr>
          <w:trHeight w:val="183"/>
        </w:trPr>
        <w:tc>
          <w:tcPr>
            <w:tcW w:w="396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14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Infrastructure</w:t>
            </w:r>
          </w:p>
        </w:tc>
        <w:tc>
          <w:tcPr>
            <w:tcW w:w="15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3"/>
              </w:rPr>
              <w:t>Industrial Facilities</w:t>
            </w:r>
          </w:p>
        </w:tc>
        <w:tc>
          <w:tcPr>
            <w:tcW w:w="940" w:type="dxa"/>
            <w:vAlign w:val="bottom"/>
          </w:tcPr>
          <w:p>
            <w:pPr>
              <w:jc w:val="right"/>
              <w:ind w:right="215"/>
              <w:spacing w:after="0"/>
              <w:rPr>
                <w:sz w:val="20"/>
                <w:szCs w:val="20"/>
                <w:color w:val="auto"/>
              </w:rPr>
            </w:pPr>
            <w:r>
              <w:rPr>
                <w:rFonts w:ascii="Arial" w:cs="Arial" w:eastAsia="Arial" w:hAnsi="Arial"/>
                <w:sz w:val="14"/>
                <w:szCs w:val="14"/>
                <w:b w:val="1"/>
                <w:bCs w:val="1"/>
                <w:color w:val="auto"/>
                <w:w w:val="97"/>
              </w:rPr>
              <w:t>Solutions</w:t>
            </w:r>
          </w:p>
        </w:tc>
        <w:tc>
          <w:tcPr>
            <w:tcW w:w="0" w:type="dxa"/>
            <w:vAlign w:val="bottom"/>
          </w:tcPr>
          <w:p>
            <w:pPr>
              <w:spacing w:after="0"/>
              <w:rPr>
                <w:sz w:val="1"/>
                <w:szCs w:val="1"/>
                <w:color w:val="auto"/>
              </w:rPr>
            </w:pPr>
          </w:p>
        </w:tc>
      </w:tr>
      <w:tr>
        <w:trPr>
          <w:trHeight w:val="204"/>
        </w:trPr>
        <w:tc>
          <w:tcPr>
            <w:tcW w:w="3960" w:type="dxa"/>
            <w:vAlign w:val="bottom"/>
          </w:tcPr>
          <w:p>
            <w:pPr>
              <w:ind w:left="20"/>
              <w:spacing w:after="0"/>
              <w:rPr>
                <w:sz w:val="20"/>
                <w:szCs w:val="20"/>
                <w:color w:val="auto"/>
              </w:rPr>
            </w:pPr>
            <w:r>
              <w:rPr>
                <w:rFonts w:ascii="Arial" w:cs="Arial" w:eastAsia="Arial" w:hAnsi="Arial"/>
                <w:sz w:val="17"/>
                <w:szCs w:val="17"/>
                <w:b w:val="1"/>
                <w:bCs w:val="1"/>
                <w:color w:val="auto"/>
              </w:rPr>
              <w:t>Fiscal Year ended June 30, 2021</w:t>
            </w:r>
          </w:p>
        </w:tc>
        <w:tc>
          <w:tcPr>
            <w:tcW w:w="1860" w:type="dxa"/>
            <w:vAlign w:val="bottom"/>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Customer one</w:t>
            </w:r>
          </w:p>
        </w:tc>
        <w:tc>
          <w:tcPr>
            <w:tcW w:w="3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12.9 %</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41.3 %</w:t>
            </w:r>
          </w:p>
        </w:tc>
        <w:tc>
          <w:tcPr>
            <w:tcW w:w="100" w:type="dxa"/>
            <w:vAlign w:val="bottom"/>
            <w:shd w:val="clear" w:color="auto" w:fill="CCEEFF"/>
          </w:tcPr>
          <w:p>
            <w:pPr>
              <w:spacing w:after="0"/>
              <w:rPr>
                <w:sz w:val="19"/>
                <w:szCs w:val="19"/>
                <w:color w:val="auto"/>
              </w:rPr>
            </w:pPr>
          </w:p>
        </w:tc>
        <w:tc>
          <w:tcPr>
            <w:tcW w:w="1580" w:type="dxa"/>
            <w:vAlign w:val="bottom"/>
            <w:gridSpan w:val="3"/>
            <w:shd w:val="clear" w:color="auto" w:fill="CCEEFF"/>
          </w:tcPr>
          <w:p>
            <w:pPr>
              <w:jc w:val="right"/>
              <w:ind w:right="340"/>
              <w:spacing w:after="0"/>
              <w:rPr>
                <w:sz w:val="20"/>
                <w:szCs w:val="20"/>
                <w:color w:val="auto"/>
              </w:rPr>
            </w:pPr>
            <w:r>
              <w:rPr>
                <w:rFonts w:ascii="Arial" w:cs="Arial" w:eastAsia="Arial" w:hAnsi="Arial"/>
                <w:sz w:val="17"/>
                <w:szCs w:val="17"/>
                <w:color w:val="auto"/>
              </w:rPr>
              <w:t>— %</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0" w:type="dxa"/>
            <w:vAlign w:val="bottom"/>
          </w:tcPr>
          <w:p>
            <w:pPr>
              <w:spacing w:after="0"/>
              <w:rPr>
                <w:sz w:val="1"/>
                <w:szCs w:val="1"/>
                <w:color w:val="auto"/>
              </w:rPr>
            </w:pPr>
          </w:p>
        </w:tc>
      </w:tr>
      <w:tr>
        <w:trPr>
          <w:trHeight w:val="223"/>
        </w:trPr>
        <w:tc>
          <w:tcPr>
            <w:tcW w:w="3960" w:type="dxa"/>
            <w:vAlign w:val="bottom"/>
          </w:tcPr>
          <w:p>
            <w:pPr>
              <w:ind w:left="20"/>
              <w:spacing w:after="0"/>
              <w:rPr>
                <w:sz w:val="20"/>
                <w:szCs w:val="20"/>
                <w:color w:val="auto"/>
              </w:rPr>
            </w:pPr>
            <w:r>
              <w:rPr>
                <w:rFonts w:ascii="Arial" w:cs="Arial" w:eastAsia="Arial" w:hAnsi="Arial"/>
                <w:sz w:val="17"/>
                <w:szCs w:val="17"/>
                <w:color w:val="auto"/>
              </w:rPr>
              <w:t>Customer two</w:t>
            </w:r>
          </w:p>
        </w:tc>
        <w:tc>
          <w:tcPr>
            <w:tcW w:w="3200" w:type="dxa"/>
            <w:vAlign w:val="bottom"/>
            <w:gridSpan w:val="2"/>
          </w:tcPr>
          <w:p>
            <w:pPr>
              <w:jc w:val="right"/>
              <w:spacing w:after="0"/>
              <w:rPr>
                <w:sz w:val="20"/>
                <w:szCs w:val="20"/>
                <w:color w:val="auto"/>
              </w:rPr>
            </w:pPr>
            <w:r>
              <w:rPr>
                <w:rFonts w:ascii="Arial" w:cs="Arial" w:eastAsia="Arial" w:hAnsi="Arial"/>
                <w:sz w:val="17"/>
                <w:szCs w:val="17"/>
                <w:color w:val="auto"/>
              </w:rPr>
              <w:t>9.9 %</w:t>
            </w:r>
          </w:p>
        </w:tc>
        <w:tc>
          <w:tcPr>
            <w:tcW w:w="10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7"/>
                <w:szCs w:val="17"/>
                <w:color w:val="auto"/>
              </w:rPr>
              <w:t>— %</w:t>
            </w:r>
          </w:p>
        </w:tc>
        <w:tc>
          <w:tcPr>
            <w:tcW w:w="1260" w:type="dxa"/>
            <w:vAlign w:val="bottom"/>
          </w:tcPr>
          <w:p>
            <w:pPr>
              <w:jc w:val="right"/>
              <w:spacing w:after="0"/>
              <w:rPr>
                <w:sz w:val="20"/>
                <w:szCs w:val="20"/>
                <w:color w:val="auto"/>
              </w:rPr>
            </w:pPr>
            <w:r>
              <w:rPr>
                <w:rFonts w:ascii="Arial" w:cs="Arial" w:eastAsia="Arial" w:hAnsi="Arial"/>
                <w:sz w:val="17"/>
                <w:szCs w:val="17"/>
                <w:color w:val="auto"/>
              </w:rPr>
              <w:t>33.3 %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0.1 %</w:t>
            </w:r>
          </w:p>
        </w:tc>
        <w:tc>
          <w:tcPr>
            <w:tcW w:w="0" w:type="dxa"/>
            <w:vAlign w:val="bottom"/>
          </w:tcPr>
          <w:p>
            <w:pPr>
              <w:spacing w:after="0"/>
              <w:rPr>
                <w:sz w:val="1"/>
                <w:szCs w:val="1"/>
                <w:color w:val="auto"/>
              </w:rPr>
            </w:pPr>
          </w:p>
        </w:tc>
      </w:tr>
      <w:tr>
        <w:trPr>
          <w:trHeight w:val="223"/>
        </w:trPr>
        <w:tc>
          <w:tcPr>
            <w:tcW w:w="3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Customer three</w:t>
            </w:r>
          </w:p>
        </w:tc>
        <w:tc>
          <w:tcPr>
            <w:tcW w:w="3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7.0 %</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22.5 %</w:t>
            </w:r>
          </w:p>
        </w:tc>
        <w:tc>
          <w:tcPr>
            <w:tcW w:w="100" w:type="dxa"/>
            <w:vAlign w:val="bottom"/>
            <w:shd w:val="clear" w:color="auto" w:fill="CCEEFF"/>
          </w:tcPr>
          <w:p>
            <w:pPr>
              <w:spacing w:after="0"/>
              <w:rPr>
                <w:sz w:val="19"/>
                <w:szCs w:val="19"/>
                <w:color w:val="auto"/>
              </w:rPr>
            </w:pPr>
          </w:p>
        </w:tc>
        <w:tc>
          <w:tcPr>
            <w:tcW w:w="1580" w:type="dxa"/>
            <w:vAlign w:val="bottom"/>
            <w:gridSpan w:val="3"/>
            <w:shd w:val="clear" w:color="auto" w:fill="CCEEFF"/>
          </w:tcPr>
          <w:p>
            <w:pPr>
              <w:jc w:val="right"/>
              <w:ind w:right="340"/>
              <w:spacing w:after="0"/>
              <w:rPr>
                <w:sz w:val="20"/>
                <w:szCs w:val="20"/>
                <w:color w:val="auto"/>
              </w:rPr>
            </w:pPr>
            <w:r>
              <w:rPr>
                <w:rFonts w:ascii="Arial" w:cs="Arial" w:eastAsia="Arial" w:hAnsi="Arial"/>
                <w:sz w:val="17"/>
                <w:szCs w:val="17"/>
                <w:color w:val="auto"/>
              </w:rPr>
              <w:t>— %</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0.1 %</w:t>
            </w:r>
          </w:p>
        </w:tc>
        <w:tc>
          <w:tcPr>
            <w:tcW w:w="0" w:type="dxa"/>
            <w:vAlign w:val="bottom"/>
          </w:tcPr>
          <w:p>
            <w:pPr>
              <w:spacing w:after="0"/>
              <w:rPr>
                <w:sz w:val="1"/>
                <w:szCs w:val="1"/>
                <w:color w:val="auto"/>
              </w:rPr>
            </w:pPr>
          </w:p>
        </w:tc>
      </w:tr>
      <w:tr>
        <w:trPr>
          <w:trHeight w:val="223"/>
        </w:trPr>
        <w:tc>
          <w:tcPr>
            <w:tcW w:w="3960" w:type="dxa"/>
            <w:vAlign w:val="bottom"/>
          </w:tcPr>
          <w:p>
            <w:pPr>
              <w:ind w:left="20"/>
              <w:spacing w:after="0"/>
              <w:rPr>
                <w:sz w:val="20"/>
                <w:szCs w:val="20"/>
                <w:color w:val="auto"/>
              </w:rPr>
            </w:pPr>
            <w:r>
              <w:rPr>
                <w:rFonts w:ascii="Arial" w:cs="Arial" w:eastAsia="Arial" w:hAnsi="Arial"/>
                <w:sz w:val="17"/>
                <w:szCs w:val="17"/>
                <w:color w:val="auto"/>
              </w:rPr>
              <w:t>Customer four</w:t>
            </w:r>
          </w:p>
        </w:tc>
        <w:tc>
          <w:tcPr>
            <w:tcW w:w="3200" w:type="dxa"/>
            <w:vAlign w:val="bottom"/>
            <w:gridSpan w:val="2"/>
          </w:tcPr>
          <w:p>
            <w:pPr>
              <w:jc w:val="right"/>
              <w:spacing w:after="0"/>
              <w:rPr>
                <w:sz w:val="20"/>
                <w:szCs w:val="20"/>
                <w:color w:val="auto"/>
              </w:rPr>
            </w:pPr>
            <w:r>
              <w:rPr>
                <w:rFonts w:ascii="Arial" w:cs="Arial" w:eastAsia="Arial" w:hAnsi="Arial"/>
                <w:sz w:val="17"/>
                <w:szCs w:val="17"/>
                <w:color w:val="auto"/>
              </w:rPr>
              <w:t>4.4 %</w:t>
            </w:r>
          </w:p>
        </w:tc>
        <w:tc>
          <w:tcPr>
            <w:tcW w:w="10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7"/>
                <w:szCs w:val="17"/>
                <w:color w:val="auto"/>
              </w:rPr>
              <w:t>— %</w:t>
            </w:r>
          </w:p>
        </w:tc>
        <w:tc>
          <w:tcPr>
            <w:tcW w:w="1580" w:type="dxa"/>
            <w:vAlign w:val="bottom"/>
            <w:gridSpan w:val="3"/>
          </w:tcPr>
          <w:p>
            <w:pPr>
              <w:jc w:val="right"/>
              <w:ind w:right="340"/>
              <w:spacing w:after="0"/>
              <w:rPr>
                <w:sz w:val="20"/>
                <w:szCs w:val="20"/>
                <w:color w:val="auto"/>
              </w:rPr>
            </w:pPr>
            <w:r>
              <w:rPr>
                <w:rFonts w:ascii="Arial" w:cs="Arial" w:eastAsia="Arial" w:hAnsi="Arial"/>
                <w:sz w:val="17"/>
                <w:szCs w:val="17"/>
                <w:color w:val="auto"/>
              </w:rPr>
              <w:t>— %</w:t>
            </w:r>
          </w:p>
        </w:tc>
        <w:tc>
          <w:tcPr>
            <w:tcW w:w="940" w:type="dxa"/>
            <w:vAlign w:val="bottom"/>
          </w:tcPr>
          <w:p>
            <w:pPr>
              <w:jc w:val="right"/>
              <w:spacing w:after="0"/>
              <w:rPr>
                <w:sz w:val="20"/>
                <w:szCs w:val="20"/>
                <w:color w:val="auto"/>
              </w:rPr>
            </w:pPr>
            <w:r>
              <w:rPr>
                <w:rFonts w:ascii="Arial" w:cs="Arial" w:eastAsia="Arial" w:hAnsi="Arial"/>
                <w:sz w:val="17"/>
                <w:szCs w:val="17"/>
                <w:color w:val="auto"/>
              </w:rPr>
              <w:t>11.2 %</w:t>
            </w:r>
          </w:p>
        </w:tc>
        <w:tc>
          <w:tcPr>
            <w:tcW w:w="0" w:type="dxa"/>
            <w:vAlign w:val="bottom"/>
          </w:tcPr>
          <w:p>
            <w:pPr>
              <w:spacing w:after="0"/>
              <w:rPr>
                <w:sz w:val="1"/>
                <w:szCs w:val="1"/>
                <w:color w:val="auto"/>
              </w:rPr>
            </w:pPr>
          </w:p>
        </w:tc>
      </w:tr>
      <w:tr>
        <w:trPr>
          <w:trHeight w:val="223"/>
        </w:trPr>
        <w:tc>
          <w:tcPr>
            <w:tcW w:w="39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Fiscal Year ended June 30, 2020</w:t>
            </w:r>
          </w:p>
        </w:tc>
        <w:tc>
          <w:tcPr>
            <w:tcW w:w="18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60" w:type="dxa"/>
            <w:vAlign w:val="bottom"/>
          </w:tcPr>
          <w:p>
            <w:pPr>
              <w:ind w:left="20"/>
              <w:spacing w:after="0"/>
              <w:rPr>
                <w:sz w:val="20"/>
                <w:szCs w:val="20"/>
                <w:color w:val="auto"/>
              </w:rPr>
            </w:pPr>
            <w:r>
              <w:rPr>
                <w:rFonts w:ascii="Arial" w:cs="Arial" w:eastAsia="Arial" w:hAnsi="Arial"/>
                <w:sz w:val="17"/>
                <w:szCs w:val="17"/>
                <w:color w:val="auto"/>
              </w:rPr>
              <w:t>Customer one</w:t>
            </w:r>
          </w:p>
        </w:tc>
        <w:tc>
          <w:tcPr>
            <w:tcW w:w="3200" w:type="dxa"/>
            <w:vAlign w:val="bottom"/>
            <w:gridSpan w:val="2"/>
          </w:tcPr>
          <w:p>
            <w:pPr>
              <w:jc w:val="right"/>
              <w:spacing w:after="0"/>
              <w:rPr>
                <w:sz w:val="20"/>
                <w:szCs w:val="20"/>
                <w:color w:val="auto"/>
              </w:rPr>
            </w:pPr>
            <w:r>
              <w:rPr>
                <w:rFonts w:ascii="Arial" w:cs="Arial" w:eastAsia="Arial" w:hAnsi="Arial"/>
                <w:sz w:val="17"/>
                <w:szCs w:val="17"/>
                <w:color w:val="auto"/>
              </w:rPr>
              <w:t>9.7 %</w:t>
            </w:r>
          </w:p>
        </w:tc>
        <w:tc>
          <w:tcPr>
            <w:tcW w:w="10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7"/>
                <w:szCs w:val="17"/>
                <w:color w:val="auto"/>
              </w:rPr>
              <w:t>— %</w:t>
            </w:r>
          </w:p>
        </w:tc>
        <w:tc>
          <w:tcPr>
            <w:tcW w:w="1260" w:type="dxa"/>
            <w:vAlign w:val="bottom"/>
          </w:tcPr>
          <w:p>
            <w:pPr>
              <w:jc w:val="right"/>
              <w:spacing w:after="0"/>
              <w:rPr>
                <w:sz w:val="20"/>
                <w:szCs w:val="20"/>
                <w:color w:val="auto"/>
              </w:rPr>
            </w:pPr>
            <w:r>
              <w:rPr>
                <w:rFonts w:ascii="Arial" w:cs="Arial" w:eastAsia="Arial" w:hAnsi="Arial"/>
                <w:sz w:val="17"/>
                <w:szCs w:val="17"/>
                <w:color w:val="auto"/>
              </w:rPr>
              <w:t>25.4 %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 %</w:t>
            </w:r>
          </w:p>
        </w:tc>
        <w:tc>
          <w:tcPr>
            <w:tcW w:w="0" w:type="dxa"/>
            <w:vAlign w:val="bottom"/>
          </w:tcPr>
          <w:p>
            <w:pPr>
              <w:spacing w:after="0"/>
              <w:rPr>
                <w:sz w:val="1"/>
                <w:szCs w:val="1"/>
                <w:color w:val="auto"/>
              </w:rPr>
            </w:pPr>
          </w:p>
        </w:tc>
      </w:tr>
      <w:tr>
        <w:trPr>
          <w:trHeight w:val="223"/>
        </w:trPr>
        <w:tc>
          <w:tcPr>
            <w:tcW w:w="3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Customer two</w:t>
            </w:r>
          </w:p>
        </w:tc>
        <w:tc>
          <w:tcPr>
            <w:tcW w:w="3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8.2 %</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42.7 %</w:t>
            </w:r>
          </w:p>
        </w:tc>
        <w:tc>
          <w:tcPr>
            <w:tcW w:w="100" w:type="dxa"/>
            <w:vAlign w:val="bottom"/>
            <w:shd w:val="clear" w:color="auto" w:fill="CCEEFF"/>
          </w:tcPr>
          <w:p>
            <w:pPr>
              <w:spacing w:after="0"/>
              <w:rPr>
                <w:sz w:val="19"/>
                <w:szCs w:val="19"/>
                <w:color w:val="auto"/>
              </w:rPr>
            </w:pPr>
          </w:p>
        </w:tc>
        <w:tc>
          <w:tcPr>
            <w:tcW w:w="1580" w:type="dxa"/>
            <w:vAlign w:val="bottom"/>
            <w:gridSpan w:val="3"/>
            <w:shd w:val="clear" w:color="auto" w:fill="CCEEFF"/>
          </w:tcPr>
          <w:p>
            <w:pPr>
              <w:jc w:val="right"/>
              <w:ind w:right="340"/>
              <w:spacing w:after="0"/>
              <w:rPr>
                <w:sz w:val="20"/>
                <w:szCs w:val="20"/>
                <w:color w:val="auto"/>
              </w:rPr>
            </w:pPr>
            <w:r>
              <w:rPr>
                <w:rFonts w:ascii="Arial" w:cs="Arial" w:eastAsia="Arial" w:hAnsi="Arial"/>
                <w:sz w:val="17"/>
                <w:szCs w:val="17"/>
                <w:color w:val="auto"/>
              </w:rPr>
              <w:t>— %</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0" w:type="dxa"/>
            <w:vAlign w:val="bottom"/>
          </w:tcPr>
          <w:p>
            <w:pPr>
              <w:spacing w:after="0"/>
              <w:rPr>
                <w:sz w:val="1"/>
                <w:szCs w:val="1"/>
                <w:color w:val="auto"/>
              </w:rPr>
            </w:pPr>
          </w:p>
        </w:tc>
      </w:tr>
      <w:tr>
        <w:trPr>
          <w:trHeight w:val="223"/>
        </w:trPr>
        <w:tc>
          <w:tcPr>
            <w:tcW w:w="3960" w:type="dxa"/>
            <w:vAlign w:val="bottom"/>
          </w:tcPr>
          <w:p>
            <w:pPr>
              <w:ind w:left="20"/>
              <w:spacing w:after="0"/>
              <w:rPr>
                <w:sz w:val="20"/>
                <w:szCs w:val="20"/>
                <w:color w:val="auto"/>
              </w:rPr>
            </w:pPr>
            <w:r>
              <w:rPr>
                <w:rFonts w:ascii="Arial" w:cs="Arial" w:eastAsia="Arial" w:hAnsi="Arial"/>
                <w:sz w:val="17"/>
                <w:szCs w:val="17"/>
                <w:color w:val="auto"/>
              </w:rPr>
              <w:t>Customer three</w:t>
            </w:r>
          </w:p>
        </w:tc>
        <w:tc>
          <w:tcPr>
            <w:tcW w:w="3200" w:type="dxa"/>
            <w:vAlign w:val="bottom"/>
            <w:gridSpan w:val="2"/>
          </w:tcPr>
          <w:p>
            <w:pPr>
              <w:jc w:val="right"/>
              <w:spacing w:after="0"/>
              <w:rPr>
                <w:sz w:val="20"/>
                <w:szCs w:val="20"/>
                <w:color w:val="auto"/>
              </w:rPr>
            </w:pPr>
            <w:r>
              <w:rPr>
                <w:rFonts w:ascii="Arial" w:cs="Arial" w:eastAsia="Arial" w:hAnsi="Arial"/>
                <w:sz w:val="17"/>
                <w:szCs w:val="17"/>
                <w:color w:val="auto"/>
              </w:rPr>
              <w:t>8.2 %</w:t>
            </w:r>
          </w:p>
        </w:tc>
        <w:tc>
          <w:tcPr>
            <w:tcW w:w="10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7"/>
                <w:szCs w:val="17"/>
                <w:color w:val="auto"/>
              </w:rPr>
              <w:t>— %</w:t>
            </w:r>
          </w:p>
        </w:tc>
        <w:tc>
          <w:tcPr>
            <w:tcW w:w="1580" w:type="dxa"/>
            <w:vAlign w:val="bottom"/>
            <w:gridSpan w:val="3"/>
          </w:tcPr>
          <w:p>
            <w:pPr>
              <w:jc w:val="right"/>
              <w:ind w:right="340"/>
              <w:spacing w:after="0"/>
              <w:rPr>
                <w:sz w:val="20"/>
                <w:szCs w:val="20"/>
                <w:color w:val="auto"/>
              </w:rPr>
            </w:pPr>
            <w:r>
              <w:rPr>
                <w:rFonts w:ascii="Arial" w:cs="Arial" w:eastAsia="Arial" w:hAnsi="Arial"/>
                <w:sz w:val="17"/>
                <w:szCs w:val="17"/>
                <w:color w:val="auto"/>
              </w:rPr>
              <w:t>— %</w:t>
            </w:r>
          </w:p>
        </w:tc>
        <w:tc>
          <w:tcPr>
            <w:tcW w:w="940" w:type="dxa"/>
            <w:vAlign w:val="bottom"/>
          </w:tcPr>
          <w:p>
            <w:pPr>
              <w:jc w:val="right"/>
              <w:spacing w:after="0"/>
              <w:rPr>
                <w:sz w:val="20"/>
                <w:szCs w:val="20"/>
                <w:color w:val="auto"/>
              </w:rPr>
            </w:pPr>
            <w:r>
              <w:rPr>
                <w:rFonts w:ascii="Arial" w:cs="Arial" w:eastAsia="Arial" w:hAnsi="Arial"/>
                <w:sz w:val="17"/>
                <w:szCs w:val="17"/>
                <w:color w:val="auto"/>
              </w:rPr>
              <w:t>19.3 %</w:t>
            </w:r>
          </w:p>
        </w:tc>
        <w:tc>
          <w:tcPr>
            <w:tcW w:w="0" w:type="dxa"/>
            <w:vAlign w:val="bottom"/>
          </w:tcPr>
          <w:p>
            <w:pPr>
              <w:spacing w:after="0"/>
              <w:rPr>
                <w:sz w:val="1"/>
                <w:szCs w:val="1"/>
                <w:color w:val="auto"/>
              </w:rPr>
            </w:pPr>
          </w:p>
        </w:tc>
      </w:tr>
      <w:tr>
        <w:trPr>
          <w:trHeight w:val="223"/>
        </w:trPr>
        <w:tc>
          <w:tcPr>
            <w:tcW w:w="3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Customer four</w:t>
            </w:r>
          </w:p>
        </w:tc>
        <w:tc>
          <w:tcPr>
            <w:tcW w:w="3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6.8 %</w:t>
            </w:r>
          </w:p>
        </w:tc>
        <w:tc>
          <w:tcPr>
            <w:tcW w:w="1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 %</w:t>
            </w:r>
          </w:p>
        </w:tc>
        <w:tc>
          <w:tcPr>
            <w:tcW w:w="1580" w:type="dxa"/>
            <w:vAlign w:val="bottom"/>
            <w:gridSpan w:val="3"/>
            <w:shd w:val="clear" w:color="auto" w:fill="CCEEFF"/>
          </w:tcPr>
          <w:p>
            <w:pPr>
              <w:jc w:val="right"/>
              <w:ind w:right="340"/>
              <w:spacing w:after="0"/>
              <w:rPr>
                <w:sz w:val="20"/>
                <w:szCs w:val="20"/>
                <w:color w:val="auto"/>
              </w:rPr>
            </w:pPr>
            <w:r>
              <w:rPr>
                <w:rFonts w:ascii="Arial" w:cs="Arial" w:eastAsia="Arial" w:hAnsi="Arial"/>
                <w:sz w:val="17"/>
                <w:szCs w:val="17"/>
                <w:color w:val="auto"/>
              </w:rPr>
              <w:t>— %</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16.1 %</w:t>
            </w:r>
          </w:p>
        </w:tc>
        <w:tc>
          <w:tcPr>
            <w:tcW w:w="0" w:type="dxa"/>
            <w:vAlign w:val="bottom"/>
          </w:tcPr>
          <w:p>
            <w:pPr>
              <w:spacing w:after="0"/>
              <w:rPr>
                <w:sz w:val="1"/>
                <w:szCs w:val="1"/>
                <w:color w:val="auto"/>
              </w:rPr>
            </w:pPr>
          </w:p>
        </w:tc>
      </w:tr>
      <w:tr>
        <w:trPr>
          <w:trHeight w:val="223"/>
        </w:trPr>
        <w:tc>
          <w:tcPr>
            <w:tcW w:w="3960" w:type="dxa"/>
            <w:vAlign w:val="bottom"/>
          </w:tcPr>
          <w:p>
            <w:pPr>
              <w:ind w:left="20"/>
              <w:spacing w:after="0"/>
              <w:rPr>
                <w:sz w:val="20"/>
                <w:szCs w:val="20"/>
                <w:color w:val="auto"/>
              </w:rPr>
            </w:pPr>
            <w:r>
              <w:rPr>
                <w:rFonts w:ascii="Arial" w:cs="Arial" w:eastAsia="Arial" w:hAnsi="Arial"/>
                <w:sz w:val="17"/>
                <w:szCs w:val="17"/>
                <w:color w:val="auto"/>
              </w:rPr>
              <w:t>Customer five</w:t>
            </w:r>
          </w:p>
        </w:tc>
        <w:tc>
          <w:tcPr>
            <w:tcW w:w="3200" w:type="dxa"/>
            <w:vAlign w:val="bottom"/>
            <w:gridSpan w:val="2"/>
          </w:tcPr>
          <w:p>
            <w:pPr>
              <w:jc w:val="right"/>
              <w:spacing w:after="0"/>
              <w:rPr>
                <w:sz w:val="20"/>
                <w:szCs w:val="20"/>
                <w:color w:val="auto"/>
              </w:rPr>
            </w:pPr>
            <w:r>
              <w:rPr>
                <w:rFonts w:ascii="Arial" w:cs="Arial" w:eastAsia="Arial" w:hAnsi="Arial"/>
                <w:sz w:val="17"/>
                <w:szCs w:val="17"/>
                <w:color w:val="auto"/>
              </w:rPr>
              <w:t>2.0 %</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10.5 %</w:t>
            </w:r>
          </w:p>
        </w:tc>
        <w:tc>
          <w:tcPr>
            <w:tcW w:w="100" w:type="dxa"/>
            <w:vAlign w:val="bottom"/>
          </w:tcPr>
          <w:p>
            <w:pPr>
              <w:spacing w:after="0"/>
              <w:rPr>
                <w:sz w:val="19"/>
                <w:szCs w:val="19"/>
                <w:color w:val="auto"/>
              </w:rPr>
            </w:pPr>
          </w:p>
        </w:tc>
        <w:tc>
          <w:tcPr>
            <w:tcW w:w="1580" w:type="dxa"/>
            <w:vAlign w:val="bottom"/>
            <w:gridSpan w:val="3"/>
          </w:tcPr>
          <w:p>
            <w:pPr>
              <w:jc w:val="right"/>
              <w:ind w:right="340"/>
              <w:spacing w:after="0"/>
              <w:rPr>
                <w:sz w:val="20"/>
                <w:szCs w:val="20"/>
                <w:color w:val="auto"/>
              </w:rPr>
            </w:pPr>
            <w:r>
              <w:rPr>
                <w:rFonts w:ascii="Arial" w:cs="Arial" w:eastAsia="Arial" w:hAnsi="Arial"/>
                <w:sz w:val="17"/>
                <w:szCs w:val="17"/>
                <w:color w:val="auto"/>
              </w:rPr>
              <w:t>— %</w:t>
            </w:r>
          </w:p>
        </w:tc>
        <w:tc>
          <w:tcPr>
            <w:tcW w:w="940" w:type="dxa"/>
            <w:vAlign w:val="bottom"/>
          </w:tcPr>
          <w:p>
            <w:pPr>
              <w:jc w:val="right"/>
              <w:spacing w:after="0"/>
              <w:rPr>
                <w:sz w:val="20"/>
                <w:szCs w:val="20"/>
                <w:color w:val="auto"/>
              </w:rPr>
            </w:pPr>
            <w:r>
              <w:rPr>
                <w:rFonts w:ascii="Arial" w:cs="Arial" w:eastAsia="Arial" w:hAnsi="Arial"/>
                <w:sz w:val="17"/>
                <w:szCs w:val="17"/>
                <w:color w:val="auto"/>
              </w:rPr>
              <w:t>— %</w:t>
            </w:r>
          </w:p>
        </w:tc>
        <w:tc>
          <w:tcPr>
            <w:tcW w:w="0" w:type="dxa"/>
            <w:vAlign w:val="bottom"/>
          </w:tcPr>
          <w:p>
            <w:pPr>
              <w:spacing w:after="0"/>
              <w:rPr>
                <w:sz w:val="1"/>
                <w:szCs w:val="1"/>
                <w:color w:val="auto"/>
              </w:rPr>
            </w:pPr>
          </w:p>
        </w:tc>
      </w:tr>
      <w:tr>
        <w:trPr>
          <w:trHeight w:val="223"/>
        </w:trPr>
        <w:tc>
          <w:tcPr>
            <w:tcW w:w="39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Fiscal Year ended June 30, 2019</w:t>
            </w:r>
          </w:p>
        </w:tc>
        <w:tc>
          <w:tcPr>
            <w:tcW w:w="18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60" w:type="dxa"/>
            <w:vAlign w:val="bottom"/>
          </w:tcPr>
          <w:p>
            <w:pPr>
              <w:ind w:left="20"/>
              <w:spacing w:after="0"/>
              <w:rPr>
                <w:sz w:val="20"/>
                <w:szCs w:val="20"/>
                <w:color w:val="auto"/>
              </w:rPr>
            </w:pPr>
            <w:r>
              <w:rPr>
                <w:rFonts w:ascii="Arial" w:cs="Arial" w:eastAsia="Arial" w:hAnsi="Arial"/>
                <w:sz w:val="17"/>
                <w:szCs w:val="17"/>
                <w:color w:val="auto"/>
              </w:rPr>
              <w:t>Customer one</w:t>
            </w:r>
          </w:p>
        </w:tc>
        <w:tc>
          <w:tcPr>
            <w:tcW w:w="3200" w:type="dxa"/>
            <w:vAlign w:val="bottom"/>
            <w:gridSpan w:val="2"/>
          </w:tcPr>
          <w:p>
            <w:pPr>
              <w:jc w:val="right"/>
              <w:spacing w:after="0"/>
              <w:rPr>
                <w:sz w:val="20"/>
                <w:szCs w:val="20"/>
                <w:color w:val="auto"/>
              </w:rPr>
            </w:pPr>
            <w:r>
              <w:rPr>
                <w:rFonts w:ascii="Arial" w:cs="Arial" w:eastAsia="Arial" w:hAnsi="Arial"/>
                <w:sz w:val="17"/>
                <w:szCs w:val="17"/>
                <w:color w:val="auto"/>
              </w:rPr>
              <w:t>9.7 %</w:t>
            </w:r>
          </w:p>
        </w:tc>
        <w:tc>
          <w:tcPr>
            <w:tcW w:w="10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7"/>
                <w:szCs w:val="17"/>
                <w:color w:val="auto"/>
              </w:rPr>
              <w:t>— %</w:t>
            </w:r>
          </w:p>
        </w:tc>
        <w:tc>
          <w:tcPr>
            <w:tcW w:w="1260" w:type="dxa"/>
            <w:vAlign w:val="bottom"/>
          </w:tcPr>
          <w:p>
            <w:pPr>
              <w:jc w:val="right"/>
              <w:spacing w:after="0"/>
              <w:rPr>
                <w:sz w:val="20"/>
                <w:szCs w:val="20"/>
                <w:color w:val="auto"/>
              </w:rPr>
            </w:pPr>
            <w:r>
              <w:rPr>
                <w:rFonts w:ascii="Arial" w:cs="Arial" w:eastAsia="Arial" w:hAnsi="Arial"/>
                <w:sz w:val="17"/>
                <w:szCs w:val="17"/>
                <w:color w:val="auto"/>
              </w:rPr>
              <w:t>21.0 %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 %</w:t>
            </w:r>
          </w:p>
        </w:tc>
        <w:tc>
          <w:tcPr>
            <w:tcW w:w="0" w:type="dxa"/>
            <w:vAlign w:val="bottom"/>
          </w:tcPr>
          <w:p>
            <w:pPr>
              <w:spacing w:after="0"/>
              <w:rPr>
                <w:sz w:val="1"/>
                <w:szCs w:val="1"/>
                <w:color w:val="auto"/>
              </w:rPr>
            </w:pPr>
          </w:p>
        </w:tc>
      </w:tr>
      <w:tr>
        <w:trPr>
          <w:trHeight w:val="223"/>
        </w:trPr>
        <w:tc>
          <w:tcPr>
            <w:tcW w:w="3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Customer two</w:t>
            </w:r>
          </w:p>
        </w:tc>
        <w:tc>
          <w:tcPr>
            <w:tcW w:w="3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7.6 %</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42.7 %</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0" w:type="dxa"/>
            <w:vAlign w:val="bottom"/>
          </w:tcPr>
          <w:p>
            <w:pPr>
              <w:spacing w:after="0"/>
              <w:rPr>
                <w:sz w:val="1"/>
                <w:szCs w:val="1"/>
                <w:color w:val="auto"/>
              </w:rPr>
            </w:pPr>
          </w:p>
        </w:tc>
      </w:tr>
      <w:tr>
        <w:trPr>
          <w:trHeight w:val="223"/>
        </w:trPr>
        <w:tc>
          <w:tcPr>
            <w:tcW w:w="3960" w:type="dxa"/>
            <w:vAlign w:val="bottom"/>
          </w:tcPr>
          <w:p>
            <w:pPr>
              <w:ind w:left="20"/>
              <w:spacing w:after="0"/>
              <w:rPr>
                <w:sz w:val="20"/>
                <w:szCs w:val="20"/>
                <w:color w:val="auto"/>
              </w:rPr>
            </w:pPr>
            <w:r>
              <w:rPr>
                <w:rFonts w:ascii="Arial" w:cs="Arial" w:eastAsia="Arial" w:hAnsi="Arial"/>
                <w:sz w:val="17"/>
                <w:szCs w:val="17"/>
                <w:color w:val="auto"/>
              </w:rPr>
              <w:t>Customer three</w:t>
            </w:r>
          </w:p>
        </w:tc>
        <w:tc>
          <w:tcPr>
            <w:tcW w:w="3200" w:type="dxa"/>
            <w:vAlign w:val="bottom"/>
            <w:gridSpan w:val="2"/>
          </w:tcPr>
          <w:p>
            <w:pPr>
              <w:jc w:val="right"/>
              <w:spacing w:after="0"/>
              <w:rPr>
                <w:sz w:val="20"/>
                <w:szCs w:val="20"/>
                <w:color w:val="auto"/>
              </w:rPr>
            </w:pPr>
            <w:r>
              <w:rPr>
                <w:rFonts w:ascii="Arial" w:cs="Arial" w:eastAsia="Arial" w:hAnsi="Arial"/>
                <w:sz w:val="17"/>
                <w:szCs w:val="17"/>
                <w:color w:val="auto"/>
              </w:rPr>
              <w:t>7.6 %</w:t>
            </w:r>
          </w:p>
        </w:tc>
        <w:tc>
          <w:tcPr>
            <w:tcW w:w="10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7"/>
                <w:szCs w:val="17"/>
                <w:color w:val="auto"/>
              </w:rPr>
              <w:t>— %</w:t>
            </w:r>
          </w:p>
        </w:tc>
        <w:tc>
          <w:tcPr>
            <w:tcW w:w="1260" w:type="dxa"/>
            <w:vAlign w:val="bottom"/>
          </w:tcPr>
          <w:p>
            <w:pPr>
              <w:jc w:val="right"/>
              <w:spacing w:after="0"/>
              <w:rPr>
                <w:sz w:val="20"/>
                <w:szCs w:val="20"/>
                <w:color w:val="auto"/>
              </w:rPr>
            </w:pPr>
            <w:r>
              <w:rPr>
                <w:rFonts w:ascii="Arial" w:cs="Arial" w:eastAsia="Arial" w:hAnsi="Arial"/>
                <w:sz w:val="17"/>
                <w:szCs w:val="17"/>
                <w:color w:val="auto"/>
              </w:rPr>
              <w:t>16.4 %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 %</w:t>
            </w:r>
          </w:p>
        </w:tc>
        <w:tc>
          <w:tcPr>
            <w:tcW w:w="0" w:type="dxa"/>
            <w:vAlign w:val="bottom"/>
          </w:tcPr>
          <w:p>
            <w:pPr>
              <w:spacing w:after="0"/>
              <w:rPr>
                <w:sz w:val="1"/>
                <w:szCs w:val="1"/>
                <w:color w:val="auto"/>
              </w:rPr>
            </w:pPr>
          </w:p>
        </w:tc>
      </w:tr>
      <w:tr>
        <w:trPr>
          <w:trHeight w:val="223"/>
        </w:trPr>
        <w:tc>
          <w:tcPr>
            <w:tcW w:w="3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Customer four</w:t>
            </w:r>
          </w:p>
        </w:tc>
        <w:tc>
          <w:tcPr>
            <w:tcW w:w="3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7.2 %</w:t>
            </w:r>
          </w:p>
        </w:tc>
        <w:tc>
          <w:tcPr>
            <w:tcW w:w="1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 %</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0.6 %</w:t>
            </w:r>
          </w:p>
        </w:tc>
        <w:tc>
          <w:tcPr>
            <w:tcW w:w="0" w:type="dxa"/>
            <w:vAlign w:val="bottom"/>
          </w:tcPr>
          <w:p>
            <w:pPr>
              <w:spacing w:after="0"/>
              <w:rPr>
                <w:sz w:val="1"/>
                <w:szCs w:val="1"/>
                <w:color w:val="auto"/>
              </w:rPr>
            </w:pPr>
          </w:p>
        </w:tc>
      </w:tr>
      <w:tr>
        <w:trPr>
          <w:trHeight w:val="223"/>
        </w:trPr>
        <w:tc>
          <w:tcPr>
            <w:tcW w:w="3960" w:type="dxa"/>
            <w:vAlign w:val="bottom"/>
          </w:tcPr>
          <w:p>
            <w:pPr>
              <w:ind w:left="20"/>
              <w:spacing w:after="0"/>
              <w:rPr>
                <w:sz w:val="20"/>
                <w:szCs w:val="20"/>
                <w:color w:val="auto"/>
              </w:rPr>
            </w:pPr>
            <w:r>
              <w:rPr>
                <w:rFonts w:ascii="Arial" w:cs="Arial" w:eastAsia="Arial" w:hAnsi="Arial"/>
                <w:sz w:val="17"/>
                <w:szCs w:val="17"/>
                <w:color w:val="auto"/>
              </w:rPr>
              <w:t>Customer five</w:t>
            </w:r>
          </w:p>
        </w:tc>
        <w:tc>
          <w:tcPr>
            <w:tcW w:w="3200" w:type="dxa"/>
            <w:vAlign w:val="bottom"/>
            <w:gridSpan w:val="2"/>
          </w:tcPr>
          <w:p>
            <w:pPr>
              <w:jc w:val="right"/>
              <w:spacing w:after="0"/>
              <w:rPr>
                <w:sz w:val="20"/>
                <w:szCs w:val="20"/>
                <w:color w:val="auto"/>
              </w:rPr>
            </w:pPr>
            <w:r>
              <w:rPr>
                <w:rFonts w:ascii="Arial" w:cs="Arial" w:eastAsia="Arial" w:hAnsi="Arial"/>
                <w:sz w:val="17"/>
                <w:szCs w:val="17"/>
                <w:color w:val="auto"/>
              </w:rPr>
              <w:t>7.1 %</w:t>
            </w:r>
          </w:p>
        </w:tc>
        <w:tc>
          <w:tcPr>
            <w:tcW w:w="10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7"/>
                <w:szCs w:val="17"/>
                <w:color w:val="auto"/>
              </w:rPr>
              <w:t>— %</w:t>
            </w:r>
          </w:p>
        </w:tc>
        <w:tc>
          <w:tcPr>
            <w:tcW w:w="1580" w:type="dxa"/>
            <w:vAlign w:val="bottom"/>
            <w:gridSpan w:val="3"/>
          </w:tcPr>
          <w:p>
            <w:pPr>
              <w:jc w:val="right"/>
              <w:ind w:right="340"/>
              <w:spacing w:after="0"/>
              <w:rPr>
                <w:sz w:val="20"/>
                <w:szCs w:val="20"/>
                <w:color w:val="auto"/>
              </w:rPr>
            </w:pPr>
            <w:r>
              <w:rPr>
                <w:rFonts w:ascii="Arial" w:cs="Arial" w:eastAsia="Arial" w:hAnsi="Arial"/>
                <w:sz w:val="17"/>
                <w:szCs w:val="17"/>
                <w:color w:val="auto"/>
              </w:rPr>
              <w:t>— %</w:t>
            </w:r>
          </w:p>
        </w:tc>
        <w:tc>
          <w:tcPr>
            <w:tcW w:w="940" w:type="dxa"/>
            <w:vAlign w:val="bottom"/>
          </w:tcPr>
          <w:p>
            <w:pPr>
              <w:jc w:val="right"/>
              <w:spacing w:after="0"/>
              <w:rPr>
                <w:sz w:val="20"/>
                <w:szCs w:val="20"/>
                <w:color w:val="auto"/>
              </w:rPr>
            </w:pPr>
            <w:r>
              <w:rPr>
                <w:rFonts w:ascii="Arial" w:cs="Arial" w:eastAsia="Arial" w:hAnsi="Arial"/>
                <w:sz w:val="17"/>
                <w:szCs w:val="17"/>
                <w:color w:val="auto"/>
              </w:rPr>
              <w:t>19.7 %</w:t>
            </w:r>
          </w:p>
        </w:tc>
        <w:tc>
          <w:tcPr>
            <w:tcW w:w="0" w:type="dxa"/>
            <w:vAlign w:val="bottom"/>
          </w:tcPr>
          <w:p>
            <w:pPr>
              <w:spacing w:after="0"/>
              <w:rPr>
                <w:sz w:val="1"/>
                <w:szCs w:val="1"/>
                <w:color w:val="auto"/>
              </w:rPr>
            </w:pPr>
          </w:p>
        </w:tc>
      </w:tr>
      <w:tr>
        <w:trPr>
          <w:trHeight w:val="223"/>
        </w:trPr>
        <w:tc>
          <w:tcPr>
            <w:tcW w:w="3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Customer six</w:t>
            </w:r>
          </w:p>
        </w:tc>
        <w:tc>
          <w:tcPr>
            <w:tcW w:w="3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5.0 %</w:t>
            </w:r>
          </w:p>
        </w:tc>
        <w:tc>
          <w:tcPr>
            <w:tcW w:w="1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 %</w:t>
            </w:r>
          </w:p>
        </w:tc>
        <w:tc>
          <w:tcPr>
            <w:tcW w:w="1580" w:type="dxa"/>
            <w:vAlign w:val="bottom"/>
            <w:gridSpan w:val="3"/>
            <w:shd w:val="clear" w:color="auto" w:fill="CCEEFF"/>
          </w:tcPr>
          <w:p>
            <w:pPr>
              <w:jc w:val="right"/>
              <w:ind w:right="340"/>
              <w:spacing w:after="0"/>
              <w:rPr>
                <w:sz w:val="20"/>
                <w:szCs w:val="20"/>
                <w:color w:val="auto"/>
              </w:rPr>
            </w:pPr>
            <w:r>
              <w:rPr>
                <w:rFonts w:ascii="Arial" w:cs="Arial" w:eastAsia="Arial" w:hAnsi="Arial"/>
                <w:sz w:val="17"/>
                <w:szCs w:val="17"/>
                <w:color w:val="auto"/>
              </w:rPr>
              <w:t>— %</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13.8 %</w:t>
            </w:r>
          </w:p>
        </w:tc>
        <w:tc>
          <w:tcPr>
            <w:tcW w:w="0" w:type="dxa"/>
            <w:vAlign w:val="bottom"/>
          </w:tcPr>
          <w:p>
            <w:pPr>
              <w:spacing w:after="0"/>
              <w:rPr>
                <w:sz w:val="1"/>
                <w:szCs w:val="1"/>
                <w:color w:val="auto"/>
              </w:rPr>
            </w:pPr>
          </w:p>
        </w:tc>
      </w:tr>
      <w:tr>
        <w:trPr>
          <w:trHeight w:val="223"/>
        </w:trPr>
        <w:tc>
          <w:tcPr>
            <w:tcW w:w="3960" w:type="dxa"/>
            <w:vAlign w:val="bottom"/>
          </w:tcPr>
          <w:p>
            <w:pPr>
              <w:ind w:left="20"/>
              <w:spacing w:after="0"/>
              <w:rPr>
                <w:sz w:val="20"/>
                <w:szCs w:val="20"/>
                <w:color w:val="auto"/>
              </w:rPr>
            </w:pPr>
            <w:r>
              <w:rPr>
                <w:rFonts w:ascii="Arial" w:cs="Arial" w:eastAsia="Arial" w:hAnsi="Arial"/>
                <w:sz w:val="17"/>
                <w:szCs w:val="17"/>
                <w:color w:val="auto"/>
              </w:rPr>
              <w:t>Customer seven</w:t>
            </w:r>
          </w:p>
        </w:tc>
        <w:tc>
          <w:tcPr>
            <w:tcW w:w="3200" w:type="dxa"/>
            <w:vAlign w:val="bottom"/>
            <w:gridSpan w:val="2"/>
          </w:tcPr>
          <w:p>
            <w:pPr>
              <w:jc w:val="right"/>
              <w:spacing w:after="0"/>
              <w:rPr>
                <w:sz w:val="20"/>
                <w:szCs w:val="20"/>
                <w:color w:val="auto"/>
              </w:rPr>
            </w:pPr>
            <w:r>
              <w:rPr>
                <w:rFonts w:ascii="Arial" w:cs="Arial" w:eastAsia="Arial" w:hAnsi="Arial"/>
                <w:sz w:val="17"/>
                <w:szCs w:val="17"/>
                <w:color w:val="auto"/>
              </w:rPr>
              <w:t>4.6 %</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0.2 %</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1.5 %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10.8 %</w:t>
            </w:r>
          </w:p>
        </w:tc>
        <w:tc>
          <w:tcPr>
            <w:tcW w:w="0" w:type="dxa"/>
            <w:vAlign w:val="bottom"/>
          </w:tcPr>
          <w:p>
            <w:pPr>
              <w:spacing w:after="0"/>
              <w:rPr>
                <w:sz w:val="1"/>
                <w:szCs w:val="1"/>
                <w:color w:val="auto"/>
              </w:rPr>
            </w:pPr>
          </w:p>
        </w:tc>
      </w:tr>
      <w:tr>
        <w:trPr>
          <w:trHeight w:val="223"/>
        </w:trPr>
        <w:tc>
          <w:tcPr>
            <w:tcW w:w="3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Customer eight</w:t>
            </w:r>
          </w:p>
        </w:tc>
        <w:tc>
          <w:tcPr>
            <w:tcW w:w="3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3.4 %</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19.5 %</w:t>
            </w:r>
          </w:p>
        </w:tc>
        <w:tc>
          <w:tcPr>
            <w:tcW w:w="100" w:type="dxa"/>
            <w:vAlign w:val="bottom"/>
            <w:shd w:val="clear" w:color="auto" w:fill="CCEEFF"/>
          </w:tcPr>
          <w:p>
            <w:pPr>
              <w:spacing w:after="0"/>
              <w:rPr>
                <w:sz w:val="19"/>
                <w:szCs w:val="19"/>
                <w:color w:val="auto"/>
              </w:rPr>
            </w:pPr>
          </w:p>
        </w:tc>
        <w:tc>
          <w:tcPr>
            <w:tcW w:w="1580" w:type="dxa"/>
            <w:vAlign w:val="bottom"/>
            <w:gridSpan w:val="3"/>
            <w:shd w:val="clear" w:color="auto" w:fill="CCEEFF"/>
          </w:tcPr>
          <w:p>
            <w:pPr>
              <w:jc w:val="right"/>
              <w:ind w:right="340"/>
              <w:spacing w:after="0"/>
              <w:rPr>
                <w:sz w:val="20"/>
                <w:szCs w:val="20"/>
                <w:color w:val="auto"/>
              </w:rPr>
            </w:pPr>
            <w:r>
              <w:rPr>
                <w:rFonts w:ascii="Arial" w:cs="Arial" w:eastAsia="Arial" w:hAnsi="Arial"/>
                <w:sz w:val="17"/>
                <w:szCs w:val="17"/>
                <w:color w:val="auto"/>
              </w:rPr>
              <w:t>— %</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0" w:type="dxa"/>
            <w:vAlign w:val="bottom"/>
          </w:tcPr>
          <w:p>
            <w:pPr>
              <w:spacing w:after="0"/>
              <w:rPr>
                <w:sz w:val="1"/>
                <w:szCs w:val="1"/>
                <w:color w:val="auto"/>
              </w:rPr>
            </w:pPr>
          </w:p>
        </w:tc>
      </w:tr>
      <w:tr>
        <w:trPr>
          <w:trHeight w:val="223"/>
        </w:trPr>
        <w:tc>
          <w:tcPr>
            <w:tcW w:w="3960" w:type="dxa"/>
            <w:vAlign w:val="bottom"/>
          </w:tcPr>
          <w:p>
            <w:pPr>
              <w:ind w:left="20"/>
              <w:spacing w:after="0"/>
              <w:rPr>
                <w:sz w:val="20"/>
                <w:szCs w:val="20"/>
                <w:color w:val="auto"/>
              </w:rPr>
            </w:pPr>
            <w:r>
              <w:rPr>
                <w:rFonts w:ascii="Arial" w:cs="Arial" w:eastAsia="Arial" w:hAnsi="Arial"/>
                <w:sz w:val="17"/>
                <w:szCs w:val="17"/>
                <w:color w:val="auto"/>
              </w:rPr>
              <w:t>Customer nine</w:t>
            </w:r>
          </w:p>
        </w:tc>
        <w:tc>
          <w:tcPr>
            <w:tcW w:w="3200" w:type="dxa"/>
            <w:vAlign w:val="bottom"/>
            <w:gridSpan w:val="2"/>
          </w:tcPr>
          <w:p>
            <w:pPr>
              <w:jc w:val="right"/>
              <w:spacing w:after="0"/>
              <w:rPr>
                <w:sz w:val="20"/>
                <w:szCs w:val="20"/>
                <w:color w:val="auto"/>
              </w:rPr>
            </w:pPr>
            <w:r>
              <w:rPr>
                <w:rFonts w:ascii="Arial" w:cs="Arial" w:eastAsia="Arial" w:hAnsi="Arial"/>
                <w:sz w:val="17"/>
                <w:szCs w:val="17"/>
                <w:color w:val="auto"/>
              </w:rPr>
              <w:t>2.1 %</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11.7 %</w:t>
            </w:r>
          </w:p>
        </w:tc>
        <w:tc>
          <w:tcPr>
            <w:tcW w:w="100" w:type="dxa"/>
            <w:vAlign w:val="bottom"/>
          </w:tcPr>
          <w:p>
            <w:pPr>
              <w:spacing w:after="0"/>
              <w:rPr>
                <w:sz w:val="19"/>
                <w:szCs w:val="19"/>
                <w:color w:val="auto"/>
              </w:rPr>
            </w:pPr>
          </w:p>
        </w:tc>
        <w:tc>
          <w:tcPr>
            <w:tcW w:w="1580" w:type="dxa"/>
            <w:vAlign w:val="bottom"/>
            <w:gridSpan w:val="3"/>
          </w:tcPr>
          <w:p>
            <w:pPr>
              <w:jc w:val="right"/>
              <w:ind w:right="340"/>
              <w:spacing w:after="0"/>
              <w:rPr>
                <w:sz w:val="20"/>
                <w:szCs w:val="20"/>
                <w:color w:val="auto"/>
              </w:rPr>
            </w:pPr>
            <w:r>
              <w:rPr>
                <w:rFonts w:ascii="Arial" w:cs="Arial" w:eastAsia="Arial" w:hAnsi="Arial"/>
                <w:sz w:val="17"/>
                <w:szCs w:val="17"/>
                <w:color w:val="auto"/>
              </w:rPr>
              <w:t>— %</w:t>
            </w:r>
          </w:p>
        </w:tc>
        <w:tc>
          <w:tcPr>
            <w:tcW w:w="940" w:type="dxa"/>
            <w:vAlign w:val="bottom"/>
          </w:tcPr>
          <w:p>
            <w:pPr>
              <w:jc w:val="right"/>
              <w:spacing w:after="0"/>
              <w:rPr>
                <w:sz w:val="20"/>
                <w:szCs w:val="20"/>
                <w:color w:val="auto"/>
              </w:rPr>
            </w:pPr>
            <w:r>
              <w:rPr>
                <w:rFonts w:ascii="Arial" w:cs="Arial" w:eastAsia="Arial" w:hAnsi="Arial"/>
                <w:sz w:val="17"/>
                <w:szCs w:val="17"/>
                <w:color w:val="auto"/>
              </w:rPr>
              <w:t>— %</w:t>
            </w:r>
          </w:p>
        </w:tc>
        <w:tc>
          <w:tcPr>
            <w:tcW w:w="0" w:type="dxa"/>
            <w:vAlign w:val="bottom"/>
          </w:tcPr>
          <w:p>
            <w:pPr>
              <w:spacing w:after="0"/>
              <w:rPr>
                <w:sz w:val="1"/>
                <w:szCs w:val="1"/>
                <w:color w:val="auto"/>
              </w:rPr>
            </w:pPr>
          </w:p>
        </w:tc>
      </w:tr>
      <w:tr>
        <w:trPr>
          <w:trHeight w:val="223"/>
        </w:trPr>
        <w:tc>
          <w:tcPr>
            <w:tcW w:w="3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Customer ten</w:t>
            </w:r>
          </w:p>
        </w:tc>
        <w:tc>
          <w:tcPr>
            <w:tcW w:w="3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2.0 %</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11.3 %</w:t>
            </w:r>
          </w:p>
        </w:tc>
        <w:tc>
          <w:tcPr>
            <w:tcW w:w="100" w:type="dxa"/>
            <w:vAlign w:val="bottom"/>
            <w:shd w:val="clear" w:color="auto" w:fill="CCEEFF"/>
          </w:tcPr>
          <w:p>
            <w:pPr>
              <w:spacing w:after="0"/>
              <w:rPr>
                <w:sz w:val="19"/>
                <w:szCs w:val="19"/>
                <w:color w:val="auto"/>
              </w:rPr>
            </w:pPr>
          </w:p>
        </w:tc>
        <w:tc>
          <w:tcPr>
            <w:tcW w:w="1580" w:type="dxa"/>
            <w:vAlign w:val="bottom"/>
            <w:gridSpan w:val="3"/>
            <w:shd w:val="clear" w:color="auto" w:fill="CCEEFF"/>
          </w:tcPr>
          <w:p>
            <w:pPr>
              <w:jc w:val="right"/>
              <w:ind w:right="340"/>
              <w:spacing w:after="0"/>
              <w:rPr>
                <w:sz w:val="20"/>
                <w:szCs w:val="20"/>
                <w:color w:val="auto"/>
              </w:rPr>
            </w:pPr>
            <w:r>
              <w:rPr>
                <w:rFonts w:ascii="Arial" w:cs="Arial" w:eastAsia="Arial" w:hAnsi="Arial"/>
                <w:sz w:val="17"/>
                <w:szCs w:val="17"/>
                <w:color w:val="auto"/>
              </w:rPr>
              <w:t>— %</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0" w:type="dxa"/>
            <w:vAlign w:val="bottom"/>
          </w:tcPr>
          <w:p>
            <w:pPr>
              <w:spacing w:after="0"/>
              <w:rPr>
                <w:sz w:val="1"/>
                <w:szCs w:val="1"/>
                <w:color w:val="auto"/>
              </w:rPr>
            </w:pPr>
          </w:p>
        </w:tc>
      </w:tr>
      <w:tr>
        <w:trPr>
          <w:trHeight w:val="1258"/>
        </w:trPr>
        <w:tc>
          <w:tcPr>
            <w:tcW w:w="3960" w:type="dxa"/>
            <w:vAlign w:val="bottom"/>
          </w:tcPr>
          <w:p>
            <w:pPr>
              <w:spacing w:after="0"/>
              <w:rPr>
                <w:sz w:val="24"/>
                <w:szCs w:val="24"/>
                <w:color w:val="auto"/>
              </w:rPr>
            </w:pPr>
          </w:p>
        </w:tc>
        <w:tc>
          <w:tcPr>
            <w:tcW w:w="1860" w:type="dxa"/>
            <w:vAlign w:val="bottom"/>
          </w:tcPr>
          <w:p>
            <w:pPr>
              <w:jc w:val="right"/>
              <w:ind w:right="13"/>
              <w:spacing w:after="0"/>
              <w:rPr>
                <w:sz w:val="20"/>
                <w:szCs w:val="20"/>
                <w:color w:val="auto"/>
              </w:rPr>
            </w:pPr>
            <w:r>
              <w:rPr>
                <w:rFonts w:ascii="Arial" w:cs="Arial" w:eastAsia="Arial" w:hAnsi="Arial"/>
                <w:sz w:val="17"/>
                <w:szCs w:val="17"/>
                <w:color w:val="auto"/>
              </w:rPr>
              <w:t>82</w:t>
            </w: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3960" w:type="dxa"/>
            <w:vAlign w:val="bottom"/>
            <w:tcBorders>
              <w:bottom w:val="single" w:sz="8" w:color="9A9A9A"/>
            </w:tcBorders>
          </w:tcPr>
          <w:p>
            <w:pPr>
              <w:spacing w:after="0"/>
              <w:rPr>
                <w:sz w:val="9"/>
                <w:szCs w:val="9"/>
                <w:color w:val="auto"/>
              </w:rPr>
            </w:pPr>
          </w:p>
        </w:tc>
        <w:tc>
          <w:tcPr>
            <w:tcW w:w="186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83" w:name="page84"/>
    <w:bookmarkEnd w:id="83"/>
    <w:p>
      <w:pPr>
        <w:jc w:val="center"/>
        <w:spacing w:after="0"/>
        <w:rPr>
          <w:sz w:val="20"/>
          <w:szCs w:val="20"/>
          <w:color w:val="auto"/>
        </w:rPr>
      </w:pPr>
      <w:r>
        <w:rPr>
          <w:rFonts w:ascii="Arial" w:cs="Arial" w:eastAsia="Arial" w:hAnsi="Arial"/>
          <w:sz w:val="17"/>
          <w:szCs w:val="17"/>
          <w:b w:val="1"/>
          <w:bCs w:val="1"/>
          <w:color w:val="auto"/>
        </w:rPr>
        <w:t>Matrix Service Company</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14—Restructuring Costs</w:t>
      </w: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color w:val="auto"/>
        </w:rPr>
        <w:t>During the third quarter of fiscal 2020, we initiated a business improvement plan to increase profitability and reduce our cost structure related to:</w:t>
      </w:r>
    </w:p>
    <w:p>
      <w:pPr>
        <w:spacing w:after="0" w:line="250" w:lineRule="exact"/>
        <w:rPr>
          <w:sz w:val="20"/>
          <w:szCs w:val="20"/>
          <w:color w:val="auto"/>
        </w:rPr>
      </w:pPr>
    </w:p>
    <w:p>
      <w:pPr>
        <w:ind w:left="620" w:hanging="300"/>
        <w:spacing w:after="0"/>
        <w:tabs>
          <w:tab w:leader="none" w:pos="6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our strategic initiative to exit the domestic iron and steel industry;</w:t>
      </w:r>
    </w:p>
    <w:p>
      <w:pPr>
        <w:spacing w:after="0" w:line="250" w:lineRule="exact"/>
        <w:rPr>
          <w:rFonts w:ascii="Arial" w:cs="Arial" w:eastAsia="Arial" w:hAnsi="Arial"/>
          <w:sz w:val="17"/>
          <w:szCs w:val="17"/>
          <w:color w:val="auto"/>
        </w:rPr>
      </w:pPr>
    </w:p>
    <w:p>
      <w:pPr>
        <w:ind w:left="620" w:hanging="300"/>
        <w:spacing w:after="0"/>
        <w:tabs>
          <w:tab w:leader="none" w:pos="6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implementation of business improvements in the power delivery portion of the Utility and Power Infrastructure segment; and</w:t>
      </w:r>
    </w:p>
    <w:p>
      <w:pPr>
        <w:spacing w:after="0" w:line="250" w:lineRule="exact"/>
        <w:rPr>
          <w:rFonts w:ascii="Arial" w:cs="Arial" w:eastAsia="Arial" w:hAnsi="Arial"/>
          <w:sz w:val="17"/>
          <w:szCs w:val="17"/>
          <w:color w:val="auto"/>
        </w:rPr>
      </w:pPr>
    </w:p>
    <w:p>
      <w:pPr>
        <w:ind w:left="620" w:hanging="300"/>
        <w:spacing w:after="0"/>
        <w:tabs>
          <w:tab w:leader="none" w:pos="6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decline in revenue caused by the ongoing effects of the COVID-19 pandemic and related market disruptions.</w:t>
      </w:r>
    </w:p>
    <w:p>
      <w:pPr>
        <w:spacing w:after="0" w:line="25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business improvement plan consists of discretionary cost reductions, workforce reductions, reduction of capital expenditures and the reduction in size or closure of certain offices in order to increase the utilization of our staff and bring the cost structure of the business in line with revenue volume. We incurred $14.0 million of restructuring costs during fiscal 2020 and $6.8 million during fiscal 2021. The restructuring costs consist primarily of severance costs, facility closure costs, lease and fixed asset impairments, other intangible asset impairments and other liabilities as a result of exiting certain operations.</w:t>
      </w:r>
    </w:p>
    <w:p>
      <w:pPr>
        <w:spacing w:after="0" w:line="18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fiscal 2021, we engaged a third party consultant to help us perform a strategic review of our end markets in support of updating our business strategy and to ensure that our organizational structure is properly designed to support our updated strategy. Based on the preliminary results of this review, we believe there are opportunities for us to be more competitive, which will require organizational and process changes and will likely result in additional restructuring costs. We expect to substantially complete this initiative in fiscal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84" w:name="page85"/>
    <w:bookmarkEnd w:id="84"/>
    <w:p>
      <w:pPr>
        <w:jc w:val="center"/>
        <w:spacing w:after="0"/>
        <w:rPr>
          <w:sz w:val="20"/>
          <w:szCs w:val="20"/>
          <w:color w:val="auto"/>
        </w:rPr>
      </w:pPr>
      <w:r>
        <w:rPr>
          <w:rFonts w:ascii="Arial" w:cs="Arial" w:eastAsia="Arial" w:hAnsi="Arial"/>
          <w:sz w:val="17"/>
          <w:szCs w:val="17"/>
          <w:b w:val="1"/>
          <w:bCs w:val="1"/>
          <w:color w:val="auto"/>
        </w:rPr>
        <w:t>Matrix Service Company</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color w:val="auto"/>
        </w:rPr>
        <w:t>Restructuring costs incurred are classified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20" w:type="dxa"/>
            <w:vAlign w:val="bottom"/>
          </w:tcPr>
          <w:p>
            <w:pPr>
              <w:spacing w:after="0"/>
              <w:rPr>
                <w:sz w:val="14"/>
                <w:szCs w:val="14"/>
                <w:color w:val="auto"/>
              </w:rPr>
            </w:pPr>
          </w:p>
        </w:tc>
        <w:tc>
          <w:tcPr>
            <w:tcW w:w="142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1"/>
              </w:rPr>
              <w:t>Fiscal Year Ended</w:t>
            </w:r>
          </w:p>
        </w:tc>
        <w:tc>
          <w:tcPr>
            <w:tcW w:w="100" w:type="dxa"/>
            <w:vAlign w:val="bottom"/>
          </w:tcPr>
          <w:p>
            <w:pPr>
              <w:spacing w:after="0"/>
              <w:rPr>
                <w:sz w:val="14"/>
                <w:szCs w:val="14"/>
                <w:color w:val="auto"/>
              </w:rPr>
            </w:pPr>
          </w:p>
        </w:tc>
        <w:tc>
          <w:tcPr>
            <w:tcW w:w="1200" w:type="dxa"/>
            <w:vAlign w:val="bottom"/>
          </w:tcPr>
          <w:p>
            <w:pPr>
              <w:jc w:val="center"/>
              <w:ind w:right="14"/>
              <w:spacing w:after="0"/>
              <w:rPr>
                <w:sz w:val="20"/>
                <w:szCs w:val="20"/>
                <w:color w:val="auto"/>
              </w:rPr>
            </w:pPr>
            <w:r>
              <w:rPr>
                <w:rFonts w:ascii="Arial" w:cs="Arial" w:eastAsia="Arial" w:hAnsi="Arial"/>
                <w:sz w:val="14"/>
                <w:szCs w:val="14"/>
                <w:b w:val="1"/>
                <w:bCs w:val="1"/>
                <w:color w:val="auto"/>
                <w:w w:val="87"/>
              </w:rPr>
              <w:t>Since Inception of</w:t>
            </w:r>
          </w:p>
        </w:tc>
        <w:tc>
          <w:tcPr>
            <w:tcW w:w="0" w:type="dxa"/>
            <w:vAlign w:val="bottom"/>
          </w:tcPr>
          <w:p>
            <w:pPr>
              <w:spacing w:after="0"/>
              <w:rPr>
                <w:sz w:val="1"/>
                <w:szCs w:val="1"/>
                <w:color w:val="auto"/>
              </w:rPr>
            </w:pPr>
          </w:p>
        </w:tc>
      </w:tr>
      <w:tr>
        <w:trPr>
          <w:trHeight w:val="131"/>
        </w:trPr>
        <w:tc>
          <w:tcPr>
            <w:tcW w:w="8520" w:type="dxa"/>
            <w:vAlign w:val="bottom"/>
          </w:tcPr>
          <w:p>
            <w:pPr>
              <w:spacing w:after="0"/>
              <w:rPr>
                <w:sz w:val="11"/>
                <w:szCs w:val="11"/>
                <w:color w:val="auto"/>
              </w:rPr>
            </w:pPr>
          </w:p>
        </w:tc>
        <w:tc>
          <w:tcPr>
            <w:tcW w:w="142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jc w:val="center"/>
              <w:ind w:right="14"/>
              <w:spacing w:after="0" w:line="131" w:lineRule="exact"/>
              <w:rPr>
                <w:sz w:val="20"/>
                <w:szCs w:val="20"/>
                <w:color w:val="auto"/>
              </w:rPr>
            </w:pPr>
            <w:r>
              <w:rPr>
                <w:rFonts w:ascii="Arial" w:cs="Arial" w:eastAsia="Arial" w:hAnsi="Arial"/>
                <w:sz w:val="14"/>
                <w:szCs w:val="14"/>
                <w:b w:val="1"/>
                <w:bCs w:val="1"/>
                <w:color w:val="auto"/>
                <w:w w:val="80"/>
              </w:rPr>
              <w:t>Business</w:t>
            </w:r>
          </w:p>
        </w:tc>
        <w:tc>
          <w:tcPr>
            <w:tcW w:w="0" w:type="dxa"/>
            <w:vAlign w:val="bottom"/>
          </w:tcPr>
          <w:p>
            <w:pPr>
              <w:spacing w:after="0"/>
              <w:rPr>
                <w:sz w:val="1"/>
                <w:szCs w:val="1"/>
                <w:color w:val="auto"/>
              </w:rPr>
            </w:pPr>
          </w:p>
        </w:tc>
      </w:tr>
      <w:tr>
        <w:trPr>
          <w:trHeight w:val="183"/>
        </w:trPr>
        <w:tc>
          <w:tcPr>
            <w:tcW w:w="85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0"/>
              </w:rPr>
              <w:t>June 30, 2021</w:t>
            </w:r>
          </w:p>
        </w:tc>
        <w:tc>
          <w:tcPr>
            <w:tcW w:w="13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Improvement Plan</w:t>
            </w:r>
          </w:p>
        </w:tc>
        <w:tc>
          <w:tcPr>
            <w:tcW w:w="0" w:type="dxa"/>
            <w:vAlign w:val="bottom"/>
          </w:tcPr>
          <w:p>
            <w:pPr>
              <w:spacing w:after="0"/>
              <w:rPr>
                <w:sz w:val="1"/>
                <w:szCs w:val="1"/>
                <w:color w:val="auto"/>
              </w:rPr>
            </w:pPr>
          </w:p>
        </w:tc>
      </w:tr>
      <w:tr>
        <w:trPr>
          <w:trHeight w:val="175"/>
        </w:trPr>
        <w:tc>
          <w:tcPr>
            <w:tcW w:w="8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40" w:type="dxa"/>
            <w:vAlign w:val="bottom"/>
            <w:gridSpan w:val="4"/>
          </w:tcPr>
          <w:p>
            <w:pPr>
              <w:jc w:val="right"/>
              <w:ind w:right="874"/>
              <w:spacing w:after="0"/>
              <w:rPr>
                <w:sz w:val="20"/>
                <w:szCs w:val="20"/>
                <w:color w:val="auto"/>
              </w:rPr>
            </w:pPr>
            <w:r>
              <w:rPr>
                <w:rFonts w:ascii="Arial" w:cs="Arial" w:eastAsia="Arial" w:hAnsi="Arial"/>
                <w:sz w:val="14"/>
                <w:szCs w:val="14"/>
                <w:color w:val="auto"/>
              </w:rPr>
              <w:t>(in thousands)</w:t>
            </w:r>
          </w:p>
        </w:tc>
        <w:tc>
          <w:tcPr>
            <w:tcW w:w="0" w:type="dxa"/>
            <w:vAlign w:val="bottom"/>
          </w:tcPr>
          <w:p>
            <w:pPr>
              <w:spacing w:after="0"/>
              <w:rPr>
                <w:sz w:val="1"/>
                <w:szCs w:val="1"/>
                <w:color w:val="auto"/>
              </w:rPr>
            </w:pPr>
          </w:p>
        </w:tc>
      </w:tr>
      <w:tr>
        <w:trPr>
          <w:trHeight w:val="225"/>
        </w:trPr>
        <w:tc>
          <w:tcPr>
            <w:tcW w:w="85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Utility and Power Infrastructure</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520" w:type="dxa"/>
            <w:vAlign w:val="bottom"/>
          </w:tcPr>
          <w:p>
            <w:pPr>
              <w:ind w:left="20"/>
              <w:spacing w:after="0"/>
              <w:rPr>
                <w:sz w:val="20"/>
                <w:szCs w:val="20"/>
                <w:color w:val="auto"/>
              </w:rPr>
            </w:pPr>
            <w:r>
              <w:rPr>
                <w:rFonts w:ascii="Arial" w:cs="Arial" w:eastAsia="Arial" w:hAnsi="Arial"/>
                <w:sz w:val="17"/>
                <w:szCs w:val="17"/>
                <w:color w:val="auto"/>
              </w:rPr>
              <w:t>Severance and other personnel-related costs</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1,199</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2,539</w:t>
            </w:r>
          </w:p>
        </w:tc>
        <w:tc>
          <w:tcPr>
            <w:tcW w:w="0" w:type="dxa"/>
            <w:vAlign w:val="bottom"/>
          </w:tcPr>
          <w:p>
            <w:pPr>
              <w:spacing w:after="0"/>
              <w:rPr>
                <w:sz w:val="1"/>
                <w:szCs w:val="1"/>
                <w:color w:val="auto"/>
              </w:rPr>
            </w:pPr>
          </w:p>
        </w:tc>
      </w:tr>
      <w:tr>
        <w:trPr>
          <w:trHeight w:val="223"/>
        </w:trPr>
        <w:tc>
          <w:tcPr>
            <w:tcW w:w="8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Facility costs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348</w:t>
            </w:r>
          </w:p>
        </w:tc>
        <w:tc>
          <w:tcPr>
            <w:tcW w:w="0" w:type="dxa"/>
            <w:vAlign w:val="bottom"/>
          </w:tcPr>
          <w:p>
            <w:pPr>
              <w:spacing w:after="0"/>
              <w:rPr>
                <w:sz w:val="1"/>
                <w:szCs w:val="1"/>
                <w:color w:val="auto"/>
              </w:rPr>
            </w:pPr>
          </w:p>
        </w:tc>
      </w:tr>
      <w:tr>
        <w:trPr>
          <w:trHeight w:val="223"/>
        </w:trPr>
        <w:tc>
          <w:tcPr>
            <w:tcW w:w="8520" w:type="dxa"/>
            <w:vAlign w:val="bottom"/>
          </w:tcPr>
          <w:p>
            <w:pPr>
              <w:ind w:left="20"/>
              <w:spacing w:after="0"/>
              <w:rPr>
                <w:sz w:val="20"/>
                <w:szCs w:val="20"/>
                <w:color w:val="auto"/>
              </w:rPr>
            </w:pPr>
            <w:r>
              <w:rPr>
                <w:rFonts w:ascii="Arial" w:cs="Arial" w:eastAsia="Arial" w:hAnsi="Arial"/>
                <w:sz w:val="17"/>
                <w:szCs w:val="17"/>
                <w:color w:val="auto"/>
              </w:rPr>
              <w:t>Other intangible asset impairments</w:t>
            </w:r>
          </w:p>
        </w:tc>
        <w:tc>
          <w:tcPr>
            <w:tcW w:w="18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1,150</w:t>
            </w:r>
          </w:p>
        </w:tc>
        <w:tc>
          <w:tcPr>
            <w:tcW w:w="0" w:type="dxa"/>
            <w:vAlign w:val="bottom"/>
          </w:tcPr>
          <w:p>
            <w:pPr>
              <w:spacing w:after="0"/>
              <w:rPr>
                <w:sz w:val="1"/>
                <w:szCs w:val="1"/>
                <w:color w:val="auto"/>
              </w:rPr>
            </w:pPr>
          </w:p>
        </w:tc>
      </w:tr>
      <w:tr>
        <w:trPr>
          <w:trHeight w:val="216"/>
        </w:trPr>
        <w:tc>
          <w:tcPr>
            <w:tcW w:w="852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Total Utility and Power Infrastructure</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1,312</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4,037</w:t>
            </w:r>
          </w:p>
        </w:tc>
        <w:tc>
          <w:tcPr>
            <w:tcW w:w="0" w:type="dxa"/>
            <w:vAlign w:val="bottom"/>
          </w:tcPr>
          <w:p>
            <w:pPr>
              <w:spacing w:after="0"/>
              <w:rPr>
                <w:sz w:val="1"/>
                <w:szCs w:val="1"/>
                <w:color w:val="auto"/>
              </w:rPr>
            </w:pPr>
          </w:p>
        </w:tc>
      </w:tr>
      <w:tr>
        <w:trPr>
          <w:trHeight w:val="223"/>
        </w:trPr>
        <w:tc>
          <w:tcPr>
            <w:tcW w:w="8520" w:type="dxa"/>
            <w:vAlign w:val="bottom"/>
          </w:tcPr>
          <w:p>
            <w:pPr>
              <w:ind w:left="20"/>
              <w:spacing w:after="0"/>
              <w:rPr>
                <w:sz w:val="20"/>
                <w:szCs w:val="20"/>
                <w:color w:val="auto"/>
              </w:rPr>
            </w:pPr>
            <w:r>
              <w:rPr>
                <w:rFonts w:ascii="Arial" w:cs="Arial" w:eastAsia="Arial" w:hAnsi="Arial"/>
                <w:sz w:val="17"/>
                <w:szCs w:val="17"/>
                <w:b w:val="1"/>
                <w:bCs w:val="1"/>
                <w:color w:val="auto"/>
              </w:rPr>
              <w:t>Process and Industrial Facilities</w:t>
            </w: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Severance and other personnel-related costs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2,951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9,118</w:t>
            </w:r>
          </w:p>
        </w:tc>
        <w:tc>
          <w:tcPr>
            <w:tcW w:w="0" w:type="dxa"/>
            <w:vAlign w:val="bottom"/>
          </w:tcPr>
          <w:p>
            <w:pPr>
              <w:spacing w:after="0"/>
              <w:rPr>
                <w:sz w:val="1"/>
                <w:szCs w:val="1"/>
                <w:color w:val="auto"/>
              </w:rPr>
            </w:pPr>
          </w:p>
        </w:tc>
      </w:tr>
      <w:tr>
        <w:trPr>
          <w:trHeight w:val="223"/>
        </w:trPr>
        <w:tc>
          <w:tcPr>
            <w:tcW w:w="8520" w:type="dxa"/>
            <w:vAlign w:val="bottom"/>
          </w:tcPr>
          <w:p>
            <w:pPr>
              <w:ind w:left="20"/>
              <w:spacing w:after="0"/>
              <w:rPr>
                <w:sz w:val="20"/>
                <w:szCs w:val="20"/>
                <w:color w:val="auto"/>
              </w:rPr>
            </w:pPr>
            <w:r>
              <w:rPr>
                <w:rFonts w:ascii="Arial" w:cs="Arial" w:eastAsia="Arial" w:hAnsi="Arial"/>
                <w:sz w:val="17"/>
                <w:szCs w:val="17"/>
                <w:color w:val="auto"/>
              </w:rPr>
              <w:t>Facility costs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431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3,188</w:t>
            </w:r>
          </w:p>
        </w:tc>
        <w:tc>
          <w:tcPr>
            <w:tcW w:w="0" w:type="dxa"/>
            <w:vAlign w:val="bottom"/>
          </w:tcPr>
          <w:p>
            <w:pPr>
              <w:spacing w:after="0"/>
              <w:rPr>
                <w:sz w:val="1"/>
                <w:szCs w:val="1"/>
                <w:color w:val="auto"/>
              </w:rPr>
            </w:pPr>
          </w:p>
        </w:tc>
      </w:tr>
      <w:tr>
        <w:trPr>
          <w:trHeight w:val="223"/>
        </w:trPr>
        <w:tc>
          <w:tcPr>
            <w:tcW w:w="8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intangible asset impairments</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375</w:t>
            </w:r>
          </w:p>
        </w:tc>
        <w:tc>
          <w:tcPr>
            <w:tcW w:w="0" w:type="dxa"/>
            <w:vAlign w:val="bottom"/>
          </w:tcPr>
          <w:p>
            <w:pPr>
              <w:spacing w:after="0"/>
              <w:rPr>
                <w:sz w:val="1"/>
                <w:szCs w:val="1"/>
                <w:color w:val="auto"/>
              </w:rPr>
            </w:pPr>
          </w:p>
        </w:tc>
      </w:tr>
      <w:tr>
        <w:trPr>
          <w:trHeight w:val="223"/>
        </w:trPr>
        <w:tc>
          <w:tcPr>
            <w:tcW w:w="85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costs</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426</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426</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240"/>
              <w:spacing w:after="0"/>
              <w:rPr>
                <w:sz w:val="20"/>
                <w:szCs w:val="20"/>
                <w:color w:val="auto"/>
              </w:rPr>
            </w:pPr>
            <w:r>
              <w:rPr>
                <w:rFonts w:ascii="Arial" w:cs="Arial" w:eastAsia="Arial" w:hAnsi="Arial"/>
                <w:sz w:val="17"/>
                <w:szCs w:val="17"/>
                <w:color w:val="auto"/>
              </w:rPr>
              <w:t>Total Process and Industrial Facilities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3,808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13,107</w:t>
            </w:r>
          </w:p>
        </w:tc>
        <w:tc>
          <w:tcPr>
            <w:tcW w:w="0" w:type="dxa"/>
            <w:vAlign w:val="bottom"/>
          </w:tcPr>
          <w:p>
            <w:pPr>
              <w:spacing w:after="0"/>
              <w:rPr>
                <w:sz w:val="1"/>
                <w:szCs w:val="1"/>
                <w:color w:val="auto"/>
              </w:rPr>
            </w:pPr>
          </w:p>
        </w:tc>
      </w:tr>
      <w:tr>
        <w:trPr>
          <w:trHeight w:val="223"/>
        </w:trPr>
        <w:tc>
          <w:tcPr>
            <w:tcW w:w="8520" w:type="dxa"/>
            <w:vAlign w:val="bottom"/>
          </w:tcPr>
          <w:p>
            <w:pPr>
              <w:ind w:left="20"/>
              <w:spacing w:after="0"/>
              <w:rPr>
                <w:sz w:val="20"/>
                <w:szCs w:val="20"/>
                <w:color w:val="auto"/>
              </w:rPr>
            </w:pPr>
            <w:r>
              <w:rPr>
                <w:rFonts w:ascii="Arial" w:cs="Arial" w:eastAsia="Arial" w:hAnsi="Arial"/>
                <w:sz w:val="17"/>
                <w:szCs w:val="17"/>
                <w:b w:val="1"/>
                <w:bCs w:val="1"/>
                <w:color w:val="auto"/>
              </w:rPr>
              <w:t>Storage and Terminal Solutions</w:t>
            </w: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Severance and other personnel-related costs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1,578</w:t>
            </w:r>
          </w:p>
        </w:tc>
        <w:tc>
          <w:tcPr>
            <w:tcW w:w="0" w:type="dxa"/>
            <w:vAlign w:val="bottom"/>
          </w:tcPr>
          <w:p>
            <w:pPr>
              <w:spacing w:after="0"/>
              <w:rPr>
                <w:sz w:val="1"/>
                <w:szCs w:val="1"/>
                <w:color w:val="auto"/>
              </w:rPr>
            </w:pPr>
          </w:p>
        </w:tc>
      </w:tr>
      <w:tr>
        <w:trPr>
          <w:trHeight w:val="223"/>
        </w:trPr>
        <w:tc>
          <w:tcPr>
            <w:tcW w:w="85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Facility costs</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159</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879</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240"/>
              <w:spacing w:after="0"/>
              <w:rPr>
                <w:sz w:val="20"/>
                <w:szCs w:val="20"/>
                <w:color w:val="auto"/>
              </w:rPr>
            </w:pPr>
            <w:r>
              <w:rPr>
                <w:rFonts w:ascii="Arial" w:cs="Arial" w:eastAsia="Arial" w:hAnsi="Arial"/>
                <w:sz w:val="17"/>
                <w:szCs w:val="17"/>
                <w:color w:val="auto"/>
              </w:rPr>
              <w:t>Total Storage and Terminal Solutions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2,457</w:t>
            </w:r>
          </w:p>
        </w:tc>
        <w:tc>
          <w:tcPr>
            <w:tcW w:w="0" w:type="dxa"/>
            <w:vAlign w:val="bottom"/>
          </w:tcPr>
          <w:p>
            <w:pPr>
              <w:spacing w:after="0"/>
              <w:rPr>
                <w:sz w:val="1"/>
                <w:szCs w:val="1"/>
                <w:color w:val="auto"/>
              </w:rPr>
            </w:pPr>
          </w:p>
        </w:tc>
      </w:tr>
      <w:tr>
        <w:trPr>
          <w:trHeight w:val="223"/>
        </w:trPr>
        <w:tc>
          <w:tcPr>
            <w:tcW w:w="8520" w:type="dxa"/>
            <w:vAlign w:val="bottom"/>
          </w:tcPr>
          <w:p>
            <w:pPr>
              <w:ind w:left="20"/>
              <w:spacing w:after="0"/>
              <w:rPr>
                <w:sz w:val="20"/>
                <w:szCs w:val="20"/>
                <w:color w:val="auto"/>
              </w:rPr>
            </w:pPr>
            <w:r>
              <w:rPr>
                <w:rFonts w:ascii="Arial" w:cs="Arial" w:eastAsia="Arial" w:hAnsi="Arial"/>
                <w:sz w:val="17"/>
                <w:szCs w:val="17"/>
                <w:b w:val="1"/>
                <w:bCs w:val="1"/>
                <w:color w:val="auto"/>
              </w:rPr>
              <w:t>Corporate</w:t>
            </w: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Severance and other personnel-related costs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1,083</w:t>
            </w:r>
          </w:p>
        </w:tc>
        <w:tc>
          <w:tcPr>
            <w:tcW w:w="0" w:type="dxa"/>
            <w:vAlign w:val="bottom"/>
          </w:tcPr>
          <w:p>
            <w:pPr>
              <w:spacing w:after="0"/>
              <w:rPr>
                <w:sz w:val="1"/>
                <w:szCs w:val="1"/>
                <w:color w:val="auto"/>
              </w:rPr>
            </w:pPr>
          </w:p>
        </w:tc>
      </w:tr>
      <w:tr>
        <w:trPr>
          <w:trHeight w:val="223"/>
        </w:trPr>
        <w:tc>
          <w:tcPr>
            <w:tcW w:w="8520" w:type="dxa"/>
            <w:vAlign w:val="bottom"/>
          </w:tcPr>
          <w:p>
            <w:pPr>
              <w:ind w:left="20"/>
              <w:spacing w:after="0"/>
              <w:rPr>
                <w:sz w:val="20"/>
                <w:szCs w:val="20"/>
                <w:color w:val="auto"/>
              </w:rPr>
            </w:pPr>
            <w:r>
              <w:rPr>
                <w:rFonts w:ascii="Arial" w:cs="Arial" w:eastAsia="Arial" w:hAnsi="Arial"/>
                <w:sz w:val="17"/>
                <w:szCs w:val="17"/>
                <w:color w:val="auto"/>
              </w:rPr>
              <w:t>Facility costs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82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82</w:t>
            </w:r>
          </w:p>
        </w:tc>
        <w:tc>
          <w:tcPr>
            <w:tcW w:w="0" w:type="dxa"/>
            <w:vAlign w:val="bottom"/>
          </w:tcPr>
          <w:p>
            <w:pPr>
              <w:spacing w:after="0"/>
              <w:rPr>
                <w:sz w:val="1"/>
                <w:szCs w:val="1"/>
                <w:color w:val="auto"/>
              </w:rPr>
            </w:pPr>
          </w:p>
        </w:tc>
      </w:tr>
      <w:tr>
        <w:trPr>
          <w:trHeight w:val="223"/>
        </w:trPr>
        <w:tc>
          <w:tcPr>
            <w:tcW w:w="8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intangible asset impairments</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8520" w:type="dxa"/>
            <w:vAlign w:val="bottom"/>
            <w:tcBorders>
              <w:bottom w:val="single" w:sz="8" w:color="CCEEFF"/>
            </w:tcBorders>
          </w:tcPr>
          <w:p>
            <w:pPr>
              <w:ind w:left="240"/>
              <w:spacing w:after="0"/>
              <w:rPr>
                <w:sz w:val="20"/>
                <w:szCs w:val="20"/>
                <w:color w:val="auto"/>
              </w:rPr>
            </w:pPr>
            <w:r>
              <w:rPr>
                <w:rFonts w:ascii="Arial" w:cs="Arial" w:eastAsia="Arial" w:hAnsi="Arial"/>
                <w:sz w:val="17"/>
                <w:szCs w:val="17"/>
                <w:color w:val="auto"/>
              </w:rPr>
              <w:t>Total Corporate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246</w:t>
            </w:r>
          </w:p>
        </w:tc>
        <w:tc>
          <w:tcPr>
            <w:tcW w:w="1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1,165</w:t>
            </w:r>
          </w:p>
        </w:tc>
        <w:tc>
          <w:tcPr>
            <w:tcW w:w="0" w:type="dxa"/>
            <w:vAlign w:val="bottom"/>
          </w:tcPr>
          <w:p>
            <w:pPr>
              <w:spacing w:after="0"/>
              <w:rPr>
                <w:sz w:val="1"/>
                <w:szCs w:val="1"/>
                <w:color w:val="auto"/>
              </w:rPr>
            </w:pPr>
          </w:p>
        </w:tc>
      </w:tr>
      <w:tr>
        <w:trPr>
          <w:trHeight w:val="241"/>
        </w:trPr>
        <w:tc>
          <w:tcPr>
            <w:tcW w:w="85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7"/>
                <w:szCs w:val="17"/>
                <w:color w:val="auto"/>
              </w:rPr>
              <w:t>Total restructuring costs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6,756</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20,766</w:t>
            </w:r>
          </w:p>
        </w:tc>
        <w:tc>
          <w:tcPr>
            <w:tcW w:w="0" w:type="dxa"/>
            <w:vAlign w:val="bottom"/>
          </w:tcPr>
          <w:p>
            <w:pPr>
              <w:spacing w:after="0"/>
              <w:rPr>
                <w:sz w:val="1"/>
                <w:szCs w:val="1"/>
                <w:color w:val="auto"/>
              </w:rPr>
            </w:pP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5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Restructuring Costs by Type:</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520" w:type="dxa"/>
            <w:vAlign w:val="bottom"/>
          </w:tcPr>
          <w:p>
            <w:pPr>
              <w:ind w:left="20"/>
              <w:spacing w:after="0"/>
              <w:rPr>
                <w:sz w:val="20"/>
                <w:szCs w:val="20"/>
                <w:color w:val="auto"/>
              </w:rPr>
            </w:pPr>
            <w:r>
              <w:rPr>
                <w:rFonts w:ascii="Arial" w:cs="Arial" w:eastAsia="Arial" w:hAnsi="Arial"/>
                <w:sz w:val="17"/>
                <w:szCs w:val="17"/>
                <w:color w:val="auto"/>
              </w:rPr>
              <w:t>Severance and other personnel-related costs</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5,545</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14,318</w:t>
            </w:r>
          </w:p>
        </w:tc>
        <w:tc>
          <w:tcPr>
            <w:tcW w:w="0" w:type="dxa"/>
            <w:vAlign w:val="bottom"/>
          </w:tcPr>
          <w:p>
            <w:pPr>
              <w:spacing w:after="0"/>
              <w:rPr>
                <w:sz w:val="1"/>
                <w:szCs w:val="1"/>
                <w:color w:val="auto"/>
              </w:rPr>
            </w:pPr>
          </w:p>
        </w:tc>
      </w:tr>
      <w:tr>
        <w:trPr>
          <w:trHeight w:val="223"/>
        </w:trPr>
        <w:tc>
          <w:tcPr>
            <w:tcW w:w="8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facility costs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4,497</w:t>
            </w:r>
          </w:p>
        </w:tc>
        <w:tc>
          <w:tcPr>
            <w:tcW w:w="0" w:type="dxa"/>
            <w:vAlign w:val="bottom"/>
          </w:tcPr>
          <w:p>
            <w:pPr>
              <w:spacing w:after="0"/>
              <w:rPr>
                <w:sz w:val="1"/>
                <w:szCs w:val="1"/>
                <w:color w:val="auto"/>
              </w:rPr>
            </w:pPr>
          </w:p>
        </w:tc>
      </w:tr>
      <w:tr>
        <w:trPr>
          <w:trHeight w:val="223"/>
        </w:trPr>
        <w:tc>
          <w:tcPr>
            <w:tcW w:w="8520" w:type="dxa"/>
            <w:vAlign w:val="bottom"/>
          </w:tcPr>
          <w:p>
            <w:pPr>
              <w:ind w:left="20"/>
              <w:spacing w:after="0"/>
              <w:rPr>
                <w:sz w:val="20"/>
                <w:szCs w:val="20"/>
                <w:color w:val="auto"/>
              </w:rPr>
            </w:pPr>
            <w:r>
              <w:rPr>
                <w:rFonts w:ascii="Arial" w:cs="Arial" w:eastAsia="Arial" w:hAnsi="Arial"/>
                <w:sz w:val="17"/>
                <w:szCs w:val="17"/>
                <w:color w:val="auto"/>
              </w:rPr>
              <w:t>Total other intangible asset impairments</w:t>
            </w:r>
          </w:p>
        </w:tc>
        <w:tc>
          <w:tcPr>
            <w:tcW w:w="18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1,525</w:t>
            </w:r>
          </w:p>
        </w:tc>
        <w:tc>
          <w:tcPr>
            <w:tcW w:w="0" w:type="dxa"/>
            <w:vAlign w:val="bottom"/>
          </w:tcPr>
          <w:p>
            <w:pPr>
              <w:spacing w:after="0"/>
              <w:rPr>
                <w:sz w:val="1"/>
                <w:szCs w:val="1"/>
                <w:color w:val="auto"/>
              </w:rPr>
            </w:pPr>
          </w:p>
        </w:tc>
      </w:tr>
      <w:tr>
        <w:trPr>
          <w:trHeight w:val="223"/>
        </w:trPr>
        <w:tc>
          <w:tcPr>
            <w:tcW w:w="8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costs</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426</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426</w:t>
            </w:r>
          </w:p>
        </w:tc>
        <w:tc>
          <w:tcPr>
            <w:tcW w:w="0" w:type="dxa"/>
            <w:vAlign w:val="bottom"/>
          </w:tcPr>
          <w:p>
            <w:pPr>
              <w:spacing w:after="0"/>
              <w:rPr>
                <w:sz w:val="1"/>
                <w:szCs w:val="1"/>
                <w:color w:val="auto"/>
              </w:rPr>
            </w:pPr>
          </w:p>
        </w:tc>
      </w:tr>
      <w:tr>
        <w:trPr>
          <w:trHeight w:val="216"/>
        </w:trPr>
        <w:tc>
          <w:tcPr>
            <w:tcW w:w="8520" w:type="dxa"/>
            <w:vAlign w:val="bottom"/>
          </w:tcPr>
          <w:p>
            <w:pPr>
              <w:ind w:left="240"/>
              <w:spacing w:after="0"/>
              <w:rPr>
                <w:sz w:val="20"/>
                <w:szCs w:val="20"/>
                <w:color w:val="auto"/>
              </w:rPr>
            </w:pPr>
            <w:r>
              <w:rPr>
                <w:rFonts w:ascii="Arial" w:cs="Arial" w:eastAsia="Arial" w:hAnsi="Arial"/>
                <w:sz w:val="17"/>
                <w:szCs w:val="17"/>
                <w:color w:val="auto"/>
              </w:rPr>
              <w:t>Total restructuring costs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6,756</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20,766</w:t>
            </w:r>
          </w:p>
        </w:tc>
        <w:tc>
          <w:tcPr>
            <w:tcW w:w="0" w:type="dxa"/>
            <w:vAlign w:val="bottom"/>
          </w:tcPr>
          <w:p>
            <w:pPr>
              <w:spacing w:after="0"/>
              <w:rPr>
                <w:sz w:val="1"/>
                <w:szCs w:val="1"/>
                <w:color w:val="auto"/>
              </w:rPr>
            </w:pPr>
          </w:p>
        </w:tc>
      </w:tr>
      <w:tr>
        <w:trPr>
          <w:trHeight w:val="20"/>
        </w:trPr>
        <w:tc>
          <w:tcPr>
            <w:tcW w:w="8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The restructuring reserve is included in other accrued expenses and other liabilities in the Consolidated Balance Sheets. The table below is a reconciliation of the beginning and ending restructuring reserve balance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36130" cy="1416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6130" cy="141605"/>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p>
      <w:pPr>
        <w:spacing w:after="0" w:line="224" w:lineRule="exact"/>
        <w:rPr>
          <w:sz w:val="20"/>
          <w:szCs w:val="20"/>
          <w:color w:val="auto"/>
        </w:rPr>
      </w:pPr>
    </w:p>
    <w:p>
      <w:pPr>
        <w:ind w:left="20"/>
        <w:spacing w:after="0"/>
        <w:rPr>
          <w:sz w:val="20"/>
          <w:szCs w:val="20"/>
          <w:color w:val="auto"/>
        </w:rPr>
      </w:pPr>
      <w:r>
        <w:rPr>
          <w:rFonts w:ascii="Arial" w:cs="Arial" w:eastAsia="Arial" w:hAnsi="Arial"/>
          <w:sz w:val="15"/>
          <w:szCs w:val="15"/>
          <w:color w:val="auto"/>
        </w:rPr>
        <w:t>Balance as of June 30, 2020</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5"/>
          <w:szCs w:val="15"/>
          <w:color w:val="auto"/>
        </w:rPr>
        <w:t>Restructuring costs incurred</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7"/>
          <w:szCs w:val="17"/>
          <w:color w:val="auto"/>
        </w:rPr>
        <w:t>Cash payments</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7"/>
          <w:szCs w:val="17"/>
          <w:color w:val="auto"/>
        </w:rPr>
        <w:t>Adjustment to liability</w:t>
      </w:r>
    </w:p>
    <w:p>
      <w:pPr>
        <w:spacing w:after="0" w:line="67" w:lineRule="exact"/>
        <w:rPr>
          <w:sz w:val="20"/>
          <w:szCs w:val="20"/>
          <w:color w:val="auto"/>
        </w:rPr>
      </w:pPr>
    </w:p>
    <w:p>
      <w:pPr>
        <w:ind w:left="20"/>
        <w:spacing w:after="0"/>
        <w:rPr>
          <w:sz w:val="20"/>
          <w:szCs w:val="20"/>
          <w:color w:val="auto"/>
        </w:rPr>
      </w:pPr>
      <w:r>
        <w:rPr>
          <w:rFonts w:ascii="Arial" w:cs="Arial" w:eastAsia="Arial" w:hAnsi="Arial"/>
          <w:sz w:val="15"/>
          <w:szCs w:val="15"/>
          <w:color w:val="auto"/>
        </w:rPr>
        <w:t>Balance as of June 30, 2021</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2"/>
        </w:trPr>
        <w:tc>
          <w:tcPr>
            <w:tcW w:w="820" w:type="dxa"/>
            <w:vAlign w:val="bottom"/>
          </w:tcPr>
          <w:p>
            <w:pPr>
              <w:jc w:val="right"/>
              <w:ind w:right="633"/>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2,403</w:t>
            </w:r>
          </w:p>
        </w:tc>
      </w:tr>
      <w:tr>
        <w:trPr>
          <w:trHeight w:val="223"/>
        </w:trPr>
        <w:tc>
          <w:tcPr>
            <w:tcW w:w="8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4,026</w:t>
            </w:r>
          </w:p>
        </w:tc>
      </w:tr>
      <w:tr>
        <w:trPr>
          <w:trHeight w:val="223"/>
        </w:trPr>
        <w:tc>
          <w:tcPr>
            <w:tcW w:w="8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(3,484)</w:t>
            </w:r>
          </w:p>
        </w:tc>
      </w:tr>
      <w:tr>
        <w:trPr>
          <w:trHeight w:val="223"/>
        </w:trPr>
        <w:tc>
          <w:tcPr>
            <w:tcW w:w="8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(510)</w:t>
            </w:r>
          </w:p>
        </w:tc>
      </w:tr>
      <w:tr>
        <w:trPr>
          <w:trHeight w:val="216"/>
        </w:trPr>
        <w:tc>
          <w:tcPr>
            <w:tcW w:w="820" w:type="dxa"/>
            <w:vAlign w:val="bottom"/>
            <w:tcBorders>
              <w:bottom w:val="single" w:sz="8" w:color="auto"/>
            </w:tcBorders>
          </w:tcPr>
          <w:p>
            <w:pPr>
              <w:jc w:val="right"/>
              <w:ind w:right="633"/>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2,435</w:t>
            </w:r>
          </w:p>
        </w:tc>
      </w:tr>
      <w:tr>
        <w:trPr>
          <w:trHeight w:val="20"/>
        </w:trPr>
        <w:tc>
          <w:tcPr>
            <w:tcW w:w="8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-5825490</wp:posOffset>
            </wp:positionH>
            <wp:positionV relativeFrom="paragraph">
              <wp:posOffset>-465455</wp:posOffset>
            </wp:positionV>
            <wp:extent cx="7136130" cy="1416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6130" cy="14160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-182245</wp:posOffset>
            </wp:positionV>
            <wp:extent cx="7136130" cy="16637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6130" cy="1663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460" w:space="720"/>
            <w:col w:w="2060"/>
          </w:cols>
          <w:pgMar w:left="320" w:top="35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78105</wp:posOffset>
            </wp:positionV>
            <wp:extent cx="7161530"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type w:val="continuous"/>
        </w:sectPr>
      </w:pPr>
    </w:p>
    <w:bookmarkStart w:id="85" w:name="page86"/>
    <w:bookmarkEnd w:id="85"/>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Matrix Service Company</w:t>
      </w:r>
    </w:p>
    <w:p>
      <w:pPr>
        <w:spacing w:after="0" w:line="3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Quarterly Financial Data (Unaudited)</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Fiscal Years Ended June 30, 2021 and June 30, 2020</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jc w:val="right"/>
              <w:ind w:right="535"/>
              <w:spacing w:after="0"/>
              <w:rPr>
                <w:sz w:val="20"/>
                <w:szCs w:val="20"/>
                <w:color w:val="auto"/>
              </w:rPr>
            </w:pPr>
            <w:r>
              <w:rPr>
                <w:rFonts w:ascii="Arial" w:cs="Arial" w:eastAsia="Arial" w:hAnsi="Arial"/>
                <w:sz w:val="14"/>
                <w:szCs w:val="14"/>
                <w:b w:val="1"/>
                <w:bCs w:val="1"/>
                <w:color w:val="auto"/>
              </w:rPr>
              <w:t>First</w:t>
            </w:r>
          </w:p>
        </w:tc>
        <w:tc>
          <w:tcPr>
            <w:tcW w:w="240" w:type="dxa"/>
            <w:vAlign w:val="bottom"/>
          </w:tcPr>
          <w:p>
            <w:pPr>
              <w:spacing w:after="0"/>
              <w:rPr>
                <w:sz w:val="14"/>
                <w:szCs w:val="14"/>
                <w:color w:val="auto"/>
              </w:rPr>
            </w:pPr>
          </w:p>
        </w:tc>
        <w:tc>
          <w:tcPr>
            <w:tcW w:w="1300" w:type="dxa"/>
            <w:vAlign w:val="bottom"/>
          </w:tcPr>
          <w:p>
            <w:pPr>
              <w:jc w:val="right"/>
              <w:ind w:right="476"/>
              <w:spacing w:after="0"/>
              <w:rPr>
                <w:sz w:val="20"/>
                <w:szCs w:val="20"/>
                <w:color w:val="auto"/>
              </w:rPr>
            </w:pPr>
            <w:r>
              <w:rPr>
                <w:rFonts w:ascii="Arial" w:cs="Arial" w:eastAsia="Arial" w:hAnsi="Arial"/>
                <w:sz w:val="14"/>
                <w:szCs w:val="14"/>
                <w:b w:val="1"/>
                <w:bCs w:val="1"/>
                <w:color w:val="auto"/>
              </w:rPr>
              <w:t>Second</w:t>
            </w:r>
          </w:p>
        </w:tc>
        <w:tc>
          <w:tcPr>
            <w:tcW w:w="360" w:type="dxa"/>
            <w:vAlign w:val="bottom"/>
          </w:tcPr>
          <w:p>
            <w:pPr>
              <w:spacing w:after="0"/>
              <w:rPr>
                <w:sz w:val="14"/>
                <w:szCs w:val="14"/>
                <w:color w:val="auto"/>
              </w:rPr>
            </w:pPr>
          </w:p>
        </w:tc>
        <w:tc>
          <w:tcPr>
            <w:tcW w:w="1200" w:type="dxa"/>
            <w:vAlign w:val="bottom"/>
          </w:tcPr>
          <w:p>
            <w:pPr>
              <w:jc w:val="right"/>
              <w:ind w:right="515"/>
              <w:spacing w:after="0"/>
              <w:rPr>
                <w:sz w:val="20"/>
                <w:szCs w:val="20"/>
                <w:color w:val="auto"/>
              </w:rPr>
            </w:pPr>
            <w:r>
              <w:rPr>
                <w:rFonts w:ascii="Arial" w:cs="Arial" w:eastAsia="Arial" w:hAnsi="Arial"/>
                <w:sz w:val="14"/>
                <w:szCs w:val="14"/>
                <w:b w:val="1"/>
                <w:bCs w:val="1"/>
                <w:color w:val="auto"/>
              </w:rPr>
              <w:t>Third</w:t>
            </w:r>
          </w:p>
        </w:tc>
        <w:tc>
          <w:tcPr>
            <w:tcW w:w="340" w:type="dxa"/>
            <w:vAlign w:val="bottom"/>
          </w:tcPr>
          <w:p>
            <w:pPr>
              <w:spacing w:after="0"/>
              <w:rPr>
                <w:sz w:val="14"/>
                <w:szCs w:val="14"/>
                <w:color w:val="auto"/>
              </w:rPr>
            </w:pPr>
          </w:p>
        </w:tc>
        <w:tc>
          <w:tcPr>
            <w:tcW w:w="1160" w:type="dxa"/>
            <w:vAlign w:val="bottom"/>
          </w:tcPr>
          <w:p>
            <w:pPr>
              <w:jc w:val="right"/>
              <w:ind w:right="435"/>
              <w:spacing w:after="0"/>
              <w:rPr>
                <w:sz w:val="20"/>
                <w:szCs w:val="20"/>
                <w:color w:val="auto"/>
              </w:rPr>
            </w:pPr>
            <w:r>
              <w:rPr>
                <w:rFonts w:ascii="Arial" w:cs="Arial" w:eastAsia="Arial" w:hAnsi="Arial"/>
                <w:sz w:val="14"/>
                <w:szCs w:val="14"/>
                <w:b w:val="1"/>
                <w:bCs w:val="1"/>
                <w:color w:val="auto"/>
              </w:rPr>
              <w:t>Fourth</w:t>
            </w:r>
          </w:p>
        </w:tc>
      </w:tr>
      <w:tr>
        <w:trPr>
          <w:trHeight w:val="183"/>
        </w:trPr>
        <w:tc>
          <w:tcPr>
            <w:tcW w:w="5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Quarter</w:t>
            </w:r>
          </w:p>
        </w:tc>
        <w:tc>
          <w:tcPr>
            <w:tcW w:w="2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Quarter</w:t>
            </w: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Quarter</w:t>
            </w: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Quarter</w:t>
            </w:r>
          </w:p>
        </w:tc>
      </w:tr>
      <w:tr>
        <w:trPr>
          <w:trHeight w:val="177"/>
        </w:trPr>
        <w:tc>
          <w:tcPr>
            <w:tcW w:w="5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60" w:type="dxa"/>
            <w:vAlign w:val="bottom"/>
            <w:gridSpan w:val="3"/>
          </w:tcPr>
          <w:p>
            <w:pPr>
              <w:jc w:val="right"/>
              <w:ind w:right="235"/>
              <w:spacing w:after="0"/>
              <w:rPr>
                <w:sz w:val="20"/>
                <w:szCs w:val="20"/>
                <w:color w:val="auto"/>
              </w:rPr>
            </w:pPr>
            <w:r>
              <w:rPr>
                <w:rFonts w:ascii="Arial" w:cs="Arial" w:eastAsia="Arial" w:hAnsi="Arial"/>
                <w:sz w:val="14"/>
                <w:szCs w:val="14"/>
                <w:b w:val="1"/>
                <w:bCs w:val="1"/>
                <w:color w:val="auto"/>
                <w:w w:val="90"/>
              </w:rPr>
              <w:t>(In thousands, except per share amounts)</w:t>
            </w: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23"/>
        </w:trPr>
        <w:tc>
          <w:tcPr>
            <w:tcW w:w="51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Fiscal Year 2021</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3"/>
        </w:trPr>
        <w:tc>
          <w:tcPr>
            <w:tcW w:w="5100" w:type="dxa"/>
            <w:vAlign w:val="bottom"/>
          </w:tcPr>
          <w:p>
            <w:pPr>
              <w:ind w:left="20"/>
              <w:spacing w:after="0"/>
              <w:rPr>
                <w:sz w:val="20"/>
                <w:szCs w:val="20"/>
                <w:color w:val="auto"/>
              </w:rPr>
            </w:pPr>
            <w:r>
              <w:rPr>
                <w:rFonts w:ascii="Arial" w:cs="Arial" w:eastAsia="Arial" w:hAnsi="Arial"/>
                <w:sz w:val="17"/>
                <w:szCs w:val="17"/>
                <w:color w:val="auto"/>
              </w:rPr>
              <w:t>Revenue</w:t>
            </w:r>
          </w:p>
        </w:tc>
        <w:tc>
          <w:tcPr>
            <w:tcW w:w="300" w:type="dxa"/>
            <w:vAlign w:val="bottom"/>
          </w:tcPr>
          <w:p>
            <w:pPr>
              <w:jc w:val="right"/>
              <w:ind w:right="93"/>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35"/>
              <w:spacing w:after="0"/>
              <w:rPr>
                <w:sz w:val="20"/>
                <w:szCs w:val="20"/>
                <w:color w:val="auto"/>
              </w:rPr>
            </w:pPr>
            <w:r>
              <w:rPr>
                <w:rFonts w:ascii="Arial" w:cs="Arial" w:eastAsia="Arial" w:hAnsi="Arial"/>
                <w:sz w:val="17"/>
                <w:szCs w:val="17"/>
                <w:color w:val="auto"/>
              </w:rPr>
              <w:t>182,771</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36"/>
              <w:spacing w:after="0"/>
              <w:rPr>
                <w:sz w:val="20"/>
                <w:szCs w:val="20"/>
                <w:color w:val="auto"/>
              </w:rPr>
            </w:pPr>
            <w:r>
              <w:rPr>
                <w:rFonts w:ascii="Arial" w:cs="Arial" w:eastAsia="Arial" w:hAnsi="Arial"/>
                <w:sz w:val="17"/>
                <w:szCs w:val="17"/>
                <w:color w:val="auto"/>
              </w:rPr>
              <w:t>167,468</w:t>
            </w:r>
          </w:p>
        </w:tc>
        <w:tc>
          <w:tcPr>
            <w:tcW w:w="360" w:type="dxa"/>
            <w:vAlign w:val="bottom"/>
          </w:tcPr>
          <w:p>
            <w:pPr>
              <w:jc w:val="right"/>
              <w:ind w:right="113"/>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35"/>
              <w:spacing w:after="0"/>
              <w:rPr>
                <w:sz w:val="20"/>
                <w:szCs w:val="20"/>
                <w:color w:val="auto"/>
              </w:rPr>
            </w:pPr>
            <w:r>
              <w:rPr>
                <w:rFonts w:ascii="Arial" w:cs="Arial" w:eastAsia="Arial" w:hAnsi="Arial"/>
                <w:sz w:val="17"/>
                <w:szCs w:val="17"/>
                <w:color w:val="auto"/>
              </w:rPr>
              <w:t>148,260</w:t>
            </w:r>
          </w:p>
        </w:tc>
        <w:tc>
          <w:tcPr>
            <w:tcW w:w="340" w:type="dxa"/>
            <w:vAlign w:val="bottom"/>
          </w:tcPr>
          <w:p>
            <w:pPr>
              <w:jc w:val="right"/>
              <w:ind w:right="93"/>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174,899</w:t>
            </w:r>
          </w:p>
        </w:tc>
      </w:tr>
      <w:tr>
        <w:trPr>
          <w:trHeight w:val="223"/>
        </w:trPr>
        <w:tc>
          <w:tcPr>
            <w:tcW w:w="5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profit</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14,350</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15,313</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1,560</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1,542</w:t>
            </w:r>
          </w:p>
        </w:tc>
      </w:tr>
      <w:tr>
        <w:trPr>
          <w:trHeight w:val="223"/>
        </w:trPr>
        <w:tc>
          <w:tcPr>
            <w:tcW w:w="5100" w:type="dxa"/>
            <w:vAlign w:val="bottom"/>
          </w:tcPr>
          <w:p>
            <w:pPr>
              <w:ind w:left="20"/>
              <w:spacing w:after="0"/>
              <w:rPr>
                <w:sz w:val="20"/>
                <w:szCs w:val="20"/>
                <w:color w:val="auto"/>
              </w:rPr>
            </w:pPr>
            <w:r>
              <w:rPr>
                <w:rFonts w:ascii="Arial" w:cs="Arial" w:eastAsia="Arial" w:hAnsi="Arial"/>
                <w:sz w:val="17"/>
                <w:szCs w:val="17"/>
                <w:color w:val="auto"/>
              </w:rPr>
              <w:t>Restructuring costs</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(320)</w:t>
            </w:r>
          </w:p>
        </w:tc>
        <w:tc>
          <w:tcPr>
            <w:tcW w:w="240" w:type="dxa"/>
            <w:vAlign w:val="bottom"/>
          </w:tcPr>
          <w:p>
            <w:pPr>
              <w:spacing w:after="0"/>
              <w:rPr>
                <w:sz w:val="19"/>
                <w:szCs w:val="19"/>
                <w:color w:val="auto"/>
              </w:rPr>
            </w:pPr>
          </w:p>
        </w:tc>
        <w:tc>
          <w:tcPr>
            <w:tcW w:w="1300" w:type="dxa"/>
            <w:vAlign w:val="bottom"/>
          </w:tcPr>
          <w:p>
            <w:pPr>
              <w:jc w:val="right"/>
              <w:ind w:right="36"/>
              <w:spacing w:after="0"/>
              <w:rPr>
                <w:sz w:val="20"/>
                <w:szCs w:val="20"/>
                <w:color w:val="auto"/>
              </w:rPr>
            </w:pPr>
            <w:r>
              <w:rPr>
                <w:rFonts w:ascii="Arial" w:cs="Arial" w:eastAsia="Arial" w:hAnsi="Arial"/>
                <w:sz w:val="17"/>
                <w:szCs w:val="17"/>
                <w:color w:val="auto"/>
              </w:rPr>
              <w:t>5,045</w:t>
            </w:r>
          </w:p>
        </w:tc>
        <w:tc>
          <w:tcPr>
            <w:tcW w:w="360" w:type="dxa"/>
            <w:vAlign w:val="bottom"/>
          </w:tcPr>
          <w:p>
            <w:pPr>
              <w:spacing w:after="0"/>
              <w:rPr>
                <w:sz w:val="19"/>
                <w:szCs w:val="19"/>
                <w:color w:val="auto"/>
              </w:rPr>
            </w:pPr>
          </w:p>
        </w:tc>
        <w:tc>
          <w:tcPr>
            <w:tcW w:w="1200" w:type="dxa"/>
            <w:vAlign w:val="bottom"/>
          </w:tcPr>
          <w:p>
            <w:pPr>
              <w:jc w:val="right"/>
              <w:ind w:right="35"/>
              <w:spacing w:after="0"/>
              <w:rPr>
                <w:sz w:val="20"/>
                <w:szCs w:val="20"/>
                <w:color w:val="auto"/>
              </w:rPr>
            </w:pPr>
            <w:r>
              <w:rPr>
                <w:rFonts w:ascii="Arial" w:cs="Arial" w:eastAsia="Arial" w:hAnsi="Arial"/>
                <w:sz w:val="17"/>
                <w:szCs w:val="17"/>
                <w:color w:val="auto"/>
              </w:rPr>
              <w:t>1,860</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171</w:t>
            </w:r>
          </w:p>
        </w:tc>
      </w:tr>
      <w:tr>
        <w:trPr>
          <w:trHeight w:val="223"/>
        </w:trPr>
        <w:tc>
          <w:tcPr>
            <w:tcW w:w="5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loss</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(3,458)</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(6,456)</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(17,479)</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(16,354)</w:t>
            </w:r>
          </w:p>
        </w:tc>
      </w:tr>
      <w:tr>
        <w:trPr>
          <w:trHeight w:val="223"/>
        </w:trPr>
        <w:tc>
          <w:tcPr>
            <w:tcW w:w="5100" w:type="dxa"/>
            <w:vAlign w:val="bottom"/>
          </w:tcPr>
          <w:p>
            <w:pPr>
              <w:ind w:left="20"/>
              <w:spacing w:after="0"/>
              <w:rPr>
                <w:sz w:val="20"/>
                <w:szCs w:val="20"/>
                <w:color w:val="auto"/>
              </w:rPr>
            </w:pPr>
            <w:r>
              <w:rPr>
                <w:rFonts w:ascii="Arial" w:cs="Arial" w:eastAsia="Arial" w:hAnsi="Arial"/>
                <w:sz w:val="17"/>
                <w:szCs w:val="17"/>
                <w:color w:val="auto"/>
              </w:rPr>
              <w:t>Net loss</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(3,037)</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(4,591)</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(12,873)</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(10,723)</w:t>
            </w:r>
          </w:p>
        </w:tc>
      </w:tr>
      <w:tr>
        <w:trPr>
          <w:trHeight w:val="223"/>
        </w:trPr>
        <w:tc>
          <w:tcPr>
            <w:tcW w:w="5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Loss per common share:</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3"/>
        </w:trPr>
        <w:tc>
          <w:tcPr>
            <w:tcW w:w="5100" w:type="dxa"/>
            <w:vAlign w:val="bottom"/>
          </w:tcPr>
          <w:p>
            <w:pPr>
              <w:ind w:left="340"/>
              <w:spacing w:after="0"/>
              <w:rPr>
                <w:sz w:val="20"/>
                <w:szCs w:val="20"/>
                <w:color w:val="auto"/>
              </w:rPr>
            </w:pPr>
            <w:r>
              <w:rPr>
                <w:rFonts w:ascii="Arial" w:cs="Arial" w:eastAsia="Arial" w:hAnsi="Arial"/>
                <w:sz w:val="17"/>
                <w:szCs w:val="17"/>
                <w:color w:val="auto"/>
              </w:rPr>
              <w:t>Basic</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(0.12)</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(0.17)</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(0.49)</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(0.40)</w:t>
            </w:r>
          </w:p>
        </w:tc>
      </w:tr>
      <w:tr>
        <w:trPr>
          <w:trHeight w:val="223"/>
        </w:trPr>
        <w:tc>
          <w:tcPr>
            <w:tcW w:w="51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Diluted</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(0.12)</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(0.17)</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(0.49)</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(0.40)</w:t>
            </w:r>
          </w:p>
        </w:tc>
      </w:tr>
      <w:tr>
        <w:trPr>
          <w:trHeight w:val="223"/>
        </w:trPr>
        <w:tc>
          <w:tcPr>
            <w:tcW w:w="5100" w:type="dxa"/>
            <w:vAlign w:val="bottom"/>
          </w:tcPr>
          <w:p>
            <w:pPr>
              <w:ind w:left="20"/>
              <w:spacing w:after="0"/>
              <w:rPr>
                <w:sz w:val="20"/>
                <w:szCs w:val="20"/>
                <w:color w:val="auto"/>
              </w:rPr>
            </w:pPr>
            <w:r>
              <w:rPr>
                <w:rFonts w:ascii="Arial" w:cs="Arial" w:eastAsia="Arial" w:hAnsi="Arial"/>
                <w:sz w:val="17"/>
                <w:szCs w:val="17"/>
                <w:b w:val="1"/>
                <w:bCs w:val="1"/>
                <w:color w:val="auto"/>
              </w:rPr>
              <w:t>Fiscal Year 2020</w:t>
            </w: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3"/>
        </w:trPr>
        <w:tc>
          <w:tcPr>
            <w:tcW w:w="5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30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338,097</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318,677</w:t>
            </w:r>
          </w:p>
        </w:tc>
        <w:tc>
          <w:tcPr>
            <w:tcW w:w="36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248,327</w:t>
            </w:r>
          </w:p>
        </w:tc>
        <w:tc>
          <w:tcPr>
            <w:tcW w:w="34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195,837</w:t>
            </w:r>
          </w:p>
        </w:tc>
      </w:tr>
      <w:tr>
        <w:trPr>
          <w:trHeight w:val="223"/>
        </w:trPr>
        <w:tc>
          <w:tcPr>
            <w:tcW w:w="5100" w:type="dxa"/>
            <w:vAlign w:val="bottom"/>
          </w:tcPr>
          <w:p>
            <w:pPr>
              <w:ind w:left="20"/>
              <w:spacing w:after="0"/>
              <w:rPr>
                <w:sz w:val="20"/>
                <w:szCs w:val="20"/>
                <w:color w:val="auto"/>
              </w:rPr>
            </w:pPr>
            <w:r>
              <w:rPr>
                <w:rFonts w:ascii="Arial" w:cs="Arial" w:eastAsia="Arial" w:hAnsi="Arial"/>
                <w:sz w:val="17"/>
                <w:szCs w:val="17"/>
                <w:color w:val="auto"/>
              </w:rPr>
              <w:t>Gross profit</w:t>
            </w:r>
          </w:p>
        </w:tc>
        <w:tc>
          <w:tcPr>
            <w:tcW w:w="300" w:type="dxa"/>
            <w:vAlign w:val="bottom"/>
          </w:tcPr>
          <w:p>
            <w:pPr>
              <w:spacing w:after="0"/>
              <w:rPr>
                <w:sz w:val="19"/>
                <w:szCs w:val="19"/>
                <w:color w:val="auto"/>
              </w:rPr>
            </w:pPr>
          </w:p>
        </w:tc>
        <w:tc>
          <w:tcPr>
            <w:tcW w:w="1200" w:type="dxa"/>
            <w:vAlign w:val="bottom"/>
          </w:tcPr>
          <w:p>
            <w:pPr>
              <w:jc w:val="right"/>
              <w:ind w:right="35"/>
              <w:spacing w:after="0"/>
              <w:rPr>
                <w:sz w:val="20"/>
                <w:szCs w:val="20"/>
                <w:color w:val="auto"/>
              </w:rPr>
            </w:pPr>
            <w:r>
              <w:rPr>
                <w:rFonts w:ascii="Arial" w:cs="Arial" w:eastAsia="Arial" w:hAnsi="Arial"/>
                <w:sz w:val="17"/>
                <w:szCs w:val="17"/>
                <w:color w:val="auto"/>
              </w:rPr>
              <w:t>32,465</w:t>
            </w:r>
          </w:p>
        </w:tc>
        <w:tc>
          <w:tcPr>
            <w:tcW w:w="240" w:type="dxa"/>
            <w:vAlign w:val="bottom"/>
          </w:tcPr>
          <w:p>
            <w:pPr>
              <w:spacing w:after="0"/>
              <w:rPr>
                <w:sz w:val="19"/>
                <w:szCs w:val="19"/>
                <w:color w:val="auto"/>
              </w:rPr>
            </w:pPr>
          </w:p>
        </w:tc>
        <w:tc>
          <w:tcPr>
            <w:tcW w:w="1300" w:type="dxa"/>
            <w:vAlign w:val="bottom"/>
          </w:tcPr>
          <w:p>
            <w:pPr>
              <w:jc w:val="right"/>
              <w:ind w:right="36"/>
              <w:spacing w:after="0"/>
              <w:rPr>
                <w:sz w:val="20"/>
                <w:szCs w:val="20"/>
                <w:color w:val="auto"/>
              </w:rPr>
            </w:pPr>
            <w:r>
              <w:rPr>
                <w:rFonts w:ascii="Arial" w:cs="Arial" w:eastAsia="Arial" w:hAnsi="Arial"/>
                <w:sz w:val="17"/>
                <w:szCs w:val="17"/>
                <w:color w:val="auto"/>
              </w:rPr>
              <w:t>30,001</w:t>
            </w:r>
          </w:p>
        </w:tc>
        <w:tc>
          <w:tcPr>
            <w:tcW w:w="360" w:type="dxa"/>
            <w:vAlign w:val="bottom"/>
          </w:tcPr>
          <w:p>
            <w:pPr>
              <w:spacing w:after="0"/>
              <w:rPr>
                <w:sz w:val="19"/>
                <w:szCs w:val="19"/>
                <w:color w:val="auto"/>
              </w:rPr>
            </w:pPr>
          </w:p>
        </w:tc>
        <w:tc>
          <w:tcPr>
            <w:tcW w:w="1200" w:type="dxa"/>
            <w:vAlign w:val="bottom"/>
          </w:tcPr>
          <w:p>
            <w:pPr>
              <w:jc w:val="right"/>
              <w:ind w:right="35"/>
              <w:spacing w:after="0"/>
              <w:rPr>
                <w:sz w:val="20"/>
                <w:szCs w:val="20"/>
                <w:color w:val="auto"/>
              </w:rPr>
            </w:pPr>
            <w:r>
              <w:rPr>
                <w:rFonts w:ascii="Arial" w:cs="Arial" w:eastAsia="Arial" w:hAnsi="Arial"/>
                <w:sz w:val="17"/>
                <w:szCs w:val="17"/>
                <w:color w:val="auto"/>
              </w:rPr>
              <w:t>20,477</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19,233</w:t>
            </w:r>
          </w:p>
        </w:tc>
      </w:tr>
      <w:tr>
        <w:trPr>
          <w:trHeight w:val="223"/>
        </w:trPr>
        <w:tc>
          <w:tcPr>
            <w:tcW w:w="5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Intangible asset impairments and restructuring costs</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38,515</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6,559</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7,451</w:t>
            </w:r>
          </w:p>
        </w:tc>
      </w:tr>
      <w:tr>
        <w:trPr>
          <w:trHeight w:val="223"/>
        </w:trPr>
        <w:tc>
          <w:tcPr>
            <w:tcW w:w="5100" w:type="dxa"/>
            <w:vAlign w:val="bottom"/>
          </w:tcPr>
          <w:p>
            <w:pPr>
              <w:ind w:left="20"/>
              <w:spacing w:after="0"/>
              <w:rPr>
                <w:sz w:val="20"/>
                <w:szCs w:val="20"/>
                <w:color w:val="auto"/>
              </w:rPr>
            </w:pPr>
            <w:r>
              <w:rPr>
                <w:rFonts w:ascii="Arial" w:cs="Arial" w:eastAsia="Arial" w:hAnsi="Arial"/>
                <w:sz w:val="17"/>
                <w:szCs w:val="17"/>
                <w:color w:val="auto"/>
              </w:rPr>
              <w:t>Operating income (loss)</w:t>
            </w:r>
          </w:p>
        </w:tc>
        <w:tc>
          <w:tcPr>
            <w:tcW w:w="300" w:type="dxa"/>
            <w:vAlign w:val="bottom"/>
          </w:tcPr>
          <w:p>
            <w:pPr>
              <w:spacing w:after="0"/>
              <w:rPr>
                <w:sz w:val="19"/>
                <w:szCs w:val="19"/>
                <w:color w:val="auto"/>
              </w:rPr>
            </w:pPr>
          </w:p>
        </w:tc>
        <w:tc>
          <w:tcPr>
            <w:tcW w:w="1200" w:type="dxa"/>
            <w:vAlign w:val="bottom"/>
          </w:tcPr>
          <w:p>
            <w:pPr>
              <w:jc w:val="right"/>
              <w:ind w:right="35"/>
              <w:spacing w:after="0"/>
              <w:rPr>
                <w:sz w:val="20"/>
                <w:szCs w:val="20"/>
                <w:color w:val="auto"/>
              </w:rPr>
            </w:pPr>
            <w:r>
              <w:rPr>
                <w:rFonts w:ascii="Arial" w:cs="Arial" w:eastAsia="Arial" w:hAnsi="Arial"/>
                <w:sz w:val="17"/>
                <w:szCs w:val="17"/>
                <w:color w:val="auto"/>
              </w:rPr>
              <w:t>8,774</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(31,679)</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(5,800)</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(7,920)</w:t>
            </w:r>
          </w:p>
        </w:tc>
      </w:tr>
      <w:tr>
        <w:trPr>
          <w:trHeight w:val="223"/>
        </w:trPr>
        <w:tc>
          <w:tcPr>
            <w:tcW w:w="5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 (loss)</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6,151</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(28,008)</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(5,495)</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(5,722)</w:t>
            </w:r>
          </w:p>
        </w:tc>
      </w:tr>
      <w:tr>
        <w:trPr>
          <w:trHeight w:val="223"/>
        </w:trPr>
        <w:tc>
          <w:tcPr>
            <w:tcW w:w="5100" w:type="dxa"/>
            <w:vAlign w:val="bottom"/>
          </w:tcPr>
          <w:p>
            <w:pPr>
              <w:ind w:left="20"/>
              <w:spacing w:after="0"/>
              <w:rPr>
                <w:sz w:val="20"/>
                <w:szCs w:val="20"/>
                <w:color w:val="auto"/>
              </w:rPr>
            </w:pPr>
            <w:r>
              <w:rPr>
                <w:rFonts w:ascii="Arial" w:cs="Arial" w:eastAsia="Arial" w:hAnsi="Arial"/>
                <w:sz w:val="17"/>
                <w:szCs w:val="17"/>
                <w:color w:val="auto"/>
              </w:rPr>
              <w:t>Earnings (loss) per common share:</w:t>
            </w: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3"/>
        </w:trPr>
        <w:tc>
          <w:tcPr>
            <w:tcW w:w="51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Basic</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0.23</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(0.21)</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(0.22)</w:t>
            </w:r>
          </w:p>
        </w:tc>
      </w:tr>
      <w:tr>
        <w:trPr>
          <w:trHeight w:val="222"/>
        </w:trPr>
        <w:tc>
          <w:tcPr>
            <w:tcW w:w="5100" w:type="dxa"/>
            <w:vAlign w:val="bottom"/>
          </w:tcPr>
          <w:p>
            <w:pPr>
              <w:ind w:left="340"/>
              <w:spacing w:after="0"/>
              <w:rPr>
                <w:sz w:val="20"/>
                <w:szCs w:val="20"/>
                <w:color w:val="auto"/>
              </w:rPr>
            </w:pPr>
            <w:r>
              <w:rPr>
                <w:rFonts w:ascii="Arial" w:cs="Arial" w:eastAsia="Arial" w:hAnsi="Arial"/>
                <w:sz w:val="17"/>
                <w:szCs w:val="17"/>
                <w:color w:val="auto"/>
              </w:rPr>
              <w:t>Diluted</w:t>
            </w:r>
          </w:p>
        </w:tc>
        <w:tc>
          <w:tcPr>
            <w:tcW w:w="300" w:type="dxa"/>
            <w:vAlign w:val="bottom"/>
          </w:tcPr>
          <w:p>
            <w:pPr>
              <w:spacing w:after="0"/>
              <w:rPr>
                <w:sz w:val="19"/>
                <w:szCs w:val="19"/>
                <w:color w:val="auto"/>
              </w:rPr>
            </w:pPr>
          </w:p>
        </w:tc>
        <w:tc>
          <w:tcPr>
            <w:tcW w:w="1200" w:type="dxa"/>
            <w:vAlign w:val="bottom"/>
          </w:tcPr>
          <w:p>
            <w:pPr>
              <w:jc w:val="right"/>
              <w:ind w:right="35"/>
              <w:spacing w:after="0"/>
              <w:rPr>
                <w:sz w:val="20"/>
                <w:szCs w:val="20"/>
                <w:color w:val="auto"/>
              </w:rPr>
            </w:pPr>
            <w:r>
              <w:rPr>
                <w:rFonts w:ascii="Arial" w:cs="Arial" w:eastAsia="Arial" w:hAnsi="Arial"/>
                <w:sz w:val="17"/>
                <w:szCs w:val="17"/>
                <w:color w:val="auto"/>
              </w:rPr>
              <w:t>0.22</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(1.04)</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(0.21)</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(0.22)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7470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74700" cy="8255"/>
                    </a:xfrm>
                    <a:prstGeom prst="rect">
                      <a:avLst/>
                    </a:prstGeom>
                    <a:noFill/>
                  </pic:spPr>
                </pic:pic>
              </a:graphicData>
            </a:graphic>
          </wp:anchor>
        </w:drawing>
      </w:r>
    </w:p>
    <w:p>
      <w:pPr>
        <w:spacing w:after="0" w:line="322" w:lineRule="exact"/>
        <w:rPr>
          <w:sz w:val="20"/>
          <w:szCs w:val="20"/>
          <w:color w:val="auto"/>
        </w:rPr>
      </w:pPr>
    </w:p>
    <w:p>
      <w:pPr>
        <w:ind w:right="200"/>
        <w:spacing w:after="0" w:line="289" w:lineRule="auto"/>
        <w:rPr>
          <w:sz w:val="20"/>
          <w:szCs w:val="20"/>
          <w:color w:val="auto"/>
        </w:rPr>
      </w:pPr>
      <w:r>
        <w:rPr>
          <w:rFonts w:ascii="Arial" w:cs="Arial" w:eastAsia="Arial" w:hAnsi="Arial"/>
          <w:sz w:val="17"/>
          <w:szCs w:val="17"/>
          <w:i w:val="1"/>
          <w:iCs w:val="1"/>
          <w:color w:val="auto"/>
        </w:rPr>
        <w:t>The sum of earnings per share for the four quarters may not equal the total earnings per share for the year due to changes in the average number of common shares outstanding and rounding.</w:t>
      </w: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86" w:name="page87"/>
    <w:bookmarkEnd w:id="86"/>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Matrix Service Company</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Schedule II—Valuation and Qualifying Accounts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June 30, 2021, June 30, 2020, and June 30, 2019</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20" w:type="dxa"/>
            <w:vAlign w:val="bottom"/>
            <w:gridSpan w:val="2"/>
            <w:vMerge w:val="restart"/>
          </w:tcPr>
          <w:p>
            <w:pPr>
              <w:ind w:left="1940"/>
              <w:spacing w:after="0"/>
              <w:rPr>
                <w:sz w:val="20"/>
                <w:szCs w:val="20"/>
                <w:color w:val="auto"/>
              </w:rPr>
            </w:pPr>
            <w:r>
              <w:rPr>
                <w:rFonts w:ascii="Arial" w:cs="Arial" w:eastAsia="Arial" w:hAnsi="Arial"/>
                <w:sz w:val="16"/>
                <w:szCs w:val="16"/>
                <w:b w:val="1"/>
                <w:bCs w:val="1"/>
                <w:color w:val="auto"/>
              </w:rPr>
              <w:t>COL. A</w:t>
            </w:r>
          </w:p>
        </w:tc>
        <w:tc>
          <w:tcPr>
            <w:tcW w:w="140" w:type="dxa"/>
            <w:vAlign w:val="bottom"/>
          </w:tcPr>
          <w:p>
            <w:pPr>
              <w:spacing w:after="0"/>
              <w:rPr>
                <w:sz w:val="16"/>
                <w:szCs w:val="16"/>
                <w:color w:val="auto"/>
              </w:rPr>
            </w:pPr>
          </w:p>
        </w:tc>
        <w:tc>
          <w:tcPr>
            <w:tcW w:w="108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5"/>
              </w:rPr>
              <w:t>COL. B</w:t>
            </w:r>
          </w:p>
        </w:tc>
        <w:tc>
          <w:tcPr>
            <w:tcW w:w="160" w:type="dxa"/>
            <w:vAlign w:val="bottom"/>
          </w:tcPr>
          <w:p>
            <w:pPr>
              <w:spacing w:after="0"/>
              <w:rPr>
                <w:sz w:val="16"/>
                <w:szCs w:val="16"/>
                <w:color w:val="auto"/>
              </w:rPr>
            </w:pPr>
          </w:p>
        </w:tc>
        <w:tc>
          <w:tcPr>
            <w:tcW w:w="1880" w:type="dxa"/>
            <w:vAlign w:val="bottom"/>
            <w:gridSpan w:val="3"/>
          </w:tcPr>
          <w:p>
            <w:pPr>
              <w:jc w:val="center"/>
              <w:ind w:left="18"/>
              <w:spacing w:after="0"/>
              <w:rPr>
                <w:sz w:val="20"/>
                <w:szCs w:val="20"/>
                <w:color w:val="auto"/>
              </w:rPr>
            </w:pPr>
            <w:r>
              <w:rPr>
                <w:rFonts w:ascii="Arial" w:cs="Arial" w:eastAsia="Arial" w:hAnsi="Arial"/>
                <w:sz w:val="16"/>
                <w:szCs w:val="16"/>
                <w:b w:val="1"/>
                <w:bCs w:val="1"/>
                <w:color w:val="auto"/>
                <w:w w:val="99"/>
              </w:rPr>
              <w:t>COL. C</w:t>
            </w: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vMerge w:val="restart"/>
          </w:tcPr>
          <w:p>
            <w:pPr>
              <w:jc w:val="center"/>
              <w:ind w:right="56"/>
              <w:spacing w:after="0"/>
              <w:rPr>
                <w:sz w:val="20"/>
                <w:szCs w:val="20"/>
                <w:color w:val="auto"/>
              </w:rPr>
            </w:pPr>
            <w:r>
              <w:rPr>
                <w:rFonts w:ascii="Arial" w:cs="Arial" w:eastAsia="Arial" w:hAnsi="Arial"/>
                <w:sz w:val="16"/>
                <w:szCs w:val="16"/>
                <w:b w:val="1"/>
                <w:bCs w:val="1"/>
                <w:color w:val="auto"/>
                <w:w w:val="95"/>
              </w:rPr>
              <w:t>COL. D</w:t>
            </w: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vMerge w:val="restart"/>
          </w:tcPr>
          <w:p>
            <w:pPr>
              <w:jc w:val="center"/>
              <w:ind w:right="77"/>
              <w:spacing w:after="0"/>
              <w:rPr>
                <w:sz w:val="20"/>
                <w:szCs w:val="20"/>
                <w:color w:val="auto"/>
              </w:rPr>
            </w:pPr>
            <w:r>
              <w:rPr>
                <w:rFonts w:ascii="Arial" w:cs="Arial" w:eastAsia="Arial" w:hAnsi="Arial"/>
                <w:sz w:val="16"/>
                <w:szCs w:val="16"/>
                <w:b w:val="1"/>
                <w:bCs w:val="1"/>
                <w:color w:val="auto"/>
                <w:w w:val="97"/>
              </w:rPr>
              <w:t>COL. E</w:t>
            </w:r>
          </w:p>
        </w:tc>
        <w:tc>
          <w:tcPr>
            <w:tcW w:w="0" w:type="dxa"/>
            <w:vAlign w:val="bottom"/>
          </w:tcPr>
          <w:p>
            <w:pPr>
              <w:spacing w:after="0"/>
              <w:rPr>
                <w:sz w:val="1"/>
                <w:szCs w:val="1"/>
                <w:color w:val="auto"/>
              </w:rPr>
            </w:pPr>
          </w:p>
        </w:tc>
      </w:tr>
      <w:tr>
        <w:trPr>
          <w:trHeight w:val="207"/>
        </w:trPr>
        <w:tc>
          <w:tcPr>
            <w:tcW w:w="45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3"/>
          </w:tcPr>
          <w:p>
            <w:pPr>
              <w:jc w:val="center"/>
              <w:ind w:left="18"/>
              <w:spacing w:after="0"/>
              <w:rPr>
                <w:sz w:val="20"/>
                <w:szCs w:val="20"/>
                <w:color w:val="auto"/>
              </w:rPr>
            </w:pPr>
            <w:r>
              <w:rPr>
                <w:rFonts w:ascii="Arial" w:cs="Arial" w:eastAsia="Arial" w:hAnsi="Arial"/>
                <w:sz w:val="16"/>
                <w:szCs w:val="16"/>
                <w:b w:val="1"/>
                <w:bCs w:val="1"/>
                <w:color w:val="auto"/>
              </w:rPr>
              <w:t>ADDITIONS</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27"/>
        </w:trPr>
        <w:tc>
          <w:tcPr>
            <w:tcW w:w="44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center"/>
              <w:ind w:right="57"/>
              <w:spacing w:after="0" w:line="127" w:lineRule="exact"/>
              <w:rPr>
                <w:sz w:val="20"/>
                <w:szCs w:val="20"/>
                <w:color w:val="auto"/>
              </w:rPr>
            </w:pPr>
            <w:r>
              <w:rPr>
                <w:rFonts w:ascii="Arial" w:cs="Arial" w:eastAsia="Arial" w:hAnsi="Arial"/>
                <w:sz w:val="14"/>
                <w:szCs w:val="14"/>
                <w:b w:val="1"/>
                <w:bCs w:val="1"/>
                <w:color w:val="auto"/>
                <w:w w:val="91"/>
              </w:rPr>
              <w:t>Balance at</w:t>
            </w: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jc w:val="center"/>
              <w:ind w:right="260"/>
              <w:spacing w:after="0" w:line="127" w:lineRule="exact"/>
              <w:rPr>
                <w:sz w:val="20"/>
                <w:szCs w:val="20"/>
                <w:color w:val="auto"/>
              </w:rPr>
            </w:pPr>
            <w:r>
              <w:rPr>
                <w:rFonts w:ascii="Arial" w:cs="Arial" w:eastAsia="Arial" w:hAnsi="Arial"/>
                <w:sz w:val="14"/>
                <w:szCs w:val="14"/>
                <w:b w:val="1"/>
                <w:bCs w:val="1"/>
                <w:color w:val="auto"/>
                <w:w w:val="89"/>
              </w:rPr>
              <w:t>Charged to</w:t>
            </w:r>
          </w:p>
        </w:tc>
        <w:tc>
          <w:tcPr>
            <w:tcW w:w="1100" w:type="dxa"/>
            <w:vAlign w:val="bottom"/>
            <w:tcBorders>
              <w:top w:val="single" w:sz="8" w:color="auto"/>
            </w:tcBorders>
            <w:gridSpan w:val="2"/>
          </w:tcPr>
          <w:p>
            <w:pPr>
              <w:ind w:left="20"/>
              <w:spacing w:after="0" w:line="127" w:lineRule="exact"/>
              <w:rPr>
                <w:sz w:val="20"/>
                <w:szCs w:val="20"/>
                <w:color w:val="auto"/>
              </w:rPr>
            </w:pPr>
            <w:r>
              <w:rPr>
                <w:rFonts w:ascii="Arial" w:cs="Arial" w:eastAsia="Arial" w:hAnsi="Arial"/>
                <w:sz w:val="14"/>
                <w:szCs w:val="14"/>
                <w:b w:val="1"/>
                <w:bCs w:val="1"/>
                <w:color w:val="auto"/>
                <w:w w:val="92"/>
              </w:rPr>
              <w:t>Charged to Other</w:t>
            </w:r>
          </w:p>
        </w:tc>
        <w:tc>
          <w:tcPr>
            <w:tcW w:w="4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vMerge w:val="restart"/>
          </w:tcPr>
          <w:p>
            <w:pPr>
              <w:jc w:val="center"/>
              <w:ind w:right="56"/>
              <w:spacing w:after="0"/>
              <w:rPr>
                <w:sz w:val="20"/>
                <w:szCs w:val="20"/>
                <w:color w:val="auto"/>
              </w:rPr>
            </w:pPr>
            <w:r>
              <w:rPr>
                <w:rFonts w:ascii="Arial" w:cs="Arial" w:eastAsia="Arial" w:hAnsi="Arial"/>
                <w:sz w:val="14"/>
                <w:szCs w:val="14"/>
                <w:b w:val="1"/>
                <w:bCs w:val="1"/>
                <w:color w:val="auto"/>
                <w:w w:val="88"/>
              </w:rPr>
              <w:t>Deductions—</w:t>
            </w:r>
          </w:p>
        </w:tc>
        <w:tc>
          <w:tcPr>
            <w:tcW w:w="5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center"/>
              <w:ind w:right="97"/>
              <w:spacing w:after="0" w:line="127" w:lineRule="exact"/>
              <w:rPr>
                <w:sz w:val="20"/>
                <w:szCs w:val="20"/>
                <w:color w:val="auto"/>
              </w:rPr>
            </w:pPr>
            <w:r>
              <w:rPr>
                <w:rFonts w:ascii="Arial" w:cs="Arial" w:eastAsia="Arial" w:hAnsi="Arial"/>
                <w:sz w:val="14"/>
                <w:szCs w:val="14"/>
                <w:b w:val="1"/>
                <w:bCs w:val="1"/>
                <w:color w:val="auto"/>
                <w:w w:val="88"/>
              </w:rPr>
              <w:t>Balance at</w:t>
            </w:r>
          </w:p>
        </w:tc>
        <w:tc>
          <w:tcPr>
            <w:tcW w:w="0" w:type="dxa"/>
            <w:vAlign w:val="bottom"/>
          </w:tcPr>
          <w:p>
            <w:pPr>
              <w:spacing w:after="0"/>
              <w:rPr>
                <w:sz w:val="1"/>
                <w:szCs w:val="1"/>
                <w:color w:val="auto"/>
              </w:rPr>
            </w:pPr>
          </w:p>
        </w:tc>
      </w:tr>
      <w:tr>
        <w:trPr>
          <w:trHeight w:val="131"/>
        </w:trPr>
        <w:tc>
          <w:tcPr>
            <w:tcW w:w="4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tcPr>
          <w:p>
            <w:pPr>
              <w:jc w:val="center"/>
              <w:ind w:right="240"/>
              <w:spacing w:after="0" w:line="131" w:lineRule="exact"/>
              <w:rPr>
                <w:sz w:val="20"/>
                <w:szCs w:val="20"/>
                <w:color w:val="auto"/>
              </w:rPr>
            </w:pPr>
            <w:r>
              <w:rPr>
                <w:rFonts w:ascii="Arial" w:cs="Arial" w:eastAsia="Arial" w:hAnsi="Arial"/>
                <w:sz w:val="14"/>
                <w:szCs w:val="14"/>
                <w:b w:val="1"/>
                <w:bCs w:val="1"/>
                <w:color w:val="auto"/>
                <w:w w:val="88"/>
              </w:rPr>
              <w:t>Beginning of</w:t>
            </w:r>
          </w:p>
        </w:tc>
        <w:tc>
          <w:tcPr>
            <w:tcW w:w="160" w:type="dxa"/>
            <w:vAlign w:val="bottom"/>
          </w:tcPr>
          <w:p>
            <w:pPr>
              <w:spacing w:after="0"/>
              <w:rPr>
                <w:sz w:val="11"/>
                <w:szCs w:val="11"/>
                <w:color w:val="auto"/>
              </w:rPr>
            </w:pPr>
          </w:p>
        </w:tc>
        <w:tc>
          <w:tcPr>
            <w:tcW w:w="1040" w:type="dxa"/>
            <w:vAlign w:val="bottom"/>
            <w:gridSpan w:val="2"/>
          </w:tcPr>
          <w:p>
            <w:pPr>
              <w:jc w:val="center"/>
              <w:ind w:right="260"/>
              <w:spacing w:after="0" w:line="131" w:lineRule="exact"/>
              <w:rPr>
                <w:sz w:val="20"/>
                <w:szCs w:val="20"/>
                <w:color w:val="auto"/>
              </w:rPr>
            </w:pPr>
            <w:r>
              <w:rPr>
                <w:rFonts w:ascii="Arial" w:cs="Arial" w:eastAsia="Arial" w:hAnsi="Arial"/>
                <w:sz w:val="14"/>
                <w:szCs w:val="14"/>
                <w:b w:val="1"/>
                <w:bCs w:val="1"/>
                <w:color w:val="auto"/>
                <w:w w:val="85"/>
              </w:rPr>
              <w:t>Costs and</w:t>
            </w:r>
          </w:p>
        </w:tc>
        <w:tc>
          <w:tcPr>
            <w:tcW w:w="1540" w:type="dxa"/>
            <w:vAlign w:val="bottom"/>
            <w:gridSpan w:val="3"/>
          </w:tcPr>
          <w:p>
            <w:pPr>
              <w:jc w:val="center"/>
              <w:ind w:right="440"/>
              <w:spacing w:after="0" w:line="131" w:lineRule="exact"/>
              <w:rPr>
                <w:sz w:val="20"/>
                <w:szCs w:val="20"/>
                <w:color w:val="auto"/>
              </w:rPr>
            </w:pPr>
            <w:r>
              <w:rPr>
                <w:rFonts w:ascii="Arial" w:cs="Arial" w:eastAsia="Arial" w:hAnsi="Arial"/>
                <w:sz w:val="14"/>
                <w:szCs w:val="14"/>
                <w:b w:val="1"/>
                <w:bCs w:val="1"/>
                <w:color w:val="auto"/>
                <w:w w:val="89"/>
              </w:rPr>
              <w:t>Accounts—</w:t>
            </w:r>
          </w:p>
        </w:tc>
        <w:tc>
          <w:tcPr>
            <w:tcW w:w="14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jc w:val="center"/>
              <w:ind w:right="77"/>
              <w:spacing w:after="0" w:line="131" w:lineRule="exact"/>
              <w:rPr>
                <w:sz w:val="20"/>
                <w:szCs w:val="20"/>
                <w:color w:val="auto"/>
              </w:rPr>
            </w:pPr>
            <w:r>
              <w:rPr>
                <w:rFonts w:ascii="Arial" w:cs="Arial" w:eastAsia="Arial" w:hAnsi="Arial"/>
                <w:sz w:val="14"/>
                <w:szCs w:val="14"/>
                <w:b w:val="1"/>
                <w:bCs w:val="1"/>
                <w:color w:val="auto"/>
                <w:w w:val="91"/>
              </w:rPr>
              <w:t>End of</w:t>
            </w:r>
          </w:p>
        </w:tc>
        <w:tc>
          <w:tcPr>
            <w:tcW w:w="0" w:type="dxa"/>
            <w:vAlign w:val="bottom"/>
          </w:tcPr>
          <w:p>
            <w:pPr>
              <w:spacing w:after="0"/>
              <w:rPr>
                <w:sz w:val="1"/>
                <w:szCs w:val="1"/>
                <w:color w:val="auto"/>
              </w:rPr>
            </w:pPr>
          </w:p>
        </w:tc>
      </w:tr>
      <w:tr>
        <w:trPr>
          <w:trHeight w:val="183"/>
        </w:trPr>
        <w:tc>
          <w:tcPr>
            <w:tcW w:w="4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Period</w:t>
            </w:r>
          </w:p>
        </w:tc>
        <w:tc>
          <w:tcPr>
            <w:tcW w:w="160" w:type="dxa"/>
            <w:vAlign w:val="bottom"/>
          </w:tcPr>
          <w:p>
            <w:pPr>
              <w:spacing w:after="0"/>
              <w:rPr>
                <w:sz w:val="15"/>
                <w:szCs w:val="15"/>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2"/>
              </w:rPr>
              <w:t>Expenses</w:t>
            </w:r>
          </w:p>
        </w:tc>
        <w:tc>
          <w:tcPr>
            <w:tcW w:w="840" w:type="dxa"/>
            <w:vAlign w:val="bottom"/>
          </w:tcPr>
          <w:p>
            <w:pPr>
              <w:jc w:val="center"/>
              <w:ind w:left="203"/>
              <w:spacing w:after="0"/>
              <w:rPr>
                <w:sz w:val="20"/>
                <w:szCs w:val="20"/>
                <w:color w:val="auto"/>
              </w:rPr>
            </w:pPr>
            <w:r>
              <w:rPr>
                <w:rFonts w:ascii="Arial" w:cs="Arial" w:eastAsia="Arial" w:hAnsi="Arial"/>
                <w:sz w:val="14"/>
                <w:szCs w:val="14"/>
                <w:b w:val="1"/>
                <w:bCs w:val="1"/>
                <w:color w:val="auto"/>
                <w:w w:val="87"/>
              </w:rPr>
              <w:t>Describe</w:t>
            </w: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center"/>
              <w:ind w:right="56"/>
              <w:spacing w:after="0"/>
              <w:rPr>
                <w:sz w:val="20"/>
                <w:szCs w:val="20"/>
                <w:color w:val="auto"/>
              </w:rPr>
            </w:pPr>
            <w:r>
              <w:rPr>
                <w:rFonts w:ascii="Arial" w:cs="Arial" w:eastAsia="Arial" w:hAnsi="Arial"/>
                <w:sz w:val="14"/>
                <w:szCs w:val="14"/>
                <w:b w:val="1"/>
                <w:bCs w:val="1"/>
                <w:color w:val="auto"/>
                <w:w w:val="87"/>
              </w:rPr>
              <w:t>Describe</w:t>
            </w: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center"/>
              <w:ind w:right="77"/>
              <w:spacing w:after="0"/>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203"/>
        </w:trPr>
        <w:tc>
          <w:tcPr>
            <w:tcW w:w="45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Fiscal Year 2021</w:t>
            </w: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520" w:type="dxa"/>
            <w:vAlign w:val="bottom"/>
            <w:gridSpan w:val="2"/>
          </w:tcPr>
          <w:p>
            <w:pPr>
              <w:ind w:left="20"/>
              <w:spacing w:after="0"/>
              <w:rPr>
                <w:sz w:val="20"/>
                <w:szCs w:val="20"/>
                <w:color w:val="auto"/>
              </w:rPr>
            </w:pPr>
            <w:r>
              <w:rPr>
                <w:rFonts w:ascii="Arial" w:cs="Arial" w:eastAsia="Arial" w:hAnsi="Arial"/>
                <w:sz w:val="17"/>
                <w:szCs w:val="17"/>
                <w:color w:val="auto"/>
              </w:rPr>
              <w:t>Deducted from asset accounts:</w:t>
            </w: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2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Allowance for doubtful accounts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w:t>
            </w:r>
          </w:p>
        </w:tc>
        <w:tc>
          <w:tcPr>
            <w:tcW w:w="540" w:type="dxa"/>
            <w:vAlign w:val="bottom"/>
            <w:shd w:val="clear" w:color="auto" w:fill="CCEEFF"/>
          </w:tcPr>
          <w:p>
            <w:pPr>
              <w:spacing w:after="0"/>
              <w:rPr>
                <w:sz w:val="20"/>
                <w:szCs w:val="20"/>
                <w:color w:val="auto"/>
              </w:rPr>
            </w:pPr>
            <w:r>
              <w:rPr>
                <w:rFonts w:ascii="Arial" w:cs="Arial" w:eastAsia="Arial" w:hAnsi="Arial"/>
                <w:sz w:val="17"/>
                <w:szCs w:val="17"/>
                <w:color w:val="auto"/>
              </w:rPr>
              <w:t>(A)</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898</w:t>
            </w:r>
          </w:p>
        </w:tc>
        <w:tc>
          <w:tcPr>
            <w:tcW w:w="0" w:type="dxa"/>
            <w:vAlign w:val="bottom"/>
          </w:tcPr>
          <w:p>
            <w:pPr>
              <w:spacing w:after="0"/>
              <w:rPr>
                <w:sz w:val="1"/>
                <w:szCs w:val="1"/>
                <w:color w:val="auto"/>
              </w:rPr>
            </w:pPr>
          </w:p>
        </w:tc>
      </w:tr>
      <w:tr>
        <w:trPr>
          <w:trHeight w:val="223"/>
        </w:trPr>
        <w:tc>
          <w:tcPr>
            <w:tcW w:w="4520" w:type="dxa"/>
            <w:vAlign w:val="bottom"/>
            <w:tcBorders>
              <w:bottom w:val="single" w:sz="8" w:color="CCEEFF"/>
            </w:tcBorders>
            <w:gridSpan w:val="2"/>
          </w:tcPr>
          <w:p>
            <w:pPr>
              <w:ind w:left="340"/>
              <w:spacing w:after="0"/>
              <w:rPr>
                <w:sz w:val="20"/>
                <w:szCs w:val="20"/>
                <w:color w:val="auto"/>
              </w:rPr>
            </w:pPr>
            <w:r>
              <w:rPr>
                <w:rFonts w:ascii="Arial" w:cs="Arial" w:eastAsia="Arial" w:hAnsi="Arial"/>
                <w:sz w:val="17"/>
                <w:szCs w:val="17"/>
                <w:color w:val="auto"/>
              </w:rPr>
              <w:t>Valuation reserve for deferred tax assets</w:t>
            </w: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7,763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2,797</w:t>
            </w:r>
          </w:p>
        </w:tc>
        <w:tc>
          <w:tcPr>
            <w:tcW w:w="1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544</w:t>
            </w:r>
          </w:p>
        </w:tc>
        <w:tc>
          <w:tcPr>
            <w:tcW w:w="54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(B)</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11,104</w:t>
            </w:r>
          </w:p>
        </w:tc>
        <w:tc>
          <w:tcPr>
            <w:tcW w:w="0" w:type="dxa"/>
            <w:vAlign w:val="bottom"/>
          </w:tcPr>
          <w:p>
            <w:pPr>
              <w:spacing w:after="0"/>
              <w:rPr>
                <w:sz w:val="1"/>
                <w:szCs w:val="1"/>
                <w:color w:val="auto"/>
              </w:rPr>
            </w:pPr>
          </w:p>
        </w:tc>
      </w:tr>
      <w:tr>
        <w:trPr>
          <w:trHeight w:val="236"/>
        </w:trPr>
        <w:tc>
          <w:tcPr>
            <w:tcW w:w="45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8,668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2,882</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452</w:t>
            </w:r>
          </w:p>
        </w:tc>
        <w:tc>
          <w:tcPr>
            <w:tcW w:w="54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12,002</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7"/>
                <w:szCs w:val="17"/>
                <w:b w:val="1"/>
                <w:bCs w:val="1"/>
                <w:color w:val="auto"/>
              </w:rPr>
              <w:t>Fiscal Year 2020</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5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5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Deducted from asset accounts:</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20" w:type="dxa"/>
            <w:vAlign w:val="bottom"/>
            <w:gridSpan w:val="2"/>
          </w:tcPr>
          <w:p>
            <w:pPr>
              <w:ind w:left="340"/>
              <w:spacing w:after="0"/>
              <w:rPr>
                <w:sz w:val="20"/>
                <w:szCs w:val="20"/>
                <w:color w:val="auto"/>
              </w:rPr>
            </w:pPr>
            <w:r>
              <w:rPr>
                <w:rFonts w:ascii="Arial" w:cs="Arial" w:eastAsia="Arial" w:hAnsi="Arial"/>
                <w:sz w:val="17"/>
                <w:szCs w:val="17"/>
                <w:color w:val="auto"/>
              </w:rPr>
              <w:t>Allowance for doubtful accounts</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923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1,158</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00" w:type="dxa"/>
            <w:vAlign w:val="bottom"/>
            <w:gridSpan w:val="2"/>
          </w:tcPr>
          <w:p>
            <w:pPr>
              <w:ind w:left="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(1,176)</w:t>
            </w:r>
          </w:p>
        </w:tc>
        <w:tc>
          <w:tcPr>
            <w:tcW w:w="540" w:type="dxa"/>
            <w:vAlign w:val="bottom"/>
          </w:tcPr>
          <w:p>
            <w:pPr>
              <w:spacing w:after="0"/>
              <w:rPr>
                <w:sz w:val="20"/>
                <w:szCs w:val="20"/>
                <w:color w:val="auto"/>
              </w:rPr>
            </w:pPr>
            <w:r>
              <w:rPr>
                <w:rFonts w:ascii="Arial" w:cs="Arial" w:eastAsia="Arial" w:hAnsi="Arial"/>
                <w:sz w:val="17"/>
                <w:szCs w:val="17"/>
                <w:color w:val="auto"/>
              </w:rPr>
              <w:t>(C)</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905</w:t>
            </w:r>
          </w:p>
        </w:tc>
        <w:tc>
          <w:tcPr>
            <w:tcW w:w="0" w:type="dxa"/>
            <w:vAlign w:val="bottom"/>
          </w:tcPr>
          <w:p>
            <w:pPr>
              <w:spacing w:after="0"/>
              <w:rPr>
                <w:sz w:val="1"/>
                <w:szCs w:val="1"/>
                <w:color w:val="auto"/>
              </w:rPr>
            </w:pPr>
          </w:p>
        </w:tc>
      </w:tr>
      <w:tr>
        <w:trPr>
          <w:trHeight w:val="223"/>
        </w:trPr>
        <w:tc>
          <w:tcPr>
            <w:tcW w:w="452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Valuation reserve for deferred tax assets</w:t>
            </w: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4,959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3,062</w:t>
            </w:r>
          </w:p>
        </w:tc>
        <w:tc>
          <w:tcPr>
            <w:tcW w:w="1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(258)</w:t>
            </w:r>
          </w:p>
        </w:tc>
        <w:tc>
          <w:tcPr>
            <w:tcW w:w="540" w:type="dxa"/>
            <w:vAlign w:val="bottom"/>
            <w:shd w:val="clear" w:color="auto" w:fill="CCEEFF"/>
          </w:tcPr>
          <w:p>
            <w:pPr>
              <w:spacing w:after="0"/>
              <w:rPr>
                <w:sz w:val="20"/>
                <w:szCs w:val="20"/>
                <w:color w:val="auto"/>
              </w:rPr>
            </w:pPr>
            <w:r>
              <w:rPr>
                <w:rFonts w:ascii="Arial" w:cs="Arial" w:eastAsia="Arial" w:hAnsi="Arial"/>
                <w:sz w:val="17"/>
                <w:szCs w:val="17"/>
                <w:color w:val="auto"/>
              </w:rPr>
              <w:t>(D)</w:t>
            </w: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7,763</w:t>
            </w:r>
          </w:p>
        </w:tc>
        <w:tc>
          <w:tcPr>
            <w:tcW w:w="0" w:type="dxa"/>
            <w:vAlign w:val="bottom"/>
          </w:tcPr>
          <w:p>
            <w:pPr>
              <w:spacing w:after="0"/>
              <w:rPr>
                <w:sz w:val="1"/>
                <w:szCs w:val="1"/>
                <w:color w:val="auto"/>
              </w:rPr>
            </w:pPr>
          </w:p>
        </w:tc>
      </w:tr>
      <w:tr>
        <w:trPr>
          <w:trHeight w:val="216"/>
        </w:trPr>
        <w:tc>
          <w:tcPr>
            <w:tcW w:w="4520" w:type="dxa"/>
            <w:vAlign w:val="bottom"/>
            <w:gridSpan w:val="2"/>
          </w:tcPr>
          <w:p>
            <w:pPr>
              <w:ind w:left="20"/>
              <w:spacing w:after="0"/>
              <w:rPr>
                <w:sz w:val="20"/>
                <w:szCs w:val="20"/>
                <w:color w:val="auto"/>
              </w:rPr>
            </w:pPr>
            <w:r>
              <w:rPr>
                <w:rFonts w:ascii="Arial" w:cs="Arial" w:eastAsia="Arial" w:hAnsi="Arial"/>
                <w:sz w:val="17"/>
                <w:szCs w:val="17"/>
                <w:color w:val="auto"/>
              </w:rPr>
              <w:t>Total</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5,882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4,220</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00" w:type="dxa"/>
            <w:vAlign w:val="bottom"/>
            <w:gridSpan w:val="2"/>
          </w:tcPr>
          <w:p>
            <w:pPr>
              <w:ind w:left="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(1,434)</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8,668</w:t>
            </w:r>
          </w:p>
        </w:tc>
        <w:tc>
          <w:tcPr>
            <w:tcW w:w="0" w:type="dxa"/>
            <w:vAlign w:val="bottom"/>
          </w:tcPr>
          <w:p>
            <w:pPr>
              <w:spacing w:after="0"/>
              <w:rPr>
                <w:sz w:val="1"/>
                <w:szCs w:val="1"/>
                <w:color w:val="auto"/>
              </w:rPr>
            </w:pPr>
          </w:p>
        </w:tc>
      </w:tr>
      <w:tr>
        <w:trPr>
          <w:trHeight w:val="20"/>
        </w:trPr>
        <w:tc>
          <w:tcPr>
            <w:tcW w:w="4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52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7"/>
                <w:szCs w:val="17"/>
                <w:b w:val="1"/>
                <w:bCs w:val="1"/>
                <w:color w:val="auto"/>
              </w:rPr>
              <w:t>Fiscal Year 2019</w:t>
            </w: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520" w:type="dxa"/>
            <w:vAlign w:val="bottom"/>
            <w:gridSpan w:val="2"/>
          </w:tcPr>
          <w:p>
            <w:pPr>
              <w:ind w:left="20"/>
              <w:spacing w:after="0"/>
              <w:rPr>
                <w:sz w:val="20"/>
                <w:szCs w:val="20"/>
                <w:color w:val="auto"/>
              </w:rPr>
            </w:pPr>
            <w:r>
              <w:rPr>
                <w:rFonts w:ascii="Arial" w:cs="Arial" w:eastAsia="Arial" w:hAnsi="Arial"/>
                <w:sz w:val="17"/>
                <w:szCs w:val="17"/>
                <w:color w:val="auto"/>
              </w:rPr>
              <w:t>Deducted from asset accounts:</w:t>
            </w: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2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Allowance for doubtful accounts</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6,327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(5,409)</w:t>
            </w:r>
          </w:p>
        </w:tc>
        <w:tc>
          <w:tcPr>
            <w:tcW w:w="540" w:type="dxa"/>
            <w:vAlign w:val="bottom"/>
            <w:shd w:val="clear" w:color="auto" w:fill="CCEEFF"/>
          </w:tcPr>
          <w:p>
            <w:pPr>
              <w:spacing w:after="0"/>
              <w:rPr>
                <w:sz w:val="20"/>
                <w:szCs w:val="20"/>
                <w:color w:val="auto"/>
              </w:rPr>
            </w:pPr>
            <w:r>
              <w:rPr>
                <w:rFonts w:ascii="Arial" w:cs="Arial" w:eastAsia="Arial" w:hAnsi="Arial"/>
                <w:sz w:val="17"/>
                <w:szCs w:val="17"/>
                <w:color w:val="auto"/>
              </w:rPr>
              <w:t>(E)</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923</w:t>
            </w:r>
          </w:p>
        </w:tc>
        <w:tc>
          <w:tcPr>
            <w:tcW w:w="0" w:type="dxa"/>
            <w:vAlign w:val="bottom"/>
          </w:tcPr>
          <w:p>
            <w:pPr>
              <w:spacing w:after="0"/>
              <w:rPr>
                <w:sz w:val="1"/>
                <w:szCs w:val="1"/>
                <w:color w:val="auto"/>
              </w:rPr>
            </w:pPr>
          </w:p>
        </w:tc>
      </w:tr>
      <w:tr>
        <w:trPr>
          <w:trHeight w:val="223"/>
        </w:trPr>
        <w:tc>
          <w:tcPr>
            <w:tcW w:w="4520" w:type="dxa"/>
            <w:vAlign w:val="bottom"/>
            <w:tcBorders>
              <w:bottom w:val="single" w:sz="8" w:color="CCEEFF"/>
            </w:tcBorders>
            <w:gridSpan w:val="2"/>
          </w:tcPr>
          <w:p>
            <w:pPr>
              <w:ind w:left="340"/>
              <w:spacing w:after="0"/>
              <w:rPr>
                <w:sz w:val="20"/>
                <w:szCs w:val="20"/>
                <w:color w:val="auto"/>
              </w:rPr>
            </w:pPr>
            <w:r>
              <w:rPr>
                <w:rFonts w:ascii="Arial" w:cs="Arial" w:eastAsia="Arial" w:hAnsi="Arial"/>
                <w:sz w:val="17"/>
                <w:szCs w:val="17"/>
                <w:color w:val="auto"/>
              </w:rPr>
              <w:t>Valuation reserve for deferred tax assets</w:t>
            </w: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1,638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4,594</w:t>
            </w:r>
          </w:p>
        </w:tc>
        <w:tc>
          <w:tcPr>
            <w:tcW w:w="1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(1,273)</w:t>
            </w:r>
          </w:p>
        </w:tc>
        <w:tc>
          <w:tcPr>
            <w:tcW w:w="54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(F)</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4,959</w:t>
            </w:r>
          </w:p>
        </w:tc>
        <w:tc>
          <w:tcPr>
            <w:tcW w:w="0" w:type="dxa"/>
            <w:vAlign w:val="bottom"/>
          </w:tcPr>
          <w:p>
            <w:pPr>
              <w:spacing w:after="0"/>
              <w:rPr>
                <w:sz w:val="1"/>
                <w:szCs w:val="1"/>
                <w:color w:val="auto"/>
              </w:rPr>
            </w:pPr>
          </w:p>
        </w:tc>
      </w:tr>
      <w:tr>
        <w:trPr>
          <w:trHeight w:val="236"/>
        </w:trPr>
        <w:tc>
          <w:tcPr>
            <w:tcW w:w="45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7,965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4,599</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7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(6,682)</w:t>
            </w:r>
          </w:p>
        </w:tc>
        <w:tc>
          <w:tcPr>
            <w:tcW w:w="5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5,882</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291465</wp:posOffset>
            </wp:positionV>
            <wp:extent cx="79946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994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560" w:hanging="319"/>
        <w:spacing w:after="0"/>
        <w:tabs>
          <w:tab w:leader="none" w:pos="560" w:val="left"/>
        </w:tabs>
        <w:numPr>
          <w:ilvl w:val="0"/>
          <w:numId w:val="44"/>
        </w:numPr>
        <w:rPr>
          <w:rFonts w:ascii="Arial" w:cs="Arial" w:eastAsia="Arial" w:hAnsi="Arial"/>
          <w:sz w:val="14"/>
          <w:szCs w:val="14"/>
          <w:color w:val="auto"/>
        </w:rPr>
      </w:pPr>
      <w:r>
        <w:rPr>
          <w:rFonts w:ascii="Arial" w:cs="Arial" w:eastAsia="Arial" w:hAnsi="Arial"/>
          <w:sz w:val="14"/>
          <w:szCs w:val="14"/>
          <w:color w:val="auto"/>
        </w:rPr>
        <w:t>Primarily relates to a $0.1 million reserve that was recognized as a credit loss and ultimately written off within fiscal 2021.</w:t>
      </w:r>
    </w:p>
    <w:p>
      <w:pPr>
        <w:spacing w:after="0" w:line="8" w:lineRule="exact"/>
        <w:rPr>
          <w:rFonts w:ascii="Arial" w:cs="Arial" w:eastAsia="Arial" w:hAnsi="Arial"/>
          <w:sz w:val="14"/>
          <w:szCs w:val="14"/>
          <w:color w:val="auto"/>
        </w:rPr>
      </w:pPr>
    </w:p>
    <w:p>
      <w:pPr>
        <w:ind w:left="560" w:right="140" w:hanging="319"/>
        <w:spacing w:after="0" w:line="234" w:lineRule="auto"/>
        <w:tabs>
          <w:tab w:leader="none" w:pos="550" w:val="left"/>
        </w:tabs>
        <w:numPr>
          <w:ilvl w:val="0"/>
          <w:numId w:val="44"/>
        </w:numPr>
        <w:rPr>
          <w:rFonts w:ascii="Arial" w:cs="Arial" w:eastAsia="Arial" w:hAnsi="Arial"/>
          <w:sz w:val="14"/>
          <w:szCs w:val="14"/>
          <w:color w:val="auto"/>
        </w:rPr>
      </w:pPr>
      <w:r>
        <w:rPr>
          <w:rFonts w:ascii="Arial" w:cs="Arial" w:eastAsia="Arial" w:hAnsi="Arial"/>
          <w:sz w:val="14"/>
          <w:szCs w:val="14"/>
          <w:color w:val="auto"/>
        </w:rPr>
        <w:t>Relates to $1.1 million of foreign currency translation for the portion of the valuation allowance on net operating loss and tax credit carryforwards in foreign jurisdictions, partially offset by $0.6 million of fully reserved tax credits that expired in fiscal 2021.</w:t>
      </w:r>
    </w:p>
    <w:p>
      <w:pPr>
        <w:ind w:left="560" w:right="60" w:hanging="319"/>
        <w:spacing w:after="0" w:line="234" w:lineRule="auto"/>
        <w:tabs>
          <w:tab w:leader="none" w:pos="550" w:val="left"/>
        </w:tabs>
        <w:numPr>
          <w:ilvl w:val="0"/>
          <w:numId w:val="44"/>
        </w:numPr>
        <w:rPr>
          <w:rFonts w:ascii="Arial" w:cs="Arial" w:eastAsia="Arial" w:hAnsi="Arial"/>
          <w:sz w:val="14"/>
          <w:szCs w:val="14"/>
          <w:color w:val="auto"/>
        </w:rPr>
      </w:pPr>
      <w:r>
        <w:rPr>
          <w:rFonts w:ascii="Arial" w:cs="Arial" w:eastAsia="Arial" w:hAnsi="Arial"/>
          <w:sz w:val="14"/>
          <w:szCs w:val="14"/>
          <w:color w:val="auto"/>
        </w:rPr>
        <w:t>Primarily relates to a $0.6 million reserve that was recognized as a credit loss and ultimately settled and written off within fiscal 2020 and $0.3 million of payments received on a balance that was fully reserved.</w:t>
      </w:r>
    </w:p>
    <w:p>
      <w:pPr>
        <w:ind w:left="560" w:hanging="319"/>
        <w:spacing w:after="0" w:line="234" w:lineRule="auto"/>
        <w:tabs>
          <w:tab w:leader="none" w:pos="560" w:val="left"/>
        </w:tabs>
        <w:numPr>
          <w:ilvl w:val="0"/>
          <w:numId w:val="44"/>
        </w:numPr>
        <w:rPr>
          <w:rFonts w:ascii="Arial" w:cs="Arial" w:eastAsia="Arial" w:hAnsi="Arial"/>
          <w:sz w:val="14"/>
          <w:szCs w:val="14"/>
          <w:color w:val="auto"/>
        </w:rPr>
      </w:pPr>
      <w:r>
        <w:rPr>
          <w:rFonts w:ascii="Arial" w:cs="Arial" w:eastAsia="Arial" w:hAnsi="Arial"/>
          <w:sz w:val="14"/>
          <w:szCs w:val="14"/>
          <w:color w:val="auto"/>
        </w:rPr>
        <w:t>Relates to foreign currency translation for the portion of the valuation allowance on net operating loss and tax credit carryforwards in foreign jurisdictions.</w:t>
      </w:r>
    </w:p>
    <w:p>
      <w:pPr>
        <w:ind w:left="560" w:hanging="319"/>
        <w:spacing w:after="0" w:line="234" w:lineRule="auto"/>
        <w:tabs>
          <w:tab w:leader="none" w:pos="560" w:val="left"/>
        </w:tabs>
        <w:numPr>
          <w:ilvl w:val="0"/>
          <w:numId w:val="44"/>
        </w:numPr>
        <w:rPr>
          <w:rFonts w:ascii="Arial" w:cs="Arial" w:eastAsia="Arial" w:hAnsi="Arial"/>
          <w:sz w:val="14"/>
          <w:szCs w:val="14"/>
          <w:color w:val="auto"/>
        </w:rPr>
      </w:pPr>
      <w:r>
        <w:rPr>
          <w:rFonts w:ascii="Arial" w:cs="Arial" w:eastAsia="Arial" w:hAnsi="Arial"/>
          <w:sz w:val="14"/>
          <w:szCs w:val="14"/>
          <w:color w:val="auto"/>
        </w:rPr>
        <w:t>Primarily relates to a $5.2 million reversal of a previous reserved account receivable balance that was fully settled with an agreement with the customer.</w:t>
      </w:r>
    </w:p>
    <w:p>
      <w:pPr>
        <w:ind w:left="560" w:right="120" w:hanging="319"/>
        <w:spacing w:after="0" w:line="239" w:lineRule="auto"/>
        <w:tabs>
          <w:tab w:leader="none" w:pos="547" w:val="left"/>
        </w:tabs>
        <w:numPr>
          <w:ilvl w:val="0"/>
          <w:numId w:val="44"/>
        </w:numPr>
        <w:rPr>
          <w:rFonts w:ascii="Arial" w:cs="Arial" w:eastAsia="Arial" w:hAnsi="Arial"/>
          <w:sz w:val="14"/>
          <w:szCs w:val="14"/>
          <w:color w:val="auto"/>
        </w:rPr>
      </w:pPr>
      <w:r>
        <w:rPr>
          <w:rFonts w:ascii="Arial" w:cs="Arial" w:eastAsia="Arial" w:hAnsi="Arial"/>
          <w:sz w:val="14"/>
          <w:szCs w:val="14"/>
          <w:color w:val="auto"/>
        </w:rPr>
        <w:t>Relates to the deferred tax asset of $0.8 million created by a stock-based compensation award with a market condition that was fully reserved in fiscal 2018. In fiscal 2019, upon the final determination that the award would not vest, we wrote off the deferred tax asset against the reserve. The remaining balance relates to $0.5 million of fully reserved tax credits that expired in fiscal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7" w:name="page88"/>
    <w:bookmarkEnd w:id="87"/>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4020"/>
        <w:spacing w:after="0" w:line="490" w:lineRule="auto"/>
        <w:rPr>
          <w:sz w:val="20"/>
          <w:szCs w:val="20"/>
          <w:color w:val="auto"/>
        </w:rPr>
      </w:pPr>
      <w:r>
        <w:rPr>
          <w:rFonts w:ascii="Arial" w:cs="Arial" w:eastAsia="Arial" w:hAnsi="Arial"/>
          <w:sz w:val="17"/>
          <w:szCs w:val="17"/>
          <w:b w:val="1"/>
          <w:bCs w:val="1"/>
          <w:color w:val="auto"/>
        </w:rPr>
        <w:t xml:space="preserve">Item 9. Changes in and Disagreements with Accountants on Accounting and Financial Disclosure </w:t>
      </w:r>
      <w:r>
        <w:rPr>
          <w:rFonts w:ascii="Arial" w:cs="Arial" w:eastAsia="Arial" w:hAnsi="Arial"/>
          <w:sz w:val="17"/>
          <w:szCs w:val="17"/>
          <w:color w:val="auto"/>
        </w:rPr>
        <w:t>None</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9A. Controls and Procedures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Evaluation of Disclosure Controls and Procedures</w:t>
      </w:r>
    </w:p>
    <w:p>
      <w:pPr>
        <w:spacing w:after="0" w:line="17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maintain disclosure controls and procedures that are designed to ensure that information required to be disclosed in our Securities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based on the definition of “disclosure controls and procedures” in Rule 13a-15(e).</w:t>
      </w:r>
    </w:p>
    <w:p>
      <w:pPr>
        <w:spacing w:after="0" w:line="20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carried out an evaluation, under the supervision and with the participation of our management, including our Chief Executive Officer and our Chief Financial Officer, of the effectiveness of the design and operation of our disclosure controls and procedures as of June 30, 2021. Based on the foregoing, our Chief Executive Officer and Chief Financial Officer concluded that our disclosure controls and procedures were effective at the reasonable assurance level at June 30, 2021.</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Management’s Report on Internal Control over Financial Reporting</w:t>
      </w:r>
    </w:p>
    <w:p>
      <w:pPr>
        <w:spacing w:after="0" w:line="172"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See “Management’s Report on Internal Control over Financial Reporting” set forth in Item 8, Financial Statements and Supplementary Data of this Annual Report on Form 10-K.</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Internal Control Over Financial Reporting</w:t>
      </w:r>
    </w:p>
    <w:p>
      <w:pPr>
        <w:spacing w:after="0" w:line="17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There have been no changes during the fourth quarter of fiscal 2021 that materially affected, or are reasonably likely to materially affect, our internal control over financial reporting despite the fact that many of our employees worked remotely due to the COVID-19 pandemic. We are continually monitoring and assessing the effects of the pandemic on our internal controls to minimize the impact to their design and operating effectiveness.</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9B. Other Information</w:t>
      </w:r>
    </w:p>
    <w:p>
      <w:pPr>
        <w:spacing w:after="0" w:line="178"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On September 10, 2021, the Board of Directors, based on the recommendation of the Compensation Committee, approved the Matrix Service Company 2021 Severance Plan for Executives (the "Severance Plan"). The Severance Plan replaces the severance agreements that were in place with our Named Executive Officers (the "NEOs"). The Severance Plan provides general severance benefits for the CEO of 2.0 times his base salary and for the remaining NEOs of 1.5 times their base salary. In addition, the Severance Plan provides severance benefits for a change in control event providing that the NEO experiences an involuntary separation from service for other than cause within 24 months of the change of control. The change of control severance benefit for the CEO, CFO and COO is 2.0 times their base salary and their target bonus and for the remaining NEOs, their change of control severance benefit is 1.5 times their base salary and their target bonus. The Severance Plan has been attached to this Form 10-K as Exhibit 10.20.</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8" w:name="page89"/>
    <w:bookmarkEnd w:id="88"/>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III</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10. Directors, Executive Officers and Corporate Governance</w:t>
      </w:r>
    </w:p>
    <w:p>
      <w:pPr>
        <w:spacing w:after="0" w:line="17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information required by this item with respect to our directors and corporate governance is incorporated herein by reference to the sections entitled “Proposal Number 1: Election of Directors” and “Corporate Governance and Board Matters” in our definitive Proxy Statement for the 2021 Annual Meeting of Stockholders (“Proxy Statement”). The information required by this item with respect to our executive officers is incorporated herein by reference to the section entitled “Executive Officer Information” in the Proxy Statement.</w:t>
      </w:r>
    </w:p>
    <w:p>
      <w:pPr>
        <w:spacing w:after="0" w:line="124"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 xml:space="preserve">We have adopted a Code of Business Conduct and Ethics applicable to all our directors, officers and employees, including the principal executive officer, principal financial officer and principal accounting officer. In addition, we have adopted Corporate Governance Guidelines for the Board of Directors and Charters for the Audit, Compensation and Nominating and Corporate Governance Committees of the Board of Directors. The current version of these corporate governance documents is publicly available in the “Investors” section of our website at </w:t>
      </w:r>
      <w:r>
        <w:rPr>
          <w:rFonts w:ascii="Arial" w:cs="Arial" w:eastAsia="Arial" w:hAnsi="Arial"/>
          <w:sz w:val="17"/>
          <w:szCs w:val="17"/>
          <w:u w:val="single" w:color="auto"/>
          <w:color w:val="auto"/>
        </w:rPr>
        <w:t>matrixservicecompany.com</w:t>
      </w:r>
      <w:r>
        <w:rPr>
          <w:rFonts w:ascii="Arial" w:cs="Arial" w:eastAsia="Arial" w:hAnsi="Arial"/>
          <w:sz w:val="17"/>
          <w:szCs w:val="17"/>
          <w:color w:val="auto"/>
        </w:rPr>
        <w:t xml:space="preserve"> under “Corporate Governance.” If we make any substantive amendments to the Code of Business Conduct and Ethics, or grant any waivers, including implicit waivers, from the Code of Business Conduct and Ethics applicable to the principal executive officer, principal financial officer or principal accounting officer, or any person performing similar functions, we will disclose such amendment or waiver on our website or in a report on Form 8-K.</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11. Executive Compensation</w:t>
      </w:r>
    </w:p>
    <w:p>
      <w:pPr>
        <w:spacing w:after="0" w:line="178"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The information required by this item is incorporated herein by reference to the sections entitled “Director Compensation,” "Compensation Discussion and Analysis" and “Executive Officer Compensation” in the Proxy Statement.</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12. Security Ownership of Certain Beneficial Owners and Management and Related Stockholder Matters</w:t>
      </w:r>
    </w:p>
    <w:p>
      <w:pPr>
        <w:spacing w:after="0" w:line="178"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The information required by this item is incorporated herein by reference to the sections entitled “Securities Authorized for Issuance Under Executive Compensation Plans” and “Security Ownership of Certain Beneficial Owners and Management” in the Proxy Statement.</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13. Certain Relationships and Related Transactions, and Director Independence</w:t>
      </w:r>
    </w:p>
    <w:p>
      <w:pPr>
        <w:spacing w:after="0" w:line="178"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The information required by this item is incorporated herein by reference to the section entitled "Corporate Governance and Board Matters" and “Certain Relationships and Related Transactions” in the Proxy Statement.</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14. Principal Accounting Fees and Services</w:t>
      </w:r>
    </w:p>
    <w:p>
      <w:pPr>
        <w:spacing w:after="0" w:line="178"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The information required by this item is incorporated herein by reference to the sections entitled “Fees of Independent Registered Public Accounting Firm” and “Audit Committee Pre-Approval Policy” in the Proxy Statement.</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9" w:name="page90"/>
    <w:bookmarkEnd w:id="89"/>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PART IV</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15. Exhibits and Financial Statement Schedules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 (1) Financial Statements of the Company</w:t>
      </w:r>
    </w:p>
    <w:p>
      <w:pPr>
        <w:spacing w:after="0" w:line="178"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The following financial statements and supplementary data are filed as a part of this report under “Item 8—Financial Statements and Supplementary Data” in this Annual Report on Form 10-K:</w:t>
      </w:r>
    </w:p>
    <w:p>
      <w:pPr>
        <w:spacing w:after="0" w:line="200" w:lineRule="exact"/>
        <w:rPr>
          <w:sz w:val="20"/>
          <w:szCs w:val="20"/>
          <w:color w:val="auto"/>
        </w:rPr>
      </w:pPr>
    </w:p>
    <w:p>
      <w:pPr>
        <w:spacing w:after="0" w:line="339" w:lineRule="exact"/>
        <w:rPr>
          <w:sz w:val="20"/>
          <w:szCs w:val="20"/>
          <w:color w:val="auto"/>
        </w:rPr>
      </w:pPr>
    </w:p>
    <w:tbl>
      <w:tblPr>
        <w:tblLayout w:type="fixed"/>
        <w:tblInd w:w="20" w:type="dxa"/>
        <w:tblCellMar>
          <w:top w:w="0" w:type="dxa"/>
          <w:left w:w="0" w:type="dxa"/>
          <w:bottom w:w="0" w:type="dxa"/>
          <w:right w:w="0" w:type="dxa"/>
        </w:tblCellMar>
      </w:tblPr>
      <w:tr>
        <w:trPr>
          <w:trHeight w:val="222"/>
        </w:trPr>
        <w:tc>
          <w:tcPr>
            <w:tcW w:w="11000" w:type="dxa"/>
            <w:vAlign w:val="bottom"/>
            <w:gridSpan w:val="12"/>
          </w:tcPr>
          <w:p>
            <w:pPr>
              <w:spacing w:after="0"/>
              <w:rPr>
                <w:sz w:val="20"/>
                <w:szCs w:val="20"/>
                <w:color w:val="auto"/>
              </w:rPr>
            </w:pPr>
            <w:r>
              <w:rPr>
                <w:rFonts w:ascii="Arial" w:cs="Arial" w:eastAsia="Arial" w:hAnsi="Arial"/>
                <w:sz w:val="17"/>
                <w:szCs w:val="17"/>
                <w:color w:val="auto"/>
              </w:rPr>
              <w:t>Financial Statements of the Company</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320" w:type="dxa"/>
            <w:vAlign w:val="bottom"/>
          </w:tcPr>
          <w:p>
            <w:pPr>
              <w:spacing w:after="0"/>
              <w:rPr>
                <w:sz w:val="20"/>
                <w:szCs w:val="20"/>
                <w:color w:val="auto"/>
              </w:rPr>
            </w:pPr>
          </w:p>
        </w:tc>
        <w:tc>
          <w:tcPr>
            <w:tcW w:w="4760" w:type="dxa"/>
            <w:vAlign w:val="bottom"/>
            <w:tcBorders>
              <w:bottom w:val="single" w:sz="8" w:color="0000FF"/>
            </w:tcBorders>
            <w:gridSpan w:val="5"/>
          </w:tcPr>
          <w:p>
            <w:pPr>
              <w:spacing w:after="0"/>
              <w:rPr>
                <w:rFonts w:ascii="Arial" w:cs="Arial" w:eastAsia="Arial" w:hAnsi="Arial"/>
                <w:sz w:val="17"/>
                <w:szCs w:val="17"/>
                <w:color w:val="0000FF"/>
                <w:w w:val="93"/>
              </w:rPr>
            </w:pPr>
            <w:hyperlink w:anchor="page45">
              <w:r>
                <w:rPr>
                  <w:rFonts w:ascii="Arial" w:cs="Arial" w:eastAsia="Arial" w:hAnsi="Arial"/>
                  <w:sz w:val="17"/>
                  <w:szCs w:val="17"/>
                  <w:color w:val="0000FF"/>
                  <w:w w:val="93"/>
                </w:rPr>
                <w:t>Management’s Report on Internal Control Over Financial Reporting</w:t>
              </w:r>
            </w:hyperlink>
          </w:p>
        </w:tc>
        <w:tc>
          <w:tcPr>
            <w:tcW w:w="5920" w:type="dxa"/>
            <w:vAlign w:val="bottom"/>
            <w:gridSpan w:val="6"/>
          </w:tcPr>
          <w:p>
            <w:pPr>
              <w:spacing w:after="0"/>
              <w:rPr>
                <w:sz w:val="20"/>
                <w:szCs w:val="20"/>
                <w:color w:val="auto"/>
              </w:rPr>
            </w:pPr>
          </w:p>
        </w:tc>
        <w:tc>
          <w:tcPr>
            <w:tcW w:w="160" w:type="dxa"/>
            <w:vAlign w:val="bottom"/>
            <w:tcBorders>
              <w:bottom w:val="single" w:sz="8" w:color="0000FF"/>
            </w:tcBorders>
          </w:tcPr>
          <w:p>
            <w:pPr>
              <w:jc w:val="right"/>
              <w:spacing w:after="0"/>
              <w:rPr>
                <w:rFonts w:ascii="Arial" w:cs="Arial" w:eastAsia="Arial" w:hAnsi="Arial"/>
                <w:sz w:val="17"/>
                <w:szCs w:val="17"/>
                <w:color w:val="0000FF"/>
                <w:w w:val="73"/>
              </w:rPr>
            </w:pPr>
            <w:hyperlink w:anchor="page45">
              <w:r>
                <w:rPr>
                  <w:rFonts w:ascii="Arial" w:cs="Arial" w:eastAsia="Arial" w:hAnsi="Arial"/>
                  <w:sz w:val="17"/>
                  <w:szCs w:val="17"/>
                  <w:color w:val="0000FF"/>
                  <w:w w:val="73"/>
                </w:rPr>
                <w:t>45</w:t>
              </w:r>
            </w:hyperlink>
          </w:p>
        </w:tc>
        <w:tc>
          <w:tcPr>
            <w:tcW w:w="0" w:type="dxa"/>
            <w:vAlign w:val="bottom"/>
          </w:tcPr>
          <w:p>
            <w:pPr>
              <w:spacing w:after="0"/>
              <w:rPr>
                <w:sz w:val="1"/>
                <w:szCs w:val="1"/>
                <w:color w:val="auto"/>
              </w:rPr>
            </w:pPr>
          </w:p>
        </w:tc>
      </w:tr>
      <w:tr>
        <w:trPr>
          <w:trHeight w:val="255"/>
        </w:trPr>
        <w:tc>
          <w:tcPr>
            <w:tcW w:w="320" w:type="dxa"/>
            <w:vAlign w:val="bottom"/>
          </w:tcPr>
          <w:p>
            <w:pPr>
              <w:spacing w:after="0"/>
              <w:rPr>
                <w:sz w:val="22"/>
                <w:szCs w:val="22"/>
                <w:color w:val="auto"/>
              </w:rPr>
            </w:pPr>
          </w:p>
        </w:tc>
        <w:tc>
          <w:tcPr>
            <w:tcW w:w="5980" w:type="dxa"/>
            <w:vAlign w:val="bottom"/>
            <w:tcBorders>
              <w:bottom w:val="single" w:sz="8" w:color="0000FF"/>
            </w:tcBorders>
            <w:gridSpan w:val="6"/>
          </w:tcPr>
          <w:p>
            <w:pPr>
              <w:spacing w:after="0"/>
              <w:rPr>
                <w:sz w:val="20"/>
                <w:szCs w:val="20"/>
                <w:color w:val="auto"/>
              </w:rPr>
            </w:pPr>
            <w:r>
              <w:rPr>
                <w:rFonts w:ascii="Arial" w:cs="Arial" w:eastAsia="Arial" w:hAnsi="Arial"/>
                <w:sz w:val="17"/>
                <w:szCs w:val="17"/>
                <w:color w:val="0000FF"/>
                <w:w w:val="94"/>
              </w:rPr>
              <w:t>Reports of Independent Registered Public Accounting Firm (Deloitte &amp; Touche LLP)</w:t>
            </w:r>
          </w:p>
        </w:tc>
        <w:tc>
          <w:tcPr>
            <w:tcW w:w="4700" w:type="dxa"/>
            <w:vAlign w:val="bottom"/>
            <w:gridSpan w:val="5"/>
          </w:tcPr>
          <w:p>
            <w:pPr>
              <w:spacing w:after="0"/>
              <w:rPr>
                <w:sz w:val="22"/>
                <w:szCs w:val="22"/>
                <w:color w:val="auto"/>
              </w:rPr>
            </w:pPr>
          </w:p>
        </w:tc>
        <w:tc>
          <w:tcPr>
            <w:tcW w:w="160" w:type="dxa"/>
            <w:vAlign w:val="bottom"/>
            <w:tcBorders>
              <w:bottom w:val="single" w:sz="8" w:color="0000FF"/>
            </w:tcBorders>
          </w:tcPr>
          <w:p>
            <w:pPr>
              <w:jc w:val="right"/>
              <w:spacing w:after="0"/>
              <w:rPr>
                <w:rFonts w:ascii="Arial" w:cs="Arial" w:eastAsia="Arial" w:hAnsi="Arial"/>
                <w:sz w:val="17"/>
                <w:szCs w:val="17"/>
                <w:color w:val="0000FF"/>
                <w:w w:val="73"/>
              </w:rPr>
            </w:pPr>
            <w:hyperlink w:anchor="page46">
              <w:r>
                <w:rPr>
                  <w:rFonts w:ascii="Arial" w:cs="Arial" w:eastAsia="Arial" w:hAnsi="Arial"/>
                  <w:sz w:val="17"/>
                  <w:szCs w:val="17"/>
                  <w:color w:val="0000FF"/>
                  <w:w w:val="73"/>
                </w:rPr>
                <w:t>46</w:t>
              </w:r>
            </w:hyperlink>
          </w:p>
        </w:tc>
        <w:tc>
          <w:tcPr>
            <w:tcW w:w="0" w:type="dxa"/>
            <w:vAlign w:val="bottom"/>
          </w:tcPr>
          <w:p>
            <w:pPr>
              <w:spacing w:after="0"/>
              <w:rPr>
                <w:sz w:val="1"/>
                <w:szCs w:val="1"/>
                <w:color w:val="auto"/>
              </w:rPr>
            </w:pPr>
          </w:p>
        </w:tc>
      </w:tr>
      <w:tr>
        <w:trPr>
          <w:trHeight w:val="255"/>
        </w:trPr>
        <w:tc>
          <w:tcPr>
            <w:tcW w:w="320" w:type="dxa"/>
            <w:vAlign w:val="bottom"/>
          </w:tcPr>
          <w:p>
            <w:pPr>
              <w:spacing w:after="0"/>
              <w:rPr>
                <w:sz w:val="22"/>
                <w:szCs w:val="22"/>
                <w:color w:val="auto"/>
              </w:rPr>
            </w:pPr>
          </w:p>
        </w:tc>
        <w:tc>
          <w:tcPr>
            <w:tcW w:w="7780" w:type="dxa"/>
            <w:vAlign w:val="bottom"/>
            <w:tcBorders>
              <w:bottom w:val="single" w:sz="8" w:color="0000FF"/>
            </w:tcBorders>
            <w:gridSpan w:val="7"/>
          </w:tcPr>
          <w:p>
            <w:pPr>
              <w:spacing w:after="0"/>
              <w:rPr>
                <w:rFonts w:ascii="Arial" w:cs="Arial" w:eastAsia="Arial" w:hAnsi="Arial"/>
                <w:sz w:val="17"/>
                <w:szCs w:val="17"/>
                <w:color w:val="0000FF"/>
                <w:w w:val="91"/>
              </w:rPr>
            </w:pPr>
            <w:hyperlink w:anchor="page50">
              <w:r>
                <w:rPr>
                  <w:rFonts w:ascii="Arial" w:cs="Arial" w:eastAsia="Arial" w:hAnsi="Arial"/>
                  <w:sz w:val="17"/>
                  <w:szCs w:val="17"/>
                  <w:color w:val="0000FF"/>
                  <w:w w:val="91"/>
                </w:rPr>
                <w:t>Consolidated Statements of Income for the Fiscal Years Ended June 30, 2021, June 30, 2020 and June 30, 2019</w:t>
              </w:r>
            </w:hyperlink>
          </w:p>
        </w:tc>
        <w:tc>
          <w:tcPr>
            <w:tcW w:w="2900" w:type="dxa"/>
            <w:vAlign w:val="bottom"/>
            <w:gridSpan w:val="4"/>
          </w:tcPr>
          <w:p>
            <w:pPr>
              <w:spacing w:after="0"/>
              <w:rPr>
                <w:sz w:val="22"/>
                <w:szCs w:val="22"/>
                <w:color w:val="auto"/>
              </w:rPr>
            </w:pPr>
          </w:p>
        </w:tc>
        <w:tc>
          <w:tcPr>
            <w:tcW w:w="160" w:type="dxa"/>
            <w:vAlign w:val="bottom"/>
            <w:tcBorders>
              <w:bottom w:val="single" w:sz="8" w:color="0000FF"/>
            </w:tcBorders>
          </w:tcPr>
          <w:p>
            <w:pPr>
              <w:jc w:val="right"/>
              <w:spacing w:after="0"/>
              <w:rPr>
                <w:rFonts w:ascii="Arial" w:cs="Arial" w:eastAsia="Arial" w:hAnsi="Arial"/>
                <w:sz w:val="17"/>
                <w:szCs w:val="17"/>
                <w:color w:val="0000FF"/>
                <w:w w:val="73"/>
              </w:rPr>
            </w:pPr>
            <w:hyperlink w:anchor="page50">
              <w:r>
                <w:rPr>
                  <w:rFonts w:ascii="Arial" w:cs="Arial" w:eastAsia="Arial" w:hAnsi="Arial"/>
                  <w:sz w:val="17"/>
                  <w:szCs w:val="17"/>
                  <w:color w:val="0000FF"/>
                  <w:w w:val="73"/>
                </w:rPr>
                <w:t>50</w:t>
              </w:r>
            </w:hyperlink>
          </w:p>
        </w:tc>
        <w:tc>
          <w:tcPr>
            <w:tcW w:w="0" w:type="dxa"/>
            <w:vAlign w:val="bottom"/>
          </w:tcPr>
          <w:p>
            <w:pPr>
              <w:spacing w:after="0"/>
              <w:rPr>
                <w:sz w:val="1"/>
                <w:szCs w:val="1"/>
                <w:color w:val="auto"/>
              </w:rPr>
            </w:pPr>
          </w:p>
        </w:tc>
      </w:tr>
      <w:tr>
        <w:trPr>
          <w:trHeight w:val="255"/>
        </w:trPr>
        <w:tc>
          <w:tcPr>
            <w:tcW w:w="320" w:type="dxa"/>
            <w:vAlign w:val="bottom"/>
          </w:tcPr>
          <w:p>
            <w:pPr>
              <w:spacing w:after="0"/>
              <w:rPr>
                <w:sz w:val="22"/>
                <w:szCs w:val="22"/>
                <w:color w:val="auto"/>
              </w:rPr>
            </w:pPr>
          </w:p>
        </w:tc>
        <w:tc>
          <w:tcPr>
            <w:tcW w:w="8920" w:type="dxa"/>
            <w:vAlign w:val="bottom"/>
            <w:tcBorders>
              <w:bottom w:val="single" w:sz="8" w:color="0000FF"/>
            </w:tcBorders>
            <w:gridSpan w:val="10"/>
          </w:tcPr>
          <w:p>
            <w:pPr>
              <w:spacing w:after="0"/>
              <w:rPr>
                <w:rFonts w:ascii="Arial" w:cs="Arial" w:eastAsia="Arial" w:hAnsi="Arial"/>
                <w:sz w:val="17"/>
                <w:szCs w:val="17"/>
                <w:color w:val="0000FF"/>
                <w:w w:val="91"/>
              </w:rPr>
            </w:pPr>
            <w:hyperlink w:anchor="page51">
              <w:r>
                <w:rPr>
                  <w:rFonts w:ascii="Arial" w:cs="Arial" w:eastAsia="Arial" w:hAnsi="Arial"/>
                  <w:sz w:val="17"/>
                  <w:szCs w:val="17"/>
                  <w:color w:val="0000FF"/>
                  <w:w w:val="91"/>
                </w:rPr>
                <w:t>Consolidated Statements of Comprehensive Income for the Fiscal Years Ended June 30, 2021, June 30, 2020 and June 30, 2019</w:t>
              </w:r>
            </w:hyperlink>
          </w:p>
        </w:tc>
        <w:tc>
          <w:tcPr>
            <w:tcW w:w="1760" w:type="dxa"/>
            <w:vAlign w:val="bottom"/>
          </w:tcPr>
          <w:p>
            <w:pPr>
              <w:spacing w:after="0"/>
              <w:rPr>
                <w:sz w:val="22"/>
                <w:szCs w:val="22"/>
                <w:color w:val="auto"/>
              </w:rPr>
            </w:pPr>
          </w:p>
        </w:tc>
        <w:tc>
          <w:tcPr>
            <w:tcW w:w="160" w:type="dxa"/>
            <w:vAlign w:val="bottom"/>
            <w:tcBorders>
              <w:bottom w:val="single" w:sz="8" w:color="0000FF"/>
            </w:tcBorders>
          </w:tcPr>
          <w:p>
            <w:pPr>
              <w:jc w:val="right"/>
              <w:spacing w:after="0"/>
              <w:rPr>
                <w:rFonts w:ascii="Arial" w:cs="Arial" w:eastAsia="Arial" w:hAnsi="Arial"/>
                <w:sz w:val="17"/>
                <w:szCs w:val="17"/>
                <w:color w:val="0000FF"/>
                <w:w w:val="73"/>
              </w:rPr>
            </w:pPr>
            <w:hyperlink w:anchor="page51">
              <w:r>
                <w:rPr>
                  <w:rFonts w:ascii="Arial" w:cs="Arial" w:eastAsia="Arial" w:hAnsi="Arial"/>
                  <w:sz w:val="17"/>
                  <w:szCs w:val="17"/>
                  <w:color w:val="0000FF"/>
                  <w:w w:val="73"/>
                </w:rPr>
                <w:t>51</w:t>
              </w:r>
            </w:hyperlink>
          </w:p>
        </w:tc>
        <w:tc>
          <w:tcPr>
            <w:tcW w:w="0" w:type="dxa"/>
            <w:vAlign w:val="bottom"/>
          </w:tcPr>
          <w:p>
            <w:pPr>
              <w:spacing w:after="0"/>
              <w:rPr>
                <w:sz w:val="1"/>
                <w:szCs w:val="1"/>
                <w:color w:val="auto"/>
              </w:rPr>
            </w:pPr>
          </w:p>
        </w:tc>
      </w:tr>
      <w:tr>
        <w:trPr>
          <w:trHeight w:val="255"/>
        </w:trPr>
        <w:tc>
          <w:tcPr>
            <w:tcW w:w="320" w:type="dxa"/>
            <w:vAlign w:val="bottom"/>
          </w:tcPr>
          <w:p>
            <w:pPr>
              <w:spacing w:after="0"/>
              <w:rPr>
                <w:sz w:val="22"/>
                <w:szCs w:val="22"/>
                <w:color w:val="auto"/>
              </w:rPr>
            </w:pPr>
          </w:p>
        </w:tc>
        <w:tc>
          <w:tcPr>
            <w:tcW w:w="4740" w:type="dxa"/>
            <w:vAlign w:val="bottom"/>
            <w:tcBorders>
              <w:bottom w:val="single" w:sz="8" w:color="0000FF"/>
            </w:tcBorders>
            <w:gridSpan w:val="4"/>
          </w:tcPr>
          <w:p>
            <w:pPr>
              <w:spacing w:after="0"/>
              <w:rPr>
                <w:rFonts w:ascii="Arial" w:cs="Arial" w:eastAsia="Arial" w:hAnsi="Arial"/>
                <w:sz w:val="17"/>
                <w:szCs w:val="17"/>
                <w:color w:val="0000FF"/>
                <w:w w:val="90"/>
              </w:rPr>
            </w:pPr>
            <w:hyperlink w:anchor="page52">
              <w:r>
                <w:rPr>
                  <w:rFonts w:ascii="Arial" w:cs="Arial" w:eastAsia="Arial" w:hAnsi="Arial"/>
                  <w:sz w:val="17"/>
                  <w:szCs w:val="17"/>
                  <w:color w:val="0000FF"/>
                  <w:w w:val="90"/>
                </w:rPr>
                <w:t>Consolidated Balance Sheets as of June 30, 2021 and June 30, 2020</w:t>
              </w:r>
            </w:hyperlink>
          </w:p>
        </w:tc>
        <w:tc>
          <w:tcPr>
            <w:tcW w:w="5940" w:type="dxa"/>
            <w:vAlign w:val="bottom"/>
            <w:gridSpan w:val="7"/>
          </w:tcPr>
          <w:p>
            <w:pPr>
              <w:spacing w:after="0"/>
              <w:rPr>
                <w:sz w:val="22"/>
                <w:szCs w:val="22"/>
                <w:color w:val="auto"/>
              </w:rPr>
            </w:pPr>
          </w:p>
        </w:tc>
        <w:tc>
          <w:tcPr>
            <w:tcW w:w="160" w:type="dxa"/>
            <w:vAlign w:val="bottom"/>
            <w:tcBorders>
              <w:bottom w:val="single" w:sz="8" w:color="0000FF"/>
            </w:tcBorders>
          </w:tcPr>
          <w:p>
            <w:pPr>
              <w:jc w:val="right"/>
              <w:spacing w:after="0"/>
              <w:rPr>
                <w:rFonts w:ascii="Arial" w:cs="Arial" w:eastAsia="Arial" w:hAnsi="Arial"/>
                <w:sz w:val="17"/>
                <w:szCs w:val="17"/>
                <w:color w:val="0000FF"/>
                <w:w w:val="73"/>
              </w:rPr>
            </w:pPr>
            <w:hyperlink w:anchor="page52">
              <w:r>
                <w:rPr>
                  <w:rFonts w:ascii="Arial" w:cs="Arial" w:eastAsia="Arial" w:hAnsi="Arial"/>
                  <w:sz w:val="17"/>
                  <w:szCs w:val="17"/>
                  <w:color w:val="0000FF"/>
                  <w:w w:val="73"/>
                </w:rPr>
                <w:t>52</w:t>
              </w:r>
            </w:hyperlink>
          </w:p>
        </w:tc>
        <w:tc>
          <w:tcPr>
            <w:tcW w:w="0" w:type="dxa"/>
            <w:vAlign w:val="bottom"/>
          </w:tcPr>
          <w:p>
            <w:pPr>
              <w:spacing w:after="0"/>
              <w:rPr>
                <w:sz w:val="1"/>
                <w:szCs w:val="1"/>
                <w:color w:val="auto"/>
              </w:rPr>
            </w:pPr>
          </w:p>
        </w:tc>
      </w:tr>
      <w:tr>
        <w:trPr>
          <w:trHeight w:val="255"/>
        </w:trPr>
        <w:tc>
          <w:tcPr>
            <w:tcW w:w="320" w:type="dxa"/>
            <w:vAlign w:val="bottom"/>
          </w:tcPr>
          <w:p>
            <w:pPr>
              <w:spacing w:after="0"/>
              <w:rPr>
                <w:sz w:val="22"/>
                <w:szCs w:val="22"/>
                <w:color w:val="auto"/>
              </w:rPr>
            </w:pPr>
          </w:p>
        </w:tc>
        <w:tc>
          <w:tcPr>
            <w:tcW w:w="8080" w:type="dxa"/>
            <w:vAlign w:val="bottom"/>
            <w:tcBorders>
              <w:bottom w:val="single" w:sz="8" w:color="0000FF"/>
            </w:tcBorders>
            <w:gridSpan w:val="8"/>
          </w:tcPr>
          <w:p>
            <w:pPr>
              <w:spacing w:after="0"/>
              <w:rPr>
                <w:rFonts w:ascii="Arial" w:cs="Arial" w:eastAsia="Arial" w:hAnsi="Arial"/>
                <w:sz w:val="17"/>
                <w:szCs w:val="17"/>
                <w:color w:val="0000FF"/>
                <w:w w:val="91"/>
              </w:rPr>
            </w:pPr>
            <w:hyperlink w:anchor="page54">
              <w:r>
                <w:rPr>
                  <w:rFonts w:ascii="Arial" w:cs="Arial" w:eastAsia="Arial" w:hAnsi="Arial"/>
                  <w:sz w:val="17"/>
                  <w:szCs w:val="17"/>
                  <w:color w:val="0000FF"/>
                  <w:w w:val="91"/>
                </w:rPr>
                <w:t>Consolidated Statements of Cash Flows for the Fiscal Years Ended June 30, 2021, June 30, 2020 and June 30, 2019</w:t>
              </w:r>
            </w:hyperlink>
          </w:p>
        </w:tc>
        <w:tc>
          <w:tcPr>
            <w:tcW w:w="2600" w:type="dxa"/>
            <w:vAlign w:val="bottom"/>
            <w:gridSpan w:val="3"/>
          </w:tcPr>
          <w:p>
            <w:pPr>
              <w:spacing w:after="0"/>
              <w:rPr>
                <w:sz w:val="22"/>
                <w:szCs w:val="22"/>
                <w:color w:val="auto"/>
              </w:rPr>
            </w:pPr>
          </w:p>
        </w:tc>
        <w:tc>
          <w:tcPr>
            <w:tcW w:w="160" w:type="dxa"/>
            <w:vAlign w:val="bottom"/>
            <w:tcBorders>
              <w:bottom w:val="single" w:sz="8" w:color="0000FF"/>
            </w:tcBorders>
          </w:tcPr>
          <w:p>
            <w:pPr>
              <w:jc w:val="right"/>
              <w:spacing w:after="0"/>
              <w:rPr>
                <w:rFonts w:ascii="Arial" w:cs="Arial" w:eastAsia="Arial" w:hAnsi="Arial"/>
                <w:sz w:val="17"/>
                <w:szCs w:val="17"/>
                <w:color w:val="0000FF"/>
                <w:w w:val="73"/>
              </w:rPr>
            </w:pPr>
            <w:hyperlink w:anchor="page54">
              <w:r>
                <w:rPr>
                  <w:rFonts w:ascii="Arial" w:cs="Arial" w:eastAsia="Arial" w:hAnsi="Arial"/>
                  <w:sz w:val="17"/>
                  <w:szCs w:val="17"/>
                  <w:color w:val="0000FF"/>
                  <w:w w:val="73"/>
                </w:rPr>
                <w:t>54</w:t>
              </w:r>
            </w:hyperlink>
          </w:p>
        </w:tc>
        <w:tc>
          <w:tcPr>
            <w:tcW w:w="0" w:type="dxa"/>
            <w:vAlign w:val="bottom"/>
          </w:tcPr>
          <w:p>
            <w:pPr>
              <w:spacing w:after="0"/>
              <w:rPr>
                <w:sz w:val="1"/>
                <w:szCs w:val="1"/>
                <w:color w:val="auto"/>
              </w:rPr>
            </w:pPr>
          </w:p>
        </w:tc>
      </w:tr>
      <w:tr>
        <w:trPr>
          <w:trHeight w:val="255"/>
        </w:trPr>
        <w:tc>
          <w:tcPr>
            <w:tcW w:w="320" w:type="dxa"/>
            <w:vAlign w:val="bottom"/>
          </w:tcPr>
          <w:p>
            <w:pPr>
              <w:spacing w:after="0"/>
              <w:rPr>
                <w:sz w:val="22"/>
                <w:szCs w:val="22"/>
                <w:color w:val="auto"/>
              </w:rPr>
            </w:pPr>
          </w:p>
        </w:tc>
        <w:tc>
          <w:tcPr>
            <w:tcW w:w="10680" w:type="dxa"/>
            <w:vAlign w:val="bottom"/>
            <w:gridSpan w:val="11"/>
          </w:tcPr>
          <w:p>
            <w:pPr>
              <w:spacing w:after="0"/>
              <w:rPr>
                <w:rFonts w:ascii="Arial" w:cs="Arial" w:eastAsia="Arial" w:hAnsi="Arial"/>
                <w:sz w:val="17"/>
                <w:szCs w:val="17"/>
                <w:color w:val="0000FF"/>
              </w:rPr>
            </w:pPr>
            <w:hyperlink w:anchor="page56">
              <w:r>
                <w:rPr>
                  <w:rFonts w:ascii="Arial" w:cs="Arial" w:eastAsia="Arial" w:hAnsi="Arial"/>
                  <w:sz w:val="17"/>
                  <w:szCs w:val="17"/>
                  <w:color w:val="0000FF"/>
                </w:rPr>
                <w:t>Consolidated Statements of Changes in Stockholders’ Equity for the Fiscal Years Ended June 30, 2021, June 30, 2020 and</w:t>
              </w:r>
            </w:hyperlink>
          </w:p>
        </w:tc>
        <w:tc>
          <w:tcPr>
            <w:tcW w:w="160" w:type="dxa"/>
            <w:vAlign w:val="bottom"/>
            <w:vMerge w:val="restart"/>
          </w:tcPr>
          <w:p>
            <w:pPr>
              <w:jc w:val="right"/>
              <w:spacing w:after="0"/>
              <w:rPr>
                <w:rFonts w:ascii="Arial" w:cs="Arial" w:eastAsia="Arial" w:hAnsi="Arial"/>
                <w:sz w:val="17"/>
                <w:szCs w:val="17"/>
                <w:color w:val="0000FF"/>
                <w:w w:val="73"/>
              </w:rPr>
            </w:pPr>
            <w:hyperlink w:anchor="page56">
              <w:r>
                <w:rPr>
                  <w:rFonts w:ascii="Arial" w:cs="Arial" w:eastAsia="Arial" w:hAnsi="Arial"/>
                  <w:sz w:val="17"/>
                  <w:szCs w:val="17"/>
                  <w:color w:val="0000FF"/>
                  <w:w w:val="73"/>
                </w:rPr>
                <w:t>56</w:t>
              </w:r>
            </w:hyperlink>
          </w:p>
        </w:tc>
        <w:tc>
          <w:tcPr>
            <w:tcW w:w="0" w:type="dxa"/>
            <w:vAlign w:val="bottom"/>
          </w:tcPr>
          <w:p>
            <w:pPr>
              <w:spacing w:after="0"/>
              <w:rPr>
                <w:sz w:val="1"/>
                <w:szCs w:val="1"/>
                <w:color w:val="auto"/>
              </w:rPr>
            </w:pPr>
          </w:p>
        </w:tc>
      </w:tr>
      <w:tr>
        <w:trPr>
          <w:trHeight w:val="150"/>
        </w:trPr>
        <w:tc>
          <w:tcPr>
            <w:tcW w:w="320" w:type="dxa"/>
            <w:vAlign w:val="bottom"/>
          </w:tcPr>
          <w:p>
            <w:pPr>
              <w:spacing w:after="0"/>
              <w:rPr>
                <w:sz w:val="13"/>
                <w:szCs w:val="13"/>
                <w:color w:val="auto"/>
              </w:rPr>
            </w:pPr>
          </w:p>
        </w:tc>
        <w:tc>
          <w:tcPr>
            <w:tcW w:w="980" w:type="dxa"/>
            <w:vAlign w:val="bottom"/>
            <w:tcBorders>
              <w:top w:val="single" w:sz="8" w:color="0000FF"/>
              <w:bottom w:val="single" w:sz="8" w:color="0000FF"/>
            </w:tcBorders>
          </w:tcPr>
          <w:p>
            <w:pPr>
              <w:spacing w:after="0" w:line="150" w:lineRule="exact"/>
              <w:rPr>
                <w:rFonts w:ascii="Arial" w:cs="Arial" w:eastAsia="Arial" w:hAnsi="Arial"/>
                <w:sz w:val="17"/>
                <w:szCs w:val="17"/>
                <w:color w:val="0000FF"/>
                <w:w w:val="89"/>
              </w:rPr>
            </w:pPr>
            <w:hyperlink w:anchor="page56">
              <w:r>
                <w:rPr>
                  <w:rFonts w:ascii="Arial" w:cs="Arial" w:eastAsia="Arial" w:hAnsi="Arial"/>
                  <w:sz w:val="17"/>
                  <w:szCs w:val="17"/>
                  <w:color w:val="0000FF"/>
                  <w:w w:val="89"/>
                </w:rPr>
                <w:t>June 30, 2019</w:t>
              </w:r>
            </w:hyperlink>
          </w:p>
        </w:tc>
        <w:tc>
          <w:tcPr>
            <w:tcW w:w="7560" w:type="dxa"/>
            <w:vAlign w:val="bottom"/>
            <w:tcBorders>
              <w:top w:val="single" w:sz="8" w:color="0000FF"/>
            </w:tcBorders>
            <w:gridSpan w:val="8"/>
          </w:tcPr>
          <w:p>
            <w:pPr>
              <w:spacing w:after="0"/>
              <w:rPr>
                <w:sz w:val="13"/>
                <w:szCs w:val="13"/>
                <w:color w:val="auto"/>
              </w:rPr>
            </w:pPr>
          </w:p>
        </w:tc>
        <w:tc>
          <w:tcPr>
            <w:tcW w:w="2140" w:type="dxa"/>
            <w:vAlign w:val="bottom"/>
            <w:gridSpan w:val="2"/>
          </w:tcPr>
          <w:p>
            <w:pPr>
              <w:spacing w:after="0"/>
              <w:rPr>
                <w:sz w:val="13"/>
                <w:szCs w:val="13"/>
                <w:color w:val="auto"/>
              </w:rPr>
            </w:pPr>
          </w:p>
        </w:tc>
        <w:tc>
          <w:tcPr>
            <w:tcW w:w="160" w:type="dxa"/>
            <w:vAlign w:val="bottom"/>
            <w:tcBorders>
              <w:bottom w:val="single" w:sz="8" w:color="0000FF"/>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55"/>
        </w:trPr>
        <w:tc>
          <w:tcPr>
            <w:tcW w:w="320" w:type="dxa"/>
            <w:vAlign w:val="bottom"/>
          </w:tcPr>
          <w:p>
            <w:pPr>
              <w:spacing w:after="0"/>
              <w:rPr>
                <w:sz w:val="22"/>
                <w:szCs w:val="22"/>
                <w:color w:val="auto"/>
              </w:rPr>
            </w:pPr>
          </w:p>
        </w:tc>
        <w:tc>
          <w:tcPr>
            <w:tcW w:w="3120" w:type="dxa"/>
            <w:vAlign w:val="bottom"/>
            <w:tcBorders>
              <w:bottom w:val="single" w:sz="8" w:color="0000FF"/>
            </w:tcBorders>
            <w:gridSpan w:val="3"/>
          </w:tcPr>
          <w:p>
            <w:pPr>
              <w:spacing w:after="0"/>
              <w:rPr>
                <w:rFonts w:ascii="Arial" w:cs="Arial" w:eastAsia="Arial" w:hAnsi="Arial"/>
                <w:sz w:val="17"/>
                <w:szCs w:val="17"/>
                <w:color w:val="0000FF"/>
                <w:w w:val="93"/>
              </w:rPr>
            </w:pPr>
            <w:hyperlink w:anchor="page57">
              <w:r>
                <w:rPr>
                  <w:rFonts w:ascii="Arial" w:cs="Arial" w:eastAsia="Arial" w:hAnsi="Arial"/>
                  <w:sz w:val="17"/>
                  <w:szCs w:val="17"/>
                  <w:color w:val="0000FF"/>
                  <w:w w:val="93"/>
                </w:rPr>
                <w:t>Notes to Consolidated Financial Statements</w:t>
              </w:r>
            </w:hyperlink>
          </w:p>
        </w:tc>
        <w:tc>
          <w:tcPr>
            <w:tcW w:w="7560" w:type="dxa"/>
            <w:vAlign w:val="bottom"/>
            <w:gridSpan w:val="8"/>
          </w:tcPr>
          <w:p>
            <w:pPr>
              <w:spacing w:after="0"/>
              <w:rPr>
                <w:sz w:val="22"/>
                <w:szCs w:val="22"/>
                <w:color w:val="auto"/>
              </w:rPr>
            </w:pPr>
          </w:p>
        </w:tc>
        <w:tc>
          <w:tcPr>
            <w:tcW w:w="160" w:type="dxa"/>
            <w:vAlign w:val="bottom"/>
            <w:tcBorders>
              <w:bottom w:val="single" w:sz="8" w:color="0000FF"/>
            </w:tcBorders>
          </w:tcPr>
          <w:p>
            <w:pPr>
              <w:jc w:val="right"/>
              <w:spacing w:after="0"/>
              <w:rPr>
                <w:rFonts w:ascii="Arial" w:cs="Arial" w:eastAsia="Arial" w:hAnsi="Arial"/>
                <w:sz w:val="17"/>
                <w:szCs w:val="17"/>
                <w:color w:val="0000FF"/>
                <w:w w:val="73"/>
              </w:rPr>
            </w:pPr>
            <w:hyperlink w:anchor="page57">
              <w:r>
                <w:rPr>
                  <w:rFonts w:ascii="Arial" w:cs="Arial" w:eastAsia="Arial" w:hAnsi="Arial"/>
                  <w:sz w:val="17"/>
                  <w:szCs w:val="17"/>
                  <w:color w:val="0000FF"/>
                  <w:w w:val="73"/>
                </w:rPr>
                <w:t>57</w:t>
              </w:r>
            </w:hyperlink>
          </w:p>
        </w:tc>
        <w:tc>
          <w:tcPr>
            <w:tcW w:w="0" w:type="dxa"/>
            <w:vAlign w:val="bottom"/>
          </w:tcPr>
          <w:p>
            <w:pPr>
              <w:spacing w:after="0"/>
              <w:rPr>
                <w:sz w:val="1"/>
                <w:szCs w:val="1"/>
                <w:color w:val="auto"/>
              </w:rPr>
            </w:pPr>
          </w:p>
        </w:tc>
      </w:tr>
      <w:tr>
        <w:trPr>
          <w:trHeight w:val="255"/>
        </w:trPr>
        <w:tc>
          <w:tcPr>
            <w:tcW w:w="11000" w:type="dxa"/>
            <w:vAlign w:val="bottom"/>
            <w:gridSpan w:val="12"/>
          </w:tcPr>
          <w:p>
            <w:pPr>
              <w:spacing w:after="0"/>
              <w:rPr>
                <w:rFonts w:ascii="Arial" w:cs="Arial" w:eastAsia="Arial" w:hAnsi="Arial"/>
                <w:sz w:val="17"/>
                <w:szCs w:val="17"/>
                <w:color w:val="0000FF"/>
              </w:rPr>
            </w:pPr>
            <w:hyperlink w:anchor="page85">
              <w:r>
                <w:rPr>
                  <w:rFonts w:ascii="Arial" w:cs="Arial" w:eastAsia="Arial" w:hAnsi="Arial"/>
                  <w:sz w:val="17"/>
                  <w:szCs w:val="17"/>
                  <w:color w:val="0000FF"/>
                </w:rPr>
                <w:t>Quarterly Financial Data (Unaudited)</w:t>
              </w:r>
            </w:hyperlink>
          </w:p>
        </w:tc>
        <w:tc>
          <w:tcPr>
            <w:tcW w:w="160" w:type="dxa"/>
            <w:vAlign w:val="bottom"/>
          </w:tcPr>
          <w:p>
            <w:pPr>
              <w:jc w:val="right"/>
              <w:spacing w:after="0"/>
              <w:rPr>
                <w:rFonts w:ascii="Arial" w:cs="Arial" w:eastAsia="Arial" w:hAnsi="Arial"/>
                <w:sz w:val="17"/>
                <w:szCs w:val="17"/>
                <w:color w:val="0000FF"/>
                <w:w w:val="73"/>
              </w:rPr>
            </w:pPr>
            <w:hyperlink w:anchor="page85">
              <w:r>
                <w:rPr>
                  <w:rFonts w:ascii="Arial" w:cs="Arial" w:eastAsia="Arial" w:hAnsi="Arial"/>
                  <w:sz w:val="17"/>
                  <w:szCs w:val="17"/>
                  <w:color w:val="0000FF"/>
                  <w:w w:val="73"/>
                </w:rPr>
                <w:t>85</w:t>
              </w:r>
            </w:hyperlink>
          </w:p>
        </w:tc>
        <w:tc>
          <w:tcPr>
            <w:tcW w:w="0" w:type="dxa"/>
            <w:vAlign w:val="bottom"/>
          </w:tcPr>
          <w:p>
            <w:pPr>
              <w:spacing w:after="0"/>
              <w:rPr>
                <w:sz w:val="1"/>
                <w:szCs w:val="1"/>
                <w:color w:val="auto"/>
              </w:rPr>
            </w:pPr>
          </w:p>
        </w:tc>
      </w:tr>
      <w:tr>
        <w:trPr>
          <w:trHeight w:val="20"/>
        </w:trPr>
        <w:tc>
          <w:tcPr>
            <w:tcW w:w="2620" w:type="dxa"/>
            <w:vAlign w:val="bottom"/>
            <w:gridSpan w:val="3"/>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560" w:type="dxa"/>
            <w:vAlign w:val="bottom"/>
            <w:gridSpan w:val="8"/>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11000" w:type="dxa"/>
            <w:vAlign w:val="bottom"/>
            <w:gridSpan w:val="12"/>
          </w:tcPr>
          <w:p>
            <w:pPr>
              <w:spacing w:after="0"/>
              <w:rPr>
                <w:rFonts w:ascii="Arial" w:cs="Arial" w:eastAsia="Arial" w:hAnsi="Arial"/>
                <w:sz w:val="17"/>
                <w:szCs w:val="17"/>
                <w:color w:val="0000FF"/>
              </w:rPr>
            </w:pPr>
            <w:hyperlink w:anchor="page86">
              <w:r>
                <w:rPr>
                  <w:rFonts w:ascii="Arial" w:cs="Arial" w:eastAsia="Arial" w:hAnsi="Arial"/>
                  <w:sz w:val="17"/>
                  <w:szCs w:val="17"/>
                  <w:color w:val="0000FF"/>
                </w:rPr>
                <w:t>Schedule II—Valuation and Qualifying Accounts</w:t>
              </w:r>
            </w:hyperlink>
          </w:p>
        </w:tc>
        <w:tc>
          <w:tcPr>
            <w:tcW w:w="160" w:type="dxa"/>
            <w:vAlign w:val="bottom"/>
          </w:tcPr>
          <w:p>
            <w:pPr>
              <w:jc w:val="right"/>
              <w:spacing w:after="0"/>
              <w:rPr>
                <w:rFonts w:ascii="Arial" w:cs="Arial" w:eastAsia="Arial" w:hAnsi="Arial"/>
                <w:sz w:val="17"/>
                <w:szCs w:val="17"/>
                <w:color w:val="0000FF"/>
                <w:w w:val="73"/>
              </w:rPr>
            </w:pPr>
            <w:hyperlink w:anchor="page86">
              <w:r>
                <w:rPr>
                  <w:rFonts w:ascii="Arial" w:cs="Arial" w:eastAsia="Arial" w:hAnsi="Arial"/>
                  <w:sz w:val="17"/>
                  <w:szCs w:val="17"/>
                  <w:color w:val="0000FF"/>
                  <w:w w:val="73"/>
                </w:rPr>
                <w:t>86</w:t>
              </w:r>
            </w:hyperlink>
          </w:p>
        </w:tc>
        <w:tc>
          <w:tcPr>
            <w:tcW w:w="0" w:type="dxa"/>
            <w:vAlign w:val="bottom"/>
          </w:tcPr>
          <w:p>
            <w:pPr>
              <w:spacing w:after="0"/>
              <w:rPr>
                <w:sz w:val="1"/>
                <w:szCs w:val="1"/>
                <w:color w:val="auto"/>
              </w:rPr>
            </w:pPr>
          </w:p>
        </w:tc>
      </w:tr>
      <w:tr>
        <w:trPr>
          <w:trHeight w:val="20"/>
        </w:trPr>
        <w:tc>
          <w:tcPr>
            <w:tcW w:w="32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Financial Statement Schedules</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financial statement schedule is filed as a part of this report under Schedule II—Valuation and Qualifying Accounts June 30, 2021, June 30, 2020 and June 30, 2019, immediately following Quarterly Financial Data (Unaudited). All other schedules are omitted because they are not applicable or the required information is shown in the financial statements, or notes thereto, included herein.</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0" w:name="page91"/>
    <w:bookmarkEnd w:id="90"/>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20" w:firstLine="162"/>
        <w:spacing w:after="0" w:line="297" w:lineRule="auto"/>
        <w:tabs>
          <w:tab w:leader="none" w:pos="405" w:val="left"/>
        </w:tabs>
        <w:numPr>
          <w:ilvl w:val="0"/>
          <w:numId w:val="45"/>
        </w:numPr>
        <w:rPr>
          <w:rFonts w:ascii="Arial" w:cs="Arial" w:eastAsia="Arial" w:hAnsi="Arial"/>
          <w:sz w:val="17"/>
          <w:szCs w:val="17"/>
          <w:b w:val="1"/>
          <w:bCs w:val="1"/>
          <w:color w:val="auto"/>
        </w:rPr>
      </w:pPr>
      <w:r>
        <w:rPr>
          <w:rFonts w:ascii="Arial" w:cs="Arial" w:eastAsia="Arial" w:hAnsi="Arial"/>
          <w:sz w:val="17"/>
          <w:szCs w:val="17"/>
          <w:b w:val="1"/>
          <w:bCs w:val="1"/>
          <w:color w:val="auto"/>
        </w:rPr>
        <w:t>The following documents are included as exhibits to this Annual Report on Form 10-K. The exhibits below incorporated by reference herein are indicated as such by the information supplied in the parenthetical hereafter.</w:t>
      </w:r>
    </w:p>
    <w:p>
      <w:pPr>
        <w:spacing w:after="0" w:line="86" w:lineRule="exact"/>
        <w:rPr>
          <w:sz w:val="20"/>
          <w:szCs w:val="20"/>
          <w:color w:val="auto"/>
        </w:rPr>
      </w:pPr>
    </w:p>
    <w:p>
      <w:pPr>
        <w:ind w:left="1380" w:right="440" w:hanging="410"/>
        <w:spacing w:after="0" w:line="241" w:lineRule="auto"/>
        <w:tabs>
          <w:tab w:leader="none" w:pos="1360" w:val="left"/>
        </w:tabs>
        <w:rPr>
          <w:rFonts w:ascii="Arial" w:cs="Arial" w:eastAsia="Arial" w:hAnsi="Arial"/>
          <w:sz w:val="17"/>
          <w:szCs w:val="17"/>
          <w:color w:val="0000FF"/>
        </w:rPr>
      </w:pPr>
      <w:r>
        <w:rPr>
          <w:rFonts w:ascii="Arial" w:cs="Arial" w:eastAsia="Arial" w:hAnsi="Arial"/>
          <w:sz w:val="17"/>
          <w:szCs w:val="17"/>
          <w:color w:val="auto"/>
        </w:rPr>
        <w:t>3.1</w:t>
      </w:r>
      <w:r>
        <w:rPr>
          <w:sz w:val="20"/>
          <w:szCs w:val="20"/>
          <w:color w:val="auto"/>
        </w:rPr>
        <w:tab/>
      </w:r>
      <w:hyperlink r:id="rId140">
        <w:r>
          <w:rPr>
            <w:rFonts w:ascii="Arial" w:cs="Arial" w:eastAsia="Arial" w:hAnsi="Arial"/>
            <w:sz w:val="17"/>
            <w:szCs w:val="17"/>
            <w:u w:val="single" w:color="auto"/>
            <w:color w:val="0000FF"/>
          </w:rPr>
          <w:t>Amended and Restated Certificate of Incorporation of Matrix Service Company (Appendix A to the Company's Proxy Statement filed</w:t>
        </w:r>
      </w:hyperlink>
      <w:r>
        <w:rPr>
          <w:rFonts w:ascii="Arial" w:cs="Arial" w:eastAsia="Arial" w:hAnsi="Arial"/>
          <w:sz w:val="17"/>
          <w:szCs w:val="17"/>
          <w:u w:val="single" w:color="auto"/>
          <w:color w:val="0000FF"/>
        </w:rPr>
        <w:t xml:space="preserve"> </w:t>
      </w:r>
      <w:hyperlink r:id="rId140">
        <w:r>
          <w:rPr>
            <w:rFonts w:ascii="Arial" w:cs="Arial" w:eastAsia="Arial" w:hAnsi="Arial"/>
            <w:sz w:val="17"/>
            <w:szCs w:val="17"/>
            <w:u w:val="single" w:color="auto"/>
            <w:color w:val="0000FF"/>
          </w:rPr>
          <w:t>October 7, 2016 (File No. 1-15461)</w:t>
        </w:r>
        <w:r>
          <w:rPr>
            <w:rFonts w:ascii="Arial" w:cs="Arial" w:eastAsia="Arial" w:hAnsi="Arial"/>
            <w:sz w:val="17"/>
            <w:szCs w:val="17"/>
            <w:color w:val="000000"/>
          </w:rPr>
          <w:t>.</w:t>
        </w:r>
      </w:hyperlink>
    </w:p>
    <w:p>
      <w:pPr>
        <w:spacing w:after="0" w:line="53" w:lineRule="exact"/>
        <w:rPr>
          <w:sz w:val="20"/>
          <w:szCs w:val="20"/>
          <w:color w:val="auto"/>
        </w:rPr>
      </w:pPr>
    </w:p>
    <w:p>
      <w:pPr>
        <w:ind w:left="1380" w:right="260" w:hanging="410"/>
        <w:spacing w:after="0" w:line="241" w:lineRule="auto"/>
        <w:tabs>
          <w:tab w:leader="none" w:pos="1360" w:val="left"/>
        </w:tabs>
        <w:rPr>
          <w:rFonts w:ascii="Arial" w:cs="Arial" w:eastAsia="Arial" w:hAnsi="Arial"/>
          <w:sz w:val="17"/>
          <w:szCs w:val="17"/>
          <w:color w:val="0000FF"/>
        </w:rPr>
      </w:pPr>
      <w:r>
        <w:rPr>
          <w:rFonts w:ascii="Arial" w:cs="Arial" w:eastAsia="Arial" w:hAnsi="Arial"/>
          <w:sz w:val="17"/>
          <w:szCs w:val="17"/>
          <w:color w:val="auto"/>
        </w:rPr>
        <w:t>3.2</w:t>
      </w:r>
      <w:r>
        <w:rPr>
          <w:sz w:val="20"/>
          <w:szCs w:val="20"/>
          <w:color w:val="auto"/>
        </w:rPr>
        <w:tab/>
      </w:r>
      <w:hyperlink r:id="rId141">
        <w:r>
          <w:rPr>
            <w:rFonts w:ascii="Arial" w:cs="Arial" w:eastAsia="Arial" w:hAnsi="Arial"/>
            <w:sz w:val="17"/>
            <w:szCs w:val="17"/>
            <w:u w:val="single" w:color="auto"/>
            <w:color w:val="0000FF"/>
          </w:rPr>
          <w:t>Second Amended and Restated Bylaws, effective as of May 4, 2017 (Exhibit 3.1 to the Company’s Quarterly Report on Form 10-Q (File</w:t>
        </w:r>
      </w:hyperlink>
      <w:r>
        <w:rPr>
          <w:rFonts w:ascii="Arial" w:cs="Arial" w:eastAsia="Arial" w:hAnsi="Arial"/>
          <w:sz w:val="17"/>
          <w:szCs w:val="17"/>
          <w:u w:val="single" w:color="auto"/>
          <w:color w:val="0000FF"/>
        </w:rPr>
        <w:t xml:space="preserve"> </w:t>
      </w:r>
      <w:hyperlink r:id="rId141">
        <w:r>
          <w:rPr>
            <w:rFonts w:ascii="Arial" w:cs="Arial" w:eastAsia="Arial" w:hAnsi="Arial"/>
            <w:sz w:val="17"/>
            <w:szCs w:val="17"/>
            <w:u w:val="single" w:color="auto"/>
            <w:color w:val="0000FF"/>
          </w:rPr>
          <w:t>No. 1-15461) filed May 10, 2017)</w:t>
        </w:r>
        <w:r>
          <w:rPr>
            <w:rFonts w:ascii="Arial" w:cs="Arial" w:eastAsia="Arial" w:hAnsi="Arial"/>
            <w:sz w:val="17"/>
            <w:szCs w:val="17"/>
            <w:color w:val="000000"/>
          </w:rPr>
          <w:t>.</w:t>
        </w:r>
      </w:hyperlink>
    </w:p>
    <w:p>
      <w:pPr>
        <w:spacing w:after="0" w:line="53" w:lineRule="exact"/>
        <w:rPr>
          <w:sz w:val="20"/>
          <w:szCs w:val="20"/>
          <w:color w:val="auto"/>
        </w:rPr>
      </w:pPr>
    </w:p>
    <w:p>
      <w:pPr>
        <w:ind w:left="1380" w:right="580" w:hanging="410"/>
        <w:spacing w:after="0" w:line="241" w:lineRule="auto"/>
        <w:tabs>
          <w:tab w:leader="none" w:pos="1360" w:val="left"/>
        </w:tabs>
        <w:rPr>
          <w:rFonts w:ascii="Arial" w:cs="Arial" w:eastAsia="Arial" w:hAnsi="Arial"/>
          <w:sz w:val="17"/>
          <w:szCs w:val="17"/>
          <w:u w:val="single" w:color="auto"/>
          <w:color w:val="0000FF"/>
        </w:rPr>
      </w:pPr>
      <w:r>
        <w:rPr>
          <w:rFonts w:ascii="Arial" w:cs="Arial" w:eastAsia="Arial" w:hAnsi="Arial"/>
          <w:sz w:val="17"/>
          <w:szCs w:val="17"/>
          <w:color w:val="auto"/>
        </w:rPr>
        <w:t>4.1</w:t>
      </w:r>
      <w:r>
        <w:rPr>
          <w:sz w:val="20"/>
          <w:szCs w:val="20"/>
          <w:color w:val="auto"/>
        </w:rPr>
        <w:tab/>
      </w:r>
      <w:hyperlink r:id="rId142">
        <w:r>
          <w:rPr>
            <w:rFonts w:ascii="Arial" w:cs="Arial" w:eastAsia="Arial" w:hAnsi="Arial"/>
            <w:sz w:val="17"/>
            <w:szCs w:val="17"/>
            <w:u w:val="single" w:color="auto"/>
            <w:color w:val="0000FF"/>
          </w:rPr>
          <w:t>Description of the Company's Common Stock (Exhibit 4.2 to the Company’s Annual Report on Form 10-K (File No. 1-15461) filed</w:t>
        </w:r>
      </w:hyperlink>
      <w:r>
        <w:rPr>
          <w:rFonts w:ascii="Arial" w:cs="Arial" w:eastAsia="Arial" w:hAnsi="Arial"/>
          <w:sz w:val="17"/>
          <w:szCs w:val="17"/>
          <w:u w:val="single" w:color="auto"/>
          <w:color w:val="0000FF"/>
        </w:rPr>
        <w:t xml:space="preserve"> </w:t>
      </w:r>
      <w:hyperlink r:id="rId142">
        <w:r>
          <w:rPr>
            <w:rFonts w:ascii="Arial" w:cs="Arial" w:eastAsia="Arial" w:hAnsi="Arial"/>
            <w:sz w:val="17"/>
            <w:szCs w:val="17"/>
            <w:u w:val="single" w:color="auto"/>
            <w:color w:val="0000FF"/>
          </w:rPr>
          <w:t>September 4, 2019).</w:t>
        </w:r>
      </w:hyperlink>
    </w:p>
    <w:p>
      <w:pPr>
        <w:spacing w:after="0" w:line="42" w:lineRule="exact"/>
        <w:rPr>
          <w:sz w:val="20"/>
          <w:szCs w:val="20"/>
          <w:color w:val="auto"/>
        </w:rPr>
      </w:pPr>
    </w:p>
    <w:p>
      <w:pPr>
        <w:ind w:left="820"/>
        <w:spacing w:after="0"/>
        <w:tabs>
          <w:tab w:leader="none" w:pos="1520" w:val="left"/>
        </w:tabs>
        <w:rPr>
          <w:rFonts w:ascii="Arial" w:cs="Arial" w:eastAsia="Arial" w:hAnsi="Arial"/>
          <w:sz w:val="16"/>
          <w:szCs w:val="16"/>
          <w:u w:val="single" w:color="auto"/>
          <w:color w:val="0000FF"/>
        </w:rPr>
      </w:pPr>
      <w:r>
        <w:rPr>
          <w:rFonts w:ascii="Arial" w:cs="Arial" w:eastAsia="Arial" w:hAnsi="Arial"/>
          <w:sz w:val="17"/>
          <w:szCs w:val="17"/>
          <w:color w:val="auto"/>
        </w:rPr>
        <w:t>+10.1</w:t>
      </w:r>
      <w:r>
        <w:rPr>
          <w:sz w:val="20"/>
          <w:szCs w:val="20"/>
          <w:color w:val="auto"/>
        </w:rPr>
        <w:tab/>
      </w:r>
      <w:hyperlink r:id="rId143">
        <w:r>
          <w:rPr>
            <w:rFonts w:ascii="Arial" w:cs="Arial" w:eastAsia="Arial" w:hAnsi="Arial"/>
            <w:sz w:val="16"/>
            <w:szCs w:val="16"/>
            <w:u w:val="single" w:color="auto"/>
            <w:color w:val="0000FF"/>
          </w:rPr>
          <w:t>Matrix Service Company 2004 Stock Incentive Plan (Appendix B to the Company’s Proxy Statement filed September 15, 2006 (File No. 1-</w:t>
        </w:r>
      </w:hyperlink>
    </w:p>
    <w:p>
      <w:pPr>
        <w:ind w:left="1380"/>
        <w:spacing w:after="0"/>
        <w:rPr>
          <w:rFonts w:ascii="Arial" w:cs="Arial" w:eastAsia="Arial" w:hAnsi="Arial"/>
          <w:sz w:val="17"/>
          <w:szCs w:val="17"/>
          <w:color w:val="0000FF"/>
        </w:rPr>
      </w:pPr>
      <w:hyperlink r:id="rId143">
        <w:r>
          <w:rPr>
            <w:rFonts w:ascii="Arial" w:cs="Arial" w:eastAsia="Arial" w:hAnsi="Arial"/>
            <w:sz w:val="17"/>
            <w:szCs w:val="17"/>
            <w:u w:val="single" w:color="auto"/>
            <w:color w:val="0000FF"/>
          </w:rPr>
          <w:t>15461))</w:t>
        </w:r>
        <w:r>
          <w:rPr>
            <w:rFonts w:ascii="Arial" w:cs="Arial" w:eastAsia="Arial" w:hAnsi="Arial"/>
            <w:sz w:val="17"/>
            <w:szCs w:val="17"/>
            <w:color w:val="000000"/>
          </w:rPr>
          <w:t>.</w:t>
        </w:r>
      </w:hyperlink>
    </w:p>
    <w:p>
      <w:pPr>
        <w:spacing w:after="0" w:line="66" w:lineRule="exact"/>
        <w:rPr>
          <w:sz w:val="20"/>
          <w:szCs w:val="20"/>
          <w:color w:val="auto"/>
        </w:rPr>
      </w:pPr>
    </w:p>
    <w:p>
      <w:pPr>
        <w:ind w:left="1380" w:right="260" w:hanging="543"/>
        <w:spacing w:after="0" w:line="241" w:lineRule="auto"/>
        <w:tabs>
          <w:tab w:leader="none" w:pos="1360" w:val="left"/>
        </w:tabs>
        <w:rPr>
          <w:rFonts w:ascii="Arial" w:cs="Arial" w:eastAsia="Arial" w:hAnsi="Arial"/>
          <w:sz w:val="17"/>
          <w:szCs w:val="17"/>
          <w:color w:val="0000FF"/>
        </w:rPr>
      </w:pPr>
      <w:r>
        <w:rPr>
          <w:rFonts w:ascii="Arial" w:cs="Arial" w:eastAsia="Arial" w:hAnsi="Arial"/>
          <w:sz w:val="17"/>
          <w:szCs w:val="17"/>
          <w:color w:val="auto"/>
        </w:rPr>
        <w:t>+10.2</w:t>
      </w:r>
      <w:r>
        <w:rPr>
          <w:sz w:val="20"/>
          <w:szCs w:val="20"/>
          <w:color w:val="auto"/>
        </w:rPr>
        <w:tab/>
      </w:r>
      <w:hyperlink r:id="rId144">
        <w:r>
          <w:rPr>
            <w:rFonts w:ascii="Arial" w:cs="Arial" w:eastAsia="Arial" w:hAnsi="Arial"/>
            <w:sz w:val="17"/>
            <w:szCs w:val="17"/>
            <w:u w:val="single" w:color="auto"/>
            <w:color w:val="0000FF"/>
          </w:rPr>
          <w:t>Amendment 1 to Matrix Service Company 2004 Stock Incentive Plan (Exhibit 10 to Amended Schedule 14A filed October 4, 2006 (File</w:t>
        </w:r>
      </w:hyperlink>
      <w:r>
        <w:rPr>
          <w:rFonts w:ascii="Arial" w:cs="Arial" w:eastAsia="Arial" w:hAnsi="Arial"/>
          <w:sz w:val="17"/>
          <w:szCs w:val="17"/>
          <w:u w:val="single" w:color="auto"/>
          <w:color w:val="0000FF"/>
        </w:rPr>
        <w:t xml:space="preserve"> </w:t>
      </w:r>
      <w:hyperlink r:id="rId144">
        <w:r>
          <w:rPr>
            <w:rFonts w:ascii="Arial" w:cs="Arial" w:eastAsia="Arial" w:hAnsi="Arial"/>
            <w:sz w:val="17"/>
            <w:szCs w:val="17"/>
            <w:u w:val="single" w:color="auto"/>
            <w:color w:val="0000FF"/>
          </w:rPr>
          <w:t>No. 1-15461))</w:t>
        </w:r>
        <w:r>
          <w:rPr>
            <w:rFonts w:ascii="Arial" w:cs="Arial" w:eastAsia="Arial" w:hAnsi="Arial"/>
            <w:sz w:val="17"/>
            <w:szCs w:val="17"/>
            <w:color w:val="000000"/>
          </w:rPr>
          <w:t>.</w:t>
        </w:r>
      </w:hyperlink>
    </w:p>
    <w:p>
      <w:pPr>
        <w:spacing w:after="0" w:line="53" w:lineRule="exact"/>
        <w:rPr>
          <w:sz w:val="20"/>
          <w:szCs w:val="20"/>
          <w:color w:val="auto"/>
        </w:rPr>
      </w:pPr>
    </w:p>
    <w:p>
      <w:pPr>
        <w:ind w:left="1380" w:right="200" w:hanging="543"/>
        <w:spacing w:after="0" w:line="241" w:lineRule="auto"/>
        <w:tabs>
          <w:tab w:leader="none" w:pos="1360" w:val="left"/>
        </w:tabs>
        <w:rPr>
          <w:rFonts w:ascii="Arial" w:cs="Arial" w:eastAsia="Arial" w:hAnsi="Arial"/>
          <w:sz w:val="17"/>
          <w:szCs w:val="17"/>
          <w:color w:val="0000FF"/>
        </w:rPr>
      </w:pPr>
      <w:r>
        <w:rPr>
          <w:rFonts w:ascii="Arial" w:cs="Arial" w:eastAsia="Arial" w:hAnsi="Arial"/>
          <w:sz w:val="17"/>
          <w:szCs w:val="17"/>
          <w:color w:val="auto"/>
        </w:rPr>
        <w:t>+10.3</w:t>
      </w:r>
      <w:r>
        <w:rPr>
          <w:sz w:val="20"/>
          <w:szCs w:val="20"/>
          <w:color w:val="auto"/>
        </w:rPr>
        <w:tab/>
      </w:r>
      <w:hyperlink r:id="rId145">
        <w:r>
          <w:rPr>
            <w:rFonts w:ascii="Arial" w:cs="Arial" w:eastAsia="Arial" w:hAnsi="Arial"/>
            <w:sz w:val="17"/>
            <w:szCs w:val="17"/>
            <w:u w:val="single" w:color="auto"/>
            <w:color w:val="0000FF"/>
          </w:rPr>
          <w:t>Amendment 2 to Matrix Service Company 2004 Stock Incentive Plan (Exhibit 10.6 to the Company’s Annual Report on Form 10-K (File</w:t>
        </w:r>
      </w:hyperlink>
      <w:r>
        <w:rPr>
          <w:rFonts w:ascii="Arial" w:cs="Arial" w:eastAsia="Arial" w:hAnsi="Arial"/>
          <w:sz w:val="17"/>
          <w:szCs w:val="17"/>
          <w:u w:val="single" w:color="auto"/>
          <w:color w:val="0000FF"/>
        </w:rPr>
        <w:t xml:space="preserve"> </w:t>
      </w:r>
      <w:hyperlink r:id="rId145">
        <w:r>
          <w:rPr>
            <w:rFonts w:ascii="Arial" w:cs="Arial" w:eastAsia="Arial" w:hAnsi="Arial"/>
            <w:sz w:val="17"/>
            <w:szCs w:val="17"/>
            <w:u w:val="single" w:color="auto"/>
            <w:color w:val="0000FF"/>
          </w:rPr>
          <w:t>No. 1-15461) filed August 5, 2008)</w:t>
        </w:r>
        <w:r>
          <w:rPr>
            <w:rFonts w:ascii="Arial" w:cs="Arial" w:eastAsia="Arial" w:hAnsi="Arial"/>
            <w:sz w:val="17"/>
            <w:szCs w:val="17"/>
            <w:color w:val="000000"/>
          </w:rPr>
          <w:t>.</w:t>
        </w:r>
      </w:hyperlink>
    </w:p>
    <w:p>
      <w:pPr>
        <w:spacing w:after="0" w:line="42" w:lineRule="exact"/>
        <w:rPr>
          <w:sz w:val="20"/>
          <w:szCs w:val="20"/>
          <w:color w:val="auto"/>
        </w:rPr>
      </w:pPr>
    </w:p>
    <w:p>
      <w:pPr>
        <w:ind w:left="820"/>
        <w:spacing w:after="0"/>
        <w:tabs>
          <w:tab w:leader="none" w:pos="1520" w:val="left"/>
        </w:tabs>
        <w:rPr>
          <w:rFonts w:ascii="Arial" w:cs="Arial" w:eastAsia="Arial" w:hAnsi="Arial"/>
          <w:sz w:val="16"/>
          <w:szCs w:val="16"/>
          <w:u w:val="single" w:color="auto"/>
          <w:color w:val="0000FF"/>
        </w:rPr>
      </w:pPr>
      <w:r>
        <w:rPr>
          <w:rFonts w:ascii="Arial" w:cs="Arial" w:eastAsia="Arial" w:hAnsi="Arial"/>
          <w:sz w:val="17"/>
          <w:szCs w:val="17"/>
          <w:color w:val="auto"/>
        </w:rPr>
        <w:t>+10.4</w:t>
      </w:r>
      <w:r>
        <w:rPr>
          <w:sz w:val="20"/>
          <w:szCs w:val="20"/>
          <w:color w:val="auto"/>
        </w:rPr>
        <w:tab/>
      </w:r>
      <w:hyperlink r:id="rId146">
        <w:r>
          <w:rPr>
            <w:rFonts w:ascii="Arial" w:cs="Arial" w:eastAsia="Arial" w:hAnsi="Arial"/>
            <w:sz w:val="16"/>
            <w:szCs w:val="16"/>
            <w:u w:val="single" w:color="auto"/>
            <w:color w:val="0000FF"/>
          </w:rPr>
          <w:t>Amendment 3 to Matrix Service Company 2004 Stock Incentive Plan (Exhibit A to the Company’s Proxy Statement filed September 11,</w:t>
        </w:r>
      </w:hyperlink>
    </w:p>
    <w:p>
      <w:pPr>
        <w:ind w:left="1380"/>
        <w:spacing w:after="0"/>
        <w:rPr>
          <w:rFonts w:ascii="Arial" w:cs="Arial" w:eastAsia="Arial" w:hAnsi="Arial"/>
          <w:sz w:val="17"/>
          <w:szCs w:val="17"/>
          <w:color w:val="0000FF"/>
        </w:rPr>
      </w:pPr>
      <w:hyperlink r:id="rId146">
        <w:r>
          <w:rPr>
            <w:rFonts w:ascii="Arial" w:cs="Arial" w:eastAsia="Arial" w:hAnsi="Arial"/>
            <w:sz w:val="17"/>
            <w:szCs w:val="17"/>
            <w:u w:val="single" w:color="auto"/>
            <w:color w:val="0000FF"/>
          </w:rPr>
          <w:t>2009 (File No. 1-15461))</w:t>
        </w:r>
        <w:r>
          <w:rPr>
            <w:rFonts w:ascii="Arial" w:cs="Arial" w:eastAsia="Arial" w:hAnsi="Arial"/>
            <w:sz w:val="17"/>
            <w:szCs w:val="17"/>
            <w:color w:val="000000"/>
          </w:rPr>
          <w:t>.</w:t>
        </w:r>
      </w:hyperlink>
    </w:p>
    <w:p>
      <w:pPr>
        <w:spacing w:after="0" w:line="66" w:lineRule="exact"/>
        <w:rPr>
          <w:sz w:val="20"/>
          <w:szCs w:val="20"/>
          <w:color w:val="auto"/>
        </w:rPr>
      </w:pPr>
    </w:p>
    <w:p>
      <w:pPr>
        <w:ind w:left="1380" w:hanging="543"/>
        <w:spacing w:after="0" w:line="241" w:lineRule="auto"/>
        <w:tabs>
          <w:tab w:leader="none" w:pos="1360" w:val="left"/>
        </w:tabs>
        <w:rPr>
          <w:rFonts w:ascii="Arial" w:cs="Arial" w:eastAsia="Arial" w:hAnsi="Arial"/>
          <w:sz w:val="17"/>
          <w:szCs w:val="17"/>
          <w:color w:val="0000FF"/>
        </w:rPr>
      </w:pPr>
      <w:r>
        <w:rPr>
          <w:rFonts w:ascii="Arial" w:cs="Arial" w:eastAsia="Arial" w:hAnsi="Arial"/>
          <w:sz w:val="17"/>
          <w:szCs w:val="17"/>
          <w:color w:val="auto"/>
        </w:rPr>
        <w:t>+10.5</w:t>
      </w:r>
      <w:r>
        <w:rPr>
          <w:sz w:val="20"/>
          <w:szCs w:val="20"/>
          <w:color w:val="auto"/>
        </w:rPr>
        <w:tab/>
      </w:r>
      <w:hyperlink r:id="rId140">
        <w:r>
          <w:rPr>
            <w:rFonts w:ascii="Arial" w:cs="Arial" w:eastAsia="Arial" w:hAnsi="Arial"/>
            <w:sz w:val="17"/>
            <w:szCs w:val="17"/>
            <w:u w:val="single" w:color="auto"/>
            <w:color w:val="0000FF"/>
          </w:rPr>
          <w:t>Matrix Service Company 2016 Stock and Incentive Compensation Plan (Appendix B to the Company's Proxy Statement (File No. 1-15461),</w:t>
        </w:r>
      </w:hyperlink>
      <w:r>
        <w:rPr>
          <w:rFonts w:ascii="Arial" w:cs="Arial" w:eastAsia="Arial" w:hAnsi="Arial"/>
          <w:sz w:val="17"/>
          <w:szCs w:val="17"/>
          <w:u w:val="single" w:color="auto"/>
          <w:color w:val="0000FF"/>
        </w:rPr>
        <w:t xml:space="preserve"> </w:t>
      </w:r>
      <w:hyperlink r:id="rId140">
        <w:r>
          <w:rPr>
            <w:rFonts w:ascii="Arial" w:cs="Arial" w:eastAsia="Arial" w:hAnsi="Arial"/>
            <w:sz w:val="17"/>
            <w:szCs w:val="17"/>
            <w:u w:val="single" w:color="auto"/>
            <w:color w:val="0000FF"/>
          </w:rPr>
          <w:t>filed October 7, 2016)</w:t>
        </w:r>
        <w:r>
          <w:rPr>
            <w:rFonts w:ascii="Arial" w:cs="Arial" w:eastAsia="Arial" w:hAnsi="Arial"/>
            <w:sz w:val="17"/>
            <w:szCs w:val="17"/>
            <w:color w:val="000000"/>
          </w:rPr>
          <w:t>.</w:t>
        </w:r>
      </w:hyperlink>
    </w:p>
    <w:p>
      <w:pPr>
        <w:spacing w:after="0" w:line="53" w:lineRule="exact"/>
        <w:rPr>
          <w:sz w:val="20"/>
          <w:szCs w:val="20"/>
          <w:color w:val="auto"/>
        </w:rPr>
      </w:pPr>
    </w:p>
    <w:p>
      <w:pPr>
        <w:ind w:left="1380" w:right="680" w:hanging="543"/>
        <w:spacing w:after="0" w:line="241" w:lineRule="auto"/>
        <w:tabs>
          <w:tab w:leader="none" w:pos="1360" w:val="left"/>
        </w:tabs>
        <w:rPr>
          <w:rFonts w:ascii="Arial" w:cs="Arial" w:eastAsia="Arial" w:hAnsi="Arial"/>
          <w:sz w:val="17"/>
          <w:szCs w:val="17"/>
          <w:color w:val="0000FF"/>
        </w:rPr>
      </w:pPr>
      <w:r>
        <w:rPr>
          <w:rFonts w:ascii="Arial" w:cs="Arial" w:eastAsia="Arial" w:hAnsi="Arial"/>
          <w:sz w:val="17"/>
          <w:szCs w:val="17"/>
          <w:color w:val="auto"/>
        </w:rPr>
        <w:t>+10.6</w:t>
      </w:r>
      <w:r>
        <w:rPr>
          <w:sz w:val="20"/>
          <w:szCs w:val="20"/>
          <w:color w:val="auto"/>
        </w:rPr>
        <w:tab/>
      </w:r>
      <w:hyperlink r:id="rId147">
        <w:r>
          <w:rPr>
            <w:rFonts w:ascii="Arial" w:cs="Arial" w:eastAsia="Arial" w:hAnsi="Arial"/>
            <w:sz w:val="17"/>
            <w:szCs w:val="17"/>
            <w:u w:val="single" w:color="auto"/>
            <w:color w:val="0000FF"/>
          </w:rPr>
          <w:t>Form of Restricted Stock Unit Award Agreement for Directors (2016 Stock and Incentive Compensation Plan) (Exhibit 10.2 to the</w:t>
        </w:r>
      </w:hyperlink>
      <w:r>
        <w:rPr>
          <w:rFonts w:ascii="Arial" w:cs="Arial" w:eastAsia="Arial" w:hAnsi="Arial"/>
          <w:sz w:val="17"/>
          <w:szCs w:val="17"/>
          <w:u w:val="single" w:color="auto"/>
          <w:color w:val="0000FF"/>
        </w:rPr>
        <w:t xml:space="preserve"> </w:t>
      </w:r>
      <w:hyperlink r:id="rId147">
        <w:r>
          <w:rPr>
            <w:rFonts w:ascii="Arial" w:cs="Arial" w:eastAsia="Arial" w:hAnsi="Arial"/>
            <w:sz w:val="17"/>
            <w:szCs w:val="17"/>
            <w:u w:val="single" w:color="auto"/>
            <w:color w:val="0000FF"/>
          </w:rPr>
          <w:t>Company's Quarterly Report on Form 10-Q (File No. 1-15461), filed February 9, 2017)</w:t>
        </w:r>
        <w:r>
          <w:rPr>
            <w:rFonts w:ascii="Arial" w:cs="Arial" w:eastAsia="Arial" w:hAnsi="Arial"/>
            <w:sz w:val="17"/>
            <w:szCs w:val="17"/>
            <w:color w:val="000000"/>
          </w:rPr>
          <w:t>.</w:t>
        </w:r>
      </w:hyperlink>
    </w:p>
    <w:p>
      <w:pPr>
        <w:spacing w:after="0" w:line="53" w:lineRule="exact"/>
        <w:rPr>
          <w:sz w:val="20"/>
          <w:szCs w:val="20"/>
          <w:color w:val="auto"/>
        </w:rPr>
      </w:pPr>
    </w:p>
    <w:p>
      <w:pPr>
        <w:ind w:left="1380" w:right="180" w:hanging="543"/>
        <w:spacing w:after="0" w:line="241" w:lineRule="auto"/>
        <w:tabs>
          <w:tab w:leader="none" w:pos="1360" w:val="left"/>
        </w:tabs>
        <w:rPr>
          <w:rFonts w:ascii="Arial" w:cs="Arial" w:eastAsia="Arial" w:hAnsi="Arial"/>
          <w:sz w:val="17"/>
          <w:szCs w:val="17"/>
          <w:u w:val="single" w:color="auto"/>
          <w:color w:val="0000FF"/>
        </w:rPr>
      </w:pPr>
      <w:r>
        <w:rPr>
          <w:rFonts w:ascii="Arial" w:cs="Arial" w:eastAsia="Arial" w:hAnsi="Arial"/>
          <w:sz w:val="17"/>
          <w:szCs w:val="17"/>
          <w:color w:val="auto"/>
        </w:rPr>
        <w:t>+10.7</w:t>
      </w:r>
      <w:r>
        <w:rPr>
          <w:sz w:val="20"/>
          <w:szCs w:val="20"/>
          <w:color w:val="auto"/>
        </w:rPr>
        <w:tab/>
      </w:r>
      <w:hyperlink r:id="rId148">
        <w:r>
          <w:rPr>
            <w:rFonts w:ascii="Arial" w:cs="Arial" w:eastAsia="Arial" w:hAnsi="Arial"/>
            <w:sz w:val="17"/>
            <w:szCs w:val="17"/>
            <w:u w:val="single" w:color="auto"/>
            <w:color w:val="0000FF"/>
          </w:rPr>
          <w:t>Form of Long-Term Incentive Award Agreement (2016 Stock and Incentive Compensation Plan) (Exhibit 10.11 to the Company's Annual</w:t>
        </w:r>
      </w:hyperlink>
      <w:r>
        <w:rPr>
          <w:rFonts w:ascii="Arial" w:cs="Arial" w:eastAsia="Arial" w:hAnsi="Arial"/>
          <w:sz w:val="17"/>
          <w:szCs w:val="17"/>
          <w:u w:val="single" w:color="auto"/>
          <w:color w:val="0000FF"/>
        </w:rPr>
        <w:t xml:space="preserve"> </w:t>
      </w:r>
      <w:hyperlink r:id="rId148">
        <w:r>
          <w:rPr>
            <w:rFonts w:ascii="Arial" w:cs="Arial" w:eastAsia="Arial" w:hAnsi="Arial"/>
            <w:sz w:val="17"/>
            <w:szCs w:val="17"/>
            <w:u w:val="single" w:color="auto"/>
            <w:color w:val="0000FF"/>
          </w:rPr>
          <w:t>Report on Form 10-K/A (File No. 1-15461), filed September 19, 2018).</w:t>
        </w:r>
      </w:hyperlink>
    </w:p>
    <w:p>
      <w:pPr>
        <w:spacing w:after="0" w:line="42" w:lineRule="exact"/>
        <w:rPr>
          <w:sz w:val="20"/>
          <w:szCs w:val="20"/>
          <w:color w:val="auto"/>
        </w:rPr>
      </w:pPr>
    </w:p>
    <w:p>
      <w:pPr>
        <w:ind w:left="820"/>
        <w:spacing w:after="0"/>
        <w:tabs>
          <w:tab w:leader="none" w:pos="1520" w:val="left"/>
        </w:tabs>
        <w:rPr>
          <w:rFonts w:ascii="Arial" w:cs="Arial" w:eastAsia="Arial" w:hAnsi="Arial"/>
          <w:sz w:val="15"/>
          <w:szCs w:val="15"/>
          <w:u w:val="single" w:color="auto"/>
          <w:color w:val="0000FF"/>
        </w:rPr>
      </w:pPr>
      <w:r>
        <w:rPr>
          <w:rFonts w:ascii="Arial" w:cs="Arial" w:eastAsia="Arial" w:hAnsi="Arial"/>
          <w:sz w:val="17"/>
          <w:szCs w:val="17"/>
          <w:color w:val="auto"/>
        </w:rPr>
        <w:t>+10.8</w:t>
      </w:r>
      <w:r>
        <w:rPr>
          <w:sz w:val="20"/>
          <w:szCs w:val="20"/>
          <w:color w:val="auto"/>
        </w:rPr>
        <w:tab/>
      </w:r>
      <w:hyperlink r:id="rId149">
        <w:r>
          <w:rPr>
            <w:rFonts w:ascii="Arial" w:cs="Arial" w:eastAsia="Arial" w:hAnsi="Arial"/>
            <w:sz w:val="15"/>
            <w:szCs w:val="15"/>
            <w:u w:val="single" w:color="auto"/>
            <w:color w:val="0000FF"/>
          </w:rPr>
          <w:t>Matrix Service Company 2018 Stock and Incentive Compensation Plan (Appendix A to the Company's Proxy Statement (File No. 1-</w:t>
        </w:r>
      </w:hyperlink>
    </w:p>
    <w:p>
      <w:pPr>
        <w:ind w:left="1380"/>
        <w:spacing w:after="0"/>
        <w:rPr>
          <w:rFonts w:ascii="Arial" w:cs="Arial" w:eastAsia="Arial" w:hAnsi="Arial"/>
          <w:sz w:val="17"/>
          <w:szCs w:val="17"/>
          <w:u w:val="single" w:color="auto"/>
          <w:color w:val="0000FF"/>
        </w:rPr>
      </w:pPr>
      <w:hyperlink r:id="rId149">
        <w:r>
          <w:rPr>
            <w:rFonts w:ascii="Arial" w:cs="Arial" w:eastAsia="Arial" w:hAnsi="Arial"/>
            <w:sz w:val="17"/>
            <w:szCs w:val="17"/>
            <w:u w:val="single" w:color="auto"/>
            <w:color w:val="0000FF"/>
          </w:rPr>
          <w:t>15461), filed September 21, 2018).</w:t>
        </w:r>
      </w:hyperlink>
    </w:p>
    <w:p>
      <w:pPr>
        <w:spacing w:after="0" w:line="66" w:lineRule="exact"/>
        <w:rPr>
          <w:sz w:val="20"/>
          <w:szCs w:val="20"/>
          <w:color w:val="auto"/>
        </w:rPr>
      </w:pPr>
    </w:p>
    <w:p>
      <w:pPr>
        <w:ind w:left="1380" w:hanging="543"/>
        <w:spacing w:after="0" w:line="241" w:lineRule="auto"/>
        <w:tabs>
          <w:tab w:leader="none" w:pos="1360" w:val="left"/>
        </w:tabs>
        <w:rPr>
          <w:rFonts w:ascii="Arial" w:cs="Arial" w:eastAsia="Arial" w:hAnsi="Arial"/>
          <w:sz w:val="17"/>
          <w:szCs w:val="17"/>
          <w:u w:val="single" w:color="auto"/>
          <w:color w:val="0000FF"/>
        </w:rPr>
      </w:pPr>
      <w:r>
        <w:rPr>
          <w:rFonts w:ascii="Arial" w:cs="Arial" w:eastAsia="Arial" w:hAnsi="Arial"/>
          <w:sz w:val="17"/>
          <w:szCs w:val="17"/>
          <w:color w:val="auto"/>
        </w:rPr>
        <w:t>+10.9</w:t>
      </w:r>
      <w:r>
        <w:rPr>
          <w:sz w:val="20"/>
          <w:szCs w:val="20"/>
          <w:color w:val="auto"/>
        </w:rPr>
        <w:tab/>
      </w:r>
      <w:hyperlink r:id="rId150">
        <w:r>
          <w:rPr>
            <w:rFonts w:ascii="Arial" w:cs="Arial" w:eastAsia="Arial" w:hAnsi="Arial"/>
            <w:sz w:val="17"/>
            <w:szCs w:val="17"/>
            <w:u w:val="single" w:color="auto"/>
            <w:color w:val="0000FF"/>
          </w:rPr>
          <w:t>Form of Restricted Stock Unit Award Agreement for Directors (2018 Stock and Incentive Compensation Plan) (Exhibit 10 to the Company's</w:t>
        </w:r>
      </w:hyperlink>
      <w:r>
        <w:rPr>
          <w:rFonts w:ascii="Arial" w:cs="Arial" w:eastAsia="Arial" w:hAnsi="Arial"/>
          <w:sz w:val="17"/>
          <w:szCs w:val="17"/>
          <w:u w:val="single" w:color="auto"/>
          <w:color w:val="0000FF"/>
        </w:rPr>
        <w:t xml:space="preserve"> </w:t>
      </w:r>
      <w:hyperlink r:id="rId150">
        <w:r>
          <w:rPr>
            <w:rFonts w:ascii="Arial" w:cs="Arial" w:eastAsia="Arial" w:hAnsi="Arial"/>
            <w:sz w:val="17"/>
            <w:szCs w:val="17"/>
            <w:u w:val="single" w:color="auto"/>
            <w:color w:val="0000FF"/>
          </w:rPr>
          <w:t>Quarterly Report on Form 10-Q (File No. 1-15461), filed November 8, 2018).</w:t>
        </w:r>
      </w:hyperlink>
    </w:p>
    <w:p>
      <w:pPr>
        <w:spacing w:after="0" w:line="53" w:lineRule="exact"/>
        <w:rPr>
          <w:sz w:val="20"/>
          <w:szCs w:val="20"/>
          <w:color w:val="auto"/>
        </w:rPr>
      </w:pPr>
    </w:p>
    <w:p>
      <w:pPr>
        <w:ind w:left="1380" w:right="140" w:hanging="630"/>
        <w:spacing w:after="0" w:line="273" w:lineRule="auto"/>
        <w:tabs>
          <w:tab w:leader="none" w:pos="1360" w:val="left"/>
        </w:tabs>
        <w:rPr>
          <w:rFonts w:ascii="Arial" w:cs="Arial" w:eastAsia="Arial" w:hAnsi="Arial"/>
          <w:sz w:val="17"/>
          <w:szCs w:val="17"/>
          <w:u w:val="single" w:color="auto"/>
          <w:color w:val="0000FF"/>
        </w:rPr>
      </w:pPr>
      <w:r>
        <w:rPr>
          <w:rFonts w:ascii="Arial" w:cs="Arial" w:eastAsia="Arial" w:hAnsi="Arial"/>
          <w:sz w:val="17"/>
          <w:szCs w:val="17"/>
          <w:color w:val="auto"/>
        </w:rPr>
        <w:t>+10.10</w:t>
      </w:r>
      <w:r>
        <w:rPr>
          <w:sz w:val="20"/>
          <w:szCs w:val="20"/>
          <w:color w:val="auto"/>
        </w:rPr>
        <w:tab/>
      </w:r>
      <w:hyperlink r:id="rId151">
        <w:r>
          <w:rPr>
            <w:rFonts w:ascii="Arial" w:cs="Arial" w:eastAsia="Arial" w:hAnsi="Arial"/>
            <w:sz w:val="17"/>
            <w:szCs w:val="17"/>
            <w:u w:val="single" w:color="auto"/>
            <w:color w:val="0000FF"/>
          </w:rPr>
          <w:t>Form of Restricted Stock Unit Agreement for Employees (2018 Stock and Incentive Compensation Plan) (Exhibit 10.14 to the Company's</w:t>
        </w:r>
      </w:hyperlink>
      <w:r>
        <w:rPr>
          <w:rFonts w:ascii="Arial" w:cs="Arial" w:eastAsia="Arial" w:hAnsi="Arial"/>
          <w:sz w:val="17"/>
          <w:szCs w:val="17"/>
          <w:u w:val="single" w:color="auto"/>
          <w:color w:val="0000FF"/>
        </w:rPr>
        <w:t xml:space="preserve"> </w:t>
      </w:r>
      <w:hyperlink r:id="rId151">
        <w:r>
          <w:rPr>
            <w:rFonts w:ascii="Arial" w:cs="Arial" w:eastAsia="Arial" w:hAnsi="Arial"/>
            <w:sz w:val="17"/>
            <w:szCs w:val="17"/>
            <w:u w:val="single" w:color="auto"/>
            <w:color w:val="0000FF"/>
          </w:rPr>
          <w:t>Annual Report on Form 10-K (File No. 1-15461), filed September 3, 2020).</w:t>
        </w:r>
      </w:hyperlink>
    </w:p>
    <w:p>
      <w:pPr>
        <w:spacing w:after="0" w:line="54" w:lineRule="exact"/>
        <w:rPr>
          <w:sz w:val="20"/>
          <w:szCs w:val="20"/>
          <w:color w:val="auto"/>
        </w:rPr>
      </w:pPr>
    </w:p>
    <w:p>
      <w:pPr>
        <w:ind w:left="1380" w:right="160" w:hanging="624"/>
        <w:spacing w:after="0" w:line="273" w:lineRule="auto"/>
        <w:tabs>
          <w:tab w:leader="none" w:pos="1360" w:val="left"/>
        </w:tabs>
        <w:rPr>
          <w:rFonts w:ascii="Arial" w:cs="Arial" w:eastAsia="Arial" w:hAnsi="Arial"/>
          <w:sz w:val="17"/>
          <w:szCs w:val="17"/>
          <w:u w:val="single" w:color="auto"/>
          <w:color w:val="0000FF"/>
        </w:rPr>
      </w:pPr>
      <w:r>
        <w:rPr>
          <w:rFonts w:ascii="Arial" w:cs="Arial" w:eastAsia="Arial" w:hAnsi="Arial"/>
          <w:sz w:val="17"/>
          <w:szCs w:val="17"/>
          <w:color w:val="auto"/>
        </w:rPr>
        <w:t>+10.11</w:t>
      </w:r>
      <w:r>
        <w:rPr>
          <w:sz w:val="20"/>
          <w:szCs w:val="20"/>
          <w:color w:val="auto"/>
        </w:rPr>
        <w:tab/>
      </w:r>
      <w:hyperlink r:id="rId152">
        <w:r>
          <w:rPr>
            <w:rFonts w:ascii="Arial" w:cs="Arial" w:eastAsia="Arial" w:hAnsi="Arial"/>
            <w:sz w:val="17"/>
            <w:szCs w:val="17"/>
            <w:u w:val="single" w:color="auto"/>
            <w:color w:val="0000FF"/>
          </w:rPr>
          <w:t>Form of Long-Term Incentive Award Agreement (2018 Stock and Incentive Compensation Plan) (Exhibit 10.15 to the Company's Annual</w:t>
        </w:r>
      </w:hyperlink>
      <w:r>
        <w:rPr>
          <w:rFonts w:ascii="Arial" w:cs="Arial" w:eastAsia="Arial" w:hAnsi="Arial"/>
          <w:sz w:val="17"/>
          <w:szCs w:val="17"/>
          <w:u w:val="single" w:color="auto"/>
          <w:color w:val="0000FF"/>
        </w:rPr>
        <w:t xml:space="preserve"> </w:t>
      </w:r>
      <w:hyperlink r:id="rId152">
        <w:r>
          <w:rPr>
            <w:rFonts w:ascii="Arial" w:cs="Arial" w:eastAsia="Arial" w:hAnsi="Arial"/>
            <w:sz w:val="17"/>
            <w:szCs w:val="17"/>
            <w:u w:val="single" w:color="auto"/>
            <w:color w:val="0000FF"/>
          </w:rPr>
          <w:t>Report on Form 10-K (File No. 1-15461), filed September 3, 2020).</w:t>
        </w:r>
      </w:hyperlink>
    </w:p>
    <w:p>
      <w:pPr>
        <w:spacing w:after="0" w:line="54" w:lineRule="exact"/>
        <w:rPr>
          <w:sz w:val="20"/>
          <w:szCs w:val="20"/>
          <w:color w:val="auto"/>
        </w:rPr>
      </w:pPr>
    </w:p>
    <w:p>
      <w:pPr>
        <w:ind w:left="1380" w:right="40" w:hanging="630"/>
        <w:spacing w:after="0" w:line="241" w:lineRule="auto"/>
        <w:tabs>
          <w:tab w:leader="none" w:pos="1360" w:val="left"/>
        </w:tabs>
        <w:rPr>
          <w:rFonts w:ascii="Arial" w:cs="Arial" w:eastAsia="Arial" w:hAnsi="Arial"/>
          <w:sz w:val="17"/>
          <w:szCs w:val="17"/>
          <w:color w:val="0000FF"/>
        </w:rPr>
      </w:pPr>
      <w:r>
        <w:rPr>
          <w:rFonts w:ascii="Arial" w:cs="Arial" w:eastAsia="Arial" w:hAnsi="Arial"/>
          <w:sz w:val="17"/>
          <w:szCs w:val="17"/>
          <w:color w:val="auto"/>
        </w:rPr>
        <w:t>+10.12</w:t>
      </w:r>
      <w:r>
        <w:rPr>
          <w:sz w:val="20"/>
          <w:szCs w:val="20"/>
          <w:color w:val="auto"/>
        </w:rPr>
        <w:tab/>
      </w:r>
      <w:hyperlink r:id="rId153">
        <w:r>
          <w:rPr>
            <w:rFonts w:ascii="Arial" w:cs="Arial" w:eastAsia="Arial" w:hAnsi="Arial"/>
            <w:sz w:val="17"/>
            <w:szCs w:val="17"/>
            <w:u w:val="single" w:color="auto"/>
            <w:color w:val="0000FF"/>
          </w:rPr>
          <w:t>Form of Amended and Restated Severance Agreement (Exhibit 10 to the Company's Current Report on Form 8-K filed November 15, 2016</w:t>
        </w:r>
      </w:hyperlink>
      <w:r>
        <w:rPr>
          <w:rFonts w:ascii="Arial" w:cs="Arial" w:eastAsia="Arial" w:hAnsi="Arial"/>
          <w:sz w:val="17"/>
          <w:szCs w:val="17"/>
          <w:u w:val="single" w:color="auto"/>
          <w:color w:val="0000FF"/>
        </w:rPr>
        <w:t xml:space="preserve"> </w:t>
      </w:r>
      <w:hyperlink r:id="rId153">
        <w:r>
          <w:rPr>
            <w:rFonts w:ascii="Arial" w:cs="Arial" w:eastAsia="Arial" w:hAnsi="Arial"/>
            <w:sz w:val="17"/>
            <w:szCs w:val="17"/>
            <w:u w:val="single" w:color="auto"/>
            <w:color w:val="0000FF"/>
          </w:rPr>
          <w:t>(File No. 1-15461))</w:t>
        </w:r>
        <w:r>
          <w:rPr>
            <w:rFonts w:ascii="Arial" w:cs="Arial" w:eastAsia="Arial" w:hAnsi="Arial"/>
            <w:sz w:val="17"/>
            <w:szCs w:val="17"/>
            <w:color w:val="000000"/>
          </w:rPr>
          <w:t>.</w:t>
        </w:r>
      </w:hyperlink>
    </w:p>
    <w:p>
      <w:pPr>
        <w:spacing w:after="0" w:line="53" w:lineRule="exact"/>
        <w:rPr>
          <w:sz w:val="20"/>
          <w:szCs w:val="20"/>
          <w:color w:val="auto"/>
        </w:rPr>
      </w:pPr>
    </w:p>
    <w:p>
      <w:pPr>
        <w:ind w:left="1380" w:right="400" w:hanging="630"/>
        <w:spacing w:after="0" w:line="241" w:lineRule="auto"/>
        <w:tabs>
          <w:tab w:leader="none" w:pos="1360" w:val="left"/>
        </w:tabs>
        <w:rPr>
          <w:rFonts w:ascii="Arial" w:cs="Arial" w:eastAsia="Arial" w:hAnsi="Arial"/>
          <w:sz w:val="17"/>
          <w:szCs w:val="17"/>
          <w:color w:val="0000FF"/>
        </w:rPr>
      </w:pPr>
      <w:r>
        <w:rPr>
          <w:rFonts w:ascii="Arial" w:cs="Arial" w:eastAsia="Arial" w:hAnsi="Arial"/>
          <w:sz w:val="17"/>
          <w:szCs w:val="17"/>
          <w:color w:val="auto"/>
        </w:rPr>
        <w:t>+10.13</w:t>
      </w:r>
      <w:r>
        <w:rPr>
          <w:sz w:val="20"/>
          <w:szCs w:val="20"/>
          <w:color w:val="auto"/>
        </w:rPr>
        <w:tab/>
      </w:r>
      <w:hyperlink r:id="rId154">
        <w:r>
          <w:rPr>
            <w:rFonts w:ascii="Arial" w:cs="Arial" w:eastAsia="Arial" w:hAnsi="Arial"/>
            <w:sz w:val="17"/>
            <w:szCs w:val="17"/>
            <w:u w:val="single" w:color="auto"/>
            <w:color w:val="0000FF"/>
          </w:rPr>
          <w:t>Amended and Restated Deferred Compensation Plan for Members of the Board of Directors (Exhibit 10.1 to the Company’s Quarterly</w:t>
        </w:r>
      </w:hyperlink>
      <w:r>
        <w:rPr>
          <w:rFonts w:ascii="Arial" w:cs="Arial" w:eastAsia="Arial" w:hAnsi="Arial"/>
          <w:sz w:val="17"/>
          <w:szCs w:val="17"/>
          <w:u w:val="single" w:color="auto"/>
          <w:color w:val="0000FF"/>
        </w:rPr>
        <w:t xml:space="preserve"> </w:t>
      </w:r>
      <w:hyperlink r:id="rId154">
        <w:r>
          <w:rPr>
            <w:rFonts w:ascii="Arial" w:cs="Arial" w:eastAsia="Arial" w:hAnsi="Arial"/>
            <w:sz w:val="17"/>
            <w:szCs w:val="17"/>
            <w:u w:val="single" w:color="auto"/>
            <w:color w:val="0000FF"/>
          </w:rPr>
          <w:t>Report on Form 10-Q (File No. 1-15461) filed January 8, 2009)</w:t>
        </w:r>
        <w:r>
          <w:rPr>
            <w:rFonts w:ascii="Arial" w:cs="Arial" w:eastAsia="Arial" w:hAnsi="Arial"/>
            <w:sz w:val="17"/>
            <w:szCs w:val="17"/>
            <w:color w:val="000000"/>
          </w:rPr>
          <w:t>.</w:t>
        </w:r>
      </w:hyperlink>
    </w:p>
    <w:p>
      <w:pPr>
        <w:spacing w:after="0" w:line="53" w:lineRule="exact"/>
        <w:rPr>
          <w:sz w:val="20"/>
          <w:szCs w:val="20"/>
          <w:color w:val="auto"/>
        </w:rPr>
      </w:pPr>
    </w:p>
    <w:p>
      <w:pPr>
        <w:ind w:left="1380" w:right="60" w:hanging="630"/>
        <w:spacing w:after="0" w:line="241" w:lineRule="auto"/>
        <w:tabs>
          <w:tab w:leader="none" w:pos="1360" w:val="left"/>
        </w:tabs>
        <w:rPr>
          <w:rFonts w:ascii="Arial" w:cs="Arial" w:eastAsia="Arial" w:hAnsi="Arial"/>
          <w:sz w:val="17"/>
          <w:szCs w:val="17"/>
          <w:color w:val="0000FF"/>
        </w:rPr>
      </w:pPr>
      <w:r>
        <w:rPr>
          <w:rFonts w:ascii="Arial" w:cs="Arial" w:eastAsia="Arial" w:hAnsi="Arial"/>
          <w:sz w:val="17"/>
          <w:szCs w:val="17"/>
          <w:color w:val="auto"/>
        </w:rPr>
        <w:t>+10.14</w:t>
      </w:r>
      <w:r>
        <w:rPr>
          <w:sz w:val="20"/>
          <w:szCs w:val="20"/>
          <w:color w:val="auto"/>
        </w:rPr>
        <w:tab/>
      </w:r>
      <w:hyperlink r:id="rId155">
        <w:r>
          <w:rPr>
            <w:rFonts w:ascii="Arial" w:cs="Arial" w:eastAsia="Arial" w:hAnsi="Arial"/>
            <w:sz w:val="17"/>
            <w:szCs w:val="17"/>
            <w:u w:val="single" w:color="auto"/>
            <w:color w:val="0000FF"/>
          </w:rPr>
          <w:t>Amendment 1 to Amended and Restated Deferred Compensation Plan for Members of the Board of Directors (Exhibit 10 to the Company's</w:t>
        </w:r>
      </w:hyperlink>
      <w:r>
        <w:rPr>
          <w:rFonts w:ascii="Arial" w:cs="Arial" w:eastAsia="Arial" w:hAnsi="Arial"/>
          <w:sz w:val="17"/>
          <w:szCs w:val="17"/>
          <w:u w:val="single" w:color="auto"/>
          <w:color w:val="0000FF"/>
        </w:rPr>
        <w:t xml:space="preserve"> </w:t>
      </w:r>
      <w:hyperlink r:id="rId155">
        <w:r>
          <w:rPr>
            <w:rFonts w:ascii="Arial" w:cs="Arial" w:eastAsia="Arial" w:hAnsi="Arial"/>
            <w:sz w:val="17"/>
            <w:szCs w:val="17"/>
            <w:u w:val="single" w:color="auto"/>
            <w:color w:val="0000FF"/>
          </w:rPr>
          <w:t>Quarterly Report on Form 10-Q (File No. 1-15461) filed November 9, 2012)</w:t>
        </w:r>
        <w:r>
          <w:rPr>
            <w:rFonts w:ascii="Arial" w:cs="Arial" w:eastAsia="Arial" w:hAnsi="Arial"/>
            <w:sz w:val="17"/>
            <w:szCs w:val="17"/>
            <w:color w:val="000000"/>
          </w:rPr>
          <w:t>.</w:t>
        </w:r>
      </w:hyperlink>
    </w:p>
    <w:p>
      <w:pPr>
        <w:spacing w:after="0" w:line="53" w:lineRule="exact"/>
        <w:rPr>
          <w:sz w:val="20"/>
          <w:szCs w:val="20"/>
          <w:color w:val="auto"/>
        </w:rPr>
      </w:pPr>
    </w:p>
    <w:p>
      <w:pPr>
        <w:ind w:left="1380" w:right="20" w:hanging="630"/>
        <w:spacing w:after="0" w:line="241" w:lineRule="auto"/>
        <w:tabs>
          <w:tab w:leader="none" w:pos="1360" w:val="left"/>
        </w:tabs>
        <w:rPr>
          <w:rFonts w:ascii="Arial" w:cs="Arial" w:eastAsia="Arial" w:hAnsi="Arial"/>
          <w:sz w:val="17"/>
          <w:szCs w:val="17"/>
          <w:color w:val="0000FF"/>
        </w:rPr>
      </w:pPr>
      <w:r>
        <w:rPr>
          <w:rFonts w:ascii="Arial" w:cs="Arial" w:eastAsia="Arial" w:hAnsi="Arial"/>
          <w:sz w:val="17"/>
          <w:szCs w:val="17"/>
          <w:color w:val="auto"/>
        </w:rPr>
        <w:t>+10.15</w:t>
      </w:r>
      <w:r>
        <w:rPr>
          <w:sz w:val="20"/>
          <w:szCs w:val="20"/>
          <w:color w:val="auto"/>
        </w:rPr>
        <w:tab/>
      </w:r>
      <w:hyperlink r:id="rId156">
        <w:r>
          <w:rPr>
            <w:rFonts w:ascii="Arial" w:cs="Arial" w:eastAsia="Arial" w:hAnsi="Arial"/>
            <w:sz w:val="17"/>
            <w:szCs w:val="17"/>
            <w:u w:val="single" w:color="auto"/>
            <w:color w:val="0000FF"/>
          </w:rPr>
          <w:t>Matrix Service Company 2020 Stock and Incentive Compensation Plan (Appendix A to the Company's Proxy Statement (File No. 1-15461)</w:t>
        </w:r>
      </w:hyperlink>
      <w:r>
        <w:rPr>
          <w:rFonts w:ascii="Arial" w:cs="Arial" w:eastAsia="Arial" w:hAnsi="Arial"/>
          <w:sz w:val="17"/>
          <w:szCs w:val="17"/>
          <w:u w:val="single" w:color="auto"/>
          <w:color w:val="0000FF"/>
        </w:rPr>
        <w:t xml:space="preserve"> </w:t>
      </w:r>
      <w:hyperlink r:id="rId156">
        <w:r>
          <w:rPr>
            <w:rFonts w:ascii="Arial" w:cs="Arial" w:eastAsia="Arial" w:hAnsi="Arial"/>
            <w:sz w:val="17"/>
            <w:szCs w:val="17"/>
            <w:u w:val="single" w:color="auto"/>
            <w:color w:val="0000FF"/>
          </w:rPr>
          <w:t>filed on September 24, 2020).</w:t>
        </w:r>
        <w:r>
          <w:rPr>
            <w:rFonts w:ascii="Arial" w:cs="Arial" w:eastAsia="Arial" w:hAnsi="Arial"/>
            <w:sz w:val="17"/>
            <w:szCs w:val="17"/>
            <w:color w:val="000000"/>
          </w:rPr>
          <w:t>.</w:t>
        </w:r>
      </w:hyperlink>
    </w:p>
    <w:p>
      <w:pPr>
        <w:spacing w:after="0" w:line="53" w:lineRule="exact"/>
        <w:rPr>
          <w:sz w:val="20"/>
          <w:szCs w:val="20"/>
          <w:color w:val="auto"/>
        </w:rPr>
      </w:pPr>
    </w:p>
    <w:p>
      <w:pPr>
        <w:ind w:left="660"/>
        <w:spacing w:after="0"/>
        <w:tabs>
          <w:tab w:leader="none" w:pos="1520" w:val="left"/>
        </w:tabs>
        <w:rPr>
          <w:rFonts w:ascii="Arial" w:cs="Arial" w:eastAsia="Arial" w:hAnsi="Arial"/>
          <w:sz w:val="15"/>
          <w:szCs w:val="15"/>
          <w:u w:val="single" w:color="auto"/>
          <w:color w:val="0000FF"/>
        </w:rPr>
      </w:pPr>
      <w:r>
        <w:rPr>
          <w:rFonts w:ascii="Arial" w:cs="Arial" w:eastAsia="Arial" w:hAnsi="Arial"/>
          <w:sz w:val="17"/>
          <w:szCs w:val="17"/>
          <w:color w:val="auto"/>
        </w:rPr>
        <w:t>*+10.16</w:t>
      </w:r>
      <w:r>
        <w:rPr>
          <w:sz w:val="20"/>
          <w:szCs w:val="20"/>
          <w:color w:val="auto"/>
        </w:rPr>
        <w:tab/>
      </w:r>
      <w:hyperlink w:anchor="page94">
        <w:r>
          <w:rPr>
            <w:rFonts w:ascii="Arial" w:cs="Arial" w:eastAsia="Arial" w:hAnsi="Arial"/>
            <w:sz w:val="15"/>
            <w:szCs w:val="15"/>
            <w:u w:val="single" w:color="auto"/>
            <w:color w:val="0000FF"/>
          </w:rPr>
          <w:t>Form of Long-Term Incentive Award Agreement (2020 Stock and Incentive Compensation Plan).</w:t>
        </w:r>
      </w:hyperlink>
    </w:p>
    <w:p>
      <w:pPr>
        <w:spacing w:after="0" w:line="80" w:lineRule="exact"/>
        <w:rPr>
          <w:sz w:val="20"/>
          <w:szCs w:val="20"/>
          <w:color w:val="auto"/>
        </w:rPr>
      </w:pPr>
    </w:p>
    <w:p>
      <w:pPr>
        <w:ind w:left="660"/>
        <w:spacing w:after="0"/>
        <w:tabs>
          <w:tab w:leader="none" w:pos="1520" w:val="left"/>
        </w:tabs>
        <w:rPr>
          <w:rFonts w:ascii="Arial" w:cs="Arial" w:eastAsia="Arial" w:hAnsi="Arial"/>
          <w:sz w:val="15"/>
          <w:szCs w:val="15"/>
          <w:u w:val="single" w:color="auto"/>
          <w:color w:val="0000FF"/>
        </w:rPr>
      </w:pPr>
      <w:r>
        <w:rPr>
          <w:rFonts w:ascii="Arial" w:cs="Arial" w:eastAsia="Arial" w:hAnsi="Arial"/>
          <w:sz w:val="17"/>
          <w:szCs w:val="17"/>
          <w:color w:val="auto"/>
        </w:rPr>
        <w:t>*+10.17</w:t>
      </w:r>
      <w:r>
        <w:rPr>
          <w:sz w:val="20"/>
          <w:szCs w:val="20"/>
          <w:color w:val="auto"/>
        </w:rPr>
        <w:tab/>
      </w:r>
      <w:hyperlink w:anchor="page105">
        <w:r>
          <w:rPr>
            <w:rFonts w:ascii="Arial" w:cs="Arial" w:eastAsia="Arial" w:hAnsi="Arial"/>
            <w:sz w:val="15"/>
            <w:szCs w:val="15"/>
            <w:u w:val="single" w:color="auto"/>
            <w:color w:val="0000FF"/>
          </w:rPr>
          <w:t>Form of Restricted Stock Unit Award Agreement (2020 Stock and Incentive Compensation Plan).</w:t>
        </w:r>
      </w:hyperlink>
    </w:p>
    <w:p>
      <w:pPr>
        <w:spacing w:after="0" w:line="69" w:lineRule="exact"/>
        <w:rPr>
          <w:sz w:val="20"/>
          <w:szCs w:val="20"/>
          <w:color w:val="auto"/>
        </w:rPr>
      </w:pPr>
    </w:p>
    <w:p>
      <w:pPr>
        <w:ind w:left="740"/>
        <w:spacing w:after="0"/>
        <w:tabs>
          <w:tab w:leader="none" w:pos="1520" w:val="left"/>
        </w:tabs>
        <w:rPr>
          <w:rFonts w:ascii="Arial" w:cs="Arial" w:eastAsia="Arial" w:hAnsi="Arial"/>
          <w:sz w:val="16"/>
          <w:szCs w:val="16"/>
          <w:u w:val="single" w:color="auto"/>
          <w:color w:val="0000FF"/>
        </w:rPr>
      </w:pPr>
      <w:r>
        <w:rPr>
          <w:rFonts w:ascii="Arial" w:cs="Arial" w:eastAsia="Arial" w:hAnsi="Arial"/>
          <w:sz w:val="17"/>
          <w:szCs w:val="17"/>
          <w:color w:val="auto"/>
        </w:rPr>
        <w:t>+10.18</w:t>
      </w:r>
      <w:r>
        <w:rPr>
          <w:sz w:val="20"/>
          <w:szCs w:val="20"/>
          <w:color w:val="auto"/>
        </w:rPr>
        <w:tab/>
      </w:r>
      <w:hyperlink r:id="rId157">
        <w:r>
          <w:rPr>
            <w:rFonts w:ascii="Arial" w:cs="Arial" w:eastAsia="Arial" w:hAnsi="Arial"/>
            <w:sz w:val="16"/>
            <w:szCs w:val="16"/>
            <w:u w:val="single" w:color="auto"/>
            <w:color w:val="0000FF"/>
          </w:rPr>
          <w:t>Form of Indemnification Agreement (Exhibit 10 to the Company's Quarterly Report on Form 10-Q (File No. 1-15461) filed November 7,</w:t>
        </w:r>
      </w:hyperlink>
    </w:p>
    <w:p>
      <w:pPr>
        <w:ind w:left="1380"/>
        <w:spacing w:after="0"/>
        <w:rPr>
          <w:rFonts w:ascii="Arial" w:cs="Arial" w:eastAsia="Arial" w:hAnsi="Arial"/>
          <w:sz w:val="17"/>
          <w:szCs w:val="17"/>
          <w:u w:val="single" w:color="auto"/>
          <w:color w:val="0000FF"/>
        </w:rPr>
      </w:pPr>
      <w:hyperlink r:id="rId157">
        <w:r>
          <w:rPr>
            <w:rFonts w:ascii="Arial" w:cs="Arial" w:eastAsia="Arial" w:hAnsi="Arial"/>
            <w:sz w:val="17"/>
            <w:szCs w:val="17"/>
            <w:u w:val="single" w:color="auto"/>
            <w:color w:val="0000FF"/>
          </w:rPr>
          <w:t>2019).</w:t>
        </w:r>
      </w:hyperlink>
    </w:p>
    <w:p>
      <w:pPr>
        <w:spacing w:after="0" w:line="66" w:lineRule="exact"/>
        <w:rPr>
          <w:sz w:val="20"/>
          <w:szCs w:val="20"/>
          <w:color w:val="auto"/>
        </w:rPr>
      </w:pPr>
    </w:p>
    <w:p>
      <w:pPr>
        <w:ind w:left="1380" w:right="60" w:hanging="619"/>
        <w:spacing w:after="0" w:line="241" w:lineRule="auto"/>
        <w:tabs>
          <w:tab w:leader="none" w:pos="1360" w:val="left"/>
        </w:tabs>
        <w:rPr>
          <w:rFonts w:ascii="Arial" w:cs="Arial" w:eastAsia="Arial" w:hAnsi="Arial"/>
          <w:sz w:val="17"/>
          <w:szCs w:val="17"/>
          <w:u w:val="single" w:color="auto"/>
          <w:color w:val="0000FF"/>
        </w:rPr>
      </w:pPr>
      <w:r>
        <w:rPr>
          <w:rFonts w:ascii="Arial" w:cs="Arial" w:eastAsia="Arial" w:hAnsi="Arial"/>
          <w:sz w:val="17"/>
          <w:szCs w:val="17"/>
          <w:color w:val="auto"/>
        </w:rPr>
        <w:t>*10.19</w:t>
      </w:r>
      <w:r>
        <w:rPr>
          <w:sz w:val="20"/>
          <w:szCs w:val="20"/>
          <w:color w:val="auto"/>
        </w:rPr>
        <w:tab/>
      </w:r>
      <w:hyperlink w:anchor="page113">
        <w:r>
          <w:rPr>
            <w:rFonts w:ascii="Arial" w:cs="Arial" w:eastAsia="Arial" w:hAnsi="Arial"/>
            <w:sz w:val="17"/>
            <w:szCs w:val="17"/>
            <w:u w:val="single" w:color="auto"/>
            <w:color w:val="0000FF"/>
          </w:rPr>
          <w:t>Credit Agreement dated as of September 9, 2021 by and among, Matrix Service Company and certain subsidiaries thereof, certain financial</w:t>
        </w:r>
      </w:hyperlink>
      <w:r>
        <w:rPr>
          <w:rFonts w:ascii="Arial" w:cs="Arial" w:eastAsia="Arial" w:hAnsi="Arial"/>
          <w:sz w:val="17"/>
          <w:szCs w:val="17"/>
          <w:u w:val="single" w:color="auto"/>
          <w:color w:val="0000FF"/>
        </w:rPr>
        <w:t xml:space="preserve"> </w:t>
      </w:r>
      <w:hyperlink w:anchor="page113">
        <w:r>
          <w:rPr>
            <w:rFonts w:ascii="Arial" w:cs="Arial" w:eastAsia="Arial" w:hAnsi="Arial"/>
            <w:sz w:val="17"/>
            <w:szCs w:val="17"/>
            <w:u w:val="single" w:color="auto"/>
            <w:color w:val="0000FF"/>
          </w:rPr>
          <w:t>institutions as lenders, and Bank of Montreal, as administrative agent.</w:t>
        </w:r>
      </w:hyperlink>
    </w:p>
    <w:p>
      <w:pPr>
        <w:spacing w:after="0" w:line="53" w:lineRule="exact"/>
        <w:rPr>
          <w:sz w:val="20"/>
          <w:szCs w:val="20"/>
          <w:color w:val="auto"/>
        </w:rPr>
      </w:pPr>
    </w:p>
    <w:p>
      <w:pPr>
        <w:ind w:left="660"/>
        <w:spacing w:after="0"/>
        <w:tabs>
          <w:tab w:leader="none" w:pos="1520" w:val="left"/>
        </w:tabs>
        <w:rPr>
          <w:rFonts w:ascii="Arial" w:cs="Arial" w:eastAsia="Arial" w:hAnsi="Arial"/>
          <w:sz w:val="15"/>
          <w:szCs w:val="15"/>
          <w:u w:val="single" w:color="auto"/>
          <w:color w:val="0000FF"/>
        </w:rPr>
      </w:pPr>
      <w:r>
        <w:rPr>
          <w:rFonts w:ascii="Arial" w:cs="Arial" w:eastAsia="Arial" w:hAnsi="Arial"/>
          <w:sz w:val="17"/>
          <w:szCs w:val="17"/>
          <w:color w:val="auto"/>
        </w:rPr>
        <w:t>*+10.20</w:t>
      </w:r>
      <w:r>
        <w:rPr>
          <w:sz w:val="20"/>
          <w:szCs w:val="20"/>
          <w:color w:val="auto"/>
        </w:rPr>
        <w:tab/>
      </w:r>
      <w:hyperlink w:anchor="page310">
        <w:r>
          <w:rPr>
            <w:rFonts w:ascii="Arial" w:cs="Arial" w:eastAsia="Arial" w:hAnsi="Arial"/>
            <w:sz w:val="15"/>
            <w:szCs w:val="15"/>
            <w:u w:val="single" w:color="auto"/>
            <w:color w:val="0000FF"/>
          </w:rPr>
          <w:t>Matrix Service Company 2021 Severance Plan for Executives.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340"/>
          </w:cols>
          <w:pgMar w:left="320" w:top="127" w:right="239" w:bottom="1440" w:gutter="0" w:footer="0" w:header="0"/>
        </w:sectPr>
      </w:pPr>
    </w:p>
    <w:bookmarkStart w:id="91" w:name="page92"/>
    <w:bookmarkEnd w:id="91"/>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79" w:lineRule="exact"/>
        <w:rPr>
          <w:sz w:val="20"/>
          <w:szCs w:val="20"/>
          <w:color w:val="auto"/>
        </w:rPr>
      </w:pPr>
    </w:p>
    <w:tbl>
      <w:tblPr>
        <w:tblLayout w:type="fixed"/>
        <w:tblInd w:w="340" w:type="dxa"/>
        <w:tblCellMar>
          <w:top w:w="0" w:type="dxa"/>
          <w:left w:w="0" w:type="dxa"/>
          <w:bottom w:w="0" w:type="dxa"/>
          <w:right w:w="0" w:type="dxa"/>
        </w:tblCellMar>
      </w:tblPr>
      <w:tr>
        <w:trPr>
          <w:trHeight w:val="195"/>
        </w:trPr>
        <w:tc>
          <w:tcPr>
            <w:tcW w:w="880" w:type="dxa"/>
            <w:vAlign w:val="bottom"/>
          </w:tcPr>
          <w:p>
            <w:pPr>
              <w:jc w:val="right"/>
              <w:ind w:right="53"/>
              <w:spacing w:after="0"/>
              <w:rPr>
                <w:sz w:val="20"/>
                <w:szCs w:val="20"/>
                <w:color w:val="auto"/>
              </w:rPr>
            </w:pPr>
            <w:r>
              <w:rPr>
                <w:rFonts w:ascii="Arial" w:cs="Arial" w:eastAsia="Arial" w:hAnsi="Arial"/>
                <w:sz w:val="17"/>
                <w:szCs w:val="17"/>
                <w:color w:val="auto"/>
              </w:rPr>
              <w:t>*21</w:t>
            </w:r>
          </w:p>
        </w:tc>
        <w:tc>
          <w:tcPr>
            <w:tcW w:w="900" w:type="dxa"/>
            <w:vAlign w:val="bottom"/>
            <w:tcBorders>
              <w:bottom w:val="single" w:sz="8" w:color="0000FF"/>
            </w:tcBorders>
          </w:tcPr>
          <w:p>
            <w:pPr>
              <w:spacing w:after="0"/>
              <w:rPr>
                <w:rFonts w:ascii="Arial" w:cs="Arial" w:eastAsia="Arial" w:hAnsi="Arial"/>
                <w:sz w:val="17"/>
                <w:szCs w:val="17"/>
                <w:color w:val="0000FF"/>
                <w:w w:val="90"/>
              </w:rPr>
            </w:pPr>
            <w:hyperlink w:anchor="page337">
              <w:r>
                <w:rPr>
                  <w:rFonts w:ascii="Arial" w:cs="Arial" w:eastAsia="Arial" w:hAnsi="Arial"/>
                  <w:sz w:val="17"/>
                  <w:szCs w:val="17"/>
                  <w:color w:val="0000FF"/>
                  <w:w w:val="90"/>
                </w:rPr>
                <w:t>Subsidiaries.</w:t>
              </w:r>
            </w:hyperlink>
          </w:p>
        </w:tc>
        <w:tc>
          <w:tcPr>
            <w:tcW w:w="8880" w:type="dxa"/>
            <w:vAlign w:val="bottom"/>
            <w:gridSpan w:val="7"/>
          </w:tcPr>
          <w:p>
            <w:pPr>
              <w:spacing w:after="0"/>
              <w:rPr>
                <w:sz w:val="16"/>
                <w:szCs w:val="16"/>
                <w:color w:val="auto"/>
              </w:rPr>
            </w:pPr>
          </w:p>
        </w:tc>
      </w:tr>
      <w:tr>
        <w:trPr>
          <w:trHeight w:val="255"/>
        </w:trPr>
        <w:tc>
          <w:tcPr>
            <w:tcW w:w="880" w:type="dxa"/>
            <w:vAlign w:val="bottom"/>
          </w:tcPr>
          <w:p>
            <w:pPr>
              <w:jc w:val="right"/>
              <w:ind w:right="53"/>
              <w:spacing w:after="0"/>
              <w:rPr>
                <w:sz w:val="20"/>
                <w:szCs w:val="20"/>
                <w:color w:val="auto"/>
              </w:rPr>
            </w:pPr>
            <w:r>
              <w:rPr>
                <w:rFonts w:ascii="Arial" w:cs="Arial" w:eastAsia="Arial" w:hAnsi="Arial"/>
                <w:sz w:val="17"/>
                <w:szCs w:val="17"/>
                <w:color w:val="auto"/>
              </w:rPr>
              <w:t>*23</w:t>
            </w:r>
          </w:p>
        </w:tc>
        <w:tc>
          <w:tcPr>
            <w:tcW w:w="9780" w:type="dxa"/>
            <w:vAlign w:val="bottom"/>
            <w:gridSpan w:val="8"/>
          </w:tcPr>
          <w:p>
            <w:pPr>
              <w:spacing w:after="0"/>
              <w:rPr>
                <w:rFonts w:ascii="Arial" w:cs="Arial" w:eastAsia="Arial" w:hAnsi="Arial"/>
                <w:sz w:val="17"/>
                <w:szCs w:val="17"/>
                <w:color w:val="0000FF"/>
              </w:rPr>
            </w:pPr>
            <w:hyperlink w:anchor="page338">
              <w:r>
                <w:rPr>
                  <w:rFonts w:ascii="Arial" w:cs="Arial" w:eastAsia="Arial" w:hAnsi="Arial"/>
                  <w:sz w:val="17"/>
                  <w:szCs w:val="17"/>
                  <w:color w:val="0000FF"/>
                </w:rPr>
                <w:t>Consent of Independent Registered Public Accounting Firm—Deloitte &amp; Touche LLP.</w:t>
              </w:r>
            </w:hyperlink>
          </w:p>
        </w:tc>
      </w:tr>
      <w:tr>
        <w:trPr>
          <w:trHeight w:val="20"/>
        </w:trPr>
        <w:tc>
          <w:tcPr>
            <w:tcW w:w="880" w:type="dxa"/>
            <w:vAlign w:val="bottom"/>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37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r>
      <w:tr>
        <w:trPr>
          <w:trHeight w:val="255"/>
        </w:trPr>
        <w:tc>
          <w:tcPr>
            <w:tcW w:w="880" w:type="dxa"/>
            <w:vAlign w:val="bottom"/>
          </w:tcPr>
          <w:p>
            <w:pPr>
              <w:jc w:val="right"/>
              <w:ind w:right="53"/>
              <w:spacing w:after="0"/>
              <w:rPr>
                <w:sz w:val="20"/>
                <w:szCs w:val="20"/>
                <w:color w:val="auto"/>
              </w:rPr>
            </w:pPr>
            <w:r>
              <w:rPr>
                <w:rFonts w:ascii="Arial" w:cs="Arial" w:eastAsia="Arial" w:hAnsi="Arial"/>
                <w:sz w:val="17"/>
                <w:szCs w:val="17"/>
                <w:color w:val="auto"/>
              </w:rPr>
              <w:t>*31.1</w:t>
            </w:r>
          </w:p>
        </w:tc>
        <w:tc>
          <w:tcPr>
            <w:tcW w:w="6320" w:type="dxa"/>
            <w:vAlign w:val="bottom"/>
            <w:tcBorders>
              <w:bottom w:val="single" w:sz="8" w:color="0000FF"/>
            </w:tcBorders>
            <w:gridSpan w:val="5"/>
          </w:tcPr>
          <w:p>
            <w:pPr>
              <w:spacing w:after="0"/>
              <w:rPr>
                <w:rFonts w:ascii="Arial" w:cs="Arial" w:eastAsia="Arial" w:hAnsi="Arial"/>
                <w:sz w:val="17"/>
                <w:szCs w:val="17"/>
                <w:color w:val="0000FF"/>
                <w:w w:val="94"/>
              </w:rPr>
            </w:pPr>
            <w:hyperlink w:anchor="page339">
              <w:r>
                <w:rPr>
                  <w:rFonts w:ascii="Arial" w:cs="Arial" w:eastAsia="Arial" w:hAnsi="Arial"/>
                  <w:sz w:val="17"/>
                  <w:szCs w:val="17"/>
                  <w:color w:val="0000FF"/>
                  <w:w w:val="94"/>
                </w:rPr>
                <w:t>Certification Certification Pursuant to Section 302 of Sarbanes-Oxley Act of 2002—CEO.</w:t>
              </w:r>
            </w:hyperlink>
          </w:p>
        </w:tc>
        <w:tc>
          <w:tcPr>
            <w:tcW w:w="3460" w:type="dxa"/>
            <w:vAlign w:val="bottom"/>
            <w:gridSpan w:val="3"/>
          </w:tcPr>
          <w:p>
            <w:pPr>
              <w:spacing w:after="0"/>
              <w:rPr>
                <w:sz w:val="22"/>
                <w:szCs w:val="22"/>
                <w:color w:val="auto"/>
              </w:rPr>
            </w:pPr>
          </w:p>
        </w:tc>
      </w:tr>
      <w:tr>
        <w:trPr>
          <w:trHeight w:val="255"/>
        </w:trPr>
        <w:tc>
          <w:tcPr>
            <w:tcW w:w="880" w:type="dxa"/>
            <w:vAlign w:val="bottom"/>
          </w:tcPr>
          <w:p>
            <w:pPr>
              <w:jc w:val="right"/>
              <w:ind w:right="53"/>
              <w:spacing w:after="0"/>
              <w:rPr>
                <w:sz w:val="20"/>
                <w:szCs w:val="20"/>
                <w:color w:val="auto"/>
              </w:rPr>
            </w:pPr>
            <w:r>
              <w:rPr>
                <w:rFonts w:ascii="Arial" w:cs="Arial" w:eastAsia="Arial" w:hAnsi="Arial"/>
                <w:sz w:val="17"/>
                <w:szCs w:val="17"/>
                <w:color w:val="auto"/>
              </w:rPr>
              <w:t>*31.2</w:t>
            </w:r>
          </w:p>
        </w:tc>
        <w:tc>
          <w:tcPr>
            <w:tcW w:w="5380" w:type="dxa"/>
            <w:vAlign w:val="bottom"/>
            <w:tcBorders>
              <w:bottom w:val="single" w:sz="8" w:color="0000FF"/>
            </w:tcBorders>
            <w:gridSpan w:val="3"/>
          </w:tcPr>
          <w:p>
            <w:pPr>
              <w:spacing w:after="0"/>
              <w:rPr>
                <w:rFonts w:ascii="Arial" w:cs="Arial" w:eastAsia="Arial" w:hAnsi="Arial"/>
                <w:sz w:val="17"/>
                <w:szCs w:val="17"/>
                <w:color w:val="0000FF"/>
                <w:w w:val="94"/>
              </w:rPr>
            </w:pPr>
            <w:hyperlink w:anchor="page340">
              <w:r>
                <w:rPr>
                  <w:rFonts w:ascii="Arial" w:cs="Arial" w:eastAsia="Arial" w:hAnsi="Arial"/>
                  <w:sz w:val="17"/>
                  <w:szCs w:val="17"/>
                  <w:color w:val="0000FF"/>
                  <w:w w:val="94"/>
                </w:rPr>
                <w:t>Certification Pursuant to Section 302 of Sarbanes-Oxley Act of 2002—CFO.</w:t>
              </w:r>
            </w:hyperlink>
          </w:p>
        </w:tc>
        <w:tc>
          <w:tcPr>
            <w:tcW w:w="4400" w:type="dxa"/>
            <w:vAlign w:val="bottom"/>
            <w:gridSpan w:val="5"/>
          </w:tcPr>
          <w:p>
            <w:pPr>
              <w:spacing w:after="0"/>
              <w:rPr>
                <w:sz w:val="22"/>
                <w:szCs w:val="22"/>
                <w:color w:val="auto"/>
              </w:rPr>
            </w:pPr>
          </w:p>
        </w:tc>
      </w:tr>
      <w:tr>
        <w:trPr>
          <w:trHeight w:val="255"/>
        </w:trPr>
        <w:tc>
          <w:tcPr>
            <w:tcW w:w="880" w:type="dxa"/>
            <w:vAlign w:val="bottom"/>
          </w:tcPr>
          <w:p>
            <w:pPr>
              <w:jc w:val="right"/>
              <w:ind w:right="53"/>
              <w:spacing w:after="0"/>
              <w:rPr>
                <w:sz w:val="20"/>
                <w:szCs w:val="20"/>
                <w:color w:val="auto"/>
              </w:rPr>
            </w:pPr>
            <w:r>
              <w:rPr>
                <w:rFonts w:ascii="Arial" w:cs="Arial" w:eastAsia="Arial" w:hAnsi="Arial"/>
                <w:sz w:val="17"/>
                <w:szCs w:val="17"/>
                <w:color w:val="auto"/>
              </w:rPr>
              <w:t>*32.1</w:t>
            </w:r>
          </w:p>
        </w:tc>
        <w:tc>
          <w:tcPr>
            <w:tcW w:w="6600" w:type="dxa"/>
            <w:vAlign w:val="bottom"/>
            <w:tcBorders>
              <w:bottom w:val="single" w:sz="8" w:color="0000FF"/>
            </w:tcBorders>
            <w:gridSpan w:val="7"/>
          </w:tcPr>
          <w:p>
            <w:pPr>
              <w:spacing w:after="0"/>
              <w:rPr>
                <w:rFonts w:ascii="Arial" w:cs="Arial" w:eastAsia="Arial" w:hAnsi="Arial"/>
                <w:sz w:val="17"/>
                <w:szCs w:val="17"/>
                <w:color w:val="0000FF"/>
                <w:w w:val="93"/>
              </w:rPr>
            </w:pPr>
            <w:hyperlink w:anchor="page341">
              <w:r>
                <w:rPr>
                  <w:rFonts w:ascii="Arial" w:cs="Arial" w:eastAsia="Arial" w:hAnsi="Arial"/>
                  <w:sz w:val="17"/>
                  <w:szCs w:val="17"/>
                  <w:color w:val="0000FF"/>
                  <w:w w:val="93"/>
                </w:rPr>
                <w:t>Certification Pursuant to 18 U.S.C. 1350 (section 906 of Sarbanes-Oxley Act of 2002)—CEO.</w:t>
              </w:r>
            </w:hyperlink>
          </w:p>
        </w:tc>
        <w:tc>
          <w:tcPr>
            <w:tcW w:w="3180" w:type="dxa"/>
            <w:vAlign w:val="bottom"/>
          </w:tcPr>
          <w:p>
            <w:pPr>
              <w:spacing w:after="0"/>
              <w:rPr>
                <w:sz w:val="22"/>
                <w:szCs w:val="22"/>
                <w:color w:val="auto"/>
              </w:rPr>
            </w:pPr>
          </w:p>
        </w:tc>
      </w:tr>
      <w:tr>
        <w:trPr>
          <w:trHeight w:val="255"/>
        </w:trPr>
        <w:tc>
          <w:tcPr>
            <w:tcW w:w="880" w:type="dxa"/>
            <w:vAlign w:val="bottom"/>
          </w:tcPr>
          <w:p>
            <w:pPr>
              <w:jc w:val="right"/>
              <w:ind w:right="53"/>
              <w:spacing w:after="0"/>
              <w:rPr>
                <w:sz w:val="20"/>
                <w:szCs w:val="20"/>
                <w:color w:val="auto"/>
              </w:rPr>
            </w:pPr>
            <w:r>
              <w:rPr>
                <w:rFonts w:ascii="Arial" w:cs="Arial" w:eastAsia="Arial" w:hAnsi="Arial"/>
                <w:sz w:val="17"/>
                <w:szCs w:val="17"/>
                <w:color w:val="auto"/>
              </w:rPr>
              <w:t>*32.2</w:t>
            </w:r>
          </w:p>
        </w:tc>
        <w:tc>
          <w:tcPr>
            <w:tcW w:w="9780" w:type="dxa"/>
            <w:vAlign w:val="bottom"/>
            <w:gridSpan w:val="8"/>
          </w:tcPr>
          <w:p>
            <w:pPr>
              <w:spacing w:after="0"/>
              <w:rPr>
                <w:rFonts w:ascii="Arial" w:cs="Arial" w:eastAsia="Arial" w:hAnsi="Arial"/>
                <w:sz w:val="17"/>
                <w:szCs w:val="17"/>
                <w:color w:val="0000FF"/>
              </w:rPr>
            </w:pPr>
            <w:hyperlink w:anchor="page342">
              <w:r>
                <w:rPr>
                  <w:rFonts w:ascii="Arial" w:cs="Arial" w:eastAsia="Arial" w:hAnsi="Arial"/>
                  <w:sz w:val="17"/>
                  <w:szCs w:val="17"/>
                  <w:color w:val="0000FF"/>
                </w:rPr>
                <w:t>Certification Pursuant to 18 U.S.C. 1350 (section 906 of Sarbanes-Oxley Act of 2002)—CFO.</w:t>
              </w:r>
            </w:hyperlink>
          </w:p>
        </w:tc>
      </w:tr>
      <w:tr>
        <w:trPr>
          <w:trHeight w:val="255"/>
        </w:trPr>
        <w:tc>
          <w:tcPr>
            <w:tcW w:w="880" w:type="dxa"/>
            <w:vAlign w:val="bottom"/>
          </w:tcPr>
          <w:p>
            <w:pPr>
              <w:jc w:val="right"/>
              <w:ind w:right="53"/>
              <w:spacing w:after="0"/>
              <w:rPr>
                <w:sz w:val="20"/>
                <w:szCs w:val="20"/>
                <w:color w:val="auto"/>
              </w:rPr>
            </w:pPr>
            <w:r>
              <w:rPr>
                <w:rFonts w:ascii="Arial" w:cs="Arial" w:eastAsia="Arial" w:hAnsi="Arial"/>
                <w:sz w:val="17"/>
                <w:szCs w:val="17"/>
                <w:color w:val="auto"/>
              </w:rPr>
              <w:t>*95</w:t>
            </w:r>
          </w:p>
        </w:tc>
        <w:tc>
          <w:tcPr>
            <w:tcW w:w="6580" w:type="dxa"/>
            <w:vAlign w:val="bottom"/>
            <w:tcBorders>
              <w:top w:val="single" w:sz="8" w:color="0000FF"/>
            </w:tcBorders>
            <w:gridSpan w:val="6"/>
          </w:tcPr>
          <w:p>
            <w:pPr>
              <w:spacing w:after="0"/>
              <w:rPr>
                <w:rFonts w:ascii="Arial" w:cs="Arial" w:eastAsia="Arial" w:hAnsi="Arial"/>
                <w:sz w:val="17"/>
                <w:szCs w:val="17"/>
                <w:color w:val="0000FF"/>
              </w:rPr>
            </w:pPr>
            <w:hyperlink w:anchor="page343">
              <w:r>
                <w:rPr>
                  <w:rFonts w:ascii="Arial" w:cs="Arial" w:eastAsia="Arial" w:hAnsi="Arial"/>
                  <w:sz w:val="17"/>
                  <w:szCs w:val="17"/>
                  <w:color w:val="0000FF"/>
                </w:rPr>
                <w:t>Mine Safety Disclosure.</w:t>
              </w:r>
            </w:hyperlink>
          </w:p>
        </w:tc>
        <w:tc>
          <w:tcPr>
            <w:tcW w:w="3200" w:type="dxa"/>
            <w:vAlign w:val="bottom"/>
            <w:gridSpan w:val="2"/>
          </w:tcPr>
          <w:p>
            <w:pPr>
              <w:spacing w:after="0"/>
              <w:rPr>
                <w:sz w:val="22"/>
                <w:szCs w:val="22"/>
                <w:color w:val="auto"/>
              </w:rPr>
            </w:pPr>
          </w:p>
        </w:tc>
      </w:tr>
      <w:tr>
        <w:trPr>
          <w:trHeight w:val="20"/>
        </w:trPr>
        <w:tc>
          <w:tcPr>
            <w:tcW w:w="880" w:type="dxa"/>
            <w:vAlign w:val="bottom"/>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8100" w:type="dxa"/>
            <w:vAlign w:val="bottom"/>
            <w:gridSpan w:val="6"/>
          </w:tcPr>
          <w:p>
            <w:pPr>
              <w:spacing w:after="0" w:line="20" w:lineRule="exact"/>
              <w:rPr>
                <w:sz w:val="1"/>
                <w:szCs w:val="1"/>
                <w:color w:val="auto"/>
              </w:rPr>
            </w:pPr>
          </w:p>
        </w:tc>
      </w:tr>
      <w:tr>
        <w:trPr>
          <w:trHeight w:val="191"/>
        </w:trPr>
        <w:tc>
          <w:tcPr>
            <w:tcW w:w="880" w:type="dxa"/>
            <w:vAlign w:val="bottom"/>
          </w:tcPr>
          <w:p>
            <w:pPr>
              <w:jc w:val="right"/>
              <w:ind w:right="53"/>
              <w:spacing w:after="0" w:line="190" w:lineRule="exact"/>
              <w:rPr>
                <w:sz w:val="20"/>
                <w:szCs w:val="20"/>
                <w:color w:val="auto"/>
              </w:rPr>
            </w:pPr>
            <w:r>
              <w:rPr>
                <w:rFonts w:ascii="Arial" w:cs="Arial" w:eastAsia="Arial" w:hAnsi="Arial"/>
                <w:sz w:val="17"/>
                <w:szCs w:val="17"/>
                <w:color w:val="auto"/>
              </w:rPr>
              <w:t>*101.INS</w:t>
            </w:r>
          </w:p>
        </w:tc>
        <w:tc>
          <w:tcPr>
            <w:tcW w:w="9780" w:type="dxa"/>
            <w:vAlign w:val="bottom"/>
            <w:gridSpan w:val="8"/>
          </w:tcPr>
          <w:p>
            <w:pPr>
              <w:spacing w:after="0" w:line="190" w:lineRule="exact"/>
              <w:rPr>
                <w:sz w:val="20"/>
                <w:szCs w:val="20"/>
                <w:color w:val="auto"/>
              </w:rPr>
            </w:pPr>
            <w:r>
              <w:rPr>
                <w:rFonts w:ascii="Arial" w:cs="Arial" w:eastAsia="Arial" w:hAnsi="Arial"/>
                <w:sz w:val="17"/>
                <w:szCs w:val="17"/>
                <w:color w:val="auto"/>
                <w:w w:val="92"/>
              </w:rPr>
              <w:t>XBRL Instance Document - the instance document does not appear in the Interactive Data File because its XBRL tags are embedded within</w:t>
            </w:r>
          </w:p>
        </w:tc>
      </w:tr>
      <w:tr>
        <w:trPr>
          <w:trHeight w:val="222"/>
        </w:trPr>
        <w:tc>
          <w:tcPr>
            <w:tcW w:w="880" w:type="dxa"/>
            <w:vAlign w:val="bottom"/>
          </w:tcPr>
          <w:p>
            <w:pPr>
              <w:spacing w:after="0"/>
              <w:rPr>
                <w:sz w:val="19"/>
                <w:szCs w:val="19"/>
                <w:color w:val="auto"/>
              </w:rPr>
            </w:pPr>
          </w:p>
        </w:tc>
        <w:tc>
          <w:tcPr>
            <w:tcW w:w="9780" w:type="dxa"/>
            <w:vAlign w:val="bottom"/>
            <w:gridSpan w:val="8"/>
          </w:tcPr>
          <w:p>
            <w:pPr>
              <w:spacing w:after="0"/>
              <w:rPr>
                <w:sz w:val="20"/>
                <w:szCs w:val="20"/>
                <w:color w:val="auto"/>
              </w:rPr>
            </w:pPr>
            <w:r>
              <w:rPr>
                <w:rFonts w:ascii="Arial" w:cs="Arial" w:eastAsia="Arial" w:hAnsi="Arial"/>
                <w:sz w:val="17"/>
                <w:szCs w:val="17"/>
                <w:color w:val="auto"/>
              </w:rPr>
              <w:t>the Inline XBRL document.</w:t>
            </w:r>
          </w:p>
        </w:tc>
      </w:tr>
      <w:tr>
        <w:trPr>
          <w:trHeight w:val="275"/>
        </w:trPr>
        <w:tc>
          <w:tcPr>
            <w:tcW w:w="880" w:type="dxa"/>
            <w:vAlign w:val="bottom"/>
          </w:tcPr>
          <w:p>
            <w:pPr>
              <w:jc w:val="right"/>
              <w:ind w:right="53"/>
              <w:spacing w:after="0"/>
              <w:rPr>
                <w:sz w:val="20"/>
                <w:szCs w:val="20"/>
                <w:color w:val="auto"/>
              </w:rPr>
            </w:pPr>
            <w:r>
              <w:rPr>
                <w:rFonts w:ascii="Arial" w:cs="Arial" w:eastAsia="Arial" w:hAnsi="Arial"/>
                <w:sz w:val="17"/>
                <w:szCs w:val="17"/>
                <w:color w:val="auto"/>
                <w:w w:val="95"/>
              </w:rPr>
              <w:t>*101.SCH</w:t>
            </w:r>
          </w:p>
        </w:tc>
        <w:tc>
          <w:tcPr>
            <w:tcW w:w="9780" w:type="dxa"/>
            <w:vAlign w:val="bottom"/>
            <w:gridSpan w:val="8"/>
          </w:tcPr>
          <w:p>
            <w:pPr>
              <w:spacing w:after="0"/>
              <w:rPr>
                <w:sz w:val="20"/>
                <w:szCs w:val="20"/>
                <w:color w:val="auto"/>
              </w:rPr>
            </w:pPr>
            <w:r>
              <w:rPr>
                <w:rFonts w:ascii="Arial" w:cs="Arial" w:eastAsia="Arial" w:hAnsi="Arial"/>
                <w:sz w:val="17"/>
                <w:szCs w:val="17"/>
                <w:color w:val="auto"/>
              </w:rPr>
              <w:t>XBRL Taxonomy Schema Document.</w:t>
            </w:r>
          </w:p>
        </w:tc>
      </w:tr>
      <w:tr>
        <w:trPr>
          <w:trHeight w:val="275"/>
        </w:trPr>
        <w:tc>
          <w:tcPr>
            <w:tcW w:w="880" w:type="dxa"/>
            <w:vAlign w:val="bottom"/>
          </w:tcPr>
          <w:p>
            <w:pPr>
              <w:jc w:val="right"/>
              <w:ind w:right="53"/>
              <w:spacing w:after="0"/>
              <w:rPr>
                <w:sz w:val="20"/>
                <w:szCs w:val="20"/>
                <w:color w:val="auto"/>
              </w:rPr>
            </w:pPr>
            <w:r>
              <w:rPr>
                <w:rFonts w:ascii="Arial" w:cs="Arial" w:eastAsia="Arial" w:hAnsi="Arial"/>
                <w:sz w:val="17"/>
                <w:szCs w:val="17"/>
                <w:color w:val="auto"/>
                <w:w w:val="98"/>
              </w:rPr>
              <w:t>*101.CAL</w:t>
            </w:r>
          </w:p>
        </w:tc>
        <w:tc>
          <w:tcPr>
            <w:tcW w:w="9780" w:type="dxa"/>
            <w:vAlign w:val="bottom"/>
            <w:gridSpan w:val="8"/>
          </w:tcPr>
          <w:p>
            <w:pPr>
              <w:spacing w:after="0"/>
              <w:rPr>
                <w:sz w:val="20"/>
                <w:szCs w:val="20"/>
                <w:color w:val="auto"/>
              </w:rPr>
            </w:pPr>
            <w:r>
              <w:rPr>
                <w:rFonts w:ascii="Arial" w:cs="Arial" w:eastAsia="Arial" w:hAnsi="Arial"/>
                <w:sz w:val="17"/>
                <w:szCs w:val="17"/>
                <w:color w:val="auto"/>
              </w:rPr>
              <w:t>XBRL Taxonomy Extension Calculation Linkbase Document.</w:t>
            </w:r>
          </w:p>
        </w:tc>
      </w:tr>
      <w:tr>
        <w:trPr>
          <w:trHeight w:val="275"/>
        </w:trPr>
        <w:tc>
          <w:tcPr>
            <w:tcW w:w="880" w:type="dxa"/>
            <w:vAlign w:val="bottom"/>
          </w:tcPr>
          <w:p>
            <w:pPr>
              <w:jc w:val="right"/>
              <w:ind w:right="53"/>
              <w:spacing w:after="0"/>
              <w:rPr>
                <w:sz w:val="20"/>
                <w:szCs w:val="20"/>
                <w:color w:val="auto"/>
              </w:rPr>
            </w:pPr>
            <w:r>
              <w:rPr>
                <w:rFonts w:ascii="Arial" w:cs="Arial" w:eastAsia="Arial" w:hAnsi="Arial"/>
                <w:sz w:val="17"/>
                <w:szCs w:val="17"/>
                <w:color w:val="auto"/>
                <w:w w:val="97"/>
              </w:rPr>
              <w:t>*101.DEF</w:t>
            </w:r>
          </w:p>
        </w:tc>
        <w:tc>
          <w:tcPr>
            <w:tcW w:w="9780" w:type="dxa"/>
            <w:vAlign w:val="bottom"/>
            <w:gridSpan w:val="8"/>
          </w:tcPr>
          <w:p>
            <w:pPr>
              <w:spacing w:after="0"/>
              <w:rPr>
                <w:sz w:val="20"/>
                <w:szCs w:val="20"/>
                <w:color w:val="auto"/>
              </w:rPr>
            </w:pPr>
            <w:r>
              <w:rPr>
                <w:rFonts w:ascii="Arial" w:cs="Arial" w:eastAsia="Arial" w:hAnsi="Arial"/>
                <w:sz w:val="17"/>
                <w:szCs w:val="17"/>
                <w:color w:val="auto"/>
              </w:rPr>
              <w:t>XBRL Taxonomy Extension Definition Linkbase Document.</w:t>
            </w:r>
          </w:p>
        </w:tc>
      </w:tr>
      <w:tr>
        <w:trPr>
          <w:trHeight w:val="275"/>
        </w:trPr>
        <w:tc>
          <w:tcPr>
            <w:tcW w:w="880" w:type="dxa"/>
            <w:vAlign w:val="bottom"/>
          </w:tcPr>
          <w:p>
            <w:pPr>
              <w:jc w:val="right"/>
              <w:ind w:right="53"/>
              <w:spacing w:after="0"/>
              <w:rPr>
                <w:sz w:val="20"/>
                <w:szCs w:val="20"/>
                <w:color w:val="auto"/>
              </w:rPr>
            </w:pPr>
            <w:r>
              <w:rPr>
                <w:rFonts w:ascii="Arial" w:cs="Arial" w:eastAsia="Arial" w:hAnsi="Arial"/>
                <w:sz w:val="17"/>
                <w:szCs w:val="17"/>
                <w:color w:val="auto"/>
              </w:rPr>
              <w:t>*101.LAB</w:t>
            </w:r>
          </w:p>
        </w:tc>
        <w:tc>
          <w:tcPr>
            <w:tcW w:w="9780" w:type="dxa"/>
            <w:vAlign w:val="bottom"/>
            <w:gridSpan w:val="8"/>
          </w:tcPr>
          <w:p>
            <w:pPr>
              <w:spacing w:after="0"/>
              <w:rPr>
                <w:sz w:val="20"/>
                <w:szCs w:val="20"/>
                <w:color w:val="auto"/>
              </w:rPr>
            </w:pPr>
            <w:r>
              <w:rPr>
                <w:rFonts w:ascii="Arial" w:cs="Arial" w:eastAsia="Arial" w:hAnsi="Arial"/>
                <w:sz w:val="17"/>
                <w:szCs w:val="17"/>
                <w:color w:val="auto"/>
              </w:rPr>
              <w:t>XBRL Taxonomy Extension Labels Linkbase Document.</w:t>
            </w:r>
          </w:p>
        </w:tc>
      </w:tr>
      <w:tr>
        <w:trPr>
          <w:trHeight w:val="275"/>
        </w:trPr>
        <w:tc>
          <w:tcPr>
            <w:tcW w:w="880" w:type="dxa"/>
            <w:vAlign w:val="bottom"/>
          </w:tcPr>
          <w:p>
            <w:pPr>
              <w:jc w:val="right"/>
              <w:ind w:right="53"/>
              <w:spacing w:after="0"/>
              <w:rPr>
                <w:sz w:val="20"/>
                <w:szCs w:val="20"/>
                <w:color w:val="auto"/>
              </w:rPr>
            </w:pPr>
            <w:r>
              <w:rPr>
                <w:rFonts w:ascii="Arial" w:cs="Arial" w:eastAsia="Arial" w:hAnsi="Arial"/>
                <w:sz w:val="17"/>
                <w:szCs w:val="17"/>
                <w:color w:val="auto"/>
                <w:w w:val="96"/>
              </w:rPr>
              <w:t>*101.PRE</w:t>
            </w:r>
          </w:p>
        </w:tc>
        <w:tc>
          <w:tcPr>
            <w:tcW w:w="9780" w:type="dxa"/>
            <w:vAlign w:val="bottom"/>
            <w:gridSpan w:val="8"/>
          </w:tcPr>
          <w:p>
            <w:pPr>
              <w:spacing w:after="0"/>
              <w:rPr>
                <w:sz w:val="20"/>
                <w:szCs w:val="20"/>
                <w:color w:val="auto"/>
              </w:rPr>
            </w:pPr>
            <w:r>
              <w:rPr>
                <w:rFonts w:ascii="Arial" w:cs="Arial" w:eastAsia="Arial" w:hAnsi="Arial"/>
                <w:sz w:val="17"/>
                <w:szCs w:val="17"/>
                <w:color w:val="auto"/>
              </w:rPr>
              <w:t>XBRL Taxonomy Extension Presentation Linkbase Document.</w:t>
            </w:r>
          </w:p>
        </w:tc>
      </w:tr>
      <w:tr>
        <w:trPr>
          <w:trHeight w:val="275"/>
        </w:trPr>
        <w:tc>
          <w:tcPr>
            <w:tcW w:w="880" w:type="dxa"/>
            <w:vAlign w:val="bottom"/>
          </w:tcPr>
          <w:p>
            <w:pPr>
              <w:jc w:val="right"/>
              <w:ind w:right="53"/>
              <w:spacing w:after="0"/>
              <w:rPr>
                <w:sz w:val="20"/>
                <w:szCs w:val="20"/>
                <w:color w:val="auto"/>
              </w:rPr>
            </w:pPr>
            <w:r>
              <w:rPr>
                <w:rFonts w:ascii="Arial" w:cs="Arial" w:eastAsia="Arial" w:hAnsi="Arial"/>
                <w:sz w:val="17"/>
                <w:szCs w:val="17"/>
                <w:color w:val="auto"/>
              </w:rPr>
              <w:t>*104</w:t>
            </w:r>
          </w:p>
        </w:tc>
        <w:tc>
          <w:tcPr>
            <w:tcW w:w="9780" w:type="dxa"/>
            <w:vAlign w:val="bottom"/>
            <w:gridSpan w:val="8"/>
          </w:tcPr>
          <w:p>
            <w:pPr>
              <w:spacing w:after="0"/>
              <w:rPr>
                <w:sz w:val="20"/>
                <w:szCs w:val="20"/>
                <w:color w:val="auto"/>
              </w:rPr>
            </w:pPr>
            <w:r>
              <w:rPr>
                <w:rFonts w:ascii="Arial" w:cs="Arial" w:eastAsia="Arial" w:hAnsi="Arial"/>
                <w:sz w:val="17"/>
                <w:szCs w:val="17"/>
                <w:color w:val="auto"/>
              </w:rPr>
              <w:t>Cover Page Interactive Data File (formatted as Inline XBRL and contained in Exhibit 101).</w:t>
            </w:r>
          </w:p>
        </w:tc>
      </w:tr>
    </w:tbl>
    <w:p>
      <w:pPr>
        <w:spacing w:after="0" w:line="5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*Filed herewith.</w:t>
      </w:r>
    </w:p>
    <w:p>
      <w:pPr>
        <w:spacing w:after="0" w:line="8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+Management Contract or Compensatory Plan.</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16. Form 10-K Summary</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352"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000"/>
          </w:cols>
          <w:pgMar w:left="320" w:top="127" w:right="579" w:bottom="1440" w:gutter="0" w:footer="0" w:header="0"/>
        </w:sectPr>
      </w:pPr>
    </w:p>
    <w:bookmarkStart w:id="92" w:name="page93"/>
    <w:bookmarkEnd w:id="92"/>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SIGNATURES</w:t>
      </w:r>
    </w:p>
    <w:p>
      <w:pPr>
        <w:spacing w:after="0" w:line="178" w:lineRule="exact"/>
        <w:rPr>
          <w:sz w:val="20"/>
          <w:szCs w:val="20"/>
          <w:color w:val="auto"/>
        </w:rPr>
      </w:pPr>
    </w:p>
    <w:p>
      <w:pPr>
        <w:spacing w:after="0" w:line="289" w:lineRule="auto"/>
        <w:rPr>
          <w:sz w:val="20"/>
          <w:szCs w:val="20"/>
          <w:color w:val="auto"/>
        </w:rPr>
      </w:pPr>
      <w:r>
        <w:rPr>
          <w:rFonts w:ascii="Arial" w:cs="Arial" w:eastAsia="Arial" w:hAnsi="Arial"/>
          <w:sz w:val="17"/>
          <w:szCs w:val="17"/>
          <w:color w:val="auto"/>
        </w:rPr>
        <w:t>Pursuant to the requirements of Section 13 or 15(d) of the Securities Exchange Act of 1934, Matrix Service Company has duly caused this report to be signed on its behalf by the undersigned, thereunto duly authorized.</w:t>
      </w:r>
    </w:p>
    <w:p>
      <w:pPr>
        <w:spacing w:after="0" w:line="200" w:lineRule="exact"/>
        <w:rPr>
          <w:sz w:val="20"/>
          <w:szCs w:val="20"/>
          <w:color w:val="auto"/>
        </w:rPr>
      </w:pPr>
    </w:p>
    <w:p>
      <w:pPr>
        <w:spacing w:after="0" w:line="333" w:lineRule="exact"/>
        <w:rPr>
          <w:sz w:val="20"/>
          <w:szCs w:val="20"/>
          <w:color w:val="auto"/>
        </w:rPr>
      </w:pPr>
    </w:p>
    <w:p>
      <w:pPr>
        <w:ind w:left="6880"/>
        <w:spacing w:after="0"/>
        <w:rPr>
          <w:sz w:val="20"/>
          <w:szCs w:val="20"/>
          <w:color w:val="auto"/>
        </w:rPr>
      </w:pPr>
      <w:r>
        <w:rPr>
          <w:rFonts w:ascii="Arial" w:cs="Arial" w:eastAsia="Arial" w:hAnsi="Arial"/>
          <w:sz w:val="17"/>
          <w:szCs w:val="17"/>
          <w:b w:val="1"/>
          <w:bCs w:val="1"/>
          <w:color w:val="auto"/>
        </w:rPr>
        <w:t>Matrix Service Company</w:t>
      </w:r>
    </w:p>
    <w:p>
      <w:pPr>
        <w:spacing w:after="0" w:line="290" w:lineRule="exact"/>
        <w:rPr>
          <w:sz w:val="20"/>
          <w:szCs w:val="20"/>
          <w:color w:val="auto"/>
        </w:rPr>
      </w:pPr>
    </w:p>
    <w:p>
      <w:pPr>
        <w:ind w:left="20"/>
        <w:spacing w:after="0"/>
        <w:tabs>
          <w:tab w:leader="none" w:pos="7100" w:val="left"/>
          <w:tab w:leader="none" w:pos="8740" w:val="left"/>
        </w:tabs>
        <w:rPr>
          <w:sz w:val="20"/>
          <w:szCs w:val="20"/>
          <w:color w:val="auto"/>
        </w:rPr>
      </w:pPr>
      <w:r>
        <w:rPr>
          <w:rFonts w:ascii="Arial" w:cs="Arial" w:eastAsia="Arial" w:hAnsi="Arial"/>
          <w:sz w:val="17"/>
          <w:szCs w:val="17"/>
          <w:color w:val="auto"/>
        </w:rPr>
        <w:t>Date : September 13, 2021</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6"/>
          <w:szCs w:val="16"/>
          <w:b w:val="1"/>
          <w:bCs w:val="1"/>
          <w:color w:val="auto"/>
        </w:rPr>
        <w:t>/S/ John R. Hewitt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4866005</wp:posOffset>
            </wp:positionH>
            <wp:positionV relativeFrom="paragraph">
              <wp:posOffset>20955</wp:posOffset>
            </wp:positionV>
            <wp:extent cx="225679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0">
                      <a:extLst>
                        <a:ext uri="{28A0092B-C50C-407E-A947-70E740481C1C}"/>
                      </a:extLst>
                    </a:blip>
                    <a:srcRect/>
                    <a:stretch>
                      <a:fillRect/>
                    </a:stretch>
                  </pic:blipFill>
                  <pic:spPr bwMode="auto">
                    <a:xfrm>
                      <a:off x="0" y="0"/>
                      <a:ext cx="2256790" cy="8255"/>
                    </a:xfrm>
                    <a:prstGeom prst="rect">
                      <a:avLst/>
                    </a:prstGeom>
                    <a:noFill/>
                  </pic:spPr>
                </pic:pic>
              </a:graphicData>
            </a:graphic>
          </wp:anchor>
        </w:drawing>
      </w:r>
    </w:p>
    <w:p>
      <w:pPr>
        <w:spacing w:after="0" w:line="3" w:lineRule="exact"/>
        <w:rPr>
          <w:sz w:val="20"/>
          <w:szCs w:val="20"/>
          <w:color w:val="auto"/>
        </w:rPr>
      </w:pPr>
    </w:p>
    <w:p>
      <w:pPr>
        <w:jc w:val="center"/>
        <w:ind w:left="7620"/>
        <w:spacing w:after="0"/>
        <w:rPr>
          <w:sz w:val="20"/>
          <w:szCs w:val="20"/>
          <w:color w:val="auto"/>
        </w:rPr>
      </w:pPr>
      <w:r>
        <w:rPr>
          <w:rFonts w:ascii="Arial" w:cs="Arial" w:eastAsia="Arial" w:hAnsi="Arial"/>
          <w:sz w:val="14"/>
          <w:szCs w:val="14"/>
          <w:b w:val="1"/>
          <w:bCs w:val="1"/>
          <w:color w:val="auto"/>
        </w:rPr>
        <w:t>John R. Hewitt, President and</w:t>
      </w:r>
    </w:p>
    <w:p>
      <w:pPr>
        <w:jc w:val="center"/>
        <w:ind w:left="7620"/>
        <w:spacing w:after="0"/>
        <w:rPr>
          <w:sz w:val="20"/>
          <w:szCs w:val="20"/>
          <w:color w:val="auto"/>
        </w:rPr>
      </w:pPr>
      <w:r>
        <w:rPr>
          <w:rFonts w:ascii="Arial" w:cs="Arial" w:eastAsia="Arial" w:hAnsi="Arial"/>
          <w:sz w:val="14"/>
          <w:szCs w:val="14"/>
          <w:b w:val="1"/>
          <w:bCs w:val="1"/>
          <w:color w:val="auto"/>
        </w:rPr>
        <w:t>Chief Executive Officer</w:t>
      </w:r>
    </w:p>
    <w:p>
      <w:pPr>
        <w:spacing w:after="0" w:line="200" w:lineRule="exact"/>
        <w:rPr>
          <w:sz w:val="20"/>
          <w:szCs w:val="20"/>
          <w:color w:val="auto"/>
        </w:rPr>
      </w:pPr>
    </w:p>
    <w:p>
      <w:pPr>
        <w:spacing w:after="0" w:line="354" w:lineRule="exact"/>
        <w:rPr>
          <w:sz w:val="20"/>
          <w:szCs w:val="20"/>
          <w:color w:val="auto"/>
        </w:rPr>
      </w:pPr>
    </w:p>
    <w:p>
      <w:pPr>
        <w:ind w:right="100"/>
        <w:spacing w:after="0" w:line="289" w:lineRule="auto"/>
        <w:rPr>
          <w:sz w:val="20"/>
          <w:szCs w:val="20"/>
          <w:color w:val="auto"/>
        </w:rPr>
      </w:pPr>
      <w:r>
        <w:rPr>
          <w:rFonts w:ascii="Arial" w:cs="Arial" w:eastAsia="Arial" w:hAnsi="Arial"/>
          <w:sz w:val="17"/>
          <w:szCs w:val="17"/>
          <w:color w:val="auto"/>
        </w:rPr>
        <w:t>Pursuant to the requirements of the Securities Exchange Act of 1934, this report has been signed below by the following persons on behalf of the registrant and in the capacities and on the dates indicated.</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b w:val="1"/>
                <w:bCs w:val="1"/>
                <w:color w:val="auto"/>
                <w:w w:val="85"/>
              </w:rPr>
              <w:t>Signatures</w:t>
            </w:r>
          </w:p>
        </w:tc>
        <w:tc>
          <w:tcPr>
            <w:tcW w:w="15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520" w:type="dxa"/>
            <w:vAlign w:val="bottom"/>
            <w:gridSpan w:val="2"/>
          </w:tcPr>
          <w:p>
            <w:pPr>
              <w:jc w:val="center"/>
              <w:ind w:right="2240"/>
              <w:spacing w:after="0"/>
              <w:rPr>
                <w:sz w:val="20"/>
                <w:szCs w:val="20"/>
                <w:color w:val="auto"/>
              </w:rPr>
            </w:pPr>
            <w:r>
              <w:rPr>
                <w:rFonts w:ascii="Arial" w:cs="Arial" w:eastAsia="Arial" w:hAnsi="Arial"/>
                <w:sz w:val="14"/>
                <w:szCs w:val="14"/>
                <w:b w:val="1"/>
                <w:bCs w:val="1"/>
                <w:color w:val="auto"/>
                <w:w w:val="97"/>
              </w:rPr>
              <w:t>Title</w:t>
            </w:r>
          </w:p>
        </w:tc>
        <w:tc>
          <w:tcPr>
            <w:tcW w:w="2100" w:type="dxa"/>
            <w:vAlign w:val="bottom"/>
            <w:gridSpan w:val="3"/>
          </w:tcPr>
          <w:p>
            <w:pPr>
              <w:jc w:val="center"/>
              <w:ind w:left="615"/>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4"/>
        </w:trPr>
        <w:tc>
          <w:tcPr>
            <w:tcW w:w="1240" w:type="dxa"/>
            <w:vAlign w:val="bottom"/>
            <w:tcBorders>
              <w:bottom w:val="single" w:sz="8" w:color="auto"/>
            </w:tcBorders>
          </w:tcPr>
          <w:p>
            <w:pPr>
              <w:ind w:left="960"/>
              <w:spacing w:after="0"/>
              <w:rPr>
                <w:sz w:val="20"/>
                <w:szCs w:val="20"/>
                <w:color w:val="auto"/>
              </w:rPr>
            </w:pPr>
            <w:r>
              <w:rPr>
                <w:rFonts w:ascii="Arial" w:cs="Arial" w:eastAsia="Arial" w:hAnsi="Arial"/>
                <w:sz w:val="17"/>
                <w:szCs w:val="17"/>
                <w:b w:val="1"/>
                <w:bCs w:val="1"/>
                <w:color w:val="auto"/>
              </w:rPr>
              <w:t>/S/</w:t>
            </w:r>
          </w:p>
        </w:tc>
        <w:tc>
          <w:tcPr>
            <w:tcW w:w="2500" w:type="dxa"/>
            <w:vAlign w:val="bottom"/>
            <w:tcBorders>
              <w:bottom w:val="single" w:sz="8" w:color="auto"/>
            </w:tcBorders>
            <w:gridSpan w:val="3"/>
          </w:tcPr>
          <w:p>
            <w:pPr>
              <w:ind w:left="100"/>
              <w:spacing w:after="0"/>
              <w:rPr>
                <w:sz w:val="20"/>
                <w:szCs w:val="20"/>
                <w:color w:val="auto"/>
              </w:rPr>
            </w:pPr>
            <w:r>
              <w:rPr>
                <w:rFonts w:ascii="Arial" w:cs="Arial" w:eastAsia="Arial" w:hAnsi="Arial"/>
                <w:sz w:val="17"/>
                <w:szCs w:val="17"/>
                <w:b w:val="1"/>
                <w:bCs w:val="1"/>
                <w:color w:val="auto"/>
              </w:rPr>
              <w:t>Jim W. Mogg</w:t>
            </w:r>
          </w:p>
        </w:tc>
        <w:tc>
          <w:tcPr>
            <w:tcW w:w="4880" w:type="dxa"/>
            <w:vAlign w:val="bottom"/>
            <w:gridSpan w:val="3"/>
          </w:tcPr>
          <w:p>
            <w:pPr>
              <w:jc w:val="center"/>
              <w:ind w:left="53"/>
              <w:spacing w:after="0"/>
              <w:rPr>
                <w:sz w:val="20"/>
                <w:szCs w:val="20"/>
                <w:color w:val="auto"/>
              </w:rPr>
            </w:pPr>
            <w:r>
              <w:rPr>
                <w:rFonts w:ascii="Arial" w:cs="Arial" w:eastAsia="Arial" w:hAnsi="Arial"/>
                <w:sz w:val="17"/>
                <w:szCs w:val="17"/>
                <w:color w:val="auto"/>
                <w:w w:val="95"/>
              </w:rPr>
              <w:t>Chairman of the Board of Directors</w:t>
            </w:r>
          </w:p>
        </w:tc>
        <w:tc>
          <w:tcPr>
            <w:tcW w:w="2100" w:type="dxa"/>
            <w:vAlign w:val="bottom"/>
            <w:gridSpan w:val="3"/>
          </w:tcPr>
          <w:p>
            <w:pPr>
              <w:jc w:val="center"/>
              <w:ind w:left="595"/>
              <w:spacing w:after="0"/>
              <w:rPr>
                <w:sz w:val="20"/>
                <w:szCs w:val="20"/>
                <w:color w:val="auto"/>
              </w:rPr>
            </w:pPr>
            <w:r>
              <w:rPr>
                <w:rFonts w:ascii="Arial" w:cs="Arial" w:eastAsia="Arial" w:hAnsi="Arial"/>
                <w:sz w:val="17"/>
                <w:szCs w:val="17"/>
                <w:color w:val="auto"/>
                <w:w w:val="92"/>
              </w:rPr>
              <w:t>September 13, 2021</w:t>
            </w:r>
          </w:p>
        </w:tc>
        <w:tc>
          <w:tcPr>
            <w:tcW w:w="0" w:type="dxa"/>
            <w:vAlign w:val="bottom"/>
          </w:tcPr>
          <w:p>
            <w:pPr>
              <w:spacing w:after="0"/>
              <w:rPr>
                <w:sz w:val="1"/>
                <w:szCs w:val="1"/>
                <w:color w:val="auto"/>
              </w:rPr>
            </w:pPr>
          </w:p>
        </w:tc>
      </w:tr>
      <w:tr>
        <w:trPr>
          <w:trHeight w:val="176"/>
        </w:trPr>
        <w:tc>
          <w:tcPr>
            <w:tcW w:w="3740" w:type="dxa"/>
            <w:vAlign w:val="bottom"/>
            <w:gridSpan w:val="4"/>
          </w:tcPr>
          <w:p>
            <w:pPr>
              <w:ind w:left="960"/>
              <w:spacing w:after="0"/>
              <w:rPr>
                <w:sz w:val="20"/>
                <w:szCs w:val="20"/>
                <w:color w:val="auto"/>
              </w:rPr>
            </w:pPr>
            <w:r>
              <w:rPr>
                <w:rFonts w:ascii="Arial" w:cs="Arial" w:eastAsia="Arial" w:hAnsi="Arial"/>
                <w:sz w:val="14"/>
                <w:szCs w:val="14"/>
                <w:b w:val="1"/>
                <w:bCs w:val="1"/>
                <w:color w:val="auto"/>
              </w:rPr>
              <w:t>Jim W. Mogg</w:t>
            </w:r>
          </w:p>
        </w:tc>
        <w:tc>
          <w:tcPr>
            <w:tcW w:w="2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6"/>
        </w:trPr>
        <w:tc>
          <w:tcPr>
            <w:tcW w:w="1240" w:type="dxa"/>
            <w:vAlign w:val="bottom"/>
            <w:tcBorders>
              <w:bottom w:val="single" w:sz="8" w:color="auto"/>
            </w:tcBorders>
          </w:tcPr>
          <w:p>
            <w:pPr>
              <w:ind w:left="960"/>
              <w:spacing w:after="0"/>
              <w:rPr>
                <w:sz w:val="20"/>
                <w:szCs w:val="20"/>
                <w:color w:val="auto"/>
              </w:rPr>
            </w:pPr>
            <w:r>
              <w:rPr>
                <w:rFonts w:ascii="Arial" w:cs="Arial" w:eastAsia="Arial" w:hAnsi="Arial"/>
                <w:sz w:val="17"/>
                <w:szCs w:val="17"/>
                <w:b w:val="1"/>
                <w:bCs w:val="1"/>
                <w:color w:val="auto"/>
              </w:rPr>
              <w:t>/S/</w:t>
            </w:r>
          </w:p>
        </w:tc>
        <w:tc>
          <w:tcPr>
            <w:tcW w:w="2500" w:type="dxa"/>
            <w:vAlign w:val="bottom"/>
            <w:tcBorders>
              <w:bottom w:val="single" w:sz="8" w:color="auto"/>
            </w:tcBorders>
            <w:gridSpan w:val="3"/>
          </w:tcPr>
          <w:p>
            <w:pPr>
              <w:ind w:left="100"/>
              <w:spacing w:after="0"/>
              <w:rPr>
                <w:sz w:val="20"/>
                <w:szCs w:val="20"/>
                <w:color w:val="auto"/>
              </w:rPr>
            </w:pPr>
            <w:r>
              <w:rPr>
                <w:rFonts w:ascii="Arial" w:cs="Arial" w:eastAsia="Arial" w:hAnsi="Arial"/>
                <w:sz w:val="17"/>
                <w:szCs w:val="17"/>
                <w:b w:val="1"/>
                <w:bCs w:val="1"/>
                <w:color w:val="auto"/>
              </w:rPr>
              <w:t>John R. Hewitt</w:t>
            </w:r>
          </w:p>
        </w:tc>
        <w:tc>
          <w:tcPr>
            <w:tcW w:w="4880" w:type="dxa"/>
            <w:vAlign w:val="bottom"/>
            <w:gridSpan w:val="3"/>
          </w:tcPr>
          <w:p>
            <w:pPr>
              <w:jc w:val="center"/>
              <w:ind w:left="53"/>
              <w:spacing w:after="0"/>
              <w:rPr>
                <w:sz w:val="20"/>
                <w:szCs w:val="20"/>
                <w:color w:val="auto"/>
              </w:rPr>
            </w:pPr>
            <w:r>
              <w:rPr>
                <w:rFonts w:ascii="Arial" w:cs="Arial" w:eastAsia="Arial" w:hAnsi="Arial"/>
                <w:sz w:val="17"/>
                <w:szCs w:val="17"/>
                <w:color w:val="auto"/>
                <w:w w:val="95"/>
              </w:rPr>
              <w:t>President, Chief Executive Officer and Director</w:t>
            </w:r>
          </w:p>
        </w:tc>
        <w:tc>
          <w:tcPr>
            <w:tcW w:w="2100" w:type="dxa"/>
            <w:vAlign w:val="bottom"/>
            <w:gridSpan w:val="3"/>
          </w:tcPr>
          <w:p>
            <w:pPr>
              <w:jc w:val="center"/>
              <w:ind w:left="595"/>
              <w:spacing w:after="0"/>
              <w:rPr>
                <w:sz w:val="20"/>
                <w:szCs w:val="20"/>
                <w:color w:val="auto"/>
              </w:rPr>
            </w:pPr>
            <w:r>
              <w:rPr>
                <w:rFonts w:ascii="Arial" w:cs="Arial" w:eastAsia="Arial" w:hAnsi="Arial"/>
                <w:sz w:val="17"/>
                <w:szCs w:val="17"/>
                <w:color w:val="auto"/>
                <w:w w:val="92"/>
              </w:rPr>
              <w:t>September 13, 2021</w:t>
            </w:r>
          </w:p>
        </w:tc>
        <w:tc>
          <w:tcPr>
            <w:tcW w:w="0" w:type="dxa"/>
            <w:vAlign w:val="bottom"/>
          </w:tcPr>
          <w:p>
            <w:pPr>
              <w:spacing w:after="0"/>
              <w:rPr>
                <w:sz w:val="1"/>
                <w:szCs w:val="1"/>
                <w:color w:val="auto"/>
              </w:rPr>
            </w:pPr>
          </w:p>
        </w:tc>
      </w:tr>
      <w:tr>
        <w:trPr>
          <w:trHeight w:val="203"/>
        </w:trPr>
        <w:tc>
          <w:tcPr>
            <w:tcW w:w="3740" w:type="dxa"/>
            <w:vAlign w:val="bottom"/>
            <w:gridSpan w:val="4"/>
          </w:tcPr>
          <w:p>
            <w:pPr>
              <w:ind w:left="960"/>
              <w:spacing w:after="0"/>
              <w:rPr>
                <w:sz w:val="20"/>
                <w:szCs w:val="20"/>
                <w:color w:val="auto"/>
              </w:rPr>
            </w:pPr>
            <w:r>
              <w:rPr>
                <w:rFonts w:ascii="Arial" w:cs="Arial" w:eastAsia="Arial" w:hAnsi="Arial"/>
                <w:sz w:val="14"/>
                <w:szCs w:val="14"/>
                <w:b w:val="1"/>
                <w:bCs w:val="1"/>
                <w:color w:val="auto"/>
              </w:rPr>
              <w:t>John R. Hewitt</w:t>
            </w:r>
          </w:p>
        </w:tc>
        <w:tc>
          <w:tcPr>
            <w:tcW w:w="4880" w:type="dxa"/>
            <w:vAlign w:val="bottom"/>
            <w:gridSpan w:val="3"/>
          </w:tcPr>
          <w:p>
            <w:pPr>
              <w:jc w:val="center"/>
              <w:ind w:left="33"/>
              <w:spacing w:after="0"/>
              <w:rPr>
                <w:sz w:val="20"/>
                <w:szCs w:val="20"/>
                <w:color w:val="auto"/>
              </w:rPr>
            </w:pPr>
            <w:r>
              <w:rPr>
                <w:rFonts w:ascii="Arial" w:cs="Arial" w:eastAsia="Arial" w:hAnsi="Arial"/>
                <w:sz w:val="17"/>
                <w:szCs w:val="17"/>
                <w:color w:val="auto"/>
                <w:w w:val="97"/>
              </w:rPr>
              <w:t>(Principal Executive Officer)</w:t>
            </w:r>
          </w:p>
        </w:tc>
        <w:tc>
          <w:tcPr>
            <w:tcW w:w="1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4"/>
        </w:trPr>
        <w:tc>
          <w:tcPr>
            <w:tcW w:w="1240" w:type="dxa"/>
            <w:vAlign w:val="bottom"/>
            <w:vMerge w:val="restart"/>
          </w:tcPr>
          <w:p>
            <w:pPr>
              <w:ind w:left="960"/>
              <w:spacing w:after="0"/>
              <w:rPr>
                <w:sz w:val="20"/>
                <w:szCs w:val="20"/>
                <w:color w:val="auto"/>
              </w:rPr>
            </w:pPr>
            <w:r>
              <w:rPr>
                <w:rFonts w:ascii="Arial" w:cs="Arial" w:eastAsia="Arial" w:hAnsi="Arial"/>
                <w:sz w:val="17"/>
                <w:szCs w:val="17"/>
                <w:b w:val="1"/>
                <w:bCs w:val="1"/>
                <w:color w:val="auto"/>
              </w:rPr>
              <w:t>/S/</w:t>
            </w:r>
          </w:p>
        </w:tc>
        <w:tc>
          <w:tcPr>
            <w:tcW w:w="2500" w:type="dxa"/>
            <w:vAlign w:val="bottom"/>
            <w:gridSpan w:val="3"/>
            <w:vMerge w:val="restart"/>
          </w:tcPr>
          <w:p>
            <w:pPr>
              <w:ind w:left="100"/>
              <w:spacing w:after="0"/>
              <w:rPr>
                <w:sz w:val="20"/>
                <w:szCs w:val="20"/>
                <w:color w:val="auto"/>
              </w:rPr>
            </w:pPr>
            <w:r>
              <w:rPr>
                <w:rFonts w:ascii="Arial" w:cs="Arial" w:eastAsia="Arial" w:hAnsi="Arial"/>
                <w:sz w:val="17"/>
                <w:szCs w:val="17"/>
                <w:b w:val="1"/>
                <w:bCs w:val="1"/>
                <w:color w:val="auto"/>
              </w:rPr>
              <w:t>Kevin S. Cavanah</w:t>
            </w:r>
          </w:p>
        </w:tc>
        <w:tc>
          <w:tcPr>
            <w:tcW w:w="4880" w:type="dxa"/>
            <w:vAlign w:val="bottom"/>
            <w:gridSpan w:val="3"/>
          </w:tcPr>
          <w:p>
            <w:pPr>
              <w:jc w:val="center"/>
              <w:ind w:left="53"/>
              <w:spacing w:after="0"/>
              <w:rPr>
                <w:sz w:val="20"/>
                <w:szCs w:val="20"/>
                <w:color w:val="auto"/>
              </w:rPr>
            </w:pPr>
            <w:r>
              <w:rPr>
                <w:rFonts w:ascii="Arial" w:cs="Arial" w:eastAsia="Arial" w:hAnsi="Arial"/>
                <w:sz w:val="17"/>
                <w:szCs w:val="17"/>
                <w:color w:val="auto"/>
                <w:w w:val="93"/>
              </w:rPr>
              <w:t>Vice President</w:t>
            </w:r>
          </w:p>
        </w:tc>
        <w:tc>
          <w:tcPr>
            <w:tcW w:w="2100" w:type="dxa"/>
            <w:vAlign w:val="bottom"/>
            <w:gridSpan w:val="3"/>
            <w:vMerge w:val="restart"/>
          </w:tcPr>
          <w:p>
            <w:pPr>
              <w:jc w:val="center"/>
              <w:ind w:left="595"/>
              <w:spacing w:after="0"/>
              <w:rPr>
                <w:sz w:val="20"/>
                <w:szCs w:val="20"/>
                <w:color w:val="auto"/>
              </w:rPr>
            </w:pPr>
            <w:r>
              <w:rPr>
                <w:rFonts w:ascii="Arial" w:cs="Arial" w:eastAsia="Arial" w:hAnsi="Arial"/>
                <w:sz w:val="17"/>
                <w:szCs w:val="17"/>
                <w:color w:val="auto"/>
                <w:w w:val="92"/>
              </w:rPr>
              <w:t>September 13, 2021</w:t>
            </w:r>
          </w:p>
        </w:tc>
        <w:tc>
          <w:tcPr>
            <w:tcW w:w="0" w:type="dxa"/>
            <w:vAlign w:val="bottom"/>
          </w:tcPr>
          <w:p>
            <w:pPr>
              <w:spacing w:after="0"/>
              <w:rPr>
                <w:sz w:val="1"/>
                <w:szCs w:val="1"/>
                <w:color w:val="auto"/>
              </w:rPr>
            </w:pPr>
          </w:p>
        </w:tc>
      </w:tr>
      <w:tr>
        <w:trPr>
          <w:trHeight w:val="227"/>
        </w:trPr>
        <w:tc>
          <w:tcPr>
            <w:tcW w:w="1240" w:type="dxa"/>
            <w:vAlign w:val="bottom"/>
            <w:tcBorders>
              <w:bottom w:val="single" w:sz="8" w:color="auto"/>
            </w:tcBorders>
            <w:vMerge w:val="continue"/>
          </w:tcPr>
          <w:p>
            <w:pPr>
              <w:spacing w:after="0"/>
              <w:rPr>
                <w:sz w:val="19"/>
                <w:szCs w:val="19"/>
                <w:color w:val="auto"/>
              </w:rPr>
            </w:pPr>
          </w:p>
        </w:tc>
        <w:tc>
          <w:tcPr>
            <w:tcW w:w="2500" w:type="dxa"/>
            <w:vAlign w:val="bottom"/>
            <w:tcBorders>
              <w:bottom w:val="single" w:sz="8" w:color="auto"/>
            </w:tcBorders>
            <w:gridSpan w:val="3"/>
            <w:vMerge w:val="continue"/>
          </w:tcPr>
          <w:p>
            <w:pPr>
              <w:spacing w:after="0"/>
              <w:rPr>
                <w:sz w:val="19"/>
                <w:szCs w:val="19"/>
                <w:color w:val="auto"/>
              </w:rPr>
            </w:pPr>
          </w:p>
        </w:tc>
        <w:tc>
          <w:tcPr>
            <w:tcW w:w="4880" w:type="dxa"/>
            <w:vAlign w:val="bottom"/>
            <w:gridSpan w:val="3"/>
          </w:tcPr>
          <w:p>
            <w:pPr>
              <w:jc w:val="center"/>
              <w:ind w:left="33"/>
              <w:spacing w:after="0"/>
              <w:rPr>
                <w:sz w:val="20"/>
                <w:szCs w:val="20"/>
                <w:color w:val="auto"/>
              </w:rPr>
            </w:pPr>
            <w:r>
              <w:rPr>
                <w:rFonts w:ascii="Arial" w:cs="Arial" w:eastAsia="Arial" w:hAnsi="Arial"/>
                <w:sz w:val="17"/>
                <w:szCs w:val="17"/>
                <w:color w:val="auto"/>
                <w:w w:val="95"/>
              </w:rPr>
              <w:t>and Chief Financial Officer</w:t>
            </w:r>
          </w:p>
        </w:tc>
        <w:tc>
          <w:tcPr>
            <w:tcW w:w="210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3740" w:type="dxa"/>
            <w:vAlign w:val="bottom"/>
            <w:gridSpan w:val="4"/>
          </w:tcPr>
          <w:p>
            <w:pPr>
              <w:ind w:left="960"/>
              <w:spacing w:after="0" w:line="152" w:lineRule="exact"/>
              <w:rPr>
                <w:sz w:val="20"/>
                <w:szCs w:val="20"/>
                <w:color w:val="auto"/>
              </w:rPr>
            </w:pPr>
            <w:r>
              <w:rPr>
                <w:rFonts w:ascii="Arial" w:cs="Arial" w:eastAsia="Arial" w:hAnsi="Arial"/>
                <w:sz w:val="14"/>
                <w:szCs w:val="14"/>
                <w:b w:val="1"/>
                <w:bCs w:val="1"/>
                <w:color w:val="auto"/>
              </w:rPr>
              <w:t>Kevin S. Cavanah</w:t>
            </w:r>
          </w:p>
        </w:tc>
        <w:tc>
          <w:tcPr>
            <w:tcW w:w="4880" w:type="dxa"/>
            <w:vAlign w:val="bottom"/>
            <w:gridSpan w:val="3"/>
          </w:tcPr>
          <w:p>
            <w:pPr>
              <w:jc w:val="center"/>
              <w:ind w:left="33"/>
              <w:spacing w:after="0" w:line="152" w:lineRule="exact"/>
              <w:rPr>
                <w:sz w:val="20"/>
                <w:szCs w:val="20"/>
                <w:color w:val="auto"/>
              </w:rPr>
            </w:pPr>
            <w:r>
              <w:rPr>
                <w:rFonts w:ascii="Arial" w:cs="Arial" w:eastAsia="Arial" w:hAnsi="Arial"/>
                <w:sz w:val="17"/>
                <w:szCs w:val="17"/>
                <w:color w:val="auto"/>
                <w:w w:val="95"/>
              </w:rPr>
              <w:t>(Principal Accounting and</w:t>
            </w:r>
          </w:p>
        </w:tc>
        <w:tc>
          <w:tcPr>
            <w:tcW w:w="1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1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4880" w:type="dxa"/>
            <w:vAlign w:val="bottom"/>
            <w:gridSpan w:val="3"/>
          </w:tcPr>
          <w:p>
            <w:pPr>
              <w:jc w:val="center"/>
              <w:ind w:left="53"/>
              <w:spacing w:after="0"/>
              <w:rPr>
                <w:sz w:val="20"/>
                <w:szCs w:val="20"/>
                <w:color w:val="auto"/>
              </w:rPr>
            </w:pPr>
            <w:r>
              <w:rPr>
                <w:rFonts w:ascii="Arial" w:cs="Arial" w:eastAsia="Arial" w:hAnsi="Arial"/>
                <w:sz w:val="17"/>
                <w:szCs w:val="17"/>
                <w:color w:val="auto"/>
                <w:w w:val="97"/>
              </w:rPr>
              <w:t>Principal Financial Officer)</w:t>
            </w: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5"/>
        </w:trPr>
        <w:tc>
          <w:tcPr>
            <w:tcW w:w="1240" w:type="dxa"/>
            <w:vAlign w:val="bottom"/>
            <w:tcBorders>
              <w:bottom w:val="single" w:sz="8" w:color="auto"/>
            </w:tcBorders>
          </w:tcPr>
          <w:p>
            <w:pPr>
              <w:ind w:left="960"/>
              <w:spacing w:after="0"/>
              <w:rPr>
                <w:sz w:val="20"/>
                <w:szCs w:val="20"/>
                <w:color w:val="auto"/>
              </w:rPr>
            </w:pPr>
            <w:r>
              <w:rPr>
                <w:rFonts w:ascii="Arial" w:cs="Arial" w:eastAsia="Arial" w:hAnsi="Arial"/>
                <w:sz w:val="17"/>
                <w:szCs w:val="17"/>
                <w:b w:val="1"/>
                <w:bCs w:val="1"/>
                <w:color w:val="auto"/>
              </w:rPr>
              <w:t>/S/</w:t>
            </w:r>
          </w:p>
        </w:tc>
        <w:tc>
          <w:tcPr>
            <w:tcW w:w="2500" w:type="dxa"/>
            <w:vAlign w:val="bottom"/>
            <w:tcBorders>
              <w:bottom w:val="single" w:sz="8" w:color="auto"/>
            </w:tcBorders>
            <w:gridSpan w:val="3"/>
          </w:tcPr>
          <w:p>
            <w:pPr>
              <w:ind w:left="100"/>
              <w:spacing w:after="0"/>
              <w:rPr>
                <w:sz w:val="20"/>
                <w:szCs w:val="20"/>
                <w:color w:val="auto"/>
              </w:rPr>
            </w:pPr>
            <w:r>
              <w:rPr>
                <w:rFonts w:ascii="Arial" w:cs="Arial" w:eastAsia="Arial" w:hAnsi="Arial"/>
                <w:sz w:val="17"/>
                <w:szCs w:val="17"/>
                <w:b w:val="1"/>
                <w:bCs w:val="1"/>
                <w:color w:val="auto"/>
              </w:rPr>
              <w:t>Martha Z. Carnes</w:t>
            </w:r>
          </w:p>
        </w:tc>
        <w:tc>
          <w:tcPr>
            <w:tcW w:w="4880" w:type="dxa"/>
            <w:vAlign w:val="bottom"/>
            <w:gridSpan w:val="3"/>
          </w:tcPr>
          <w:p>
            <w:pPr>
              <w:jc w:val="center"/>
              <w:ind w:left="53"/>
              <w:spacing w:after="0"/>
              <w:rPr>
                <w:sz w:val="20"/>
                <w:szCs w:val="20"/>
                <w:color w:val="auto"/>
              </w:rPr>
            </w:pPr>
            <w:r>
              <w:rPr>
                <w:rFonts w:ascii="Arial" w:cs="Arial" w:eastAsia="Arial" w:hAnsi="Arial"/>
                <w:sz w:val="17"/>
                <w:szCs w:val="17"/>
                <w:color w:val="auto"/>
                <w:w w:val="97"/>
              </w:rPr>
              <w:t>Director</w:t>
            </w:r>
          </w:p>
        </w:tc>
        <w:tc>
          <w:tcPr>
            <w:tcW w:w="2100" w:type="dxa"/>
            <w:vAlign w:val="bottom"/>
            <w:gridSpan w:val="3"/>
          </w:tcPr>
          <w:p>
            <w:pPr>
              <w:jc w:val="center"/>
              <w:ind w:left="595"/>
              <w:spacing w:after="0"/>
              <w:rPr>
                <w:sz w:val="20"/>
                <w:szCs w:val="20"/>
                <w:color w:val="auto"/>
              </w:rPr>
            </w:pPr>
            <w:r>
              <w:rPr>
                <w:rFonts w:ascii="Arial" w:cs="Arial" w:eastAsia="Arial" w:hAnsi="Arial"/>
                <w:sz w:val="17"/>
                <w:szCs w:val="17"/>
                <w:color w:val="auto"/>
                <w:w w:val="92"/>
              </w:rPr>
              <w:t>September 13, 2021</w:t>
            </w:r>
          </w:p>
        </w:tc>
        <w:tc>
          <w:tcPr>
            <w:tcW w:w="0" w:type="dxa"/>
            <w:vAlign w:val="bottom"/>
          </w:tcPr>
          <w:p>
            <w:pPr>
              <w:spacing w:after="0"/>
              <w:rPr>
                <w:sz w:val="1"/>
                <w:szCs w:val="1"/>
                <w:color w:val="auto"/>
              </w:rPr>
            </w:pPr>
          </w:p>
        </w:tc>
      </w:tr>
      <w:tr>
        <w:trPr>
          <w:trHeight w:val="176"/>
        </w:trPr>
        <w:tc>
          <w:tcPr>
            <w:tcW w:w="3740" w:type="dxa"/>
            <w:vAlign w:val="bottom"/>
            <w:gridSpan w:val="4"/>
          </w:tcPr>
          <w:p>
            <w:pPr>
              <w:ind w:left="960"/>
              <w:spacing w:after="0"/>
              <w:rPr>
                <w:sz w:val="20"/>
                <w:szCs w:val="20"/>
                <w:color w:val="auto"/>
              </w:rPr>
            </w:pPr>
            <w:r>
              <w:rPr>
                <w:rFonts w:ascii="Arial" w:cs="Arial" w:eastAsia="Arial" w:hAnsi="Arial"/>
                <w:sz w:val="14"/>
                <w:szCs w:val="14"/>
                <w:b w:val="1"/>
                <w:bCs w:val="1"/>
                <w:color w:val="auto"/>
              </w:rPr>
              <w:t>Martha Z. Carnes</w:t>
            </w:r>
          </w:p>
        </w:tc>
        <w:tc>
          <w:tcPr>
            <w:tcW w:w="2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6"/>
        </w:trPr>
        <w:tc>
          <w:tcPr>
            <w:tcW w:w="1240" w:type="dxa"/>
            <w:vAlign w:val="bottom"/>
            <w:tcBorders>
              <w:bottom w:val="single" w:sz="8" w:color="auto"/>
            </w:tcBorders>
          </w:tcPr>
          <w:p>
            <w:pPr>
              <w:ind w:left="960"/>
              <w:spacing w:after="0"/>
              <w:rPr>
                <w:sz w:val="20"/>
                <w:szCs w:val="20"/>
                <w:color w:val="auto"/>
              </w:rPr>
            </w:pPr>
            <w:r>
              <w:rPr>
                <w:rFonts w:ascii="Arial" w:cs="Arial" w:eastAsia="Arial" w:hAnsi="Arial"/>
                <w:sz w:val="17"/>
                <w:szCs w:val="17"/>
                <w:b w:val="1"/>
                <w:bCs w:val="1"/>
                <w:color w:val="auto"/>
              </w:rPr>
              <w:t>/S/</w:t>
            </w:r>
          </w:p>
        </w:tc>
        <w:tc>
          <w:tcPr>
            <w:tcW w:w="2500" w:type="dxa"/>
            <w:vAlign w:val="bottom"/>
            <w:tcBorders>
              <w:bottom w:val="single" w:sz="8" w:color="auto"/>
            </w:tcBorders>
            <w:gridSpan w:val="3"/>
          </w:tcPr>
          <w:p>
            <w:pPr>
              <w:ind w:left="100"/>
              <w:spacing w:after="0"/>
              <w:rPr>
                <w:sz w:val="20"/>
                <w:szCs w:val="20"/>
                <w:color w:val="auto"/>
              </w:rPr>
            </w:pPr>
            <w:r>
              <w:rPr>
                <w:rFonts w:ascii="Arial" w:cs="Arial" w:eastAsia="Arial" w:hAnsi="Arial"/>
                <w:sz w:val="17"/>
                <w:szCs w:val="17"/>
                <w:b w:val="1"/>
                <w:bCs w:val="1"/>
                <w:color w:val="auto"/>
              </w:rPr>
              <w:t>John D. Chandler</w:t>
            </w:r>
          </w:p>
        </w:tc>
        <w:tc>
          <w:tcPr>
            <w:tcW w:w="4880" w:type="dxa"/>
            <w:vAlign w:val="bottom"/>
            <w:gridSpan w:val="3"/>
          </w:tcPr>
          <w:p>
            <w:pPr>
              <w:jc w:val="center"/>
              <w:ind w:left="53"/>
              <w:spacing w:after="0"/>
              <w:rPr>
                <w:sz w:val="20"/>
                <w:szCs w:val="20"/>
                <w:color w:val="auto"/>
              </w:rPr>
            </w:pPr>
            <w:r>
              <w:rPr>
                <w:rFonts w:ascii="Arial" w:cs="Arial" w:eastAsia="Arial" w:hAnsi="Arial"/>
                <w:sz w:val="17"/>
                <w:szCs w:val="17"/>
                <w:color w:val="auto"/>
                <w:w w:val="97"/>
              </w:rPr>
              <w:t>Director</w:t>
            </w:r>
          </w:p>
        </w:tc>
        <w:tc>
          <w:tcPr>
            <w:tcW w:w="2100" w:type="dxa"/>
            <w:vAlign w:val="bottom"/>
            <w:gridSpan w:val="3"/>
          </w:tcPr>
          <w:p>
            <w:pPr>
              <w:jc w:val="center"/>
              <w:ind w:left="595"/>
              <w:spacing w:after="0"/>
              <w:rPr>
                <w:sz w:val="20"/>
                <w:szCs w:val="20"/>
                <w:color w:val="auto"/>
              </w:rPr>
            </w:pPr>
            <w:r>
              <w:rPr>
                <w:rFonts w:ascii="Arial" w:cs="Arial" w:eastAsia="Arial" w:hAnsi="Arial"/>
                <w:sz w:val="17"/>
                <w:szCs w:val="17"/>
                <w:color w:val="auto"/>
                <w:w w:val="92"/>
              </w:rPr>
              <w:t>September 13, 2021</w:t>
            </w:r>
          </w:p>
        </w:tc>
        <w:tc>
          <w:tcPr>
            <w:tcW w:w="0" w:type="dxa"/>
            <w:vAlign w:val="bottom"/>
          </w:tcPr>
          <w:p>
            <w:pPr>
              <w:spacing w:after="0"/>
              <w:rPr>
                <w:sz w:val="1"/>
                <w:szCs w:val="1"/>
                <w:color w:val="auto"/>
              </w:rPr>
            </w:pPr>
          </w:p>
        </w:tc>
      </w:tr>
      <w:tr>
        <w:trPr>
          <w:trHeight w:val="176"/>
        </w:trPr>
        <w:tc>
          <w:tcPr>
            <w:tcW w:w="3740" w:type="dxa"/>
            <w:vAlign w:val="bottom"/>
            <w:gridSpan w:val="4"/>
          </w:tcPr>
          <w:p>
            <w:pPr>
              <w:ind w:left="960"/>
              <w:spacing w:after="0"/>
              <w:rPr>
                <w:sz w:val="20"/>
                <w:szCs w:val="20"/>
                <w:color w:val="auto"/>
              </w:rPr>
            </w:pPr>
            <w:r>
              <w:rPr>
                <w:rFonts w:ascii="Arial" w:cs="Arial" w:eastAsia="Arial" w:hAnsi="Arial"/>
                <w:sz w:val="14"/>
                <w:szCs w:val="14"/>
                <w:b w:val="1"/>
                <w:bCs w:val="1"/>
                <w:color w:val="auto"/>
              </w:rPr>
              <w:t>John D. Chandler</w:t>
            </w:r>
          </w:p>
        </w:tc>
        <w:tc>
          <w:tcPr>
            <w:tcW w:w="2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6"/>
        </w:trPr>
        <w:tc>
          <w:tcPr>
            <w:tcW w:w="1240" w:type="dxa"/>
            <w:vAlign w:val="bottom"/>
            <w:tcBorders>
              <w:bottom w:val="single" w:sz="8" w:color="auto"/>
            </w:tcBorders>
          </w:tcPr>
          <w:p>
            <w:pPr>
              <w:ind w:left="960"/>
              <w:spacing w:after="0"/>
              <w:rPr>
                <w:sz w:val="20"/>
                <w:szCs w:val="20"/>
                <w:color w:val="auto"/>
              </w:rPr>
            </w:pPr>
            <w:r>
              <w:rPr>
                <w:rFonts w:ascii="Arial" w:cs="Arial" w:eastAsia="Arial" w:hAnsi="Arial"/>
                <w:sz w:val="17"/>
                <w:szCs w:val="17"/>
                <w:b w:val="1"/>
                <w:bCs w:val="1"/>
                <w:color w:val="auto"/>
              </w:rPr>
              <w:t>/S/</w:t>
            </w:r>
          </w:p>
        </w:tc>
        <w:tc>
          <w:tcPr>
            <w:tcW w:w="2500" w:type="dxa"/>
            <w:vAlign w:val="bottom"/>
            <w:tcBorders>
              <w:bottom w:val="single" w:sz="8" w:color="auto"/>
            </w:tcBorders>
            <w:gridSpan w:val="3"/>
          </w:tcPr>
          <w:p>
            <w:pPr>
              <w:ind w:left="100"/>
              <w:spacing w:after="0"/>
              <w:rPr>
                <w:sz w:val="20"/>
                <w:szCs w:val="20"/>
                <w:color w:val="auto"/>
              </w:rPr>
            </w:pPr>
            <w:r>
              <w:rPr>
                <w:rFonts w:ascii="Arial" w:cs="Arial" w:eastAsia="Arial" w:hAnsi="Arial"/>
                <w:sz w:val="17"/>
                <w:szCs w:val="17"/>
                <w:b w:val="1"/>
                <w:bCs w:val="1"/>
                <w:color w:val="auto"/>
              </w:rPr>
              <w:t>Carlin G. Conner</w:t>
            </w:r>
          </w:p>
        </w:tc>
        <w:tc>
          <w:tcPr>
            <w:tcW w:w="4880" w:type="dxa"/>
            <w:vAlign w:val="bottom"/>
            <w:gridSpan w:val="3"/>
          </w:tcPr>
          <w:p>
            <w:pPr>
              <w:jc w:val="center"/>
              <w:ind w:left="53"/>
              <w:spacing w:after="0"/>
              <w:rPr>
                <w:sz w:val="20"/>
                <w:szCs w:val="20"/>
                <w:color w:val="auto"/>
              </w:rPr>
            </w:pPr>
            <w:r>
              <w:rPr>
                <w:rFonts w:ascii="Arial" w:cs="Arial" w:eastAsia="Arial" w:hAnsi="Arial"/>
                <w:sz w:val="17"/>
                <w:szCs w:val="17"/>
                <w:color w:val="auto"/>
                <w:w w:val="97"/>
              </w:rPr>
              <w:t>Director</w:t>
            </w:r>
          </w:p>
        </w:tc>
        <w:tc>
          <w:tcPr>
            <w:tcW w:w="2100" w:type="dxa"/>
            <w:vAlign w:val="bottom"/>
            <w:gridSpan w:val="3"/>
          </w:tcPr>
          <w:p>
            <w:pPr>
              <w:jc w:val="center"/>
              <w:ind w:left="595"/>
              <w:spacing w:after="0"/>
              <w:rPr>
                <w:sz w:val="20"/>
                <w:szCs w:val="20"/>
                <w:color w:val="auto"/>
              </w:rPr>
            </w:pPr>
            <w:r>
              <w:rPr>
                <w:rFonts w:ascii="Arial" w:cs="Arial" w:eastAsia="Arial" w:hAnsi="Arial"/>
                <w:sz w:val="17"/>
                <w:szCs w:val="17"/>
                <w:color w:val="auto"/>
                <w:w w:val="92"/>
              </w:rPr>
              <w:t>September 13, 2021</w:t>
            </w:r>
          </w:p>
        </w:tc>
        <w:tc>
          <w:tcPr>
            <w:tcW w:w="0" w:type="dxa"/>
            <w:vAlign w:val="bottom"/>
          </w:tcPr>
          <w:p>
            <w:pPr>
              <w:spacing w:after="0"/>
              <w:rPr>
                <w:sz w:val="1"/>
                <w:szCs w:val="1"/>
                <w:color w:val="auto"/>
              </w:rPr>
            </w:pPr>
          </w:p>
        </w:tc>
      </w:tr>
      <w:tr>
        <w:trPr>
          <w:trHeight w:val="176"/>
        </w:trPr>
        <w:tc>
          <w:tcPr>
            <w:tcW w:w="3740" w:type="dxa"/>
            <w:vAlign w:val="bottom"/>
            <w:gridSpan w:val="4"/>
          </w:tcPr>
          <w:p>
            <w:pPr>
              <w:ind w:left="960"/>
              <w:spacing w:after="0"/>
              <w:rPr>
                <w:sz w:val="20"/>
                <w:szCs w:val="20"/>
                <w:color w:val="auto"/>
              </w:rPr>
            </w:pPr>
            <w:r>
              <w:rPr>
                <w:rFonts w:ascii="Arial" w:cs="Arial" w:eastAsia="Arial" w:hAnsi="Arial"/>
                <w:sz w:val="14"/>
                <w:szCs w:val="14"/>
                <w:b w:val="1"/>
                <w:bCs w:val="1"/>
                <w:color w:val="auto"/>
              </w:rPr>
              <w:t>Carlin G. Conner</w:t>
            </w:r>
          </w:p>
        </w:tc>
        <w:tc>
          <w:tcPr>
            <w:tcW w:w="2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6"/>
        </w:trPr>
        <w:tc>
          <w:tcPr>
            <w:tcW w:w="1240" w:type="dxa"/>
            <w:vAlign w:val="bottom"/>
            <w:tcBorders>
              <w:bottom w:val="single" w:sz="8" w:color="auto"/>
            </w:tcBorders>
          </w:tcPr>
          <w:p>
            <w:pPr>
              <w:ind w:left="960"/>
              <w:spacing w:after="0"/>
              <w:rPr>
                <w:sz w:val="20"/>
                <w:szCs w:val="20"/>
                <w:color w:val="auto"/>
              </w:rPr>
            </w:pPr>
            <w:r>
              <w:rPr>
                <w:rFonts w:ascii="Arial" w:cs="Arial" w:eastAsia="Arial" w:hAnsi="Arial"/>
                <w:sz w:val="17"/>
                <w:szCs w:val="17"/>
                <w:b w:val="1"/>
                <w:bCs w:val="1"/>
                <w:color w:val="auto"/>
              </w:rPr>
              <w:t>/S/</w:t>
            </w:r>
          </w:p>
        </w:tc>
        <w:tc>
          <w:tcPr>
            <w:tcW w:w="2500" w:type="dxa"/>
            <w:vAlign w:val="bottom"/>
            <w:tcBorders>
              <w:bottom w:val="single" w:sz="8" w:color="auto"/>
            </w:tcBorders>
            <w:gridSpan w:val="3"/>
          </w:tcPr>
          <w:p>
            <w:pPr>
              <w:ind w:left="100"/>
              <w:spacing w:after="0"/>
              <w:rPr>
                <w:sz w:val="20"/>
                <w:szCs w:val="20"/>
                <w:color w:val="auto"/>
              </w:rPr>
            </w:pPr>
            <w:r>
              <w:rPr>
                <w:rFonts w:ascii="Arial" w:cs="Arial" w:eastAsia="Arial" w:hAnsi="Arial"/>
                <w:sz w:val="17"/>
                <w:szCs w:val="17"/>
                <w:b w:val="1"/>
                <w:bCs w:val="1"/>
                <w:color w:val="auto"/>
              </w:rPr>
              <w:t>Liane K. Hinrichs</w:t>
            </w:r>
          </w:p>
        </w:tc>
        <w:tc>
          <w:tcPr>
            <w:tcW w:w="4880" w:type="dxa"/>
            <w:vAlign w:val="bottom"/>
            <w:gridSpan w:val="3"/>
          </w:tcPr>
          <w:p>
            <w:pPr>
              <w:jc w:val="center"/>
              <w:ind w:left="53"/>
              <w:spacing w:after="0"/>
              <w:rPr>
                <w:sz w:val="20"/>
                <w:szCs w:val="20"/>
                <w:color w:val="auto"/>
              </w:rPr>
            </w:pPr>
            <w:r>
              <w:rPr>
                <w:rFonts w:ascii="Arial" w:cs="Arial" w:eastAsia="Arial" w:hAnsi="Arial"/>
                <w:sz w:val="17"/>
                <w:szCs w:val="17"/>
                <w:color w:val="auto"/>
                <w:w w:val="97"/>
              </w:rPr>
              <w:t>Director</w:t>
            </w:r>
          </w:p>
        </w:tc>
        <w:tc>
          <w:tcPr>
            <w:tcW w:w="2100" w:type="dxa"/>
            <w:vAlign w:val="bottom"/>
            <w:gridSpan w:val="3"/>
          </w:tcPr>
          <w:p>
            <w:pPr>
              <w:jc w:val="center"/>
              <w:ind w:left="595"/>
              <w:spacing w:after="0"/>
              <w:rPr>
                <w:sz w:val="20"/>
                <w:szCs w:val="20"/>
                <w:color w:val="auto"/>
              </w:rPr>
            </w:pPr>
            <w:r>
              <w:rPr>
                <w:rFonts w:ascii="Arial" w:cs="Arial" w:eastAsia="Arial" w:hAnsi="Arial"/>
                <w:sz w:val="17"/>
                <w:szCs w:val="17"/>
                <w:color w:val="auto"/>
                <w:w w:val="92"/>
              </w:rPr>
              <w:t>September 13, 2021</w:t>
            </w:r>
          </w:p>
        </w:tc>
        <w:tc>
          <w:tcPr>
            <w:tcW w:w="0" w:type="dxa"/>
            <w:vAlign w:val="bottom"/>
          </w:tcPr>
          <w:p>
            <w:pPr>
              <w:spacing w:after="0"/>
              <w:rPr>
                <w:sz w:val="1"/>
                <w:szCs w:val="1"/>
                <w:color w:val="auto"/>
              </w:rPr>
            </w:pPr>
          </w:p>
        </w:tc>
      </w:tr>
      <w:tr>
        <w:trPr>
          <w:trHeight w:val="176"/>
        </w:trPr>
        <w:tc>
          <w:tcPr>
            <w:tcW w:w="3740" w:type="dxa"/>
            <w:vAlign w:val="bottom"/>
            <w:gridSpan w:val="4"/>
          </w:tcPr>
          <w:p>
            <w:pPr>
              <w:ind w:left="960"/>
              <w:spacing w:after="0"/>
              <w:rPr>
                <w:sz w:val="20"/>
                <w:szCs w:val="20"/>
                <w:color w:val="auto"/>
              </w:rPr>
            </w:pPr>
            <w:r>
              <w:rPr>
                <w:rFonts w:ascii="Arial" w:cs="Arial" w:eastAsia="Arial" w:hAnsi="Arial"/>
                <w:sz w:val="14"/>
                <w:szCs w:val="14"/>
                <w:b w:val="1"/>
                <w:bCs w:val="1"/>
                <w:color w:val="auto"/>
              </w:rPr>
              <w:t>Liane K. Hinrichs</w:t>
            </w:r>
          </w:p>
        </w:tc>
        <w:tc>
          <w:tcPr>
            <w:tcW w:w="2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6"/>
        </w:trPr>
        <w:tc>
          <w:tcPr>
            <w:tcW w:w="1240" w:type="dxa"/>
            <w:vAlign w:val="bottom"/>
            <w:tcBorders>
              <w:bottom w:val="single" w:sz="8" w:color="auto"/>
            </w:tcBorders>
          </w:tcPr>
          <w:p>
            <w:pPr>
              <w:ind w:left="960"/>
              <w:spacing w:after="0"/>
              <w:rPr>
                <w:sz w:val="20"/>
                <w:szCs w:val="20"/>
                <w:color w:val="auto"/>
              </w:rPr>
            </w:pPr>
            <w:r>
              <w:rPr>
                <w:rFonts w:ascii="Arial" w:cs="Arial" w:eastAsia="Arial" w:hAnsi="Arial"/>
                <w:sz w:val="17"/>
                <w:szCs w:val="17"/>
                <w:b w:val="1"/>
                <w:bCs w:val="1"/>
                <w:color w:val="auto"/>
              </w:rPr>
              <w:t>/S/</w:t>
            </w:r>
          </w:p>
        </w:tc>
        <w:tc>
          <w:tcPr>
            <w:tcW w:w="2500" w:type="dxa"/>
            <w:vAlign w:val="bottom"/>
            <w:tcBorders>
              <w:bottom w:val="single" w:sz="8" w:color="auto"/>
            </w:tcBorders>
            <w:gridSpan w:val="3"/>
          </w:tcPr>
          <w:p>
            <w:pPr>
              <w:ind w:left="100"/>
              <w:spacing w:after="0"/>
              <w:rPr>
                <w:sz w:val="20"/>
                <w:szCs w:val="20"/>
                <w:color w:val="auto"/>
              </w:rPr>
            </w:pPr>
            <w:r>
              <w:rPr>
                <w:rFonts w:ascii="Arial" w:cs="Arial" w:eastAsia="Arial" w:hAnsi="Arial"/>
                <w:sz w:val="17"/>
                <w:szCs w:val="17"/>
                <w:b w:val="1"/>
                <w:bCs w:val="1"/>
                <w:color w:val="auto"/>
              </w:rPr>
              <w:t>James H. Miller</w:t>
            </w:r>
          </w:p>
        </w:tc>
        <w:tc>
          <w:tcPr>
            <w:tcW w:w="4880" w:type="dxa"/>
            <w:vAlign w:val="bottom"/>
            <w:gridSpan w:val="3"/>
          </w:tcPr>
          <w:p>
            <w:pPr>
              <w:jc w:val="center"/>
              <w:ind w:left="53"/>
              <w:spacing w:after="0"/>
              <w:rPr>
                <w:sz w:val="20"/>
                <w:szCs w:val="20"/>
                <w:color w:val="auto"/>
              </w:rPr>
            </w:pPr>
            <w:r>
              <w:rPr>
                <w:rFonts w:ascii="Arial" w:cs="Arial" w:eastAsia="Arial" w:hAnsi="Arial"/>
                <w:sz w:val="17"/>
                <w:szCs w:val="17"/>
                <w:color w:val="auto"/>
                <w:w w:val="97"/>
              </w:rPr>
              <w:t>Director</w:t>
            </w:r>
          </w:p>
        </w:tc>
        <w:tc>
          <w:tcPr>
            <w:tcW w:w="2100" w:type="dxa"/>
            <w:vAlign w:val="bottom"/>
            <w:gridSpan w:val="3"/>
          </w:tcPr>
          <w:p>
            <w:pPr>
              <w:jc w:val="center"/>
              <w:ind w:left="595"/>
              <w:spacing w:after="0"/>
              <w:rPr>
                <w:sz w:val="20"/>
                <w:szCs w:val="20"/>
                <w:color w:val="auto"/>
              </w:rPr>
            </w:pPr>
            <w:r>
              <w:rPr>
                <w:rFonts w:ascii="Arial" w:cs="Arial" w:eastAsia="Arial" w:hAnsi="Arial"/>
                <w:sz w:val="17"/>
                <w:szCs w:val="17"/>
                <w:color w:val="auto"/>
                <w:w w:val="92"/>
              </w:rPr>
              <w:t>September 13, 2021</w:t>
            </w:r>
          </w:p>
        </w:tc>
        <w:tc>
          <w:tcPr>
            <w:tcW w:w="0" w:type="dxa"/>
            <w:vAlign w:val="bottom"/>
          </w:tcPr>
          <w:p>
            <w:pPr>
              <w:spacing w:after="0"/>
              <w:rPr>
                <w:sz w:val="1"/>
                <w:szCs w:val="1"/>
                <w:color w:val="auto"/>
              </w:rPr>
            </w:pPr>
          </w:p>
        </w:tc>
      </w:tr>
      <w:tr>
        <w:trPr>
          <w:trHeight w:val="176"/>
        </w:trPr>
        <w:tc>
          <w:tcPr>
            <w:tcW w:w="3740" w:type="dxa"/>
            <w:vAlign w:val="bottom"/>
            <w:gridSpan w:val="4"/>
          </w:tcPr>
          <w:p>
            <w:pPr>
              <w:ind w:left="960"/>
              <w:spacing w:after="0"/>
              <w:rPr>
                <w:sz w:val="20"/>
                <w:szCs w:val="20"/>
                <w:color w:val="auto"/>
              </w:rPr>
            </w:pPr>
            <w:r>
              <w:rPr>
                <w:rFonts w:ascii="Arial" w:cs="Arial" w:eastAsia="Arial" w:hAnsi="Arial"/>
                <w:sz w:val="14"/>
                <w:szCs w:val="14"/>
                <w:b w:val="1"/>
                <w:bCs w:val="1"/>
                <w:color w:val="auto"/>
              </w:rPr>
              <w:t>James H. Miller</w:t>
            </w:r>
          </w:p>
        </w:tc>
        <w:tc>
          <w:tcPr>
            <w:tcW w:w="2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92</w:t>
      </w:r>
    </w:p>
    <w:p>
      <w:pPr>
        <w:sectPr>
          <w:pgSz w:w="11900" w:h="16838" w:orient="portrait"/>
          <w:cols w:equalWidth="0" w:num="1">
            <w:col w:w="11240"/>
          </w:cols>
          <w:pgMar w:left="320" w:top="127" w:right="339" w:bottom="1440" w:gutter="0" w:footer="0" w:header="0"/>
        </w:sectPr>
      </w:pPr>
    </w:p>
    <w:bookmarkStart w:id="93" w:name="page94"/>
    <w:bookmarkEnd w:id="93"/>
    <w:p>
      <w:pPr>
        <w:jc w:val="right"/>
        <w:spacing w:after="0"/>
        <w:rPr>
          <w:sz w:val="20"/>
          <w:szCs w:val="20"/>
          <w:color w:val="auto"/>
        </w:rPr>
      </w:pPr>
      <w:r>
        <w:rPr>
          <w:rFonts w:ascii="Arial" w:cs="Arial" w:eastAsia="Arial" w:hAnsi="Arial"/>
          <w:sz w:val="21"/>
          <w:szCs w:val="21"/>
          <w:b w:val="1"/>
          <w:bCs w:val="1"/>
          <w:color w:val="auto"/>
        </w:rPr>
        <w:t>Exhibit 10.16</w:t>
      </w:r>
    </w:p>
    <w:p>
      <w:pPr>
        <w:spacing w:after="0" w:line="236" w:lineRule="exact"/>
        <w:rPr>
          <w:sz w:val="20"/>
          <w:szCs w:val="20"/>
          <w:color w:val="auto"/>
        </w:rPr>
      </w:pPr>
    </w:p>
    <w:p>
      <w:pPr>
        <w:jc w:val="right"/>
        <w:spacing w:after="0"/>
        <w:rPr>
          <w:sz w:val="20"/>
          <w:szCs w:val="20"/>
          <w:color w:val="auto"/>
        </w:rPr>
      </w:pPr>
      <w:r>
        <w:rPr>
          <w:rFonts w:ascii="Arial" w:cs="Arial" w:eastAsia="Arial" w:hAnsi="Arial"/>
          <w:sz w:val="21"/>
          <w:szCs w:val="21"/>
          <w:color w:val="auto"/>
        </w:rPr>
        <w:t>Grantee:</w:t>
      </w:r>
    </w:p>
    <w:p>
      <w:pPr>
        <w:jc w:val="right"/>
        <w:spacing w:after="0"/>
        <w:rPr>
          <w:sz w:val="20"/>
          <w:szCs w:val="20"/>
          <w:color w:val="auto"/>
        </w:rPr>
      </w:pPr>
      <w:r>
        <w:rPr>
          <w:rFonts w:ascii="Arial" w:cs="Arial" w:eastAsia="Arial" w:hAnsi="Arial"/>
          <w:sz w:val="21"/>
          <w:szCs w:val="21"/>
          <w:color w:val="auto"/>
        </w:rPr>
        <w:t>Shares: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MATRIX SERVICE COMPANY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AWARD AGREEMENT</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August 23, 2021</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21"/>
          <w:szCs w:val="21"/>
          <w:color w:val="auto"/>
        </w:rPr>
        <w:t>«Grantee»</w:t>
      </w:r>
    </w:p>
    <w:p>
      <w:pPr>
        <w:spacing w:after="0" w:line="221" w:lineRule="auto"/>
        <w:rPr>
          <w:sz w:val="20"/>
          <w:szCs w:val="20"/>
          <w:color w:val="auto"/>
        </w:rPr>
      </w:pPr>
      <w:r>
        <w:rPr>
          <w:rFonts w:ascii="Arial" w:cs="Arial" w:eastAsia="Arial" w:hAnsi="Arial"/>
          <w:sz w:val="21"/>
          <w:szCs w:val="21"/>
          <w:color w:val="auto"/>
        </w:rPr>
        <w:t>«Address1»</w:t>
      </w:r>
    </w:p>
    <w:p>
      <w:pPr>
        <w:spacing w:after="0" w:line="222" w:lineRule="auto"/>
        <w:rPr>
          <w:sz w:val="20"/>
          <w:szCs w:val="20"/>
          <w:color w:val="auto"/>
        </w:rPr>
      </w:pPr>
      <w:r>
        <w:rPr>
          <w:rFonts w:ascii="Arial" w:cs="Arial" w:eastAsia="Arial" w:hAnsi="Arial"/>
          <w:sz w:val="21"/>
          <w:szCs w:val="21"/>
          <w:color w:val="auto"/>
        </w:rPr>
        <w:t>«Address2»</w:t>
      </w:r>
    </w:p>
    <w:p>
      <w:pPr>
        <w:spacing w:after="0"/>
        <w:rPr>
          <w:sz w:val="20"/>
          <w:szCs w:val="20"/>
          <w:color w:val="auto"/>
        </w:rPr>
      </w:pPr>
      <w:r>
        <w:rPr>
          <w:rFonts w:ascii="Arial" w:cs="Arial" w:eastAsia="Arial" w:hAnsi="Arial"/>
          <w:sz w:val="21"/>
          <w:szCs w:val="21"/>
          <w:color w:val="auto"/>
        </w:rPr>
        <w:t>«City», «State» «PostalCode»</w:t>
      </w:r>
    </w:p>
    <w:p>
      <w:pPr>
        <w:spacing w:after="0" w:line="199" w:lineRule="exact"/>
        <w:rPr>
          <w:sz w:val="20"/>
          <w:szCs w:val="20"/>
          <w:color w:val="auto"/>
        </w:rPr>
      </w:pPr>
    </w:p>
    <w:p>
      <w:pPr>
        <w:spacing w:after="0"/>
        <w:rPr>
          <w:sz w:val="20"/>
          <w:szCs w:val="20"/>
          <w:color w:val="auto"/>
        </w:rPr>
      </w:pPr>
      <w:r>
        <w:rPr>
          <w:rFonts w:ascii="Arial" w:cs="Arial" w:eastAsia="Arial" w:hAnsi="Arial"/>
          <w:sz w:val="21"/>
          <w:szCs w:val="21"/>
          <w:color w:val="auto"/>
        </w:rPr>
        <w:t>Dear «FirstName»:</w:t>
      </w:r>
    </w:p>
    <w:p>
      <w:pPr>
        <w:spacing w:after="0" w:line="211" w:lineRule="exact"/>
        <w:rPr>
          <w:sz w:val="20"/>
          <w:szCs w:val="20"/>
          <w:color w:val="auto"/>
        </w:rPr>
      </w:pPr>
    </w:p>
    <w:p>
      <w:pPr>
        <w:jc w:val="both"/>
        <w:ind w:firstLine="5"/>
        <w:spacing w:after="0" w:line="254" w:lineRule="auto"/>
        <w:tabs>
          <w:tab w:leader="none" w:pos="210" w:val="left"/>
        </w:tabs>
        <w:numPr>
          <w:ilvl w:val="0"/>
          <w:numId w:val="46"/>
        </w:numPr>
        <w:rPr>
          <w:rFonts w:ascii="Arial" w:cs="Arial" w:eastAsia="Arial" w:hAnsi="Arial"/>
          <w:sz w:val="19"/>
          <w:szCs w:val="19"/>
          <w:color w:val="auto"/>
        </w:rPr>
      </w:pPr>
      <w:r>
        <w:rPr>
          <w:rFonts w:ascii="Arial" w:cs="Arial" w:eastAsia="Arial" w:hAnsi="Arial"/>
          <w:sz w:val="19"/>
          <w:szCs w:val="19"/>
          <w:b w:val="1"/>
          <w:bCs w:val="1"/>
          <w:color w:val="auto"/>
        </w:rPr>
        <w:t>Award</w:t>
      </w:r>
      <w:r>
        <w:rPr>
          <w:rFonts w:ascii="Arial" w:cs="Arial" w:eastAsia="Arial" w:hAnsi="Arial"/>
          <w:sz w:val="19"/>
          <w:szCs w:val="19"/>
          <w:color w:val="auto"/>
        </w:rPr>
        <w:t>. The awards set forth in this Award Agreement (the "</w:t>
      </w:r>
      <w:r>
        <w:rPr>
          <w:rFonts w:ascii="Arial" w:cs="Arial" w:eastAsia="Arial" w:hAnsi="Arial"/>
          <w:sz w:val="19"/>
          <w:szCs w:val="19"/>
          <w:u w:val="single" w:color="auto"/>
          <w:color w:val="auto"/>
        </w:rPr>
        <w:t>Award Agreement</w:t>
      </w:r>
      <w:r>
        <w:rPr>
          <w:rFonts w:ascii="Arial" w:cs="Arial" w:eastAsia="Arial" w:hAnsi="Arial"/>
          <w:sz w:val="19"/>
          <w:szCs w:val="19"/>
          <w:color w:val="auto"/>
        </w:rPr>
        <w:t>") are subject to your acceptance of and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to all of the applicable terms, conditions, and restrictions described in the 2020 Stock and Incentive Compensation Plan (the "</w:t>
      </w:r>
      <w:r>
        <w:rPr>
          <w:rFonts w:ascii="Arial" w:cs="Arial" w:eastAsia="Arial" w:hAnsi="Arial"/>
          <w:sz w:val="19"/>
          <w:szCs w:val="19"/>
          <w:u w:val="single" w:color="auto"/>
          <w:color w:val="auto"/>
        </w:rPr>
        <w:t>Plan</w:t>
      </w:r>
      <w:r>
        <w:rPr>
          <w:rFonts w:ascii="Arial" w:cs="Arial" w:eastAsia="Arial" w:hAnsi="Arial"/>
          <w:sz w:val="19"/>
          <w:szCs w:val="19"/>
          <w:color w:val="auto"/>
        </w:rPr>
        <w:t>"), of Matrix Service Company, a Delaware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a copy of which is on file with, and may be obtained from, the Secretary of the Company, and to your acceptance of and agreement to the further terms, conditions, and restrictions described in this Award Agreement. To the extent that any provision of this Award Agreement conflicts with the expressly applicable terms of the Plan, it is hereby acknowledged and agreed that those terms of the Plan shall control and, if necessary, the applicable provisions of this Award Agreement shall be hereby deemed amended so as to carry out the purpose and intent of the Plan.</w:t>
      </w:r>
    </w:p>
    <w:p>
      <w:pPr>
        <w:spacing w:after="0" w:line="177" w:lineRule="exact"/>
        <w:rPr>
          <w:rFonts w:ascii="Arial" w:cs="Arial" w:eastAsia="Arial" w:hAnsi="Arial"/>
          <w:sz w:val="19"/>
          <w:szCs w:val="19"/>
          <w:color w:val="auto"/>
        </w:rPr>
      </w:pPr>
    </w:p>
    <w:p>
      <w:pPr>
        <w:ind w:left="840" w:hanging="206"/>
        <w:spacing w:after="0"/>
        <w:tabs>
          <w:tab w:leader="none" w:pos="840" w:val="left"/>
        </w:tabs>
        <w:numPr>
          <w:ilvl w:val="1"/>
          <w:numId w:val="46"/>
        </w:numPr>
        <w:rPr>
          <w:rFonts w:ascii="Arial" w:cs="Arial" w:eastAsia="Arial" w:hAnsi="Arial"/>
          <w:sz w:val="21"/>
          <w:szCs w:val="21"/>
          <w:color w:val="auto"/>
        </w:rPr>
      </w:pPr>
      <w:r>
        <w:rPr>
          <w:rFonts w:ascii="Arial" w:cs="Arial" w:eastAsia="Arial" w:hAnsi="Arial"/>
          <w:sz w:val="21"/>
          <w:szCs w:val="21"/>
          <w:b w:val="1"/>
          <w:bCs w:val="1"/>
          <w:color w:val="auto"/>
        </w:rPr>
        <w:t>Restricted Stock Units and Performance Unit Long-Term Incentive Award.</w:t>
      </w:r>
    </w:p>
    <w:p>
      <w:pPr>
        <w:spacing w:after="0" w:line="217" w:lineRule="exact"/>
        <w:rPr>
          <w:rFonts w:ascii="Arial" w:cs="Arial" w:eastAsia="Arial" w:hAnsi="Arial"/>
          <w:sz w:val="21"/>
          <w:szCs w:val="21"/>
          <w:color w:val="auto"/>
        </w:rPr>
      </w:pPr>
    </w:p>
    <w:p>
      <w:pPr>
        <w:jc w:val="both"/>
        <w:ind w:firstLine="1264"/>
        <w:spacing w:after="0" w:line="252" w:lineRule="auto"/>
        <w:tabs>
          <w:tab w:leader="none" w:pos="1544" w:val="left"/>
        </w:tabs>
        <w:numPr>
          <w:ilvl w:val="2"/>
          <w:numId w:val="46"/>
        </w:numPr>
        <w:rPr>
          <w:rFonts w:ascii="Arial" w:cs="Arial" w:eastAsia="Arial" w:hAnsi="Arial"/>
          <w:sz w:val="19"/>
          <w:szCs w:val="19"/>
          <w:color w:val="auto"/>
        </w:rPr>
      </w:pPr>
      <w:r>
        <w:rPr>
          <w:rFonts w:ascii="Arial" w:cs="Arial" w:eastAsia="Arial" w:hAnsi="Arial"/>
          <w:sz w:val="19"/>
          <w:szCs w:val="19"/>
          <w:b w:val="1"/>
          <w:bCs w:val="1"/>
          <w:color w:val="auto"/>
        </w:rPr>
        <w:t xml:space="preserve">Restricted Stock Units and Performance Units Awards. </w:t>
      </w:r>
      <w:r>
        <w:rPr>
          <w:rFonts w:ascii="Arial" w:cs="Arial" w:eastAsia="Arial" w:hAnsi="Arial"/>
          <w:sz w:val="19"/>
          <w:szCs w:val="19"/>
          <w:color w:val="auto"/>
        </w:rPr>
        <w:t>The Company hereby grants to you an aggregate of up</w:t>
      </w:r>
      <w:r>
        <w:rPr>
          <w:rFonts w:ascii="Arial" w:cs="Arial" w:eastAsia="Arial" w:hAnsi="Arial"/>
          <w:sz w:val="19"/>
          <w:szCs w:val="19"/>
          <w:b w:val="1"/>
          <w:bCs w:val="1"/>
          <w:color w:val="auto"/>
        </w:rPr>
        <w:t xml:space="preserve"> </w:t>
      </w:r>
      <w:r>
        <w:rPr>
          <w:rFonts w:ascii="Arial" w:cs="Arial" w:eastAsia="Arial" w:hAnsi="Arial"/>
          <w:sz w:val="19"/>
          <w:szCs w:val="19"/>
          <w:color w:val="auto"/>
        </w:rPr>
        <w:t>to «Shares» restricted stock units (individually, an "</w:t>
      </w:r>
      <w:r>
        <w:rPr>
          <w:rFonts w:ascii="Arial" w:cs="Arial" w:eastAsia="Arial" w:hAnsi="Arial"/>
          <w:sz w:val="19"/>
          <w:szCs w:val="19"/>
          <w:u w:val="single" w:color="auto"/>
          <w:color w:val="auto"/>
        </w:rPr>
        <w:t>RSU</w:t>
      </w:r>
      <w:r>
        <w:rPr>
          <w:rFonts w:ascii="Arial" w:cs="Arial" w:eastAsia="Arial" w:hAnsi="Arial"/>
          <w:sz w:val="19"/>
          <w:szCs w:val="19"/>
          <w:color w:val="auto"/>
        </w:rPr>
        <w:t>," and collectively, "</w:t>
      </w:r>
      <w:r>
        <w:rPr>
          <w:rFonts w:ascii="Arial" w:cs="Arial" w:eastAsia="Arial" w:hAnsi="Arial"/>
          <w:sz w:val="19"/>
          <w:szCs w:val="19"/>
          <w:u w:val="single" w:color="auto"/>
          <w:color w:val="auto"/>
        </w:rPr>
        <w:t>RSUs</w:t>
      </w:r>
      <w:r>
        <w:rPr>
          <w:rFonts w:ascii="Arial" w:cs="Arial" w:eastAsia="Arial" w:hAnsi="Arial"/>
          <w:sz w:val="19"/>
          <w:szCs w:val="19"/>
          <w:color w:val="auto"/>
        </w:rPr>
        <w:t>") as more specifically set forth in Section 2(e). This grant of RSUs is comprised of up to [Shares] "</w:t>
      </w:r>
      <w:r>
        <w:rPr>
          <w:rFonts w:ascii="Arial" w:cs="Arial" w:eastAsia="Arial" w:hAnsi="Arial"/>
          <w:sz w:val="19"/>
          <w:szCs w:val="19"/>
          <w:u w:val="single" w:color="auto"/>
          <w:color w:val="auto"/>
        </w:rPr>
        <w:t>Stock-Based RSUs</w:t>
      </w:r>
      <w:r>
        <w:rPr>
          <w:rFonts w:ascii="Arial" w:cs="Arial" w:eastAsia="Arial" w:hAnsi="Arial"/>
          <w:sz w:val="19"/>
          <w:szCs w:val="19"/>
          <w:color w:val="auto"/>
        </w:rPr>
        <w:t>" and up to [Shares] "</w:t>
      </w:r>
      <w:r>
        <w:rPr>
          <w:rFonts w:ascii="Arial" w:cs="Arial" w:eastAsia="Arial" w:hAnsi="Arial"/>
          <w:sz w:val="19"/>
          <w:szCs w:val="19"/>
          <w:u w:val="single" w:color="auto"/>
          <w:color w:val="auto"/>
        </w:rPr>
        <w:t>Cash-Based RSUs</w:t>
      </w:r>
      <w:r>
        <w:rPr>
          <w:rFonts w:ascii="Arial" w:cs="Arial" w:eastAsia="Arial" w:hAnsi="Arial"/>
          <w:sz w:val="19"/>
          <w:szCs w:val="19"/>
          <w:color w:val="auto"/>
        </w:rPr>
        <w:t>." Each Stock-Based RSU entitles you to receive one share of common stock, par value $.01 per share, of the Company (the "</w:t>
      </w:r>
      <w:r>
        <w:rPr>
          <w:rFonts w:ascii="Arial" w:cs="Arial" w:eastAsia="Arial" w:hAnsi="Arial"/>
          <w:sz w:val="19"/>
          <w:szCs w:val="19"/>
          <w:u w:val="single" w:color="auto"/>
          <w:color w:val="auto"/>
        </w:rPr>
        <w:t>Shares</w:t>
      </w:r>
      <w:r>
        <w:rPr>
          <w:rFonts w:ascii="Arial" w:cs="Arial" w:eastAsia="Arial" w:hAnsi="Arial"/>
          <w:sz w:val="19"/>
          <w:szCs w:val="19"/>
          <w:color w:val="auto"/>
        </w:rPr>
        <w:t>") at such time as the restrictions described in Section 2(d)(ii) lapse as described in Section 2(e)(i). Each Cash-Based RSU entitles you to receive an amount of cash equal to the value of one Share based on the closing price of the Shares at such time as the restrictions described in Section 2(d)(ii) lapse as described in Section 2(e)(i). In addition, the Company hereby grants to you an aggregate of up to «Shares» performance units (individually, a "</w:t>
      </w:r>
      <w:r>
        <w:rPr>
          <w:rFonts w:ascii="Arial" w:cs="Arial" w:eastAsia="Arial" w:hAnsi="Arial"/>
          <w:sz w:val="19"/>
          <w:szCs w:val="19"/>
          <w:u w:val="single" w:color="auto"/>
          <w:color w:val="auto"/>
        </w:rPr>
        <w:t>Performance Unit</w:t>
      </w:r>
      <w:r>
        <w:rPr>
          <w:rFonts w:ascii="Arial" w:cs="Arial" w:eastAsia="Arial" w:hAnsi="Arial"/>
          <w:sz w:val="19"/>
          <w:szCs w:val="19"/>
          <w:color w:val="auto"/>
        </w:rPr>
        <w:t>," and collectively, "</w:t>
      </w:r>
      <w:r>
        <w:rPr>
          <w:rFonts w:ascii="Arial" w:cs="Arial" w:eastAsia="Arial" w:hAnsi="Arial"/>
          <w:sz w:val="19"/>
          <w:szCs w:val="19"/>
          <w:u w:val="single" w:color="auto"/>
          <w:color w:val="auto"/>
        </w:rPr>
        <w:t>Performance Units</w:t>
      </w:r>
      <w:r>
        <w:rPr>
          <w:rFonts w:ascii="Arial" w:cs="Arial" w:eastAsia="Arial" w:hAnsi="Arial"/>
          <w:sz w:val="19"/>
          <w:szCs w:val="19"/>
          <w:color w:val="auto"/>
        </w:rPr>
        <w:t>"). Each Performance Unit entitles you to receive up to two Shares at such time as the restrictions described in Section 2(d)(ii) lapse as described in Section 2(e)(ii).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w:t>
      </w:r>
    </w:p>
    <w:p>
      <w:pPr>
        <w:sectPr>
          <w:pgSz w:w="11900" w:h="16838" w:orient="portrait"/>
          <w:cols w:equalWidth="0" w:num="1">
            <w:col w:w="11240"/>
          </w:cols>
          <w:pgMar w:left="320" w:top="1384" w:right="339" w:bottom="1440" w:gutter="0" w:footer="0" w:header="0"/>
        </w:sectPr>
      </w:pPr>
    </w:p>
    <w:bookmarkStart w:id="94" w:name="page95"/>
    <w:bookmarkEnd w:id="94"/>
    <w:p>
      <w:pPr>
        <w:jc w:val="both"/>
        <w:ind w:firstLine="653"/>
        <w:spacing w:after="0" w:line="228" w:lineRule="auto"/>
        <w:tabs>
          <w:tab w:leader="none" w:pos="971" w:val="left"/>
        </w:tabs>
        <w:numPr>
          <w:ilvl w:val="1"/>
          <w:numId w:val="47"/>
        </w:numPr>
        <w:rPr>
          <w:rFonts w:ascii="Arial" w:cs="Arial" w:eastAsia="Arial" w:hAnsi="Arial"/>
          <w:sz w:val="21"/>
          <w:szCs w:val="21"/>
          <w:color w:val="auto"/>
        </w:rPr>
      </w:pPr>
      <w:r>
        <w:rPr>
          <w:rFonts w:ascii="Arial" w:cs="Arial" w:eastAsia="Arial" w:hAnsi="Arial"/>
          <w:sz w:val="21"/>
          <w:szCs w:val="21"/>
          <w:b w:val="1"/>
          <w:bCs w:val="1"/>
          <w:color w:val="auto"/>
        </w:rPr>
        <w:t xml:space="preserve">Form of Restricted Stock; Possession of Certificates. </w:t>
      </w:r>
      <w:r>
        <w:rPr>
          <w:rFonts w:ascii="Arial" w:cs="Arial" w:eastAsia="Arial" w:hAnsi="Arial"/>
          <w:sz w:val="21"/>
          <w:szCs w:val="21"/>
          <w:color w:val="auto"/>
        </w:rPr>
        <w:t>The Company shall issue the Shares you become entitled to</w:t>
      </w:r>
      <w:r>
        <w:rPr>
          <w:rFonts w:ascii="Arial" w:cs="Arial" w:eastAsia="Arial" w:hAnsi="Arial"/>
          <w:sz w:val="21"/>
          <w:szCs w:val="21"/>
          <w:b w:val="1"/>
          <w:bCs w:val="1"/>
          <w:color w:val="auto"/>
        </w:rPr>
        <w:t xml:space="preserve"> </w:t>
      </w:r>
      <w:r>
        <w:rPr>
          <w:rFonts w:ascii="Arial" w:cs="Arial" w:eastAsia="Arial" w:hAnsi="Arial"/>
          <w:sz w:val="21"/>
          <w:szCs w:val="21"/>
          <w:color w:val="auto"/>
        </w:rPr>
        <w:t>receive hereunder by book-entry registration or by issuance of a certificate or certificates for the Shares in your name as soon as practicable after the restrictions in Section 2(d)(ii) lapse as described in Section 2(e). In the event the Company issues a certificate or certificates for the Shares, such certificates shall be subject to such stop transfer orders and other restrictions as the committee of the Board of Directors that administers the Plan may deem necessary or advisable under the Plan and rules, regulations and other requirements of the Securities and Exchange Commission, any stock exchange upon which such Shares are then listed, and any applicable foreign, federal or state securities laws.</w:t>
      </w:r>
    </w:p>
    <w:p>
      <w:pPr>
        <w:spacing w:after="0" w:line="190" w:lineRule="exact"/>
        <w:rPr>
          <w:rFonts w:ascii="Arial" w:cs="Arial" w:eastAsia="Arial" w:hAnsi="Arial"/>
          <w:sz w:val="21"/>
          <w:szCs w:val="21"/>
          <w:color w:val="auto"/>
        </w:rPr>
      </w:pPr>
    </w:p>
    <w:p>
      <w:pPr>
        <w:jc w:val="both"/>
        <w:ind w:firstLine="1264"/>
        <w:spacing w:after="0" w:line="233" w:lineRule="auto"/>
        <w:tabs>
          <w:tab w:leader="none" w:pos="1557" w:val="left"/>
        </w:tabs>
        <w:numPr>
          <w:ilvl w:val="2"/>
          <w:numId w:val="47"/>
        </w:numPr>
        <w:rPr>
          <w:rFonts w:ascii="Arial" w:cs="Arial" w:eastAsia="Arial" w:hAnsi="Arial"/>
          <w:sz w:val="21"/>
          <w:szCs w:val="21"/>
          <w:color w:val="auto"/>
        </w:rPr>
      </w:pPr>
      <w:r>
        <w:rPr>
          <w:rFonts w:ascii="Arial" w:cs="Arial" w:eastAsia="Arial" w:hAnsi="Arial"/>
          <w:sz w:val="21"/>
          <w:szCs w:val="21"/>
          <w:b w:val="1"/>
          <w:bCs w:val="1"/>
          <w:color w:val="auto"/>
        </w:rPr>
        <w:t xml:space="preserve">Stockholder Rights Prior to Issuance of Shares. </w:t>
      </w:r>
      <w:r>
        <w:rPr>
          <w:rFonts w:ascii="Arial" w:cs="Arial" w:eastAsia="Arial" w:hAnsi="Arial"/>
          <w:sz w:val="21"/>
          <w:szCs w:val="21"/>
          <w:color w:val="auto"/>
        </w:rPr>
        <w:t>Neither you nor any of your beneficiaries shall be deemed to</w:t>
      </w:r>
      <w:r>
        <w:rPr>
          <w:rFonts w:ascii="Arial" w:cs="Arial" w:eastAsia="Arial" w:hAnsi="Arial"/>
          <w:sz w:val="21"/>
          <w:szCs w:val="21"/>
          <w:b w:val="1"/>
          <w:bCs w:val="1"/>
          <w:color w:val="auto"/>
        </w:rPr>
        <w:t xml:space="preserve"> </w:t>
      </w:r>
      <w:r>
        <w:rPr>
          <w:rFonts w:ascii="Arial" w:cs="Arial" w:eastAsia="Arial" w:hAnsi="Arial"/>
          <w:sz w:val="21"/>
          <w:szCs w:val="21"/>
          <w:color w:val="auto"/>
        </w:rPr>
        <w:t>have any voting rights, rights to receive dividends or other rights as a stockholder of the Company with respect to any Shares covered by the RSUs or the Performance Units until the date of book-entry registration or issuance by the Company of a certificate to you for such Shares.</w:t>
      </w:r>
    </w:p>
    <w:p>
      <w:pPr>
        <w:spacing w:after="0" w:line="190" w:lineRule="exact"/>
        <w:rPr>
          <w:rFonts w:ascii="Arial" w:cs="Arial" w:eastAsia="Arial" w:hAnsi="Arial"/>
          <w:sz w:val="21"/>
          <w:szCs w:val="21"/>
          <w:color w:val="auto"/>
        </w:rPr>
      </w:pPr>
    </w:p>
    <w:p>
      <w:pPr>
        <w:ind w:left="300" w:hanging="295"/>
        <w:spacing w:after="0"/>
        <w:tabs>
          <w:tab w:leader="none" w:pos="300" w:val="left"/>
        </w:tabs>
        <w:numPr>
          <w:ilvl w:val="0"/>
          <w:numId w:val="48"/>
        </w:numPr>
        <w:rPr>
          <w:rFonts w:ascii="Arial" w:cs="Arial" w:eastAsia="Arial" w:hAnsi="Arial"/>
          <w:sz w:val="21"/>
          <w:szCs w:val="21"/>
          <w:color w:val="auto"/>
        </w:rPr>
      </w:pPr>
      <w:r>
        <w:rPr>
          <w:rFonts w:ascii="Arial" w:cs="Arial" w:eastAsia="Arial" w:hAnsi="Arial"/>
          <w:sz w:val="21"/>
          <w:szCs w:val="21"/>
          <w:b w:val="1"/>
          <w:bCs w:val="1"/>
          <w:color w:val="auto"/>
        </w:rPr>
        <w:t>Restrictions.</w:t>
      </w:r>
    </w:p>
    <w:p>
      <w:pPr>
        <w:spacing w:after="0" w:line="223" w:lineRule="exact"/>
        <w:rPr>
          <w:rFonts w:ascii="Arial" w:cs="Arial" w:eastAsia="Arial" w:hAnsi="Arial"/>
          <w:sz w:val="21"/>
          <w:szCs w:val="21"/>
          <w:color w:val="auto"/>
        </w:rPr>
      </w:pPr>
    </w:p>
    <w:p>
      <w:pPr>
        <w:ind w:left="1260" w:firstLine="633"/>
        <w:spacing w:after="0" w:line="246" w:lineRule="auto"/>
        <w:tabs>
          <w:tab w:leader="none" w:pos="2179" w:val="left"/>
        </w:tabs>
        <w:numPr>
          <w:ilvl w:val="3"/>
          <w:numId w:val="48"/>
        </w:numPr>
        <w:rPr>
          <w:rFonts w:ascii="Arial" w:cs="Arial" w:eastAsia="Arial" w:hAnsi="Arial"/>
          <w:sz w:val="21"/>
          <w:szCs w:val="21"/>
          <w:color w:val="auto"/>
        </w:rPr>
      </w:pPr>
      <w:r>
        <w:rPr>
          <w:rFonts w:ascii="Arial" w:cs="Arial" w:eastAsia="Arial" w:hAnsi="Arial"/>
          <w:sz w:val="21"/>
          <w:szCs w:val="21"/>
          <w:color w:val="auto"/>
        </w:rPr>
        <w:t>Your ownership of the RSUs and Performance Units shall be subject to the restrictions set forth in subsection (ii) of this Section 2(d) until such restrictions lapse pursuant to the terms of Section 2(e).</w:t>
      </w:r>
    </w:p>
    <w:p>
      <w:pPr>
        <w:spacing w:after="0" w:line="186" w:lineRule="exact"/>
        <w:rPr>
          <w:rFonts w:ascii="Arial" w:cs="Arial" w:eastAsia="Arial" w:hAnsi="Arial"/>
          <w:sz w:val="21"/>
          <w:szCs w:val="21"/>
          <w:color w:val="auto"/>
        </w:rPr>
      </w:pPr>
    </w:p>
    <w:p>
      <w:pPr>
        <w:ind w:left="2200" w:hanging="307"/>
        <w:spacing w:after="0"/>
        <w:tabs>
          <w:tab w:leader="none" w:pos="2200" w:val="left"/>
        </w:tabs>
        <w:numPr>
          <w:ilvl w:val="3"/>
          <w:numId w:val="48"/>
        </w:numPr>
        <w:rPr>
          <w:rFonts w:ascii="Arial" w:cs="Arial" w:eastAsia="Arial" w:hAnsi="Arial"/>
          <w:sz w:val="21"/>
          <w:szCs w:val="21"/>
          <w:color w:val="auto"/>
        </w:rPr>
      </w:pPr>
      <w:r>
        <w:rPr>
          <w:rFonts w:ascii="Arial" w:cs="Arial" w:eastAsia="Arial" w:hAnsi="Arial"/>
          <w:sz w:val="21"/>
          <w:szCs w:val="21"/>
          <w:color w:val="auto"/>
        </w:rPr>
        <w:t>The restrictions referred to in subsection (i) of this Section 2(d) are as follows:</w:t>
      </w:r>
    </w:p>
    <w:p>
      <w:pPr>
        <w:spacing w:after="0" w:line="217" w:lineRule="exact"/>
        <w:rPr>
          <w:rFonts w:ascii="Arial" w:cs="Arial" w:eastAsia="Arial" w:hAnsi="Arial"/>
          <w:sz w:val="21"/>
          <w:szCs w:val="21"/>
          <w:color w:val="auto"/>
        </w:rPr>
      </w:pPr>
    </w:p>
    <w:p>
      <w:pPr>
        <w:jc w:val="both"/>
        <w:ind w:left="1900" w:firstLine="623"/>
        <w:spacing w:after="0" w:line="232" w:lineRule="auto"/>
        <w:tabs>
          <w:tab w:leader="none" w:pos="2899" w:val="left"/>
        </w:tabs>
        <w:numPr>
          <w:ilvl w:val="4"/>
          <w:numId w:val="48"/>
        </w:numPr>
        <w:rPr>
          <w:rFonts w:ascii="Arial" w:cs="Arial" w:eastAsia="Arial" w:hAnsi="Arial"/>
          <w:sz w:val="21"/>
          <w:szCs w:val="21"/>
          <w:color w:val="auto"/>
        </w:rPr>
      </w:pPr>
      <w:r>
        <w:rPr>
          <w:rFonts w:ascii="Arial" w:cs="Arial" w:eastAsia="Arial" w:hAnsi="Arial"/>
          <w:sz w:val="21"/>
          <w:szCs w:val="21"/>
          <w:color w:val="auto"/>
        </w:rPr>
        <w:t>At the time of your termination of employment with the Company or an Affiliate, other than a termination of employment that occurs as a result of an event described in any of Subsections (iii) through (vii) of Section 2(e), you shall forfeit the RSUs and Performance Units to the Company and all of your rights thereto shall terminate without any payment of consideration by the Company.</w:t>
      </w:r>
    </w:p>
    <w:p>
      <w:pPr>
        <w:spacing w:after="0" w:line="194" w:lineRule="exact"/>
        <w:rPr>
          <w:rFonts w:ascii="Arial" w:cs="Arial" w:eastAsia="Arial" w:hAnsi="Arial"/>
          <w:sz w:val="21"/>
          <w:szCs w:val="21"/>
          <w:color w:val="auto"/>
        </w:rPr>
      </w:pPr>
    </w:p>
    <w:p>
      <w:pPr>
        <w:jc w:val="both"/>
        <w:ind w:left="1900" w:firstLine="623"/>
        <w:spacing w:after="0" w:line="228" w:lineRule="auto"/>
        <w:tabs>
          <w:tab w:leader="none" w:pos="2862" w:val="left"/>
        </w:tabs>
        <w:numPr>
          <w:ilvl w:val="4"/>
          <w:numId w:val="48"/>
        </w:numPr>
        <w:rPr>
          <w:rFonts w:ascii="Arial" w:cs="Arial" w:eastAsia="Arial" w:hAnsi="Arial"/>
          <w:sz w:val="21"/>
          <w:szCs w:val="21"/>
          <w:color w:val="auto"/>
        </w:rPr>
      </w:pPr>
      <w:r>
        <w:rPr>
          <w:rFonts w:ascii="Arial" w:cs="Arial" w:eastAsia="Arial" w:hAnsi="Arial"/>
          <w:sz w:val="21"/>
          <w:szCs w:val="21"/>
          <w:color w:val="auto"/>
        </w:rPr>
        <w:t>You may not sell, assign, transfer or otherwise dispose of any RSUs or Performance Units, or any rights under the RSUs or Performance Units. No RSU or Performance Unit and no rights under any such RSU or Performance Unit may be pledged, alienated, attached or otherwise encumbered, other than by will or the laws of descent and distribution. If you or anyone claiming under or through you attempts to violate this Section 2(d)(ii)(B), such attempted violation shall be null and void and without effect, and all of the Company's obligations hereunder shall terminate.</w:t>
      </w:r>
    </w:p>
    <w:p>
      <w:pPr>
        <w:spacing w:after="0" w:line="191" w:lineRule="exact"/>
        <w:rPr>
          <w:rFonts w:ascii="Arial" w:cs="Arial" w:eastAsia="Arial" w:hAnsi="Arial"/>
          <w:sz w:val="21"/>
          <w:szCs w:val="21"/>
          <w:color w:val="auto"/>
        </w:rPr>
      </w:pPr>
    </w:p>
    <w:p>
      <w:pPr>
        <w:ind w:left="300" w:hanging="295"/>
        <w:spacing w:after="0"/>
        <w:tabs>
          <w:tab w:leader="none" w:pos="300" w:val="left"/>
        </w:tabs>
        <w:numPr>
          <w:ilvl w:val="0"/>
          <w:numId w:val="48"/>
        </w:numPr>
        <w:rPr>
          <w:rFonts w:ascii="Arial" w:cs="Arial" w:eastAsia="Arial" w:hAnsi="Arial"/>
          <w:sz w:val="21"/>
          <w:szCs w:val="21"/>
          <w:color w:val="auto"/>
        </w:rPr>
      </w:pPr>
      <w:r>
        <w:rPr>
          <w:rFonts w:ascii="Arial" w:cs="Arial" w:eastAsia="Arial" w:hAnsi="Arial"/>
          <w:sz w:val="21"/>
          <w:szCs w:val="21"/>
          <w:b w:val="1"/>
          <w:bCs w:val="1"/>
          <w:color w:val="auto"/>
        </w:rPr>
        <w:t>Lapse of Restrictions.</w:t>
      </w:r>
    </w:p>
    <w:p>
      <w:pPr>
        <w:spacing w:after="0" w:line="223" w:lineRule="exact"/>
        <w:rPr>
          <w:rFonts w:ascii="Arial" w:cs="Arial" w:eastAsia="Arial" w:hAnsi="Arial"/>
          <w:sz w:val="21"/>
          <w:szCs w:val="21"/>
          <w:color w:val="auto"/>
        </w:rPr>
      </w:pPr>
    </w:p>
    <w:p>
      <w:pPr>
        <w:jc w:val="both"/>
        <w:ind w:left="1260" w:firstLine="633"/>
        <w:spacing w:after="0" w:line="236" w:lineRule="auto"/>
        <w:tabs>
          <w:tab w:leader="none" w:pos="2140" w:val="left"/>
        </w:tabs>
        <w:numPr>
          <w:ilvl w:val="3"/>
          <w:numId w:val="48"/>
        </w:numPr>
        <w:rPr>
          <w:rFonts w:ascii="Arial" w:cs="Arial" w:eastAsia="Arial" w:hAnsi="Arial"/>
          <w:sz w:val="21"/>
          <w:szCs w:val="21"/>
          <w:color w:val="auto"/>
        </w:rPr>
      </w:pPr>
      <w:r>
        <w:rPr>
          <w:rFonts w:ascii="Arial" w:cs="Arial" w:eastAsia="Arial" w:hAnsi="Arial"/>
          <w:sz w:val="21"/>
          <w:szCs w:val="21"/>
          <w:color w:val="auto"/>
        </w:rPr>
        <w:t>The restrictions described in Section 2(d)(ii) shall lapse with respect to the RSUs in four equal installments of 25 percent each on each of the first, second, third and fourth anniversaries of the date of this Award Agreement, such that the restrictions set forth in Section 2(d)(ii) shall have lapsed with respect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11240"/>
          </w:cols>
          <w:pgMar w:left="320" w:top="1371" w:right="339" w:bottom="1440" w:gutter="0" w:footer="0" w:header="0"/>
        </w:sectPr>
      </w:pPr>
    </w:p>
    <w:bookmarkStart w:id="95" w:name="page96"/>
    <w:bookmarkEnd w:id="95"/>
    <w:p>
      <w:pPr>
        <w:ind w:left="620"/>
        <w:spacing w:after="0"/>
        <w:rPr>
          <w:sz w:val="20"/>
          <w:szCs w:val="20"/>
          <w:color w:val="auto"/>
        </w:rPr>
      </w:pPr>
      <w:r>
        <w:rPr>
          <w:rFonts w:ascii="Arial" w:cs="Arial" w:eastAsia="Arial" w:hAnsi="Arial"/>
          <w:sz w:val="21"/>
          <w:szCs w:val="21"/>
          <w:color w:val="auto"/>
        </w:rPr>
        <w:t>to 100 percent of the RSUs on the fourth anniversary of the date of this Award Agreement.</w:t>
      </w:r>
    </w:p>
    <w:p>
      <w:pPr>
        <w:spacing w:after="0" w:line="217" w:lineRule="exact"/>
        <w:rPr>
          <w:sz w:val="20"/>
          <w:szCs w:val="20"/>
          <w:color w:val="auto"/>
        </w:rPr>
      </w:pPr>
    </w:p>
    <w:p>
      <w:pPr>
        <w:jc w:val="both"/>
        <w:ind w:left="620" w:firstLine="633"/>
        <w:spacing w:after="0" w:line="232" w:lineRule="auto"/>
        <w:tabs>
          <w:tab w:leader="none" w:pos="1558" w:val="left"/>
        </w:tabs>
        <w:numPr>
          <w:ilvl w:val="0"/>
          <w:numId w:val="49"/>
        </w:numPr>
        <w:rPr>
          <w:rFonts w:ascii="Arial" w:cs="Arial" w:eastAsia="Arial" w:hAnsi="Arial"/>
          <w:sz w:val="21"/>
          <w:szCs w:val="21"/>
          <w:color w:val="auto"/>
        </w:rPr>
      </w:pPr>
      <w:r>
        <w:rPr>
          <w:rFonts w:ascii="Arial" w:cs="Arial" w:eastAsia="Arial" w:hAnsi="Arial"/>
          <w:sz w:val="21"/>
          <w:szCs w:val="21"/>
          <w:color w:val="auto"/>
        </w:rPr>
        <w:t>The restrictions described in Section 2(d)(ii) shall lapse with respect to the Performance Units on the third anniversary of the date of this Award Agreement (the "</w:t>
      </w:r>
      <w:r>
        <w:rPr>
          <w:rFonts w:ascii="Arial" w:cs="Arial" w:eastAsia="Arial" w:hAnsi="Arial"/>
          <w:sz w:val="21"/>
          <w:szCs w:val="21"/>
          <w:u w:val="single" w:color="auto"/>
          <w:color w:val="auto"/>
        </w:rPr>
        <w:t>Measurement Date</w:t>
      </w:r>
      <w:r>
        <w:rPr>
          <w:rFonts w:ascii="Arial" w:cs="Arial" w:eastAsia="Arial" w:hAnsi="Arial"/>
          <w:sz w:val="21"/>
          <w:szCs w:val="21"/>
          <w:color w:val="auto"/>
        </w:rPr>
        <w:t>"), but only if and to the extent the Committee certifies in writing that the "</w:t>
      </w:r>
      <w:r>
        <w:rPr>
          <w:rFonts w:ascii="Arial" w:cs="Arial" w:eastAsia="Arial" w:hAnsi="Arial"/>
          <w:sz w:val="21"/>
          <w:szCs w:val="21"/>
          <w:u w:val="single" w:color="auto"/>
          <w:color w:val="auto"/>
        </w:rPr>
        <w:t>Shareholder Return Goals</w:t>
      </w:r>
      <w:r>
        <w:rPr>
          <w:rFonts w:ascii="Arial" w:cs="Arial" w:eastAsia="Arial" w:hAnsi="Arial"/>
          <w:sz w:val="21"/>
          <w:szCs w:val="21"/>
          <w:color w:val="auto"/>
        </w:rPr>
        <w:t>" set forth in this subsection (ii) are met. The Shareholder Return Goals are as follows:</w:t>
      </w:r>
    </w:p>
    <w:p>
      <w:pPr>
        <w:spacing w:after="0" w:line="222" w:lineRule="exact"/>
        <w:rPr>
          <w:sz w:val="20"/>
          <w:szCs w:val="20"/>
          <w:color w:val="auto"/>
        </w:rPr>
      </w:pPr>
    </w:p>
    <w:tbl>
      <w:tblPr>
        <w:tblLayout w:type="fixed"/>
        <w:tblInd w:w="10" w:type="dxa"/>
        <w:tblCellMar>
          <w:top w:w="0" w:type="dxa"/>
          <w:left w:w="0" w:type="dxa"/>
          <w:bottom w:w="0" w:type="dxa"/>
          <w:right w:w="0" w:type="dxa"/>
        </w:tblCellMar>
      </w:tblPr>
      <w:tr>
        <w:trPr>
          <w:trHeight w:val="484"/>
        </w:trPr>
        <w:tc>
          <w:tcPr>
            <w:tcW w:w="800" w:type="dxa"/>
            <w:vAlign w:val="bottom"/>
            <w:tcBorders>
              <w:top w:val="single" w:sz="8" w:color="auto"/>
              <w:left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820" w:type="dxa"/>
            <w:vAlign w:val="bottom"/>
            <w:tcBorders>
              <w:top w:val="single" w:sz="8" w:color="auto"/>
              <w:right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800" w:type="dxa"/>
            <w:vAlign w:val="bottom"/>
            <w:tcBorders>
              <w:top w:val="single" w:sz="8" w:color="auto"/>
            </w:tcBorders>
          </w:tcPr>
          <w:p>
            <w:pPr>
              <w:spacing w:after="0"/>
              <w:rPr>
                <w:sz w:val="24"/>
                <w:szCs w:val="24"/>
                <w:color w:val="auto"/>
              </w:rPr>
            </w:pPr>
          </w:p>
        </w:tc>
        <w:tc>
          <w:tcPr>
            <w:tcW w:w="840" w:type="dxa"/>
            <w:vAlign w:val="bottom"/>
            <w:tcBorders>
              <w:top w:val="single" w:sz="8" w:color="auto"/>
              <w:right w:val="single" w:sz="8" w:color="auto"/>
            </w:tcBorders>
          </w:tcPr>
          <w:p>
            <w:pPr>
              <w:spacing w:after="0"/>
              <w:rPr>
                <w:sz w:val="24"/>
                <w:szCs w:val="24"/>
                <w:color w:val="auto"/>
              </w:rPr>
            </w:pPr>
          </w:p>
        </w:tc>
        <w:tc>
          <w:tcPr>
            <w:tcW w:w="3300" w:type="dxa"/>
            <w:vAlign w:val="bottom"/>
            <w:tcBorders>
              <w:top w:val="single" w:sz="8" w:color="auto"/>
              <w:right w:val="single" w:sz="8" w:color="auto"/>
            </w:tcBorders>
            <w:gridSpan w:val="3"/>
          </w:tcPr>
          <w:p>
            <w:pPr>
              <w:jc w:val="center"/>
              <w:ind w:right="40"/>
              <w:spacing w:after="0"/>
              <w:rPr>
                <w:sz w:val="20"/>
                <w:szCs w:val="20"/>
                <w:color w:val="auto"/>
              </w:rPr>
            </w:pPr>
            <w:r>
              <w:rPr>
                <w:rFonts w:ascii="Arial" w:cs="Arial" w:eastAsia="Arial" w:hAnsi="Arial"/>
                <w:sz w:val="21"/>
                <w:szCs w:val="21"/>
                <w:b w:val="1"/>
                <w:bCs w:val="1"/>
                <w:color w:val="auto"/>
                <w:w w:val="89"/>
              </w:rPr>
              <w:t>Percentage of Performance Units</w:t>
            </w:r>
          </w:p>
        </w:tc>
        <w:tc>
          <w:tcPr>
            <w:tcW w:w="0" w:type="dxa"/>
            <w:vAlign w:val="bottom"/>
          </w:tcPr>
          <w:p>
            <w:pPr>
              <w:spacing w:after="0"/>
              <w:rPr>
                <w:sz w:val="1"/>
                <w:szCs w:val="1"/>
                <w:color w:val="auto"/>
              </w:rPr>
            </w:pPr>
          </w:p>
        </w:tc>
      </w:tr>
      <w:tr>
        <w:trPr>
          <w:trHeight w:val="223"/>
        </w:trPr>
        <w:tc>
          <w:tcPr>
            <w:tcW w:w="800" w:type="dxa"/>
            <w:vAlign w:val="bottom"/>
            <w:tcBorders>
              <w:left w:val="single" w:sz="8" w:color="auto"/>
            </w:tcBorders>
          </w:tcPr>
          <w:p>
            <w:pPr>
              <w:spacing w:after="0"/>
              <w:rPr>
                <w:sz w:val="19"/>
                <w:szCs w:val="19"/>
                <w:color w:val="auto"/>
              </w:rPr>
            </w:pPr>
          </w:p>
        </w:tc>
        <w:tc>
          <w:tcPr>
            <w:tcW w:w="1940" w:type="dxa"/>
            <w:vAlign w:val="bottom"/>
            <w:tcBorders>
              <w:right w:val="single" w:sz="8" w:color="auto"/>
            </w:tcBorders>
            <w:gridSpan w:val="2"/>
          </w:tcPr>
          <w:p>
            <w:pPr>
              <w:jc w:val="center"/>
              <w:ind w:right="800"/>
              <w:spacing w:after="0" w:line="223" w:lineRule="exact"/>
              <w:rPr>
                <w:sz w:val="20"/>
                <w:szCs w:val="20"/>
                <w:color w:val="auto"/>
              </w:rPr>
            </w:pPr>
            <w:r>
              <w:rPr>
                <w:rFonts w:ascii="Arial" w:cs="Arial" w:eastAsia="Arial" w:hAnsi="Arial"/>
                <w:sz w:val="21"/>
                <w:szCs w:val="21"/>
                <w:b w:val="1"/>
                <w:bCs w:val="1"/>
                <w:color w:val="auto"/>
                <w:w w:val="89"/>
              </w:rPr>
              <w:t>Shareholder</w:t>
            </w:r>
          </w:p>
        </w:tc>
        <w:tc>
          <w:tcPr>
            <w:tcW w:w="820" w:type="dxa"/>
            <w:vAlign w:val="bottom"/>
          </w:tcPr>
          <w:p>
            <w:pPr>
              <w:spacing w:after="0"/>
              <w:rPr>
                <w:sz w:val="19"/>
                <w:szCs w:val="19"/>
                <w:color w:val="auto"/>
              </w:rPr>
            </w:pPr>
          </w:p>
        </w:tc>
        <w:tc>
          <w:tcPr>
            <w:tcW w:w="2640" w:type="dxa"/>
            <w:vAlign w:val="bottom"/>
            <w:tcBorders>
              <w:right w:val="single" w:sz="8" w:color="auto"/>
            </w:tcBorders>
            <w:gridSpan w:val="2"/>
          </w:tcPr>
          <w:p>
            <w:pPr>
              <w:jc w:val="center"/>
              <w:ind w:right="860"/>
              <w:spacing w:after="0" w:line="223" w:lineRule="exact"/>
              <w:rPr>
                <w:sz w:val="20"/>
                <w:szCs w:val="20"/>
                <w:color w:val="auto"/>
              </w:rPr>
            </w:pPr>
            <w:r>
              <w:rPr>
                <w:rFonts w:ascii="Arial" w:cs="Arial" w:eastAsia="Arial" w:hAnsi="Arial"/>
                <w:sz w:val="21"/>
                <w:szCs w:val="21"/>
                <w:b w:val="1"/>
                <w:bCs w:val="1"/>
                <w:color w:val="auto"/>
                <w:w w:val="91"/>
              </w:rPr>
              <w:t>Total</w:t>
            </w:r>
          </w:p>
        </w:tc>
        <w:tc>
          <w:tcPr>
            <w:tcW w:w="560" w:type="dxa"/>
            <w:vAlign w:val="bottom"/>
          </w:tcPr>
          <w:p>
            <w:pPr>
              <w:spacing w:after="0"/>
              <w:rPr>
                <w:sz w:val="19"/>
                <w:szCs w:val="19"/>
                <w:color w:val="auto"/>
              </w:rPr>
            </w:pPr>
          </w:p>
        </w:tc>
        <w:tc>
          <w:tcPr>
            <w:tcW w:w="2740" w:type="dxa"/>
            <w:vAlign w:val="bottom"/>
            <w:tcBorders>
              <w:right w:val="single" w:sz="8" w:color="auto"/>
            </w:tcBorders>
            <w:gridSpan w:val="2"/>
          </w:tcPr>
          <w:p>
            <w:pPr>
              <w:jc w:val="center"/>
              <w:ind w:right="600"/>
              <w:spacing w:after="0" w:line="223" w:lineRule="exact"/>
              <w:rPr>
                <w:sz w:val="20"/>
                <w:szCs w:val="20"/>
                <w:color w:val="auto"/>
              </w:rPr>
            </w:pPr>
            <w:r>
              <w:rPr>
                <w:rFonts w:ascii="Arial" w:cs="Arial" w:eastAsia="Arial" w:hAnsi="Arial"/>
                <w:sz w:val="21"/>
                <w:szCs w:val="21"/>
                <w:b w:val="1"/>
                <w:bCs w:val="1"/>
                <w:color w:val="auto"/>
                <w:w w:val="92"/>
              </w:rPr>
              <w:t>for Which</w:t>
            </w:r>
          </w:p>
        </w:tc>
        <w:tc>
          <w:tcPr>
            <w:tcW w:w="0" w:type="dxa"/>
            <w:vAlign w:val="bottom"/>
          </w:tcPr>
          <w:p>
            <w:pPr>
              <w:spacing w:after="0"/>
              <w:rPr>
                <w:sz w:val="1"/>
                <w:szCs w:val="1"/>
                <w:color w:val="auto"/>
              </w:rPr>
            </w:pPr>
          </w:p>
        </w:tc>
      </w:tr>
      <w:tr>
        <w:trPr>
          <w:trHeight w:val="224"/>
        </w:trPr>
        <w:tc>
          <w:tcPr>
            <w:tcW w:w="2740" w:type="dxa"/>
            <w:vAlign w:val="bottom"/>
            <w:tcBorders>
              <w:left w:val="single" w:sz="8" w:color="auto"/>
              <w:right w:val="single" w:sz="8" w:color="auto"/>
            </w:tcBorders>
            <w:gridSpan w:val="3"/>
          </w:tcPr>
          <w:p>
            <w:pPr>
              <w:jc w:val="center"/>
              <w:ind w:right="20"/>
              <w:spacing w:after="0" w:line="224" w:lineRule="exact"/>
              <w:rPr>
                <w:sz w:val="20"/>
                <w:szCs w:val="20"/>
                <w:color w:val="auto"/>
              </w:rPr>
            </w:pPr>
            <w:r>
              <w:rPr>
                <w:rFonts w:ascii="Arial" w:cs="Arial" w:eastAsia="Arial" w:hAnsi="Arial"/>
                <w:sz w:val="21"/>
                <w:szCs w:val="21"/>
                <w:b w:val="1"/>
                <w:bCs w:val="1"/>
                <w:color w:val="auto"/>
                <w:w w:val="93"/>
              </w:rPr>
              <w:t>Return Goal</w:t>
            </w:r>
          </w:p>
        </w:tc>
        <w:tc>
          <w:tcPr>
            <w:tcW w:w="3460" w:type="dxa"/>
            <w:vAlign w:val="bottom"/>
            <w:tcBorders>
              <w:right w:val="single" w:sz="8" w:color="auto"/>
            </w:tcBorders>
            <w:gridSpan w:val="3"/>
          </w:tcPr>
          <w:p>
            <w:pPr>
              <w:jc w:val="center"/>
              <w:ind w:right="20"/>
              <w:spacing w:after="0" w:line="224" w:lineRule="exact"/>
              <w:rPr>
                <w:sz w:val="20"/>
                <w:szCs w:val="20"/>
                <w:color w:val="auto"/>
              </w:rPr>
            </w:pPr>
            <w:r>
              <w:rPr>
                <w:rFonts w:ascii="Arial" w:cs="Arial" w:eastAsia="Arial" w:hAnsi="Arial"/>
                <w:sz w:val="21"/>
                <w:szCs w:val="21"/>
                <w:b w:val="1"/>
                <w:bCs w:val="1"/>
                <w:color w:val="auto"/>
                <w:w w:val="91"/>
              </w:rPr>
              <w:t>Shareholder Return</w:t>
            </w:r>
          </w:p>
        </w:tc>
        <w:tc>
          <w:tcPr>
            <w:tcW w:w="3300" w:type="dxa"/>
            <w:vAlign w:val="bottom"/>
            <w:tcBorders>
              <w:right w:val="single" w:sz="8" w:color="auto"/>
            </w:tcBorders>
            <w:gridSpan w:val="3"/>
          </w:tcPr>
          <w:p>
            <w:pPr>
              <w:jc w:val="center"/>
              <w:ind w:right="40"/>
              <w:spacing w:after="0" w:line="224" w:lineRule="exact"/>
              <w:rPr>
                <w:sz w:val="20"/>
                <w:szCs w:val="20"/>
                <w:color w:val="auto"/>
              </w:rPr>
            </w:pPr>
            <w:r>
              <w:rPr>
                <w:rFonts w:ascii="Arial" w:cs="Arial" w:eastAsia="Arial" w:hAnsi="Arial"/>
                <w:sz w:val="21"/>
                <w:szCs w:val="21"/>
                <w:b w:val="1"/>
                <w:bCs w:val="1"/>
                <w:color w:val="auto"/>
                <w:w w:val="89"/>
              </w:rPr>
              <w:t>Conditions are Satisfied</w:t>
            </w:r>
          </w:p>
        </w:tc>
        <w:tc>
          <w:tcPr>
            <w:tcW w:w="0" w:type="dxa"/>
            <w:vAlign w:val="bottom"/>
          </w:tcPr>
          <w:p>
            <w:pPr>
              <w:spacing w:after="0"/>
              <w:rPr>
                <w:sz w:val="1"/>
                <w:szCs w:val="1"/>
                <w:color w:val="auto"/>
              </w:rPr>
            </w:pPr>
          </w:p>
        </w:tc>
      </w:tr>
      <w:tr>
        <w:trPr>
          <w:trHeight w:val="32"/>
        </w:trPr>
        <w:tc>
          <w:tcPr>
            <w:tcW w:w="800" w:type="dxa"/>
            <w:vAlign w:val="bottom"/>
            <w:tcBorders>
              <w:left w:val="single" w:sz="8" w:color="auto"/>
              <w:bottom w:val="single" w:sz="8" w:color="auto"/>
            </w:tcBorders>
          </w:tcPr>
          <w:p>
            <w:pPr>
              <w:spacing w:after="0"/>
              <w:rPr>
                <w:sz w:val="2"/>
                <w:szCs w:val="2"/>
                <w:color w:val="auto"/>
              </w:rPr>
            </w:pPr>
          </w:p>
        </w:tc>
        <w:tc>
          <w:tcPr>
            <w:tcW w:w="1120" w:type="dxa"/>
            <w:vAlign w:val="bottom"/>
            <w:tcBorders>
              <w:top w:val="single" w:sz="8" w:color="auto"/>
              <w:bottom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0" w:type="dxa"/>
            <w:vAlign w:val="bottom"/>
            <w:tcBorders>
              <w:top w:val="single" w:sz="8" w:color="auto"/>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140" w:type="dxa"/>
            <w:vAlign w:val="bottom"/>
            <w:tcBorders>
              <w:top w:val="single" w:sz="8" w:color="auto"/>
              <w:bottom w:val="single" w:sz="8" w:color="auto"/>
            </w:tcBorders>
          </w:tcPr>
          <w:p>
            <w:pPr>
              <w:spacing w:after="0"/>
              <w:rPr>
                <w:sz w:val="2"/>
                <w:szCs w:val="2"/>
                <w:color w:val="auto"/>
              </w:rPr>
            </w:pPr>
          </w:p>
        </w:tc>
        <w:tc>
          <w:tcPr>
            <w:tcW w:w="6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2740" w:type="dxa"/>
            <w:vAlign w:val="bottom"/>
            <w:tcBorders>
              <w:left w:val="single" w:sz="8" w:color="auto"/>
              <w:right w:val="single" w:sz="8" w:color="auto"/>
            </w:tcBorders>
            <w:gridSpan w:val="3"/>
          </w:tcPr>
          <w:p>
            <w:pPr>
              <w:jc w:val="center"/>
              <w:ind w:right="20"/>
              <w:spacing w:after="0" w:line="221" w:lineRule="exact"/>
              <w:rPr>
                <w:sz w:val="20"/>
                <w:szCs w:val="20"/>
                <w:color w:val="auto"/>
              </w:rPr>
            </w:pPr>
            <w:r>
              <w:rPr>
                <w:rFonts w:ascii="Arial" w:cs="Arial" w:eastAsia="Arial" w:hAnsi="Arial"/>
                <w:sz w:val="21"/>
                <w:szCs w:val="21"/>
                <w:color w:val="auto"/>
                <w:w w:val="90"/>
              </w:rPr>
              <w:t>Threshold Total Shareholder</w:t>
            </w:r>
          </w:p>
        </w:tc>
        <w:tc>
          <w:tcPr>
            <w:tcW w:w="3460" w:type="dxa"/>
            <w:vAlign w:val="bottom"/>
            <w:tcBorders>
              <w:right w:val="single" w:sz="8" w:color="auto"/>
            </w:tcBorders>
            <w:gridSpan w:val="3"/>
            <w:vMerge w:val="restart"/>
          </w:tcPr>
          <w:p>
            <w:pPr>
              <w:jc w:val="center"/>
              <w:ind w:right="40"/>
              <w:spacing w:after="0"/>
              <w:rPr>
                <w:sz w:val="20"/>
                <w:szCs w:val="20"/>
                <w:color w:val="auto"/>
              </w:rPr>
            </w:pPr>
            <w:r>
              <w:rPr>
                <w:rFonts w:ascii="Arial" w:cs="Arial" w:eastAsia="Arial" w:hAnsi="Arial"/>
                <w:sz w:val="21"/>
                <w:szCs w:val="21"/>
                <w:color w:val="auto"/>
                <w:w w:val="90"/>
              </w:rPr>
              <w:t>25th percentile of Peer Group</w:t>
            </w:r>
          </w:p>
        </w:tc>
        <w:tc>
          <w:tcPr>
            <w:tcW w:w="2700" w:type="dxa"/>
            <w:vAlign w:val="bottom"/>
            <w:gridSpan w:val="2"/>
            <w:vMerge w:val="restart"/>
          </w:tcPr>
          <w:p>
            <w:pPr>
              <w:jc w:val="center"/>
              <w:ind w:left="455"/>
              <w:spacing w:after="0"/>
              <w:rPr>
                <w:sz w:val="20"/>
                <w:szCs w:val="20"/>
                <w:color w:val="auto"/>
              </w:rPr>
            </w:pPr>
            <w:r>
              <w:rPr>
                <w:rFonts w:ascii="Arial" w:cs="Arial" w:eastAsia="Arial" w:hAnsi="Arial"/>
                <w:sz w:val="21"/>
                <w:szCs w:val="21"/>
                <w:color w:val="auto"/>
                <w:w w:val="90"/>
              </w:rPr>
              <w:t>25%</w:t>
            </w:r>
          </w:p>
        </w:tc>
        <w:tc>
          <w:tcPr>
            <w:tcW w:w="6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800" w:type="dxa"/>
            <w:vAlign w:val="bottom"/>
            <w:tcBorders>
              <w:left w:val="single" w:sz="8" w:color="auto"/>
            </w:tcBorders>
          </w:tcPr>
          <w:p>
            <w:pPr>
              <w:spacing w:after="0"/>
              <w:rPr>
                <w:sz w:val="12"/>
                <w:szCs w:val="12"/>
                <w:color w:val="auto"/>
              </w:rPr>
            </w:pPr>
          </w:p>
        </w:tc>
        <w:tc>
          <w:tcPr>
            <w:tcW w:w="1940" w:type="dxa"/>
            <w:vAlign w:val="bottom"/>
            <w:tcBorders>
              <w:right w:val="single" w:sz="8" w:color="auto"/>
            </w:tcBorders>
            <w:gridSpan w:val="2"/>
            <w:vMerge w:val="restart"/>
          </w:tcPr>
          <w:p>
            <w:pPr>
              <w:jc w:val="center"/>
              <w:ind w:right="820"/>
              <w:spacing w:after="0"/>
              <w:rPr>
                <w:sz w:val="20"/>
                <w:szCs w:val="20"/>
                <w:color w:val="auto"/>
              </w:rPr>
            </w:pPr>
            <w:r>
              <w:rPr>
                <w:rFonts w:ascii="Arial" w:cs="Arial" w:eastAsia="Arial" w:hAnsi="Arial"/>
                <w:sz w:val="21"/>
                <w:szCs w:val="21"/>
                <w:color w:val="auto"/>
                <w:w w:val="91"/>
              </w:rPr>
              <w:t>Return Goal</w:t>
            </w:r>
          </w:p>
        </w:tc>
        <w:tc>
          <w:tcPr>
            <w:tcW w:w="3460" w:type="dxa"/>
            <w:vAlign w:val="bottom"/>
            <w:tcBorders>
              <w:right w:val="single" w:sz="8" w:color="auto"/>
            </w:tcBorders>
            <w:gridSpan w:val="3"/>
            <w:vMerge w:val="continue"/>
          </w:tcPr>
          <w:p>
            <w:pPr>
              <w:spacing w:after="0"/>
              <w:rPr>
                <w:sz w:val="12"/>
                <w:szCs w:val="12"/>
                <w:color w:val="auto"/>
              </w:rPr>
            </w:pPr>
          </w:p>
        </w:tc>
        <w:tc>
          <w:tcPr>
            <w:tcW w:w="2700" w:type="dxa"/>
            <w:vAlign w:val="bottom"/>
            <w:gridSpan w:val="2"/>
            <w:vMerge w:val="continue"/>
          </w:tcPr>
          <w:p>
            <w:pPr>
              <w:spacing w:after="0"/>
              <w:rPr>
                <w:sz w:val="12"/>
                <w:szCs w:val="12"/>
                <w:color w:val="auto"/>
              </w:rPr>
            </w:pPr>
          </w:p>
        </w:tc>
        <w:tc>
          <w:tcPr>
            <w:tcW w:w="6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800" w:type="dxa"/>
            <w:vAlign w:val="bottom"/>
            <w:tcBorders>
              <w:left w:val="single" w:sz="8" w:color="auto"/>
              <w:bottom w:val="single" w:sz="8" w:color="auto"/>
            </w:tcBorders>
          </w:tcPr>
          <w:p>
            <w:pPr>
              <w:spacing w:after="0"/>
              <w:rPr>
                <w:sz w:val="10"/>
                <w:szCs w:val="10"/>
                <w:color w:val="auto"/>
              </w:rPr>
            </w:pPr>
          </w:p>
        </w:tc>
        <w:tc>
          <w:tcPr>
            <w:tcW w:w="1940" w:type="dxa"/>
            <w:vAlign w:val="bottom"/>
            <w:tcBorders>
              <w:bottom w:val="single" w:sz="8" w:color="auto"/>
              <w:right w:val="single" w:sz="8" w:color="auto"/>
            </w:tcBorders>
            <w:gridSpan w:val="2"/>
            <w:vMerge w:val="continue"/>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1800" w:type="dxa"/>
            <w:vAlign w:val="bottom"/>
            <w:tcBorders>
              <w:bottom w:val="single" w:sz="8" w:color="auto"/>
            </w:tcBorders>
          </w:tcPr>
          <w:p>
            <w:pPr>
              <w:spacing w:after="0"/>
              <w:rPr>
                <w:sz w:val="10"/>
                <w:szCs w:val="10"/>
                <w:color w:val="auto"/>
              </w:rPr>
            </w:pPr>
          </w:p>
        </w:tc>
        <w:tc>
          <w:tcPr>
            <w:tcW w:w="840" w:type="dxa"/>
            <w:vAlign w:val="bottom"/>
            <w:tcBorders>
              <w:bottom w:val="single" w:sz="8" w:color="auto"/>
              <w:right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2140" w:type="dxa"/>
            <w:vAlign w:val="bottom"/>
            <w:tcBorders>
              <w:bottom w:val="single" w:sz="8" w:color="auto"/>
            </w:tcBorders>
          </w:tcPr>
          <w:p>
            <w:pPr>
              <w:spacing w:after="0"/>
              <w:rPr>
                <w:sz w:val="10"/>
                <w:szCs w:val="10"/>
                <w:color w:val="auto"/>
              </w:rPr>
            </w:pPr>
          </w:p>
        </w:tc>
        <w:tc>
          <w:tcPr>
            <w:tcW w:w="6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446"/>
        </w:trPr>
        <w:tc>
          <w:tcPr>
            <w:tcW w:w="274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21"/>
                <w:szCs w:val="21"/>
                <w:color w:val="auto"/>
                <w:w w:val="91"/>
              </w:rPr>
              <w:t>Above Threshold Total</w:t>
            </w:r>
          </w:p>
        </w:tc>
        <w:tc>
          <w:tcPr>
            <w:tcW w:w="3460" w:type="dxa"/>
            <w:vAlign w:val="bottom"/>
            <w:tcBorders>
              <w:right w:val="single" w:sz="8" w:color="auto"/>
            </w:tcBorders>
            <w:gridSpan w:val="3"/>
            <w:vMerge w:val="restart"/>
          </w:tcPr>
          <w:p>
            <w:pPr>
              <w:jc w:val="center"/>
              <w:ind w:right="40"/>
              <w:spacing w:after="0"/>
              <w:rPr>
                <w:sz w:val="20"/>
                <w:szCs w:val="20"/>
                <w:color w:val="auto"/>
              </w:rPr>
            </w:pPr>
            <w:r>
              <w:rPr>
                <w:rFonts w:ascii="Arial" w:cs="Arial" w:eastAsia="Arial" w:hAnsi="Arial"/>
                <w:sz w:val="21"/>
                <w:szCs w:val="21"/>
                <w:color w:val="auto"/>
                <w:w w:val="90"/>
              </w:rPr>
              <w:t>35</w:t>
            </w:r>
            <w:r>
              <w:rPr>
                <w:rFonts w:ascii="Arial" w:cs="Arial" w:eastAsia="Arial" w:hAnsi="Arial"/>
                <w:sz w:val="11"/>
                <w:szCs w:val="11"/>
                <w:color w:val="auto"/>
                <w:w w:val="90"/>
              </w:rPr>
              <w:t>th</w:t>
            </w:r>
            <w:r>
              <w:rPr>
                <w:rFonts w:ascii="Arial" w:cs="Arial" w:eastAsia="Arial" w:hAnsi="Arial"/>
                <w:sz w:val="21"/>
                <w:szCs w:val="21"/>
                <w:color w:val="auto"/>
                <w:w w:val="90"/>
              </w:rPr>
              <w:t xml:space="preserve"> percentile of Peer Group</w:t>
            </w:r>
          </w:p>
        </w:tc>
        <w:tc>
          <w:tcPr>
            <w:tcW w:w="2700" w:type="dxa"/>
            <w:vAlign w:val="bottom"/>
            <w:gridSpan w:val="2"/>
          </w:tcPr>
          <w:p>
            <w:pPr>
              <w:jc w:val="center"/>
              <w:ind w:left="455"/>
              <w:spacing w:after="0"/>
              <w:rPr>
                <w:sz w:val="20"/>
                <w:szCs w:val="20"/>
                <w:color w:val="auto"/>
              </w:rPr>
            </w:pPr>
            <w:r>
              <w:rPr>
                <w:rFonts w:ascii="Arial" w:cs="Arial" w:eastAsia="Arial" w:hAnsi="Arial"/>
                <w:sz w:val="21"/>
                <w:szCs w:val="21"/>
                <w:color w:val="auto"/>
                <w:w w:val="90"/>
              </w:rPr>
              <w:t>50%</w:t>
            </w:r>
          </w:p>
        </w:tc>
        <w:tc>
          <w:tcPr>
            <w:tcW w:w="6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74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21"/>
                <w:szCs w:val="21"/>
                <w:color w:val="auto"/>
                <w:w w:val="89"/>
              </w:rPr>
              <w:t>Shareholder Return Goal</w:t>
            </w:r>
          </w:p>
        </w:tc>
        <w:tc>
          <w:tcPr>
            <w:tcW w:w="3460" w:type="dxa"/>
            <w:vAlign w:val="bottom"/>
            <w:tcBorders>
              <w:right w:val="single" w:sz="8" w:color="auto"/>
            </w:tcBorders>
            <w:gridSpan w:val="3"/>
            <w:vMerge w:val="continue"/>
          </w:tcPr>
          <w:p>
            <w:pPr>
              <w:spacing w:after="0"/>
              <w:rPr>
                <w:sz w:val="14"/>
                <w:szCs w:val="14"/>
                <w:color w:val="auto"/>
              </w:rPr>
            </w:pPr>
          </w:p>
        </w:tc>
        <w:tc>
          <w:tcPr>
            <w:tcW w:w="5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6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740" w:type="dxa"/>
            <w:vAlign w:val="bottom"/>
            <w:tcBorders>
              <w:left w:val="single" w:sz="8" w:color="auto"/>
              <w:bottom w:val="single" w:sz="8" w:color="auto"/>
              <w:right w:val="single" w:sz="8" w:color="auto"/>
            </w:tcBorders>
            <w:gridSpan w:val="3"/>
            <w:vMerge w:val="continue"/>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800" w:type="dxa"/>
            <w:vAlign w:val="bottom"/>
            <w:tcBorders>
              <w:bottom w:val="single" w:sz="8" w:color="auto"/>
            </w:tcBorders>
          </w:tcPr>
          <w:p>
            <w:pPr>
              <w:spacing w:after="0"/>
              <w:rPr>
                <w:sz w:val="9"/>
                <w:szCs w:val="9"/>
                <w:color w:val="auto"/>
              </w:rPr>
            </w:pPr>
          </w:p>
        </w:tc>
        <w:tc>
          <w:tcPr>
            <w:tcW w:w="840" w:type="dxa"/>
            <w:vAlign w:val="bottom"/>
            <w:tcBorders>
              <w:bottom w:val="single" w:sz="8" w:color="auto"/>
              <w:right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140" w:type="dxa"/>
            <w:vAlign w:val="bottom"/>
            <w:tcBorders>
              <w:bottom w:val="single" w:sz="8" w:color="auto"/>
            </w:tcBorders>
          </w:tcPr>
          <w:p>
            <w:pPr>
              <w:spacing w:after="0"/>
              <w:rPr>
                <w:sz w:val="9"/>
                <w:szCs w:val="9"/>
                <w:color w:val="auto"/>
              </w:rPr>
            </w:pPr>
          </w:p>
        </w:tc>
        <w:tc>
          <w:tcPr>
            <w:tcW w:w="6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2740" w:type="dxa"/>
            <w:vAlign w:val="bottom"/>
            <w:tcBorders>
              <w:left w:val="single" w:sz="8" w:color="auto"/>
              <w:right w:val="single" w:sz="8" w:color="auto"/>
            </w:tcBorders>
            <w:gridSpan w:val="3"/>
          </w:tcPr>
          <w:p>
            <w:pPr>
              <w:jc w:val="center"/>
              <w:ind w:right="20"/>
              <w:spacing w:after="0" w:line="223" w:lineRule="exact"/>
              <w:rPr>
                <w:sz w:val="20"/>
                <w:szCs w:val="20"/>
                <w:color w:val="auto"/>
              </w:rPr>
            </w:pPr>
            <w:r>
              <w:rPr>
                <w:rFonts w:ascii="Arial" w:cs="Arial" w:eastAsia="Arial" w:hAnsi="Arial"/>
                <w:sz w:val="21"/>
                <w:szCs w:val="21"/>
                <w:color w:val="auto"/>
                <w:w w:val="89"/>
              </w:rPr>
              <w:t>Target Total Shareholder</w:t>
            </w:r>
          </w:p>
        </w:tc>
        <w:tc>
          <w:tcPr>
            <w:tcW w:w="3460" w:type="dxa"/>
            <w:vAlign w:val="bottom"/>
            <w:tcBorders>
              <w:right w:val="single" w:sz="8" w:color="auto"/>
            </w:tcBorders>
            <w:gridSpan w:val="3"/>
            <w:vMerge w:val="restart"/>
          </w:tcPr>
          <w:p>
            <w:pPr>
              <w:jc w:val="center"/>
              <w:ind w:right="40"/>
              <w:spacing w:after="0"/>
              <w:rPr>
                <w:sz w:val="20"/>
                <w:szCs w:val="20"/>
                <w:color w:val="auto"/>
              </w:rPr>
            </w:pPr>
            <w:r>
              <w:rPr>
                <w:rFonts w:ascii="Arial" w:cs="Arial" w:eastAsia="Arial" w:hAnsi="Arial"/>
                <w:sz w:val="21"/>
                <w:szCs w:val="21"/>
                <w:color w:val="auto"/>
                <w:w w:val="90"/>
              </w:rPr>
              <w:t>50th percentile of Peer Group</w:t>
            </w:r>
          </w:p>
        </w:tc>
        <w:tc>
          <w:tcPr>
            <w:tcW w:w="2700" w:type="dxa"/>
            <w:vAlign w:val="bottom"/>
            <w:gridSpan w:val="2"/>
            <w:vMerge w:val="restart"/>
          </w:tcPr>
          <w:p>
            <w:pPr>
              <w:jc w:val="center"/>
              <w:ind w:left="455"/>
              <w:spacing w:after="0"/>
              <w:rPr>
                <w:sz w:val="20"/>
                <w:szCs w:val="20"/>
                <w:color w:val="auto"/>
              </w:rPr>
            </w:pPr>
            <w:r>
              <w:rPr>
                <w:rFonts w:ascii="Arial" w:cs="Arial" w:eastAsia="Arial" w:hAnsi="Arial"/>
                <w:sz w:val="21"/>
                <w:szCs w:val="21"/>
                <w:color w:val="auto"/>
                <w:w w:val="93"/>
              </w:rPr>
              <w:t>100%</w:t>
            </w:r>
          </w:p>
        </w:tc>
        <w:tc>
          <w:tcPr>
            <w:tcW w:w="6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800" w:type="dxa"/>
            <w:vAlign w:val="bottom"/>
            <w:tcBorders>
              <w:left w:val="single" w:sz="8" w:color="auto"/>
            </w:tcBorders>
          </w:tcPr>
          <w:p>
            <w:pPr>
              <w:spacing w:after="0"/>
              <w:rPr>
                <w:sz w:val="12"/>
                <w:szCs w:val="12"/>
                <w:color w:val="auto"/>
              </w:rPr>
            </w:pPr>
          </w:p>
        </w:tc>
        <w:tc>
          <w:tcPr>
            <w:tcW w:w="1940" w:type="dxa"/>
            <w:vAlign w:val="bottom"/>
            <w:tcBorders>
              <w:right w:val="single" w:sz="8" w:color="auto"/>
            </w:tcBorders>
            <w:gridSpan w:val="2"/>
            <w:vMerge w:val="restart"/>
          </w:tcPr>
          <w:p>
            <w:pPr>
              <w:jc w:val="center"/>
              <w:ind w:right="820"/>
              <w:spacing w:after="0"/>
              <w:rPr>
                <w:sz w:val="20"/>
                <w:szCs w:val="20"/>
                <w:color w:val="auto"/>
              </w:rPr>
            </w:pPr>
            <w:r>
              <w:rPr>
                <w:rFonts w:ascii="Arial" w:cs="Arial" w:eastAsia="Arial" w:hAnsi="Arial"/>
                <w:sz w:val="21"/>
                <w:szCs w:val="21"/>
                <w:color w:val="auto"/>
                <w:w w:val="91"/>
              </w:rPr>
              <w:t>Return Goal</w:t>
            </w:r>
          </w:p>
        </w:tc>
        <w:tc>
          <w:tcPr>
            <w:tcW w:w="3460" w:type="dxa"/>
            <w:vAlign w:val="bottom"/>
            <w:tcBorders>
              <w:right w:val="single" w:sz="8" w:color="auto"/>
            </w:tcBorders>
            <w:gridSpan w:val="3"/>
            <w:vMerge w:val="continue"/>
          </w:tcPr>
          <w:p>
            <w:pPr>
              <w:spacing w:after="0"/>
              <w:rPr>
                <w:sz w:val="12"/>
                <w:szCs w:val="12"/>
                <w:color w:val="auto"/>
              </w:rPr>
            </w:pPr>
          </w:p>
        </w:tc>
        <w:tc>
          <w:tcPr>
            <w:tcW w:w="2700" w:type="dxa"/>
            <w:vAlign w:val="bottom"/>
            <w:gridSpan w:val="2"/>
            <w:vMerge w:val="continue"/>
          </w:tcPr>
          <w:p>
            <w:pPr>
              <w:spacing w:after="0"/>
              <w:rPr>
                <w:sz w:val="12"/>
                <w:szCs w:val="12"/>
                <w:color w:val="auto"/>
              </w:rPr>
            </w:pPr>
          </w:p>
        </w:tc>
        <w:tc>
          <w:tcPr>
            <w:tcW w:w="6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800" w:type="dxa"/>
            <w:vAlign w:val="bottom"/>
            <w:tcBorders>
              <w:left w:val="single" w:sz="8" w:color="auto"/>
              <w:bottom w:val="single" w:sz="8" w:color="auto"/>
            </w:tcBorders>
          </w:tcPr>
          <w:p>
            <w:pPr>
              <w:spacing w:after="0"/>
              <w:rPr>
                <w:sz w:val="10"/>
                <w:szCs w:val="10"/>
                <w:color w:val="auto"/>
              </w:rPr>
            </w:pPr>
          </w:p>
        </w:tc>
        <w:tc>
          <w:tcPr>
            <w:tcW w:w="1940" w:type="dxa"/>
            <w:vAlign w:val="bottom"/>
            <w:tcBorders>
              <w:bottom w:val="single" w:sz="8" w:color="auto"/>
              <w:right w:val="single" w:sz="8" w:color="auto"/>
            </w:tcBorders>
            <w:gridSpan w:val="2"/>
            <w:vMerge w:val="continue"/>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1800" w:type="dxa"/>
            <w:vAlign w:val="bottom"/>
            <w:tcBorders>
              <w:bottom w:val="single" w:sz="8" w:color="auto"/>
            </w:tcBorders>
          </w:tcPr>
          <w:p>
            <w:pPr>
              <w:spacing w:after="0"/>
              <w:rPr>
                <w:sz w:val="10"/>
                <w:szCs w:val="10"/>
                <w:color w:val="auto"/>
              </w:rPr>
            </w:pPr>
          </w:p>
        </w:tc>
        <w:tc>
          <w:tcPr>
            <w:tcW w:w="840" w:type="dxa"/>
            <w:vAlign w:val="bottom"/>
            <w:tcBorders>
              <w:bottom w:val="single" w:sz="8" w:color="auto"/>
              <w:right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2140" w:type="dxa"/>
            <w:vAlign w:val="bottom"/>
            <w:tcBorders>
              <w:bottom w:val="single" w:sz="8" w:color="auto"/>
            </w:tcBorders>
          </w:tcPr>
          <w:p>
            <w:pPr>
              <w:spacing w:after="0"/>
              <w:rPr>
                <w:sz w:val="10"/>
                <w:szCs w:val="10"/>
                <w:color w:val="auto"/>
              </w:rPr>
            </w:pPr>
          </w:p>
        </w:tc>
        <w:tc>
          <w:tcPr>
            <w:tcW w:w="6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10"/>
        </w:trPr>
        <w:tc>
          <w:tcPr>
            <w:tcW w:w="274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21"/>
                <w:szCs w:val="21"/>
                <w:color w:val="auto"/>
                <w:w w:val="90"/>
              </w:rPr>
              <w:t>Above Target Total</w:t>
            </w:r>
          </w:p>
        </w:tc>
        <w:tc>
          <w:tcPr>
            <w:tcW w:w="346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21"/>
                <w:szCs w:val="21"/>
                <w:color w:val="auto"/>
                <w:w w:val="90"/>
              </w:rPr>
              <w:t>75</w:t>
            </w:r>
            <w:r>
              <w:rPr>
                <w:rFonts w:ascii="Arial" w:cs="Arial" w:eastAsia="Arial" w:hAnsi="Arial"/>
                <w:sz w:val="11"/>
                <w:szCs w:val="11"/>
                <w:color w:val="auto"/>
                <w:w w:val="90"/>
              </w:rPr>
              <w:t>th</w:t>
            </w:r>
            <w:r>
              <w:rPr>
                <w:rFonts w:ascii="Arial" w:cs="Arial" w:eastAsia="Arial" w:hAnsi="Arial"/>
                <w:sz w:val="21"/>
                <w:szCs w:val="21"/>
                <w:color w:val="auto"/>
                <w:w w:val="90"/>
              </w:rPr>
              <w:t xml:space="preserve"> percentile of Peer Group</w:t>
            </w:r>
          </w:p>
        </w:tc>
        <w:tc>
          <w:tcPr>
            <w:tcW w:w="2700" w:type="dxa"/>
            <w:vAlign w:val="bottom"/>
            <w:gridSpan w:val="2"/>
          </w:tcPr>
          <w:p>
            <w:pPr>
              <w:jc w:val="center"/>
              <w:ind w:left="455"/>
              <w:spacing w:after="0"/>
              <w:rPr>
                <w:sz w:val="20"/>
                <w:szCs w:val="20"/>
                <w:color w:val="auto"/>
              </w:rPr>
            </w:pPr>
            <w:r>
              <w:rPr>
                <w:rFonts w:ascii="Arial" w:cs="Arial" w:eastAsia="Arial" w:hAnsi="Arial"/>
                <w:sz w:val="21"/>
                <w:szCs w:val="21"/>
                <w:color w:val="auto"/>
                <w:w w:val="93"/>
              </w:rPr>
              <w:t>150%</w:t>
            </w:r>
          </w:p>
        </w:tc>
        <w:tc>
          <w:tcPr>
            <w:tcW w:w="6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2740" w:type="dxa"/>
            <w:vAlign w:val="bottom"/>
            <w:tcBorders>
              <w:left w:val="single" w:sz="8" w:color="auto"/>
              <w:bottom w:val="single" w:sz="8" w:color="auto"/>
              <w:right w:val="single" w:sz="8" w:color="auto"/>
            </w:tcBorders>
            <w:gridSpan w:val="3"/>
          </w:tcPr>
          <w:p>
            <w:pPr>
              <w:jc w:val="center"/>
              <w:spacing w:after="0" w:line="184" w:lineRule="exact"/>
              <w:rPr>
                <w:sz w:val="20"/>
                <w:szCs w:val="20"/>
                <w:color w:val="auto"/>
              </w:rPr>
            </w:pPr>
            <w:r>
              <w:rPr>
                <w:rFonts w:ascii="Arial" w:cs="Arial" w:eastAsia="Arial" w:hAnsi="Arial"/>
                <w:sz w:val="21"/>
                <w:szCs w:val="21"/>
                <w:color w:val="auto"/>
                <w:w w:val="89"/>
              </w:rPr>
              <w:t>Shareholder Return Goal</w:t>
            </w:r>
          </w:p>
        </w:tc>
        <w:tc>
          <w:tcPr>
            <w:tcW w:w="82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tcPr>
          <w:p>
            <w:pPr>
              <w:spacing w:after="0"/>
              <w:rPr>
                <w:sz w:val="15"/>
                <w:szCs w:val="15"/>
                <w:color w:val="auto"/>
              </w:rPr>
            </w:pPr>
          </w:p>
        </w:tc>
        <w:tc>
          <w:tcPr>
            <w:tcW w:w="840" w:type="dxa"/>
            <w:vAlign w:val="bottom"/>
            <w:tcBorders>
              <w:bottom w:val="single" w:sz="8" w:color="auto"/>
              <w:right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tcPr>
          <w:p>
            <w:pPr>
              <w:spacing w:after="0"/>
              <w:rPr>
                <w:sz w:val="15"/>
                <w:szCs w:val="15"/>
                <w:color w:val="auto"/>
              </w:rPr>
            </w:pPr>
          </w:p>
        </w:tc>
        <w:tc>
          <w:tcPr>
            <w:tcW w:w="6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08"/>
        </w:trPr>
        <w:tc>
          <w:tcPr>
            <w:tcW w:w="274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21"/>
                <w:szCs w:val="21"/>
                <w:color w:val="auto"/>
                <w:w w:val="91"/>
              </w:rPr>
              <w:t>Maximum Total Shareholder</w:t>
            </w:r>
          </w:p>
        </w:tc>
        <w:tc>
          <w:tcPr>
            <w:tcW w:w="346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21"/>
                <w:szCs w:val="21"/>
                <w:color w:val="auto"/>
                <w:w w:val="90"/>
              </w:rPr>
              <w:t>90</w:t>
            </w:r>
            <w:r>
              <w:rPr>
                <w:rFonts w:ascii="Arial" w:cs="Arial" w:eastAsia="Arial" w:hAnsi="Arial"/>
                <w:sz w:val="11"/>
                <w:szCs w:val="11"/>
                <w:color w:val="auto"/>
                <w:w w:val="90"/>
              </w:rPr>
              <w:t>th</w:t>
            </w:r>
            <w:r>
              <w:rPr>
                <w:rFonts w:ascii="Arial" w:cs="Arial" w:eastAsia="Arial" w:hAnsi="Arial"/>
                <w:sz w:val="21"/>
                <w:szCs w:val="21"/>
                <w:color w:val="auto"/>
                <w:w w:val="90"/>
              </w:rPr>
              <w:t xml:space="preserve"> percentile of Peer Group</w:t>
            </w:r>
          </w:p>
        </w:tc>
        <w:tc>
          <w:tcPr>
            <w:tcW w:w="2700" w:type="dxa"/>
            <w:vAlign w:val="bottom"/>
            <w:gridSpan w:val="2"/>
          </w:tcPr>
          <w:p>
            <w:pPr>
              <w:jc w:val="center"/>
              <w:ind w:left="455"/>
              <w:spacing w:after="0"/>
              <w:rPr>
                <w:sz w:val="20"/>
                <w:szCs w:val="20"/>
                <w:color w:val="auto"/>
              </w:rPr>
            </w:pPr>
            <w:r>
              <w:rPr>
                <w:rFonts w:ascii="Arial" w:cs="Arial" w:eastAsia="Arial" w:hAnsi="Arial"/>
                <w:sz w:val="21"/>
                <w:szCs w:val="21"/>
                <w:color w:val="auto"/>
                <w:w w:val="93"/>
              </w:rPr>
              <w:t>200%</w:t>
            </w:r>
          </w:p>
        </w:tc>
        <w:tc>
          <w:tcPr>
            <w:tcW w:w="6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800" w:type="dxa"/>
            <w:vAlign w:val="bottom"/>
            <w:tcBorders>
              <w:left w:val="single" w:sz="8" w:color="auto"/>
              <w:bottom w:val="single" w:sz="8" w:color="auto"/>
            </w:tcBorders>
          </w:tcPr>
          <w:p>
            <w:pPr>
              <w:spacing w:after="0"/>
              <w:rPr>
                <w:sz w:val="15"/>
                <w:szCs w:val="15"/>
                <w:color w:val="auto"/>
              </w:rPr>
            </w:pPr>
          </w:p>
        </w:tc>
        <w:tc>
          <w:tcPr>
            <w:tcW w:w="1940" w:type="dxa"/>
            <w:vAlign w:val="bottom"/>
            <w:tcBorders>
              <w:bottom w:val="single" w:sz="8" w:color="auto"/>
              <w:right w:val="single" w:sz="8" w:color="auto"/>
            </w:tcBorders>
            <w:gridSpan w:val="2"/>
          </w:tcPr>
          <w:p>
            <w:pPr>
              <w:jc w:val="center"/>
              <w:ind w:right="820"/>
              <w:spacing w:after="0" w:line="184" w:lineRule="exact"/>
              <w:rPr>
                <w:sz w:val="20"/>
                <w:szCs w:val="20"/>
                <w:color w:val="auto"/>
              </w:rPr>
            </w:pPr>
            <w:r>
              <w:rPr>
                <w:rFonts w:ascii="Arial" w:cs="Arial" w:eastAsia="Arial" w:hAnsi="Arial"/>
                <w:sz w:val="21"/>
                <w:szCs w:val="21"/>
                <w:color w:val="auto"/>
                <w:w w:val="91"/>
              </w:rPr>
              <w:t>Return Goal</w:t>
            </w:r>
          </w:p>
        </w:tc>
        <w:tc>
          <w:tcPr>
            <w:tcW w:w="82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tcPr>
          <w:p>
            <w:pPr>
              <w:spacing w:after="0"/>
              <w:rPr>
                <w:sz w:val="15"/>
                <w:szCs w:val="15"/>
                <w:color w:val="auto"/>
              </w:rPr>
            </w:pPr>
          </w:p>
        </w:tc>
        <w:tc>
          <w:tcPr>
            <w:tcW w:w="840" w:type="dxa"/>
            <w:vAlign w:val="bottom"/>
            <w:tcBorders>
              <w:bottom w:val="single" w:sz="8" w:color="auto"/>
              <w:right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tcPr>
          <w:p>
            <w:pPr>
              <w:spacing w:after="0"/>
              <w:rPr>
                <w:sz w:val="15"/>
                <w:szCs w:val="15"/>
                <w:color w:val="auto"/>
              </w:rPr>
            </w:pPr>
          </w:p>
        </w:tc>
        <w:tc>
          <w:tcPr>
            <w:tcW w:w="6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3" w:lineRule="exact"/>
        <w:rPr>
          <w:sz w:val="20"/>
          <w:szCs w:val="20"/>
          <w:color w:val="auto"/>
        </w:rPr>
      </w:pPr>
    </w:p>
    <w:p>
      <w:pPr>
        <w:jc w:val="both"/>
        <w:ind w:left="620" w:firstLine="629"/>
        <w:spacing w:after="0" w:line="236" w:lineRule="auto"/>
        <w:rPr>
          <w:sz w:val="20"/>
          <w:szCs w:val="20"/>
          <w:color w:val="auto"/>
        </w:rPr>
      </w:pPr>
      <w:r>
        <w:rPr>
          <w:rFonts w:ascii="Arial" w:cs="Arial" w:eastAsia="Arial" w:hAnsi="Arial"/>
          <w:sz w:val="20"/>
          <w:szCs w:val="20"/>
          <w:color w:val="auto"/>
        </w:rPr>
        <w:t>The Committee shall certify on a nondiscretionary basis whether and the extent to which the Shareholder Return Goals have been met on or before the date on which the Company is required to make a book-entry registration or issue a certificate for Shares relating to the achievement of Shareholder Return Goals as set forth in Section 2(e) (viii). In the event the Committee certifies that the Threshold Total Shareholder Return Goal has not been met, then all of the Performance Units will be forfeited to the Company. In the event the Committee certifies that the Company has achieved the Maximum Total Shareholder Return Goal, the conditions shall be deemed to have been satisfied and the restrictions on a number of Performance Units equal to all of the Performance Units multiplied by two shall be removed as of the Measurement Date. In the event the Committee certifies that the Company has achieved a Total Shareholder Return that is between any of the Total Shareholder Return Goals set forth above, then the conditions with respect to the Performance Units shall be deemed to have been met for the number of Performance Units determined by linear interpolation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4940"/>
        <w:spacing w:after="0"/>
        <w:rPr>
          <w:sz w:val="20"/>
          <w:szCs w:val="20"/>
          <w:color w:val="auto"/>
        </w:rPr>
      </w:pPr>
      <w:r>
        <w:rPr>
          <w:rFonts w:ascii="Arial" w:cs="Arial" w:eastAsia="Arial" w:hAnsi="Arial"/>
          <w:sz w:val="21"/>
          <w:szCs w:val="21"/>
          <w:color w:val="auto"/>
        </w:rPr>
        <w:t>3</w:t>
      </w:r>
    </w:p>
    <w:p>
      <w:pPr>
        <w:sectPr>
          <w:pgSz w:w="11900" w:h="16838" w:orient="portrait"/>
          <w:cols w:equalWidth="0" w:num="1">
            <w:col w:w="10600"/>
          </w:cols>
          <w:pgMar w:left="960" w:top="1377" w:right="339" w:bottom="1440" w:gutter="0" w:footer="0" w:header="0"/>
        </w:sectPr>
      </w:pPr>
    </w:p>
    <w:bookmarkStart w:id="96" w:name="page97"/>
    <w:bookmarkEnd w:id="96"/>
    <w:p>
      <w:pPr>
        <w:jc w:val="both"/>
        <w:ind w:left="140"/>
        <w:spacing w:after="0" w:line="251" w:lineRule="auto"/>
        <w:rPr>
          <w:sz w:val="20"/>
          <w:szCs w:val="20"/>
          <w:color w:val="auto"/>
        </w:rPr>
      </w:pPr>
      <w:r>
        <w:rPr>
          <w:rFonts w:ascii="Arial" w:cs="Arial" w:eastAsia="Arial" w:hAnsi="Arial"/>
          <w:sz w:val="19"/>
          <w:szCs w:val="19"/>
          <w:color w:val="auto"/>
        </w:rPr>
        <w:t>between such Shareholder Return Goals and the restrictions on such Performance Units shall be removed as of the Measurement Date and the remainder of the Performance Units will be forfeited to the Company. The Committee has the final authority to determine on a nondiscretionary basis whether the Shareholder Return Goals have been met and to what extent. Notwithstanding the foregoing or any other provision of this Award Agreement to the contrary, in the event that the Committee certifies that the Company has achieved a Total Shareholder Return which is above the 75</w:t>
      </w:r>
      <w:r>
        <w:rPr>
          <w:rFonts w:ascii="Arial" w:cs="Arial" w:eastAsia="Arial" w:hAnsi="Arial"/>
          <w:sz w:val="10"/>
          <w:szCs w:val="10"/>
          <w:color w:val="auto"/>
        </w:rPr>
        <w:t>th</w:t>
      </w:r>
      <w:r>
        <w:rPr>
          <w:rFonts w:ascii="Arial" w:cs="Arial" w:eastAsia="Arial" w:hAnsi="Arial"/>
          <w:sz w:val="19"/>
          <w:szCs w:val="19"/>
          <w:color w:val="auto"/>
        </w:rPr>
        <w:t xml:space="preserve"> percentile of the Peer Group but the Total Shareholder Return of the Company is less than zero, then the conditions with respect to the Performance Units shall be deemed to have been satisfied and the restrictions on a number of Performance Units equal to the Above Target Total Shareholder Return Goal shall be removed as of the Measurement Date and the remainder of the Performance Units will be forfeited to the Company.</w:t>
      </w:r>
    </w:p>
    <w:p>
      <w:pPr>
        <w:spacing w:after="0" w:line="186" w:lineRule="exact"/>
        <w:rPr>
          <w:sz w:val="20"/>
          <w:szCs w:val="20"/>
          <w:color w:val="auto"/>
        </w:rPr>
      </w:pPr>
    </w:p>
    <w:p>
      <w:pPr>
        <w:jc w:val="both"/>
        <w:ind w:left="140" w:firstLine="629"/>
        <w:spacing w:after="0" w:line="236" w:lineRule="auto"/>
        <w:rPr>
          <w:sz w:val="20"/>
          <w:szCs w:val="20"/>
          <w:color w:val="auto"/>
        </w:rPr>
      </w:pPr>
      <w:r>
        <w:rPr>
          <w:rFonts w:ascii="Arial" w:cs="Arial" w:eastAsia="Arial" w:hAnsi="Arial"/>
          <w:sz w:val="21"/>
          <w:szCs w:val="21"/>
          <w:color w:val="auto"/>
        </w:rPr>
        <w:t>For purposes of measuring the Shareholder Return Goals with respect to the Company and each of the companies in the Peer Group: "</w:t>
      </w:r>
      <w:r>
        <w:rPr>
          <w:rFonts w:ascii="Arial" w:cs="Arial" w:eastAsia="Arial" w:hAnsi="Arial"/>
          <w:sz w:val="21"/>
          <w:szCs w:val="21"/>
          <w:u w:val="single" w:color="auto"/>
          <w:color w:val="auto"/>
        </w:rPr>
        <w:t>Total Shareholder Return</w:t>
      </w:r>
      <w:r>
        <w:rPr>
          <w:rFonts w:ascii="Arial" w:cs="Arial" w:eastAsia="Arial" w:hAnsi="Arial"/>
          <w:sz w:val="21"/>
          <w:szCs w:val="21"/>
          <w:color w:val="auto"/>
        </w:rPr>
        <w:t>" shall mean the total shareholder return calculated by subtracting 1 from the following fraction:</w:t>
      </w:r>
    </w:p>
    <w:p>
      <w:pPr>
        <w:spacing w:after="0" w:line="192" w:lineRule="exact"/>
        <w:rPr>
          <w:sz w:val="20"/>
          <w:szCs w:val="20"/>
          <w:color w:val="auto"/>
        </w:rPr>
      </w:pPr>
    </w:p>
    <w:p>
      <w:pPr>
        <w:ind w:left="780"/>
        <w:spacing w:after="0"/>
        <w:rPr>
          <w:sz w:val="20"/>
          <w:szCs w:val="20"/>
          <w:color w:val="auto"/>
        </w:rPr>
      </w:pPr>
      <w:r>
        <w:rPr>
          <w:rFonts w:ascii="Arial" w:cs="Arial" w:eastAsia="Arial" w:hAnsi="Arial"/>
          <w:sz w:val="21"/>
          <w:szCs w:val="21"/>
          <w:color w:val="auto"/>
        </w:rPr>
        <w:t>Numerator: Ending Stock Value</w:t>
      </w:r>
    </w:p>
    <w:p>
      <w:pPr>
        <w:spacing w:after="0" w:line="217" w:lineRule="exact"/>
        <w:rPr>
          <w:sz w:val="20"/>
          <w:szCs w:val="20"/>
          <w:color w:val="auto"/>
        </w:rPr>
      </w:pPr>
    </w:p>
    <w:p>
      <w:pPr>
        <w:ind w:left="780"/>
        <w:spacing w:after="0"/>
        <w:rPr>
          <w:sz w:val="20"/>
          <w:szCs w:val="20"/>
          <w:color w:val="auto"/>
        </w:rPr>
      </w:pPr>
      <w:r>
        <w:rPr>
          <w:rFonts w:ascii="Arial" w:cs="Arial" w:eastAsia="Arial" w:hAnsi="Arial"/>
          <w:sz w:val="21"/>
          <w:szCs w:val="21"/>
          <w:color w:val="auto"/>
        </w:rPr>
        <w:t>Denominator: Beginning Stock Value</w:t>
      </w:r>
    </w:p>
    <w:p>
      <w:pPr>
        <w:spacing w:after="0" w:line="217" w:lineRule="exact"/>
        <w:rPr>
          <w:sz w:val="20"/>
          <w:szCs w:val="20"/>
          <w:color w:val="auto"/>
        </w:rPr>
      </w:pPr>
    </w:p>
    <w:p>
      <w:pPr>
        <w:jc w:val="both"/>
        <w:ind w:left="140" w:firstLine="629"/>
        <w:spacing w:after="0" w:line="23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Beginning Stock Value</w:t>
      </w:r>
      <w:r>
        <w:rPr>
          <w:rFonts w:ascii="Arial" w:cs="Arial" w:eastAsia="Arial" w:hAnsi="Arial"/>
          <w:sz w:val="20"/>
          <w:szCs w:val="20"/>
          <w:color w:val="auto"/>
        </w:rPr>
        <w:t>" shall mean, with respect to the Company and each of the companies in the Peer Group, $100, invested in common stock at the average closing stock price of such company for each of the trading days in the period covering April, May and June of 2020; "</w:t>
      </w:r>
      <w:r>
        <w:rPr>
          <w:rFonts w:ascii="Arial" w:cs="Arial" w:eastAsia="Arial" w:hAnsi="Arial"/>
          <w:sz w:val="20"/>
          <w:szCs w:val="20"/>
          <w:u w:val="single" w:color="auto"/>
          <w:color w:val="auto"/>
        </w:rPr>
        <w:t>Ending Stock Value</w:t>
      </w:r>
      <w:r>
        <w:rPr>
          <w:rFonts w:ascii="Arial" w:cs="Arial" w:eastAsia="Arial" w:hAnsi="Arial"/>
          <w:sz w:val="20"/>
          <w:szCs w:val="20"/>
          <w:color w:val="auto"/>
        </w:rPr>
        <w:t>" shall mean, with respect to the Company and each of the companies in the Peer Group, the average closing stock price of such company of one share of common stock for each of the trading days in the period covering April, May and June of 2023 multiplied by the sum of the number of shares represented by the Beginning Stock Value initial $100 investment plus such additional shares resulting from all dividends paid on common stock during the three-year measurement period being treated as though they are reinvested on the applicable ex-dividend dates at the applicable closing prices on such dates; and "</w:t>
      </w:r>
      <w:r>
        <w:rPr>
          <w:rFonts w:ascii="Arial" w:cs="Arial" w:eastAsia="Arial" w:hAnsi="Arial"/>
          <w:sz w:val="20"/>
          <w:szCs w:val="20"/>
          <w:u w:val="single" w:color="auto"/>
          <w:color w:val="auto"/>
        </w:rPr>
        <w:t>Peer Group</w:t>
      </w:r>
      <w:r>
        <w:rPr>
          <w:rFonts w:ascii="Arial" w:cs="Arial" w:eastAsia="Arial" w:hAnsi="Arial"/>
          <w:sz w:val="20"/>
          <w:szCs w:val="20"/>
          <w:color w:val="auto"/>
        </w:rPr>
        <w:t>" shall mean AECOM, , Argan, Inc., Babcock &amp; Wilcox Enterprises, Dycom Industries, Inc., EMCOR Group, Inc., Exterran Corporation, Granite Construction, Inc., Great Lakes Dredge &amp; Dock Corporation, IES Holdings, Inc., KBR, Inc., Limbach Holdings, Inc., MasTec, Inc., Mistras Group, Inc., MYR Group Inc., NV5 Global, Inc., Orion Group Holdings, Inc., Primoris Services Corporation, Quanta Services, Inc., Sterling Construction Company, Inc. and TEAM, Inc. The Company's ranking relative to members of the Peer Group will be determined by listing the Company and members of the Peer Group from highest to lowest Total Shareholder Return achieved by the respective company and counting down from the company with the highest Total Shareholder Return to the Company's position within such list. In all events, the Total Shareholder Return of any member of the Peer Group shall be adjusted to give effect to any stock dividends, stock splits, reverse stock splits and similar transactions. If a company or companies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4460"/>
        <w:spacing w:after="0"/>
        <w:rPr>
          <w:sz w:val="20"/>
          <w:szCs w:val="20"/>
          <w:color w:val="auto"/>
        </w:rPr>
      </w:pPr>
      <w:r>
        <w:rPr>
          <w:rFonts w:ascii="Arial" w:cs="Arial" w:eastAsia="Arial" w:hAnsi="Arial"/>
          <w:sz w:val="21"/>
          <w:szCs w:val="21"/>
          <w:color w:val="auto"/>
        </w:rPr>
        <w:t>4</w:t>
      </w:r>
    </w:p>
    <w:p>
      <w:pPr>
        <w:sectPr>
          <w:pgSz w:w="11900" w:h="16838" w:orient="portrait"/>
          <w:cols w:equalWidth="0" w:num="1">
            <w:col w:w="10120"/>
          </w:cols>
          <w:pgMar w:left="1440" w:top="1377" w:right="339" w:bottom="1440" w:gutter="0" w:footer="0" w:header="0"/>
        </w:sectPr>
      </w:pPr>
    </w:p>
    <w:bookmarkStart w:id="97" w:name="page98"/>
    <w:bookmarkEnd w:id="97"/>
    <w:p>
      <w:pPr>
        <w:jc w:val="both"/>
        <w:ind w:left="140"/>
        <w:spacing w:after="0" w:line="230" w:lineRule="auto"/>
        <w:rPr>
          <w:sz w:val="20"/>
          <w:szCs w:val="20"/>
          <w:color w:val="auto"/>
        </w:rPr>
      </w:pPr>
      <w:r>
        <w:rPr>
          <w:rFonts w:ascii="Arial" w:cs="Arial" w:eastAsia="Arial" w:hAnsi="Arial"/>
          <w:sz w:val="21"/>
          <w:szCs w:val="21"/>
          <w:color w:val="auto"/>
        </w:rPr>
        <w:t>Peer Group files for bankruptcy at any time prior to June 30, 2024</w:t>
      </w:r>
      <w:r>
        <w:rPr>
          <w:rFonts w:ascii="Arial" w:cs="Arial" w:eastAsia="Arial" w:hAnsi="Arial"/>
          <w:sz w:val="21"/>
          <w:szCs w:val="21"/>
          <w:u w:val="single" w:color="auto"/>
          <w:color w:val="0000FF"/>
        </w:rPr>
        <w:t>[1]</w:t>
      </w:r>
      <w:r>
        <w:rPr>
          <w:rFonts w:ascii="Arial" w:cs="Arial" w:eastAsia="Arial" w:hAnsi="Arial"/>
          <w:sz w:val="21"/>
          <w:szCs w:val="21"/>
          <w:color w:val="auto"/>
        </w:rPr>
        <w:t xml:space="preserve"> (the "Performance Period Termination Date"), then such company or companies shall have the lowest ranking in the Peer Group. If the common stock of a company or companies in the Peer Group ceases to trade on a national securities exchange as a result of a going private transaction or other acquisition at any time prior to the Performance Period Termination Date, then such company or companies shall be removed from the Peer Group.</w:t>
      </w:r>
    </w:p>
    <w:p>
      <w:pPr>
        <w:spacing w:after="0" w:line="194" w:lineRule="exact"/>
        <w:rPr>
          <w:sz w:val="20"/>
          <w:szCs w:val="20"/>
          <w:color w:val="auto"/>
        </w:rPr>
      </w:pPr>
    </w:p>
    <w:p>
      <w:pPr>
        <w:jc w:val="both"/>
        <w:ind w:left="140" w:firstLine="633"/>
        <w:spacing w:after="0" w:line="236" w:lineRule="auto"/>
        <w:tabs>
          <w:tab w:leader="none" w:pos="1136" w:val="left"/>
        </w:tabs>
        <w:numPr>
          <w:ilvl w:val="0"/>
          <w:numId w:val="50"/>
        </w:numPr>
        <w:rPr>
          <w:rFonts w:ascii="Arial" w:cs="Arial" w:eastAsia="Arial" w:hAnsi="Arial"/>
          <w:sz w:val="21"/>
          <w:szCs w:val="21"/>
          <w:color w:val="auto"/>
        </w:rPr>
      </w:pPr>
      <w:r>
        <w:rPr>
          <w:rFonts w:ascii="Arial" w:cs="Arial" w:eastAsia="Arial" w:hAnsi="Arial"/>
          <w:sz w:val="21"/>
          <w:szCs w:val="21"/>
          <w:color w:val="auto"/>
        </w:rPr>
        <w:t>Notwithstanding the provisions of subsections (i) and (ii) of this Section 2(e), the restrictions described in Section 2(d)(ii) shall lapse with respect to the RSUs and the Performance Units (as if the Target Total Shareholder Return Goal had been met) upon the occurrence of your death or "</w:t>
      </w:r>
      <w:r>
        <w:rPr>
          <w:rFonts w:ascii="Arial" w:cs="Arial" w:eastAsia="Arial" w:hAnsi="Arial"/>
          <w:sz w:val="21"/>
          <w:szCs w:val="21"/>
          <w:u w:val="single" w:color="auto"/>
          <w:color w:val="auto"/>
        </w:rPr>
        <w:t>Disability</w:t>
      </w:r>
      <w:r>
        <w:rPr>
          <w:rFonts w:ascii="Arial" w:cs="Arial" w:eastAsia="Arial" w:hAnsi="Arial"/>
          <w:sz w:val="21"/>
          <w:szCs w:val="21"/>
          <w:color w:val="auto"/>
        </w:rPr>
        <w:t>."</w:t>
      </w:r>
    </w:p>
    <w:p>
      <w:pPr>
        <w:spacing w:after="0" w:line="192" w:lineRule="exact"/>
        <w:rPr>
          <w:sz w:val="20"/>
          <w:szCs w:val="20"/>
          <w:color w:val="auto"/>
        </w:rPr>
      </w:pPr>
    </w:p>
    <w:p>
      <w:pPr>
        <w:jc w:val="both"/>
        <w:ind w:left="140" w:firstLine="629"/>
        <w:spacing w:after="0" w:line="255" w:lineRule="auto"/>
        <w:rPr>
          <w:sz w:val="20"/>
          <w:szCs w:val="20"/>
          <w:color w:val="auto"/>
        </w:rPr>
      </w:pPr>
      <w:r>
        <w:rPr>
          <w:rFonts w:ascii="Arial" w:cs="Arial" w:eastAsia="Arial" w:hAnsi="Arial"/>
          <w:sz w:val="19"/>
          <w:szCs w:val="19"/>
          <w:color w:val="auto"/>
        </w:rPr>
        <w:t>The term "</w:t>
      </w:r>
      <w:r>
        <w:rPr>
          <w:rFonts w:ascii="Arial" w:cs="Arial" w:eastAsia="Arial" w:hAnsi="Arial"/>
          <w:sz w:val="19"/>
          <w:szCs w:val="19"/>
          <w:u w:val="single" w:color="auto"/>
          <w:color w:val="auto"/>
        </w:rPr>
        <w:t>Disability</w:t>
      </w:r>
      <w:r>
        <w:rPr>
          <w:rFonts w:ascii="Arial" w:cs="Arial" w:eastAsia="Arial" w:hAnsi="Arial"/>
          <w:sz w:val="19"/>
          <w:szCs w:val="19"/>
          <w:color w:val="auto"/>
        </w:rPr>
        <w:t>" shall mean your inability to engage in any substantial gainful activity by reason of any medically determinable physical or mental impairment which can be expected to result in death, or which has lasted or can be expected to last for a continuous period of not less than 12 months. For purposes of this Section 2(e)(iii), the Target Performance Goal shall be deemed to have been met on the date the restrictions lapse by reason of the occurrence prior to the Measurement Date of either of the foregoing events, so that the conditions on issuance of 100 percent of the Performance Units shall be deemed satisfied on the date of such event.</w:t>
      </w:r>
    </w:p>
    <w:p>
      <w:pPr>
        <w:spacing w:after="0" w:line="181" w:lineRule="exact"/>
        <w:rPr>
          <w:sz w:val="20"/>
          <w:szCs w:val="20"/>
          <w:color w:val="auto"/>
        </w:rPr>
      </w:pPr>
    </w:p>
    <w:p>
      <w:pPr>
        <w:jc w:val="both"/>
        <w:ind w:left="140" w:firstLine="633"/>
        <w:spacing w:after="0" w:line="227" w:lineRule="auto"/>
        <w:tabs>
          <w:tab w:leader="none" w:pos="1177" w:val="left"/>
        </w:tabs>
        <w:numPr>
          <w:ilvl w:val="0"/>
          <w:numId w:val="51"/>
        </w:numPr>
        <w:rPr>
          <w:rFonts w:ascii="Arial" w:cs="Arial" w:eastAsia="Arial" w:hAnsi="Arial"/>
          <w:sz w:val="21"/>
          <w:szCs w:val="21"/>
          <w:color w:val="auto"/>
        </w:rPr>
      </w:pPr>
      <w:r>
        <w:rPr>
          <w:rFonts w:ascii="Arial" w:cs="Arial" w:eastAsia="Arial" w:hAnsi="Arial"/>
          <w:sz w:val="21"/>
          <w:szCs w:val="21"/>
          <w:color w:val="auto"/>
        </w:rPr>
        <w:t>Notwithstanding the provisions of subsection (i) of this Section 2(e), upon the occurrence of your "</w:t>
      </w:r>
      <w:r>
        <w:rPr>
          <w:rFonts w:ascii="Arial" w:cs="Arial" w:eastAsia="Arial" w:hAnsi="Arial"/>
          <w:sz w:val="21"/>
          <w:szCs w:val="21"/>
          <w:u w:val="single" w:color="auto"/>
          <w:color w:val="auto"/>
        </w:rPr>
        <w:t>Retirement</w:t>
      </w:r>
      <w:r>
        <w:rPr>
          <w:rFonts w:ascii="Arial" w:cs="Arial" w:eastAsia="Arial" w:hAnsi="Arial"/>
          <w:sz w:val="21"/>
          <w:szCs w:val="21"/>
          <w:color w:val="auto"/>
        </w:rPr>
        <w:t>," the restrictions described in Section 2(d)(ii) automatically and with no exercise of discretion of the Committee shall lapse with respect to all of your remaining RSUs and be settled upon the earliest to occur of (A) the normal lapsing schedule set forth in Section 2(e)(i) hereof and (B) your death. Notwithstanding any other provision of this subsection (iv), in the event that you Retire within one year of the date of this Award Agreement, the restrictions will not lapse on any portion of the RSUs represented by this Award Agreement and all such remaining RSUs shall immediately be forfeited.</w:t>
      </w:r>
    </w:p>
    <w:p>
      <w:pPr>
        <w:spacing w:after="0" w:line="198" w:lineRule="exact"/>
        <w:rPr>
          <w:sz w:val="20"/>
          <w:szCs w:val="20"/>
          <w:color w:val="auto"/>
        </w:rPr>
      </w:pPr>
    </w:p>
    <w:p>
      <w:pPr>
        <w:jc w:val="both"/>
        <w:ind w:left="140" w:firstLine="629"/>
        <w:spacing w:after="0" w:line="251" w:lineRule="auto"/>
        <w:rPr>
          <w:sz w:val="20"/>
          <w:szCs w:val="20"/>
          <w:color w:val="auto"/>
        </w:rPr>
      </w:pPr>
      <w:r>
        <w:rPr>
          <w:rFonts w:ascii="Arial" w:cs="Arial" w:eastAsia="Arial" w:hAnsi="Arial"/>
          <w:sz w:val="20"/>
          <w:szCs w:val="20"/>
          <w:color w:val="auto"/>
        </w:rPr>
        <w:t>The term "</w:t>
      </w:r>
      <w:r>
        <w:rPr>
          <w:rFonts w:ascii="Arial" w:cs="Arial" w:eastAsia="Arial" w:hAnsi="Arial"/>
          <w:sz w:val="20"/>
          <w:szCs w:val="20"/>
          <w:u w:val="single" w:color="auto"/>
          <w:color w:val="auto"/>
        </w:rPr>
        <w:t>Retirement</w:t>
      </w:r>
      <w:r>
        <w:rPr>
          <w:rFonts w:ascii="Arial" w:cs="Arial" w:eastAsia="Arial" w:hAnsi="Arial"/>
          <w:sz w:val="20"/>
          <w:szCs w:val="20"/>
          <w:color w:val="auto"/>
        </w:rPr>
        <w:t>" or "</w:t>
      </w:r>
      <w:r>
        <w:rPr>
          <w:rFonts w:ascii="Arial" w:cs="Arial" w:eastAsia="Arial" w:hAnsi="Arial"/>
          <w:sz w:val="20"/>
          <w:szCs w:val="20"/>
          <w:u w:val="single" w:color="auto"/>
          <w:color w:val="auto"/>
        </w:rPr>
        <w:t>Retire</w:t>
      </w:r>
      <w:r>
        <w:rPr>
          <w:rFonts w:ascii="Arial" w:cs="Arial" w:eastAsia="Arial" w:hAnsi="Arial"/>
          <w:sz w:val="20"/>
          <w:szCs w:val="20"/>
          <w:color w:val="auto"/>
        </w:rPr>
        <w:t>" shall mean your voluntary "</w:t>
      </w:r>
      <w:r>
        <w:rPr>
          <w:rFonts w:ascii="Arial" w:cs="Arial" w:eastAsia="Arial" w:hAnsi="Arial"/>
          <w:sz w:val="20"/>
          <w:szCs w:val="20"/>
          <w:u w:val="single" w:color="auto"/>
          <w:color w:val="auto"/>
        </w:rPr>
        <w:t>Separation from Service</w:t>
      </w:r>
      <w:r>
        <w:rPr>
          <w:rFonts w:ascii="Arial" w:cs="Arial" w:eastAsia="Arial" w:hAnsi="Arial"/>
          <w:sz w:val="20"/>
          <w:szCs w:val="20"/>
          <w:color w:val="auto"/>
        </w:rPr>
        <w:t>" (as defined in Code Section 409A), on or after the date (A) on which you attain age 65 or (B) on which you attain age 60 and have completed at least ten years of continuous service as an employee of the Company or an Affiliate.</w:t>
      </w:r>
    </w:p>
    <w:p>
      <w:pPr>
        <w:spacing w:after="0" w:line="183" w:lineRule="exact"/>
        <w:rPr>
          <w:sz w:val="20"/>
          <w:szCs w:val="20"/>
          <w:color w:val="auto"/>
        </w:rPr>
      </w:pPr>
    </w:p>
    <w:p>
      <w:pPr>
        <w:jc w:val="both"/>
        <w:ind w:left="140" w:firstLine="633"/>
        <w:spacing w:after="0" w:line="228" w:lineRule="auto"/>
        <w:tabs>
          <w:tab w:leader="none" w:pos="1067" w:val="left"/>
        </w:tabs>
        <w:numPr>
          <w:ilvl w:val="0"/>
          <w:numId w:val="52"/>
        </w:numPr>
        <w:rPr>
          <w:rFonts w:ascii="Arial" w:cs="Arial" w:eastAsia="Arial" w:hAnsi="Arial"/>
          <w:sz w:val="21"/>
          <w:szCs w:val="21"/>
          <w:color w:val="auto"/>
        </w:rPr>
      </w:pPr>
      <w:r>
        <w:rPr>
          <w:rFonts w:ascii="Arial" w:cs="Arial" w:eastAsia="Arial" w:hAnsi="Arial"/>
          <w:sz w:val="21"/>
          <w:szCs w:val="21"/>
          <w:color w:val="auto"/>
        </w:rPr>
        <w:t>Notwithstanding the provisions of subsection (ii) of this Section 2(e), in the event that you Retire prior to the Measurement Date and the Committee subsequently determines and certifies that the Company has achieved a Shareholder Return Goal at a level at or above the Threshold Shareholder Return Goal, the restrictions described in Section 2(d)(ii) shall lapse with respect to a pro rata number of Performance Units equal to the total number of Performance Units for which the restrictions would have lapsed on the Measurement Date under Subsection (ii) of this Section 2(e) if you had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460"/>
        <w:spacing w:after="0"/>
        <w:rPr>
          <w:sz w:val="20"/>
          <w:szCs w:val="20"/>
          <w:color w:val="auto"/>
        </w:rPr>
      </w:pPr>
      <w:r>
        <w:rPr>
          <w:rFonts w:ascii="Arial" w:cs="Arial" w:eastAsia="Arial" w:hAnsi="Arial"/>
          <w:sz w:val="21"/>
          <w:szCs w:val="21"/>
          <w:color w:val="auto"/>
        </w:rPr>
        <w:t>5</w:t>
      </w:r>
    </w:p>
    <w:p>
      <w:pPr>
        <w:sectPr>
          <w:pgSz w:w="11900" w:h="16838" w:orient="portrait"/>
          <w:cols w:equalWidth="0" w:num="1">
            <w:col w:w="10120"/>
          </w:cols>
          <w:pgMar w:left="1440" w:top="1377" w:right="339" w:bottom="1440" w:gutter="0" w:footer="0" w:header="0"/>
        </w:sectPr>
      </w:pPr>
    </w:p>
    <w:bookmarkStart w:id="98" w:name="page99"/>
    <w:bookmarkEnd w:id="98"/>
    <w:p>
      <w:pPr>
        <w:jc w:val="both"/>
        <w:ind w:left="140"/>
        <w:spacing w:after="0" w:line="236" w:lineRule="auto"/>
        <w:rPr>
          <w:sz w:val="20"/>
          <w:szCs w:val="20"/>
          <w:color w:val="auto"/>
        </w:rPr>
      </w:pPr>
      <w:r>
        <w:rPr>
          <w:rFonts w:ascii="Arial" w:cs="Arial" w:eastAsia="Arial" w:hAnsi="Arial"/>
          <w:sz w:val="21"/>
          <w:szCs w:val="21"/>
          <w:color w:val="auto"/>
        </w:rPr>
        <w:t>Retired prior to the Measurement Date, multiplied by a fraction, the numerator of which is equal to the number of full and partial months elapsed from the date of the Award to the date of your Retirement, and the denominator of which is 36.</w:t>
      </w:r>
    </w:p>
    <w:p>
      <w:pPr>
        <w:spacing w:after="0" w:line="192" w:lineRule="exact"/>
        <w:rPr>
          <w:sz w:val="20"/>
          <w:szCs w:val="20"/>
          <w:color w:val="auto"/>
        </w:rPr>
      </w:pPr>
    </w:p>
    <w:p>
      <w:pPr>
        <w:jc w:val="both"/>
        <w:ind w:left="140" w:firstLine="633"/>
        <w:spacing w:after="0" w:line="248" w:lineRule="auto"/>
        <w:tabs>
          <w:tab w:leader="none" w:pos="1125" w:val="left"/>
        </w:tabs>
        <w:numPr>
          <w:ilvl w:val="0"/>
          <w:numId w:val="53"/>
        </w:numPr>
        <w:rPr>
          <w:rFonts w:ascii="Arial" w:cs="Arial" w:eastAsia="Arial" w:hAnsi="Arial"/>
          <w:sz w:val="19"/>
          <w:szCs w:val="19"/>
          <w:color w:val="auto"/>
        </w:rPr>
      </w:pPr>
      <w:r>
        <w:rPr>
          <w:rFonts w:ascii="Arial" w:cs="Arial" w:eastAsia="Arial" w:hAnsi="Arial"/>
          <w:sz w:val="19"/>
          <w:szCs w:val="19"/>
          <w:color w:val="auto"/>
        </w:rPr>
        <w:t>Notwithstanding the provisions of subsections (i) and (ii) of this Section 2(e), in the event of a Change of Control of the Company, this Award Agreement may be continued or assumed by the continuing or successor (as the case may be) organization (the "</w:t>
      </w:r>
      <w:r>
        <w:rPr>
          <w:rFonts w:ascii="Arial" w:cs="Arial" w:eastAsia="Arial" w:hAnsi="Arial"/>
          <w:sz w:val="19"/>
          <w:szCs w:val="19"/>
          <w:u w:val="single" w:color="auto"/>
          <w:color w:val="auto"/>
        </w:rPr>
        <w:t>Successor</w:t>
      </w:r>
      <w:r>
        <w:rPr>
          <w:rFonts w:ascii="Arial" w:cs="Arial" w:eastAsia="Arial" w:hAnsi="Arial"/>
          <w:sz w:val="19"/>
          <w:szCs w:val="19"/>
          <w:color w:val="auto"/>
        </w:rPr>
        <w:t>"), or the Successor may substitute an equivalent award. With respect to any RSUs that are continued, assumed or substituted for in accordance with this subsection (vi), the restrictions described in Section 2(d)(ii) shall continue to lapse with respect to such RSUs (as the same may be adjusted in accordance with this subsection (vi)) as set forth in Section 2(e)(i) hereof._ With respect to any Performance Units that are continued, assumed or substituted for in accordance with this subsection (vi), the Shareholder Return Goals set forth in Section 2(e)(ii) shall be deemed to have been satisfied (as if the greater of the Target Total Shareholder Return Goal or the Company’s actual performance in relation to the Shareholder Return Goal as of the date of the Change of Control had been met) and the restrictions described in Section 2(d)(ii) shall lapse with respect to the Performance Units (as the same may be adjusted consistent with this subsection (vi)) in equal installments on the anniversary dates of this Award Agreement ending on the fourth anniversary of this Award Agreement; provided, however, in the event you incur a voluntary Separation from Service after suffering an "</w:t>
      </w:r>
      <w:r>
        <w:rPr>
          <w:rFonts w:ascii="Arial" w:cs="Arial" w:eastAsia="Arial" w:hAnsi="Arial"/>
          <w:sz w:val="19"/>
          <w:szCs w:val="19"/>
          <w:u w:val="single" w:color="auto"/>
          <w:color w:val="auto"/>
        </w:rPr>
        <w:t>Adverse Event</w:t>
      </w:r>
      <w:r>
        <w:rPr>
          <w:rFonts w:ascii="Arial" w:cs="Arial" w:eastAsia="Arial" w:hAnsi="Arial"/>
          <w:sz w:val="19"/>
          <w:szCs w:val="19"/>
          <w:color w:val="auto"/>
        </w:rPr>
        <w:t>" or incur an involuntary Separation from Service not for "</w:t>
      </w:r>
      <w:r>
        <w:rPr>
          <w:rFonts w:ascii="Arial" w:cs="Arial" w:eastAsia="Arial" w:hAnsi="Arial"/>
          <w:sz w:val="19"/>
          <w:szCs w:val="19"/>
          <w:u w:val="single" w:color="auto"/>
          <w:color w:val="auto"/>
        </w:rPr>
        <w:t>Cause</w:t>
      </w:r>
      <w:r>
        <w:rPr>
          <w:rFonts w:ascii="Arial" w:cs="Arial" w:eastAsia="Arial" w:hAnsi="Arial"/>
          <w:sz w:val="19"/>
          <w:szCs w:val="19"/>
          <w:color w:val="auto"/>
        </w:rPr>
        <w:t>," in connection with a Change of Control or at any time ending with the earlier to occur of the second anniversary of the Change of Control or the Measurement Date, the restrictions described in Section 2(d)(ii) shall immediately lapse with respect to the RSUs and the Performance Units (as if the greater of the Target Total Shareholder Return Goal or the Company’s actual performance in relation to the Shareholder Return Goal as of the date of the Change of Control had been met).</w:t>
      </w:r>
    </w:p>
    <w:p>
      <w:pPr>
        <w:spacing w:after="0" w:line="185" w:lineRule="exact"/>
        <w:rPr>
          <w:sz w:val="20"/>
          <w:szCs w:val="20"/>
          <w:color w:val="auto"/>
        </w:rPr>
      </w:pPr>
    </w:p>
    <w:p>
      <w:pPr>
        <w:ind w:left="780"/>
        <w:spacing w:after="0"/>
        <w:rPr>
          <w:sz w:val="20"/>
          <w:szCs w:val="20"/>
          <w:color w:val="auto"/>
        </w:rPr>
      </w:pPr>
      <w:r>
        <w:rPr>
          <w:rFonts w:ascii="Arial" w:cs="Arial" w:eastAsia="Arial" w:hAnsi="Arial"/>
          <w:sz w:val="21"/>
          <w:szCs w:val="21"/>
          <w:color w:val="auto"/>
        </w:rPr>
        <w:t>The term "Adverse Event" shall as to any Participant mean:</w:t>
      </w:r>
    </w:p>
    <w:p>
      <w:pPr>
        <w:spacing w:after="0" w:line="217" w:lineRule="exact"/>
        <w:rPr>
          <w:sz w:val="20"/>
          <w:szCs w:val="20"/>
          <w:color w:val="auto"/>
        </w:rPr>
      </w:pPr>
    </w:p>
    <w:p>
      <w:pPr>
        <w:ind w:left="1120" w:hanging="347"/>
        <w:spacing w:after="0"/>
        <w:tabs>
          <w:tab w:leader="none" w:pos="1120" w:val="left"/>
        </w:tabs>
        <w:numPr>
          <w:ilvl w:val="0"/>
          <w:numId w:val="54"/>
        </w:numPr>
        <w:rPr>
          <w:rFonts w:ascii="Arial" w:cs="Arial" w:eastAsia="Arial" w:hAnsi="Arial"/>
          <w:sz w:val="21"/>
          <w:szCs w:val="21"/>
          <w:color w:val="auto"/>
        </w:rPr>
      </w:pPr>
      <w:r>
        <w:rPr>
          <w:rFonts w:ascii="Arial" w:cs="Arial" w:eastAsia="Arial" w:hAnsi="Arial"/>
          <w:sz w:val="21"/>
          <w:szCs w:val="21"/>
          <w:color w:val="auto"/>
        </w:rPr>
        <w:t>a material reduction of the Participant’s authorities, duties, or responsibilities with the Company;</w:t>
      </w:r>
    </w:p>
    <w:p>
      <w:pPr>
        <w:spacing w:after="0" w:line="217" w:lineRule="exact"/>
        <w:rPr>
          <w:rFonts w:ascii="Arial" w:cs="Arial" w:eastAsia="Arial" w:hAnsi="Arial"/>
          <w:sz w:val="21"/>
          <w:szCs w:val="21"/>
          <w:color w:val="auto"/>
        </w:rPr>
      </w:pPr>
    </w:p>
    <w:p>
      <w:pPr>
        <w:jc w:val="both"/>
        <w:ind w:left="140" w:firstLine="633"/>
        <w:spacing w:after="0" w:line="236" w:lineRule="auto"/>
        <w:tabs>
          <w:tab w:leader="none" w:pos="1128" w:val="left"/>
        </w:tabs>
        <w:numPr>
          <w:ilvl w:val="0"/>
          <w:numId w:val="54"/>
        </w:numPr>
        <w:rPr>
          <w:rFonts w:ascii="Arial" w:cs="Arial" w:eastAsia="Arial" w:hAnsi="Arial"/>
          <w:sz w:val="21"/>
          <w:szCs w:val="21"/>
          <w:color w:val="auto"/>
        </w:rPr>
      </w:pPr>
      <w:r>
        <w:rPr>
          <w:rFonts w:ascii="Arial" w:cs="Arial" w:eastAsia="Arial" w:hAnsi="Arial"/>
          <w:sz w:val="21"/>
          <w:szCs w:val="21"/>
          <w:color w:val="auto"/>
        </w:rPr>
        <w:t>a material reduction of the Participant’s annual salary or a material reduction in the Participant’s target annual incentive compensation, in each case other than a reduction which is applicable to all employees in the same salary grade as the Participant; or</w:t>
      </w:r>
    </w:p>
    <w:p>
      <w:pPr>
        <w:spacing w:after="0" w:line="192" w:lineRule="exact"/>
        <w:rPr>
          <w:rFonts w:ascii="Arial" w:cs="Arial" w:eastAsia="Arial" w:hAnsi="Arial"/>
          <w:sz w:val="21"/>
          <w:szCs w:val="21"/>
          <w:color w:val="auto"/>
        </w:rPr>
      </w:pPr>
    </w:p>
    <w:p>
      <w:pPr>
        <w:ind w:left="1100" w:hanging="327"/>
        <w:spacing w:after="0"/>
        <w:tabs>
          <w:tab w:leader="none" w:pos="1100" w:val="left"/>
        </w:tabs>
        <w:numPr>
          <w:ilvl w:val="0"/>
          <w:numId w:val="54"/>
        </w:numPr>
        <w:rPr>
          <w:rFonts w:ascii="Arial" w:cs="Arial" w:eastAsia="Arial" w:hAnsi="Arial"/>
          <w:sz w:val="21"/>
          <w:szCs w:val="21"/>
          <w:color w:val="auto"/>
        </w:rPr>
      </w:pPr>
      <w:r>
        <w:rPr>
          <w:rFonts w:ascii="Arial" w:cs="Arial" w:eastAsia="Arial" w:hAnsi="Arial"/>
          <w:sz w:val="21"/>
          <w:szCs w:val="21"/>
          <w:color w:val="auto"/>
        </w:rPr>
        <w:t>a transfer of the Participant’s primary workplace by more than thirty-five (35) miles.</w:t>
      </w:r>
    </w:p>
    <w:p>
      <w:pPr>
        <w:spacing w:after="0" w:line="217" w:lineRule="exact"/>
        <w:rPr>
          <w:sz w:val="20"/>
          <w:szCs w:val="20"/>
          <w:color w:val="auto"/>
        </w:rPr>
      </w:pPr>
    </w:p>
    <w:p>
      <w:pPr>
        <w:jc w:val="both"/>
        <w:ind w:left="140" w:firstLine="629"/>
        <w:spacing w:after="0" w:line="251" w:lineRule="auto"/>
        <w:rPr>
          <w:sz w:val="20"/>
          <w:szCs w:val="20"/>
          <w:color w:val="auto"/>
        </w:rPr>
      </w:pPr>
      <w:r>
        <w:rPr>
          <w:rFonts w:ascii="Arial" w:cs="Arial" w:eastAsia="Arial" w:hAnsi="Arial"/>
          <w:sz w:val="20"/>
          <w:szCs w:val="20"/>
          <w:color w:val="auto"/>
        </w:rPr>
        <w:t>If a Participant purports to terminate his or her employment after suffering an Adverse Event, the Participant must give the Company written notice of his or her intent to terminate within sixty (60) calendar days of the occurrence of the event that allegedly constitutes an Adverse Event. The Company shall have a right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4460"/>
        <w:spacing w:after="0"/>
        <w:rPr>
          <w:sz w:val="20"/>
          <w:szCs w:val="20"/>
          <w:color w:val="auto"/>
        </w:rPr>
      </w:pPr>
      <w:r>
        <w:rPr>
          <w:rFonts w:ascii="Arial" w:cs="Arial" w:eastAsia="Arial" w:hAnsi="Arial"/>
          <w:sz w:val="21"/>
          <w:szCs w:val="21"/>
          <w:color w:val="auto"/>
        </w:rPr>
        <w:t>6</w:t>
      </w:r>
    </w:p>
    <w:p>
      <w:pPr>
        <w:sectPr>
          <w:pgSz w:w="11900" w:h="16838" w:orient="portrait"/>
          <w:cols w:equalWidth="0" w:num="1">
            <w:col w:w="10120"/>
          </w:cols>
          <w:pgMar w:left="1440" w:top="1377" w:right="339" w:bottom="1440" w:gutter="0" w:footer="0" w:header="0"/>
        </w:sectPr>
      </w:pPr>
    </w:p>
    <w:bookmarkStart w:id="99" w:name="page100"/>
    <w:bookmarkEnd w:id="99"/>
    <w:p>
      <w:pPr>
        <w:jc w:val="both"/>
        <w:ind w:left="626"/>
        <w:spacing w:after="0" w:line="246" w:lineRule="auto"/>
        <w:rPr>
          <w:sz w:val="20"/>
          <w:szCs w:val="20"/>
          <w:color w:val="auto"/>
        </w:rPr>
      </w:pPr>
      <w:r>
        <w:rPr>
          <w:rFonts w:ascii="Arial" w:cs="Arial" w:eastAsia="Arial" w:hAnsi="Arial"/>
          <w:sz w:val="21"/>
          <w:szCs w:val="21"/>
          <w:color w:val="auto"/>
        </w:rPr>
        <w:t>to cure the event alleged to constitute an Adverse Event for a period of thirty (30) calendar days after notice from the Participant of his or her intention to terminate.</w:t>
      </w:r>
    </w:p>
    <w:p>
      <w:pPr>
        <w:spacing w:after="0" w:line="187" w:lineRule="exact"/>
        <w:rPr>
          <w:sz w:val="20"/>
          <w:szCs w:val="20"/>
          <w:color w:val="auto"/>
        </w:rPr>
      </w:pPr>
    </w:p>
    <w:p>
      <w:pPr>
        <w:jc w:val="both"/>
        <w:ind w:left="626" w:firstLine="629"/>
        <w:spacing w:after="0" w:line="230" w:lineRule="auto"/>
        <w:rPr>
          <w:sz w:val="20"/>
          <w:szCs w:val="20"/>
          <w:color w:val="auto"/>
        </w:rPr>
      </w:pPr>
      <w:r>
        <w:rPr>
          <w:rFonts w:ascii="Arial" w:cs="Arial" w:eastAsia="Arial" w:hAnsi="Arial"/>
          <w:sz w:val="21"/>
          <w:szCs w:val="21"/>
          <w:color w:val="auto"/>
        </w:rPr>
        <w:t xml:space="preserve">The term "Cause" shall mean your theft of company property, embezzlement or dishonesty that results in harm to the Company or any Successor; your continued gross or willful neglect of your job responsibilities after receiving written warnings regarding such neglect from the Company or any Successor; your conviction of a felony or pleading </w:t>
      </w:r>
      <w:r>
        <w:rPr>
          <w:rFonts w:ascii="Arial" w:cs="Arial" w:eastAsia="Arial" w:hAnsi="Arial"/>
          <w:sz w:val="21"/>
          <w:szCs w:val="21"/>
          <w:i w:val="1"/>
          <w:iCs w:val="1"/>
          <w:color w:val="auto"/>
        </w:rPr>
        <w:t xml:space="preserve">nolo contender </w:t>
      </w:r>
      <w:r>
        <w:rPr>
          <w:rFonts w:ascii="Arial" w:cs="Arial" w:eastAsia="Arial" w:hAnsi="Arial"/>
          <w:sz w:val="21"/>
          <w:szCs w:val="21"/>
          <w:color w:val="auto"/>
        </w:rPr>
        <w:t>to a felony charged under state or federal law; or your willful violation of Company policy or the</w:t>
      </w:r>
      <w:r>
        <w:rPr>
          <w:rFonts w:ascii="Arial" w:cs="Arial" w:eastAsia="Arial" w:hAnsi="Arial"/>
          <w:sz w:val="21"/>
          <w:szCs w:val="21"/>
          <w:i w:val="1"/>
          <w:iCs w:val="1"/>
          <w:color w:val="auto"/>
        </w:rPr>
        <w:t xml:space="preserve"> </w:t>
      </w:r>
      <w:r>
        <w:rPr>
          <w:rFonts w:ascii="Arial" w:cs="Arial" w:eastAsia="Arial" w:hAnsi="Arial"/>
          <w:sz w:val="21"/>
          <w:szCs w:val="21"/>
          <w:color w:val="auto"/>
        </w:rPr>
        <w:t>policies of any Successor.</w:t>
      </w:r>
    </w:p>
    <w:p>
      <w:pPr>
        <w:spacing w:after="0" w:line="200" w:lineRule="exact"/>
        <w:rPr>
          <w:sz w:val="20"/>
          <w:szCs w:val="20"/>
          <w:color w:val="auto"/>
        </w:rPr>
      </w:pPr>
    </w:p>
    <w:p>
      <w:pPr>
        <w:spacing w:after="0" w:line="230" w:lineRule="exact"/>
        <w:rPr>
          <w:sz w:val="20"/>
          <w:szCs w:val="20"/>
          <w:color w:val="auto"/>
        </w:rPr>
      </w:pPr>
    </w:p>
    <w:p>
      <w:pPr>
        <w:jc w:val="both"/>
        <w:ind w:left="626" w:firstLine="633"/>
        <w:spacing w:after="0" w:line="228" w:lineRule="auto"/>
        <w:tabs>
          <w:tab w:leader="none" w:pos="1682" w:val="left"/>
        </w:tabs>
        <w:numPr>
          <w:ilvl w:val="2"/>
          <w:numId w:val="55"/>
        </w:numPr>
        <w:rPr>
          <w:rFonts w:ascii="Arial" w:cs="Arial" w:eastAsia="Arial" w:hAnsi="Arial"/>
          <w:sz w:val="21"/>
          <w:szCs w:val="21"/>
          <w:color w:val="auto"/>
        </w:rPr>
      </w:pPr>
      <w:r>
        <w:rPr>
          <w:rFonts w:ascii="Arial" w:cs="Arial" w:eastAsia="Arial" w:hAnsi="Arial"/>
          <w:sz w:val="21"/>
          <w:szCs w:val="21"/>
          <w:color w:val="auto"/>
        </w:rPr>
        <w:t>Notwithstanding the provisions of subsections (i) and (ii) of this Section 2(e), in the event a Change of Control of the Company occurs and this Award Agreement is not continued or assumed by the Successor and the Successor does not substitute an equivalent award, the restrictions described in Section 2(d)(ii) shall immediately lapse with respect to the RSUs and the Performance Units (as if the greater of the Target Total Shareholder Return Goal or the Company’s actual performance in relation to the Shareholder Return Goal as of the date of the Change of Control had been met).</w:t>
      </w:r>
    </w:p>
    <w:p>
      <w:pPr>
        <w:spacing w:after="0" w:line="197" w:lineRule="exact"/>
        <w:rPr>
          <w:rFonts w:ascii="Arial" w:cs="Arial" w:eastAsia="Arial" w:hAnsi="Arial"/>
          <w:sz w:val="21"/>
          <w:szCs w:val="21"/>
          <w:color w:val="auto"/>
        </w:rPr>
      </w:pPr>
    </w:p>
    <w:p>
      <w:pPr>
        <w:jc w:val="both"/>
        <w:ind w:left="626" w:firstLine="633"/>
        <w:spacing w:after="0" w:line="230" w:lineRule="auto"/>
        <w:tabs>
          <w:tab w:leader="none" w:pos="1727" w:val="left"/>
        </w:tabs>
        <w:numPr>
          <w:ilvl w:val="2"/>
          <w:numId w:val="55"/>
        </w:numPr>
        <w:rPr>
          <w:rFonts w:ascii="Arial" w:cs="Arial" w:eastAsia="Arial" w:hAnsi="Arial"/>
          <w:sz w:val="21"/>
          <w:szCs w:val="21"/>
          <w:color w:val="auto"/>
        </w:rPr>
      </w:pPr>
      <w:r>
        <w:rPr>
          <w:rFonts w:ascii="Arial" w:cs="Arial" w:eastAsia="Arial" w:hAnsi="Arial"/>
          <w:sz w:val="21"/>
          <w:szCs w:val="21"/>
          <w:color w:val="auto"/>
        </w:rPr>
        <w:t>On the date of the lapse of the restrictions in accordance with this Section 2(e), or in any event, no later than sixty days after such date, the Company will make a book-entry registration or will issue you a certificate as provided in Section 2(b) of this Award Agreement for the Shares covered by such Stock-Settled RSUs and Performance Units in redemption of such RSUs and Performance Units and will pay you by check in redemption of the Shares covered by such Cash-Settled RSUs.</w:t>
      </w:r>
    </w:p>
    <w:p>
      <w:pPr>
        <w:spacing w:after="0" w:line="187" w:lineRule="exact"/>
        <w:rPr>
          <w:rFonts w:ascii="Arial" w:cs="Arial" w:eastAsia="Arial" w:hAnsi="Arial"/>
          <w:sz w:val="21"/>
          <w:szCs w:val="21"/>
          <w:color w:val="auto"/>
        </w:rPr>
      </w:pPr>
    </w:p>
    <w:p>
      <w:pPr>
        <w:ind w:left="206" w:hanging="206"/>
        <w:spacing w:after="0"/>
        <w:tabs>
          <w:tab w:leader="none" w:pos="206" w:val="left"/>
        </w:tabs>
        <w:numPr>
          <w:ilvl w:val="0"/>
          <w:numId w:val="56"/>
        </w:numPr>
        <w:rPr>
          <w:rFonts w:ascii="Arial" w:cs="Arial" w:eastAsia="Arial" w:hAnsi="Arial"/>
          <w:sz w:val="21"/>
          <w:szCs w:val="21"/>
          <w:color w:val="auto"/>
        </w:rPr>
      </w:pPr>
      <w:r>
        <w:rPr>
          <w:rFonts w:ascii="Arial" w:cs="Arial" w:eastAsia="Arial" w:hAnsi="Arial"/>
          <w:sz w:val="21"/>
          <w:szCs w:val="21"/>
          <w:b w:val="1"/>
          <w:bCs w:val="1"/>
          <w:color w:val="auto"/>
        </w:rPr>
        <w:t>Agreement with Respect to Taxes; Share Withholding</w:t>
      </w:r>
      <w:r>
        <w:rPr>
          <w:rFonts w:ascii="Arial" w:cs="Arial" w:eastAsia="Arial" w:hAnsi="Arial"/>
          <w:sz w:val="21"/>
          <w:szCs w:val="21"/>
          <w:color w:val="auto"/>
        </w:rPr>
        <w:t>.</w:t>
      </w:r>
    </w:p>
    <w:p>
      <w:pPr>
        <w:spacing w:after="0" w:line="223" w:lineRule="exact"/>
        <w:rPr>
          <w:rFonts w:ascii="Arial" w:cs="Arial" w:eastAsia="Arial" w:hAnsi="Arial"/>
          <w:sz w:val="21"/>
          <w:szCs w:val="21"/>
          <w:color w:val="auto"/>
        </w:rPr>
      </w:pPr>
    </w:p>
    <w:p>
      <w:pPr>
        <w:jc w:val="both"/>
        <w:ind w:left="6" w:firstLine="624"/>
        <w:spacing w:after="0" w:line="255" w:lineRule="auto"/>
        <w:tabs>
          <w:tab w:leader="none" w:pos="920" w:val="left"/>
        </w:tabs>
        <w:numPr>
          <w:ilvl w:val="1"/>
          <w:numId w:val="56"/>
        </w:numPr>
        <w:rPr>
          <w:rFonts w:ascii="Arial" w:cs="Arial" w:eastAsia="Arial" w:hAnsi="Arial"/>
          <w:sz w:val="19"/>
          <w:szCs w:val="19"/>
          <w:color w:val="auto"/>
        </w:rPr>
      </w:pPr>
      <w:r>
        <w:rPr>
          <w:rFonts w:ascii="Arial" w:cs="Arial" w:eastAsia="Arial" w:hAnsi="Arial"/>
          <w:sz w:val="19"/>
          <w:szCs w:val="19"/>
          <w:color w:val="auto"/>
        </w:rPr>
        <w:t>You agree that (1) you will pay to the Company or an Affiliate, as the case may be, in cash, or make arrangements satisfactory to the Company or such Affiliate regarding the payment of any taxes of any kind required by law to be withheld by the Company or any of its Affiliates with respect to the Stock-Settled RSUs, the Cash-Settled RSUs, the Performance Units and/or the Shares and (2) the Company or any of its Affiliates shall, to the extent permitted by law, have the right to deduct from any payments of any kind otherwise due to you any taxes of any kind required by law to be withheld with respect to the Stock-Settled RSUs, the Cash-Settled RSUs, the Performance Units and the Shares.</w:t>
      </w:r>
    </w:p>
    <w:p>
      <w:pPr>
        <w:spacing w:after="0" w:line="180" w:lineRule="exact"/>
        <w:rPr>
          <w:rFonts w:ascii="Arial" w:cs="Arial" w:eastAsia="Arial" w:hAnsi="Arial"/>
          <w:sz w:val="19"/>
          <w:szCs w:val="19"/>
          <w:color w:val="auto"/>
        </w:rPr>
      </w:pPr>
    </w:p>
    <w:p>
      <w:pPr>
        <w:jc w:val="both"/>
        <w:ind w:left="6" w:firstLine="624"/>
        <w:spacing w:after="0" w:line="258" w:lineRule="auto"/>
        <w:tabs>
          <w:tab w:leader="none" w:pos="945" w:val="left"/>
        </w:tabs>
        <w:numPr>
          <w:ilvl w:val="1"/>
          <w:numId w:val="56"/>
        </w:numPr>
        <w:rPr>
          <w:rFonts w:ascii="Arial" w:cs="Arial" w:eastAsia="Arial" w:hAnsi="Arial"/>
          <w:sz w:val="19"/>
          <w:szCs w:val="19"/>
          <w:color w:val="auto"/>
        </w:rPr>
      </w:pPr>
      <w:r>
        <w:rPr>
          <w:rFonts w:ascii="Arial" w:cs="Arial" w:eastAsia="Arial" w:hAnsi="Arial"/>
          <w:sz w:val="19"/>
          <w:szCs w:val="19"/>
          <w:color w:val="auto"/>
        </w:rPr>
        <w:t>With respect to withholding required upon the lapse of restrictions or upon any other taxable event arising as a result of the RSUs and Performance Units awarded or the issuance of Shares to you, you may elect, subject to the approval of the Committee, to satisfy the withholding requirement, in whole or in part, by having the Company withhold Shares having a Fair Market Value on the date the tax is to be determined equal to the minimum statutory total tax which could be withheld on the transaction (or such other amount that will not cause adverse accounting consequences for the Company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4946"/>
        <w:spacing w:after="0"/>
        <w:rPr>
          <w:sz w:val="20"/>
          <w:szCs w:val="20"/>
          <w:color w:val="auto"/>
        </w:rPr>
      </w:pPr>
      <w:r>
        <w:rPr>
          <w:rFonts w:ascii="Arial" w:cs="Arial" w:eastAsia="Arial" w:hAnsi="Arial"/>
          <w:sz w:val="21"/>
          <w:szCs w:val="21"/>
          <w:color w:val="auto"/>
        </w:rPr>
        <w:t>7</w:t>
      </w:r>
    </w:p>
    <w:p>
      <w:pPr>
        <w:sectPr>
          <w:pgSz w:w="11900" w:h="16838" w:orient="portrait"/>
          <w:cols w:equalWidth="0" w:num="1">
            <w:col w:w="10606"/>
          </w:cols>
          <w:pgMar w:left="954" w:top="1377" w:right="339" w:bottom="1440" w:gutter="0" w:footer="0" w:header="0"/>
        </w:sectPr>
      </w:pPr>
    </w:p>
    <w:bookmarkStart w:id="100" w:name="page101"/>
    <w:bookmarkEnd w:id="100"/>
    <w:p>
      <w:pPr>
        <w:jc w:val="both"/>
        <w:ind w:left="640"/>
        <w:spacing w:after="0" w:line="236" w:lineRule="auto"/>
        <w:rPr>
          <w:sz w:val="20"/>
          <w:szCs w:val="20"/>
          <w:color w:val="auto"/>
        </w:rPr>
      </w:pPr>
      <w:r>
        <w:rPr>
          <w:rFonts w:ascii="Arial" w:cs="Arial" w:eastAsia="Arial" w:hAnsi="Arial"/>
          <w:sz w:val="21"/>
          <w:szCs w:val="21"/>
          <w:color w:val="auto"/>
        </w:rPr>
        <w:t>is permitted under the Plan and applicable withholding rules promulgated by the Internal Revenue Service or other applicable governmental entity). All such elections shall be irrevocable, made in writing, signed by you, and shall be subject to any restrictions or limitations that such Committee, in its sole discretion, deems appropriate.</w:t>
      </w:r>
    </w:p>
    <w:p>
      <w:pPr>
        <w:spacing w:after="0" w:line="186" w:lineRule="exact"/>
        <w:rPr>
          <w:sz w:val="20"/>
          <w:szCs w:val="20"/>
          <w:color w:val="auto"/>
        </w:rPr>
      </w:pPr>
    </w:p>
    <w:p>
      <w:pPr>
        <w:ind w:firstLine="634"/>
        <w:spacing w:after="0" w:line="252" w:lineRule="auto"/>
        <w:tabs>
          <w:tab w:leader="none" w:pos="865" w:val="left"/>
        </w:tabs>
        <w:numPr>
          <w:ilvl w:val="0"/>
          <w:numId w:val="57"/>
        </w:numPr>
        <w:rPr>
          <w:rFonts w:ascii="Arial" w:cs="Arial" w:eastAsia="Arial" w:hAnsi="Arial"/>
          <w:sz w:val="21"/>
          <w:szCs w:val="21"/>
          <w:color w:val="auto"/>
        </w:rPr>
      </w:pPr>
      <w:r>
        <w:rPr>
          <w:rFonts w:ascii="Arial" w:cs="Arial" w:eastAsia="Arial" w:hAnsi="Arial"/>
          <w:sz w:val="21"/>
          <w:szCs w:val="21"/>
          <w:b w:val="1"/>
          <w:bCs w:val="1"/>
          <w:color w:val="auto"/>
        </w:rPr>
        <w:t xml:space="preserve">Adjustment of Shares. </w:t>
      </w:r>
      <w:r>
        <w:rPr>
          <w:rFonts w:ascii="Arial" w:cs="Arial" w:eastAsia="Arial" w:hAnsi="Arial"/>
          <w:sz w:val="21"/>
          <w:szCs w:val="21"/>
          <w:color w:val="auto"/>
        </w:rPr>
        <w:t>The number of Shares subject to the RSUs and Performance Units awarded to you under this</w:t>
      </w:r>
      <w:r>
        <w:rPr>
          <w:rFonts w:ascii="Arial" w:cs="Arial" w:eastAsia="Arial" w:hAnsi="Arial"/>
          <w:sz w:val="21"/>
          <w:szCs w:val="21"/>
          <w:b w:val="1"/>
          <w:bCs w:val="1"/>
          <w:color w:val="auto"/>
        </w:rPr>
        <w:t xml:space="preserve"> </w:t>
      </w:r>
      <w:r>
        <w:rPr>
          <w:rFonts w:ascii="Arial" w:cs="Arial" w:eastAsia="Arial" w:hAnsi="Arial"/>
          <w:sz w:val="21"/>
          <w:szCs w:val="21"/>
          <w:color w:val="auto"/>
        </w:rPr>
        <w:t>Award Agreement may be adjusted as provided in the Plan.</w:t>
      </w:r>
    </w:p>
    <w:p>
      <w:pPr>
        <w:spacing w:after="0" w:line="174" w:lineRule="exact"/>
        <w:rPr>
          <w:rFonts w:ascii="Arial" w:cs="Arial" w:eastAsia="Arial" w:hAnsi="Arial"/>
          <w:sz w:val="21"/>
          <w:szCs w:val="21"/>
          <w:color w:val="auto"/>
        </w:rPr>
      </w:pPr>
    </w:p>
    <w:p>
      <w:pPr>
        <w:jc w:val="both"/>
        <w:ind w:firstLine="634"/>
        <w:spacing w:after="0" w:line="243" w:lineRule="auto"/>
        <w:tabs>
          <w:tab w:leader="none" w:pos="879" w:val="left"/>
        </w:tabs>
        <w:numPr>
          <w:ilvl w:val="0"/>
          <w:numId w:val="57"/>
        </w:numPr>
        <w:rPr>
          <w:rFonts w:ascii="Arial" w:cs="Arial" w:eastAsia="Arial" w:hAnsi="Arial"/>
          <w:sz w:val="20"/>
          <w:szCs w:val="20"/>
          <w:color w:val="auto"/>
        </w:rPr>
      </w:pPr>
      <w:r>
        <w:rPr>
          <w:rFonts w:ascii="Arial" w:cs="Arial" w:eastAsia="Arial" w:hAnsi="Arial"/>
          <w:sz w:val="20"/>
          <w:szCs w:val="20"/>
          <w:b w:val="1"/>
          <w:bCs w:val="1"/>
          <w:color w:val="auto"/>
        </w:rPr>
        <w:t xml:space="preserve">Agreement With Respect to Securities Matters. </w:t>
      </w:r>
      <w:r>
        <w:rPr>
          <w:rFonts w:ascii="Arial" w:cs="Arial" w:eastAsia="Arial" w:hAnsi="Arial"/>
          <w:sz w:val="20"/>
          <w:szCs w:val="20"/>
          <w:color w:val="auto"/>
        </w:rPr>
        <w:t>You agree that you will not sell or otherwise transfer any Shares</w:t>
      </w:r>
      <w:r>
        <w:rPr>
          <w:rFonts w:ascii="Arial" w:cs="Arial" w:eastAsia="Arial" w:hAnsi="Arial"/>
          <w:sz w:val="20"/>
          <w:szCs w:val="20"/>
          <w:b w:val="1"/>
          <w:bCs w:val="1"/>
          <w:color w:val="auto"/>
        </w:rPr>
        <w:t xml:space="preserve"> </w:t>
      </w:r>
      <w:r>
        <w:rPr>
          <w:rFonts w:ascii="Arial" w:cs="Arial" w:eastAsia="Arial" w:hAnsi="Arial"/>
          <w:sz w:val="20"/>
          <w:szCs w:val="20"/>
          <w:color w:val="auto"/>
        </w:rPr>
        <w:t>received pursuant to this Award Agreement except pursuant to an effective registration statement under the U.S. Securities Act of 1933, as amended, or pursuant to an applicable exemption from such registration. Unless a registration statement relating to the Shares issuable upon the lapse of the restrictions on the RSUs and Performance Units pursuant to this Award Agreement is in effect at the time of issuance of such Shares, the certificate(s) for the Shares shall contain the following legend:</w:t>
      </w:r>
    </w:p>
    <w:p>
      <w:pPr>
        <w:spacing w:after="0" w:line="192" w:lineRule="exact"/>
        <w:rPr>
          <w:sz w:val="20"/>
          <w:szCs w:val="20"/>
          <w:color w:val="auto"/>
        </w:rPr>
      </w:pPr>
    </w:p>
    <w:p>
      <w:pPr>
        <w:jc w:val="both"/>
        <w:ind w:left="640"/>
        <w:spacing w:after="0" w:line="230" w:lineRule="auto"/>
        <w:rPr>
          <w:sz w:val="20"/>
          <w:szCs w:val="20"/>
          <w:color w:val="auto"/>
        </w:rPr>
      </w:pPr>
      <w:r>
        <w:rPr>
          <w:rFonts w:ascii="Arial" w:cs="Arial" w:eastAsia="Arial" w:hAnsi="Arial"/>
          <w:sz w:val="21"/>
          <w:szCs w:val="21"/>
          <w:color w:val="auto"/>
        </w:rPr>
        <w:t>The securities evidenced by this certificate have not been registered under the Securities Act of 1933 or any other securities laws. These securities have been acquired for investment and may not be sold or transferred for value in the absence of an effective registration of them under the U.S. Securities Act of 1933 and any other applicable securities laws, or receipt by the Company of an opinion of counsel or other evidence acceptable to the Company that such registration is not required under such acts.</w:t>
      </w:r>
    </w:p>
    <w:p>
      <w:pPr>
        <w:spacing w:after="0" w:line="188" w:lineRule="exact"/>
        <w:rPr>
          <w:sz w:val="20"/>
          <w:szCs w:val="20"/>
          <w:color w:val="auto"/>
        </w:rPr>
      </w:pPr>
    </w:p>
    <w:p>
      <w:pPr>
        <w:ind w:left="220" w:hanging="215"/>
        <w:spacing w:after="0"/>
        <w:tabs>
          <w:tab w:leader="none" w:pos="220" w:val="left"/>
        </w:tabs>
        <w:numPr>
          <w:ilvl w:val="0"/>
          <w:numId w:val="58"/>
        </w:numPr>
        <w:rPr>
          <w:rFonts w:ascii="Arial" w:cs="Arial" w:eastAsia="Arial" w:hAnsi="Arial"/>
          <w:sz w:val="21"/>
          <w:szCs w:val="21"/>
          <w:color w:val="auto"/>
        </w:rPr>
      </w:pPr>
      <w:r>
        <w:rPr>
          <w:rFonts w:ascii="Arial" w:cs="Arial" w:eastAsia="Arial" w:hAnsi="Arial"/>
          <w:sz w:val="21"/>
          <w:szCs w:val="21"/>
          <w:b w:val="1"/>
          <w:bCs w:val="1"/>
          <w:color w:val="auto"/>
        </w:rPr>
        <w:t>Forfeiture and Clawback.</w:t>
      </w:r>
    </w:p>
    <w:p>
      <w:pPr>
        <w:spacing w:after="0" w:line="223" w:lineRule="exact"/>
        <w:rPr>
          <w:rFonts w:ascii="Arial" w:cs="Arial" w:eastAsia="Arial" w:hAnsi="Arial"/>
          <w:sz w:val="21"/>
          <w:szCs w:val="21"/>
          <w:color w:val="auto"/>
        </w:rPr>
      </w:pPr>
    </w:p>
    <w:p>
      <w:pPr>
        <w:jc w:val="both"/>
        <w:ind w:left="640" w:firstLine="624"/>
        <w:spacing w:after="0" w:line="230" w:lineRule="auto"/>
        <w:tabs>
          <w:tab w:leader="none" w:pos="1976" w:val="left"/>
        </w:tabs>
        <w:numPr>
          <w:ilvl w:val="1"/>
          <w:numId w:val="58"/>
        </w:numPr>
        <w:rPr>
          <w:rFonts w:ascii="Arial" w:cs="Arial" w:eastAsia="Arial" w:hAnsi="Arial"/>
          <w:sz w:val="21"/>
          <w:szCs w:val="21"/>
          <w:color w:val="auto"/>
        </w:rPr>
      </w:pPr>
      <w:r>
        <w:rPr>
          <w:rFonts w:ascii="Arial" w:cs="Arial" w:eastAsia="Arial" w:hAnsi="Arial"/>
          <w:sz w:val="21"/>
          <w:szCs w:val="21"/>
          <w:color w:val="auto"/>
        </w:rPr>
        <w:t>You agree that in the event you violate the confidentiality, non-competition, non-solicitation or non-disparagement provisions of any agreement between you and the Company or any Affiliate, or any plan of the Company or any Affiliate in which you participate, including without limitation, the non-solicitation provisions of Section 7 below, you will forfeit in their entirety the RSUs and the Performance Units, and all of your rights thereto shall terminate without any payment of consideration by the Company.</w:t>
      </w:r>
    </w:p>
    <w:p>
      <w:pPr>
        <w:spacing w:after="0" w:line="193" w:lineRule="exact"/>
        <w:rPr>
          <w:rFonts w:ascii="Arial" w:cs="Arial" w:eastAsia="Arial" w:hAnsi="Arial"/>
          <w:sz w:val="21"/>
          <w:szCs w:val="21"/>
          <w:color w:val="auto"/>
        </w:rPr>
      </w:pPr>
    </w:p>
    <w:p>
      <w:pPr>
        <w:jc w:val="both"/>
        <w:ind w:left="640" w:firstLine="624"/>
        <w:spacing w:after="0" w:line="227" w:lineRule="auto"/>
        <w:tabs>
          <w:tab w:leader="none" w:pos="1742" w:val="left"/>
        </w:tabs>
        <w:numPr>
          <w:ilvl w:val="1"/>
          <w:numId w:val="58"/>
        </w:numPr>
        <w:rPr>
          <w:rFonts w:ascii="Arial" w:cs="Arial" w:eastAsia="Arial" w:hAnsi="Arial"/>
          <w:sz w:val="21"/>
          <w:szCs w:val="21"/>
          <w:color w:val="auto"/>
        </w:rPr>
      </w:pPr>
      <w:r>
        <w:rPr>
          <w:rFonts w:ascii="Arial" w:cs="Arial" w:eastAsia="Arial" w:hAnsi="Arial"/>
          <w:sz w:val="21"/>
          <w:szCs w:val="21"/>
          <w:color w:val="auto"/>
        </w:rPr>
        <w:t>Notwithstanding any other provision of the Plan or this Award Agreement to the contrary, you acknowledge that any incentive-based compensation paid to you hereunder may be subject to recovery by the Company under any clawback policy which the Company may adopt from time to time, including without limitation the Company's existing policy and any policy which the Company may be required to adopt under Section 954 of the Dodd-Frank Wall Street Reform and Consumer Protection Act and the rules and regulations of the U.S. Securities and Exchange Commission thereunder or the requirements of any national securities exchange on which the Company's common stock may be listed. You agree to promptly return any such incentive-based compensation which the Company determines it is required to recover from you under any such clawback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w:t>
      </w:r>
    </w:p>
    <w:p>
      <w:pPr>
        <w:sectPr>
          <w:pgSz w:w="11900" w:h="16838" w:orient="portrait"/>
          <w:cols w:equalWidth="0" w:num="1">
            <w:col w:w="11240"/>
          </w:cols>
          <w:pgMar w:left="320" w:top="1377" w:right="339" w:bottom="1440" w:gutter="0" w:footer="0" w:header="0"/>
        </w:sectPr>
      </w:pPr>
    </w:p>
    <w:bookmarkStart w:id="101" w:name="page102"/>
    <w:bookmarkEnd w:id="101"/>
    <w:p>
      <w:pPr>
        <w:ind w:left="840" w:hanging="206"/>
        <w:spacing w:after="0"/>
        <w:tabs>
          <w:tab w:leader="none" w:pos="840" w:val="left"/>
        </w:tabs>
        <w:numPr>
          <w:ilvl w:val="0"/>
          <w:numId w:val="59"/>
        </w:numPr>
        <w:rPr>
          <w:rFonts w:ascii="Arial" w:cs="Arial" w:eastAsia="Arial" w:hAnsi="Arial"/>
          <w:sz w:val="21"/>
          <w:szCs w:val="21"/>
          <w:color w:val="auto"/>
        </w:rPr>
      </w:pPr>
      <w:r>
        <w:rPr>
          <w:rFonts w:ascii="Arial" w:cs="Arial" w:eastAsia="Arial" w:hAnsi="Arial"/>
          <w:sz w:val="21"/>
          <w:szCs w:val="21"/>
          <w:b w:val="1"/>
          <w:bCs w:val="1"/>
          <w:color w:val="auto"/>
        </w:rPr>
        <w:t>Non-Solicitation</w:t>
      </w:r>
      <w:r>
        <w:rPr>
          <w:rFonts w:ascii="Arial" w:cs="Arial" w:eastAsia="Arial" w:hAnsi="Arial"/>
          <w:sz w:val="21"/>
          <w:szCs w:val="21"/>
          <w:color w:val="auto"/>
        </w:rPr>
        <w:t>.</w:t>
      </w:r>
    </w:p>
    <w:p>
      <w:pPr>
        <w:spacing w:after="0" w:line="217" w:lineRule="exact"/>
        <w:rPr>
          <w:rFonts w:ascii="Arial" w:cs="Arial" w:eastAsia="Arial" w:hAnsi="Arial"/>
          <w:sz w:val="21"/>
          <w:szCs w:val="21"/>
          <w:color w:val="auto"/>
        </w:rPr>
      </w:pPr>
    </w:p>
    <w:p>
      <w:pPr>
        <w:jc w:val="both"/>
        <w:ind w:left="640" w:firstLine="624"/>
        <w:spacing w:after="0"/>
        <w:tabs>
          <w:tab w:leader="none" w:pos="1555" w:val="left"/>
        </w:tabs>
        <w:numPr>
          <w:ilvl w:val="1"/>
          <w:numId w:val="59"/>
        </w:numPr>
        <w:rPr>
          <w:rFonts w:ascii="Arial" w:cs="Arial" w:eastAsia="Arial" w:hAnsi="Arial"/>
          <w:sz w:val="20"/>
          <w:szCs w:val="20"/>
          <w:color w:val="auto"/>
        </w:rPr>
      </w:pPr>
      <w:r>
        <w:rPr>
          <w:rFonts w:ascii="Arial" w:cs="Arial" w:eastAsia="Arial" w:hAnsi="Arial"/>
          <w:sz w:val="20"/>
          <w:szCs w:val="20"/>
          <w:b w:val="1"/>
          <w:bCs w:val="1"/>
          <w:color w:val="auto"/>
        </w:rPr>
        <w:t>Non-Solicitation of Employees</w:t>
      </w:r>
      <w:r>
        <w:rPr>
          <w:rFonts w:ascii="Arial" w:cs="Arial" w:eastAsia="Arial" w:hAnsi="Arial"/>
          <w:sz w:val="20"/>
          <w:szCs w:val="20"/>
          <w:color w:val="auto"/>
        </w:rPr>
        <w:t>. During the period beginning on the date of this Award Agreement and ending on</w:t>
      </w:r>
      <w:r>
        <w:rPr>
          <w:rFonts w:ascii="Arial" w:cs="Arial" w:eastAsia="Arial" w:hAnsi="Arial"/>
          <w:sz w:val="20"/>
          <w:szCs w:val="20"/>
          <w:b w:val="1"/>
          <w:bCs w:val="1"/>
          <w:color w:val="auto"/>
        </w:rPr>
        <w:t xml:space="preserve"> </w:t>
      </w:r>
      <w:r>
        <w:rPr>
          <w:rFonts w:ascii="Arial" w:cs="Arial" w:eastAsia="Arial" w:hAnsi="Arial"/>
          <w:sz w:val="20"/>
          <w:szCs w:val="20"/>
          <w:color w:val="auto"/>
        </w:rPr>
        <w:t>the second anniversary of the date of your termination of employment with the Company or an Affiliate, regardless of the reason for your termination of employment, you shall not, directly, or indirectly by assisting others: (i) cause or attempt to cause or encourage any employee of the Company or an Affiliate to terminate his or her relationship with the Company or an Affiliate or (ii) solicit the employment or engagement as a consultant or adviser, of any employee of the Company or an Affiliate or any former employee of the Company or an Affiliate who left the employ of the Company or Affiliate within two years following your termination of employment with the Company or an Affiliate.</w:t>
      </w:r>
    </w:p>
    <w:p>
      <w:pPr>
        <w:spacing w:after="0" w:line="186" w:lineRule="exact"/>
        <w:rPr>
          <w:rFonts w:ascii="Arial" w:cs="Arial" w:eastAsia="Arial" w:hAnsi="Arial"/>
          <w:sz w:val="20"/>
          <w:szCs w:val="20"/>
          <w:color w:val="auto"/>
        </w:rPr>
      </w:pPr>
    </w:p>
    <w:p>
      <w:pPr>
        <w:jc w:val="both"/>
        <w:ind w:left="640" w:firstLine="624"/>
        <w:spacing w:after="0" w:line="243" w:lineRule="auto"/>
        <w:tabs>
          <w:tab w:leader="none" w:pos="1632" w:val="left"/>
        </w:tabs>
        <w:numPr>
          <w:ilvl w:val="1"/>
          <w:numId w:val="59"/>
        </w:numPr>
        <w:rPr>
          <w:rFonts w:ascii="Arial" w:cs="Arial" w:eastAsia="Arial" w:hAnsi="Arial"/>
          <w:sz w:val="20"/>
          <w:szCs w:val="20"/>
          <w:color w:val="auto"/>
        </w:rPr>
      </w:pPr>
      <w:r>
        <w:rPr>
          <w:rFonts w:ascii="Arial" w:cs="Arial" w:eastAsia="Arial" w:hAnsi="Arial"/>
          <w:sz w:val="20"/>
          <w:szCs w:val="20"/>
          <w:b w:val="1"/>
          <w:bCs w:val="1"/>
          <w:color w:val="auto"/>
        </w:rPr>
        <w:t>Reasonableness of Restriction</w:t>
      </w:r>
      <w:r>
        <w:rPr>
          <w:rFonts w:ascii="Arial" w:cs="Arial" w:eastAsia="Arial" w:hAnsi="Arial"/>
          <w:sz w:val="20"/>
          <w:szCs w:val="20"/>
          <w:color w:val="auto"/>
        </w:rPr>
        <w:t>. You agree and acknowledge that the above non-solicitation covenant is</w:t>
      </w:r>
      <w:r>
        <w:rPr>
          <w:rFonts w:ascii="Arial" w:cs="Arial" w:eastAsia="Arial" w:hAnsi="Arial"/>
          <w:sz w:val="20"/>
          <w:szCs w:val="20"/>
          <w:b w:val="1"/>
          <w:bCs w:val="1"/>
          <w:color w:val="auto"/>
        </w:rPr>
        <w:t xml:space="preserve"> </w:t>
      </w:r>
      <w:r>
        <w:rPr>
          <w:rFonts w:ascii="Arial" w:cs="Arial" w:eastAsia="Arial" w:hAnsi="Arial"/>
          <w:sz w:val="20"/>
          <w:szCs w:val="20"/>
          <w:color w:val="auto"/>
        </w:rPr>
        <w:t>reasonable in the scope of activities restricted, the geographic area covered by the restriction and the duration of the restriction, and is necessary in that it protects the legitimate business interests of the Company and its Affiliates in its confidential information, its proprietary work, and its relationships with its employees, customers, suppliers and agents and that it does not unreasonably impair your ability to earn a livelihood or to support your dependants.</w:t>
      </w:r>
    </w:p>
    <w:p>
      <w:pPr>
        <w:spacing w:after="0" w:line="186" w:lineRule="exact"/>
        <w:rPr>
          <w:rFonts w:ascii="Arial" w:cs="Arial" w:eastAsia="Arial" w:hAnsi="Arial"/>
          <w:sz w:val="20"/>
          <w:szCs w:val="20"/>
          <w:color w:val="auto"/>
        </w:rPr>
      </w:pPr>
    </w:p>
    <w:p>
      <w:pPr>
        <w:jc w:val="both"/>
        <w:ind w:left="640" w:firstLine="624"/>
        <w:spacing w:after="0" w:line="243" w:lineRule="auto"/>
        <w:tabs>
          <w:tab w:leader="none" w:pos="1555" w:val="left"/>
        </w:tabs>
        <w:numPr>
          <w:ilvl w:val="1"/>
          <w:numId w:val="59"/>
        </w:numPr>
        <w:rPr>
          <w:rFonts w:ascii="Arial" w:cs="Arial" w:eastAsia="Arial" w:hAnsi="Arial"/>
          <w:sz w:val="20"/>
          <w:szCs w:val="20"/>
          <w:color w:val="auto"/>
        </w:rPr>
      </w:pPr>
      <w:r>
        <w:rPr>
          <w:rFonts w:ascii="Arial" w:cs="Arial" w:eastAsia="Arial" w:hAnsi="Arial"/>
          <w:sz w:val="20"/>
          <w:szCs w:val="20"/>
          <w:b w:val="1"/>
          <w:bCs w:val="1"/>
          <w:color w:val="auto"/>
        </w:rPr>
        <w:t>Irreparable Harm; Injunctive Relief</w:t>
      </w:r>
      <w:r>
        <w:rPr>
          <w:rFonts w:ascii="Arial" w:cs="Arial" w:eastAsia="Arial" w:hAnsi="Arial"/>
          <w:sz w:val="20"/>
          <w:szCs w:val="20"/>
          <w:color w:val="auto"/>
        </w:rPr>
        <w:t>. You agree and acknowledge that a violation by you of the non-solicitation</w:t>
      </w:r>
      <w:r>
        <w:rPr>
          <w:rFonts w:ascii="Arial" w:cs="Arial" w:eastAsia="Arial" w:hAnsi="Arial"/>
          <w:sz w:val="20"/>
          <w:szCs w:val="20"/>
          <w:b w:val="1"/>
          <w:bCs w:val="1"/>
          <w:color w:val="auto"/>
        </w:rPr>
        <w:t xml:space="preserve"> </w:t>
      </w:r>
      <w:r>
        <w:rPr>
          <w:rFonts w:ascii="Arial" w:cs="Arial" w:eastAsia="Arial" w:hAnsi="Arial"/>
          <w:sz w:val="20"/>
          <w:szCs w:val="20"/>
          <w:color w:val="auto"/>
        </w:rPr>
        <w:t>covenant contained herein will result in immediate and irreparable harm to the Company for which there is no adequate remedy at law. You hereby agree that the Company will be entitled, in addition to any remedies it might have under this Award Agreement or at law, to injunctive and other equitable relief to prevent or curtail any threatened or actual breach of this Award Agreement by you, without the posting of bond or other security.</w:t>
      </w:r>
    </w:p>
    <w:p>
      <w:pPr>
        <w:spacing w:after="0" w:line="186" w:lineRule="exact"/>
        <w:rPr>
          <w:rFonts w:ascii="Arial" w:cs="Arial" w:eastAsia="Arial" w:hAnsi="Arial"/>
          <w:sz w:val="20"/>
          <w:szCs w:val="20"/>
          <w:color w:val="auto"/>
        </w:rPr>
      </w:pPr>
    </w:p>
    <w:p>
      <w:pPr>
        <w:ind w:left="640" w:firstLine="624"/>
        <w:spacing w:after="0" w:line="304" w:lineRule="auto"/>
        <w:tabs>
          <w:tab w:leader="none" w:pos="1566" w:val="left"/>
        </w:tabs>
        <w:numPr>
          <w:ilvl w:val="1"/>
          <w:numId w:val="59"/>
        </w:numPr>
        <w:rPr>
          <w:rFonts w:ascii="Arial" w:cs="Arial" w:eastAsia="Arial" w:hAnsi="Arial"/>
          <w:sz w:val="19"/>
          <w:szCs w:val="19"/>
          <w:color w:val="auto"/>
        </w:rPr>
      </w:pPr>
      <w:r>
        <w:rPr>
          <w:rFonts w:ascii="Arial" w:cs="Arial" w:eastAsia="Arial" w:hAnsi="Arial"/>
          <w:sz w:val="19"/>
          <w:szCs w:val="19"/>
          <w:b w:val="1"/>
          <w:bCs w:val="1"/>
          <w:color w:val="auto"/>
        </w:rPr>
        <w:t>Extension of Covenant</w:t>
      </w:r>
      <w:r>
        <w:rPr>
          <w:rFonts w:ascii="Arial" w:cs="Arial" w:eastAsia="Arial" w:hAnsi="Arial"/>
          <w:sz w:val="19"/>
          <w:szCs w:val="19"/>
          <w:color w:val="auto"/>
        </w:rPr>
        <w:t>. During any breach of the non-solicitation provisions of this Award Agreement, the period</w:t>
      </w:r>
      <w:r>
        <w:rPr>
          <w:rFonts w:ascii="Arial" w:cs="Arial" w:eastAsia="Arial" w:hAnsi="Arial"/>
          <w:sz w:val="19"/>
          <w:szCs w:val="19"/>
          <w:b w:val="1"/>
          <w:bCs w:val="1"/>
          <w:color w:val="auto"/>
        </w:rPr>
        <w:t xml:space="preserve"> </w:t>
      </w:r>
      <w:r>
        <w:rPr>
          <w:rFonts w:ascii="Arial" w:cs="Arial" w:eastAsia="Arial" w:hAnsi="Arial"/>
          <w:sz w:val="19"/>
          <w:szCs w:val="19"/>
          <w:color w:val="auto"/>
        </w:rPr>
        <w:t>of restraint set forth herein shall be automatically tolled and suspended for the amount of time that the violation continues.</w:t>
      </w:r>
    </w:p>
    <w:p>
      <w:pPr>
        <w:spacing w:after="0" w:line="128" w:lineRule="exact"/>
        <w:rPr>
          <w:rFonts w:ascii="Arial" w:cs="Arial" w:eastAsia="Arial" w:hAnsi="Arial"/>
          <w:sz w:val="19"/>
          <w:szCs w:val="19"/>
          <w:color w:val="auto"/>
        </w:rPr>
      </w:pPr>
    </w:p>
    <w:p>
      <w:pPr>
        <w:ind w:left="640" w:firstLine="624"/>
        <w:spacing w:after="0" w:line="252" w:lineRule="auto"/>
        <w:tabs>
          <w:tab w:leader="none" w:pos="1568" w:val="left"/>
        </w:tabs>
        <w:numPr>
          <w:ilvl w:val="1"/>
          <w:numId w:val="59"/>
        </w:numPr>
        <w:rPr>
          <w:rFonts w:ascii="Arial" w:cs="Arial" w:eastAsia="Arial" w:hAnsi="Arial"/>
          <w:sz w:val="21"/>
          <w:szCs w:val="21"/>
          <w:color w:val="auto"/>
        </w:rPr>
      </w:pPr>
      <w:r>
        <w:rPr>
          <w:rFonts w:ascii="Arial" w:cs="Arial" w:eastAsia="Arial" w:hAnsi="Arial"/>
          <w:sz w:val="21"/>
          <w:szCs w:val="21"/>
          <w:b w:val="1"/>
          <w:bCs w:val="1"/>
          <w:color w:val="auto"/>
        </w:rPr>
        <w:t>Survival of Covenants</w:t>
      </w:r>
      <w:r>
        <w:rPr>
          <w:rFonts w:ascii="Arial" w:cs="Arial" w:eastAsia="Arial" w:hAnsi="Arial"/>
          <w:sz w:val="21"/>
          <w:szCs w:val="21"/>
          <w:color w:val="auto"/>
        </w:rPr>
        <w:t>. Your obligations pursuant to this Section 7 shall survive the termination of this Award</w:t>
      </w:r>
      <w:r>
        <w:rPr>
          <w:rFonts w:ascii="Arial" w:cs="Arial" w:eastAsia="Arial" w:hAnsi="Arial"/>
          <w:sz w:val="21"/>
          <w:szCs w:val="21"/>
          <w:b w:val="1"/>
          <w:bCs w:val="1"/>
          <w:color w:val="auto"/>
        </w:rPr>
        <w:t xml:space="preserve"> </w:t>
      </w:r>
      <w:r>
        <w:rPr>
          <w:rFonts w:ascii="Arial" w:cs="Arial" w:eastAsia="Arial" w:hAnsi="Arial"/>
          <w:sz w:val="21"/>
          <w:szCs w:val="21"/>
          <w:color w:val="auto"/>
        </w:rPr>
        <w:t>Agreement and the termination of your employment with the Company or an Affiliate.</w:t>
      </w:r>
    </w:p>
    <w:p>
      <w:pPr>
        <w:spacing w:after="0" w:line="174" w:lineRule="exact"/>
        <w:rPr>
          <w:rFonts w:ascii="Arial" w:cs="Arial" w:eastAsia="Arial" w:hAnsi="Arial"/>
          <w:sz w:val="21"/>
          <w:szCs w:val="21"/>
          <w:color w:val="auto"/>
        </w:rPr>
      </w:pPr>
    </w:p>
    <w:p>
      <w:pPr>
        <w:jc w:val="both"/>
        <w:ind w:left="640" w:firstLine="624"/>
        <w:spacing w:after="0" w:line="238" w:lineRule="auto"/>
        <w:tabs>
          <w:tab w:leader="none" w:pos="1558" w:val="left"/>
        </w:tabs>
        <w:numPr>
          <w:ilvl w:val="1"/>
          <w:numId w:val="59"/>
        </w:numPr>
        <w:rPr>
          <w:rFonts w:ascii="Arial" w:cs="Arial" w:eastAsia="Arial" w:hAnsi="Arial"/>
          <w:sz w:val="21"/>
          <w:szCs w:val="21"/>
          <w:color w:val="auto"/>
        </w:rPr>
      </w:pPr>
      <w:r>
        <w:rPr>
          <w:rFonts w:ascii="Arial" w:cs="Arial" w:eastAsia="Arial" w:hAnsi="Arial"/>
          <w:sz w:val="21"/>
          <w:szCs w:val="21"/>
          <w:b w:val="1"/>
          <w:bCs w:val="1"/>
          <w:color w:val="auto"/>
        </w:rPr>
        <w:t>Attorneys' Fees</w:t>
      </w:r>
      <w:r>
        <w:rPr>
          <w:rFonts w:ascii="Arial" w:cs="Arial" w:eastAsia="Arial" w:hAnsi="Arial"/>
          <w:sz w:val="21"/>
          <w:szCs w:val="21"/>
          <w:color w:val="auto"/>
        </w:rPr>
        <w:t>. You agree to pay the Company any attorneys' fees and costs which the Company incurs in</w:t>
      </w:r>
      <w:r>
        <w:rPr>
          <w:rFonts w:ascii="Arial" w:cs="Arial" w:eastAsia="Arial" w:hAnsi="Arial"/>
          <w:sz w:val="21"/>
          <w:szCs w:val="21"/>
          <w:b w:val="1"/>
          <w:bCs w:val="1"/>
          <w:color w:val="auto"/>
        </w:rPr>
        <w:t xml:space="preserve"> </w:t>
      </w:r>
      <w:r>
        <w:rPr>
          <w:rFonts w:ascii="Arial" w:cs="Arial" w:eastAsia="Arial" w:hAnsi="Arial"/>
          <w:sz w:val="21"/>
          <w:szCs w:val="21"/>
          <w:color w:val="auto"/>
        </w:rPr>
        <w:t>enforcing, to any extent, the provisions of this Section 7, whether or not litigation is actually commenced, and including any appeal.</w:t>
      </w:r>
    </w:p>
    <w:p>
      <w:pPr>
        <w:spacing w:after="0" w:line="186" w:lineRule="exact"/>
        <w:rPr>
          <w:rFonts w:ascii="Arial" w:cs="Arial" w:eastAsia="Arial" w:hAnsi="Arial"/>
          <w:sz w:val="21"/>
          <w:szCs w:val="21"/>
          <w:color w:val="auto"/>
        </w:rPr>
      </w:pPr>
    </w:p>
    <w:p>
      <w:pPr>
        <w:jc w:val="both"/>
        <w:ind w:firstLine="634"/>
        <w:spacing w:after="0" w:line="259" w:lineRule="auto"/>
        <w:tabs>
          <w:tab w:leader="none" w:pos="852" w:val="left"/>
        </w:tabs>
        <w:numPr>
          <w:ilvl w:val="0"/>
          <w:numId w:val="59"/>
        </w:numPr>
        <w:rPr>
          <w:rFonts w:ascii="Arial" w:cs="Arial" w:eastAsia="Arial" w:hAnsi="Arial"/>
          <w:sz w:val="19"/>
          <w:szCs w:val="19"/>
          <w:color w:val="auto"/>
        </w:rPr>
      </w:pPr>
      <w:r>
        <w:rPr>
          <w:rFonts w:ascii="Arial" w:cs="Arial" w:eastAsia="Arial" w:hAnsi="Arial"/>
          <w:sz w:val="19"/>
          <w:szCs w:val="19"/>
          <w:b w:val="1"/>
          <w:bCs w:val="1"/>
          <w:color w:val="auto"/>
        </w:rPr>
        <w:t>Compliance with 409A</w:t>
      </w:r>
      <w:r>
        <w:rPr>
          <w:rFonts w:ascii="Arial" w:cs="Arial" w:eastAsia="Arial" w:hAnsi="Arial"/>
          <w:sz w:val="19"/>
          <w:szCs w:val="19"/>
          <w:color w:val="auto"/>
        </w:rPr>
        <w:t>. The Company intends that this Award Agreement and the Plan either (a) comply with Section</w:t>
      </w:r>
      <w:r>
        <w:rPr>
          <w:rFonts w:ascii="Arial" w:cs="Arial" w:eastAsia="Arial" w:hAnsi="Arial"/>
          <w:sz w:val="19"/>
          <w:szCs w:val="19"/>
          <w:b w:val="1"/>
          <w:bCs w:val="1"/>
          <w:color w:val="auto"/>
        </w:rPr>
        <w:t xml:space="preserve"> </w:t>
      </w:r>
      <w:r>
        <w:rPr>
          <w:rFonts w:ascii="Arial" w:cs="Arial" w:eastAsia="Arial" w:hAnsi="Arial"/>
          <w:sz w:val="19"/>
          <w:szCs w:val="19"/>
          <w:color w:val="auto"/>
        </w:rPr>
        <w:t>409A and guidance thereunder or (b) be excepted from the provisions of Section 409A. Accordingly, the Company reserves the right and you agree that the Company shall have the right, without your consent and without prior notice to you, to amend either or both this Award Agreement and the Plan to cause this Award Agreement and the Plan to be so compliant or so excepted and to take such other actions under the Plan and this Award Agreement to achieve such compliance or exception. If the payment of any benefit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w:t>
      </w:r>
    </w:p>
    <w:p>
      <w:pPr>
        <w:sectPr>
          <w:pgSz w:w="11900" w:h="16838" w:orient="portrait"/>
          <w:cols w:equalWidth="0" w:num="1">
            <w:col w:w="11240"/>
          </w:cols>
          <w:pgMar w:left="320" w:top="1371" w:right="339" w:bottom="1440" w:gutter="0" w:footer="0" w:header="0"/>
        </w:sectPr>
      </w:pPr>
    </w:p>
    <w:bookmarkStart w:id="102" w:name="page103"/>
    <w:bookmarkEnd w:id="102"/>
    <w:p>
      <w:pPr>
        <w:jc w:val="both"/>
        <w:spacing w:after="0" w:line="227" w:lineRule="auto"/>
        <w:rPr>
          <w:sz w:val="20"/>
          <w:szCs w:val="20"/>
          <w:color w:val="auto"/>
        </w:rPr>
      </w:pPr>
      <w:r>
        <w:rPr>
          <w:rFonts w:ascii="Arial" w:cs="Arial" w:eastAsia="Arial" w:hAnsi="Arial"/>
          <w:sz w:val="21"/>
          <w:szCs w:val="21"/>
          <w:color w:val="auto"/>
        </w:rPr>
        <w:t>would be subject to additional taxes and interest under Code Section 409A because the timing of such payment is not delayed as provided in Code Section 409A for a “specified employee” (within the meaning of Code Section 409A), then if a Participant is a “specified employee,” any such payment that the Participant would otherwise be entitled to receive during the first six months following a “separation from service” (as defined in Code Section 409A) shall be accumulated and paid or provided, as applicable, within ten (10) days after the date that is six months following such separation from service, or such earlier date upon which such amount can be paid or provided under Code Section 409A without being subject to such additional taxes and interest imposed pursuant to Code Section 409A and related provisions of the Code.</w:t>
      </w:r>
    </w:p>
    <w:p>
      <w:pPr>
        <w:spacing w:after="0" w:line="192" w:lineRule="exact"/>
        <w:rPr>
          <w:sz w:val="20"/>
          <w:szCs w:val="20"/>
          <w:color w:val="auto"/>
        </w:rPr>
      </w:pPr>
    </w:p>
    <w:p>
      <w:pPr>
        <w:ind w:firstLine="634"/>
        <w:spacing w:after="0" w:line="252" w:lineRule="auto"/>
        <w:tabs>
          <w:tab w:leader="none" w:pos="865" w:val="left"/>
        </w:tabs>
        <w:numPr>
          <w:ilvl w:val="0"/>
          <w:numId w:val="60"/>
        </w:numPr>
        <w:rPr>
          <w:rFonts w:ascii="Arial" w:cs="Arial" w:eastAsia="Arial" w:hAnsi="Arial"/>
          <w:sz w:val="21"/>
          <w:szCs w:val="21"/>
          <w:color w:val="auto"/>
        </w:rPr>
      </w:pPr>
      <w:r>
        <w:rPr>
          <w:rFonts w:ascii="Arial" w:cs="Arial" w:eastAsia="Arial" w:hAnsi="Arial"/>
          <w:sz w:val="21"/>
          <w:szCs w:val="21"/>
          <w:b w:val="1"/>
          <w:bCs w:val="1"/>
          <w:color w:val="auto"/>
        </w:rPr>
        <w:t xml:space="preserve">Certain Definitions. </w:t>
      </w:r>
      <w:r>
        <w:rPr>
          <w:rFonts w:ascii="Arial" w:cs="Arial" w:eastAsia="Arial" w:hAnsi="Arial"/>
          <w:sz w:val="21"/>
          <w:szCs w:val="21"/>
          <w:color w:val="auto"/>
        </w:rPr>
        <w:t>Capitalized terms used in this Award Agreement and not otherwise defined herein shall have the</w:t>
      </w:r>
      <w:r>
        <w:rPr>
          <w:rFonts w:ascii="Arial" w:cs="Arial" w:eastAsia="Arial" w:hAnsi="Arial"/>
          <w:sz w:val="21"/>
          <w:szCs w:val="21"/>
          <w:b w:val="1"/>
          <w:bCs w:val="1"/>
          <w:color w:val="auto"/>
        </w:rPr>
        <w:t xml:space="preserve"> </w:t>
      </w:r>
      <w:r>
        <w:rPr>
          <w:rFonts w:ascii="Arial" w:cs="Arial" w:eastAsia="Arial" w:hAnsi="Arial"/>
          <w:sz w:val="21"/>
          <w:szCs w:val="21"/>
          <w:color w:val="auto"/>
        </w:rPr>
        <w:t>respective meanings provided in the Plan.</w:t>
      </w:r>
    </w:p>
    <w:p>
      <w:pPr>
        <w:spacing w:after="0" w:line="174" w:lineRule="exact"/>
        <w:rPr>
          <w:rFonts w:ascii="Arial" w:cs="Arial" w:eastAsia="Arial" w:hAnsi="Arial"/>
          <w:sz w:val="21"/>
          <w:szCs w:val="21"/>
          <w:color w:val="auto"/>
        </w:rPr>
      </w:pPr>
    </w:p>
    <w:p>
      <w:pPr>
        <w:jc w:val="both"/>
        <w:ind w:firstLine="634"/>
        <w:spacing w:after="0" w:line="238" w:lineRule="auto"/>
        <w:tabs>
          <w:tab w:leader="none" w:pos="944" w:val="left"/>
        </w:tabs>
        <w:numPr>
          <w:ilvl w:val="0"/>
          <w:numId w:val="60"/>
        </w:numPr>
        <w:rPr>
          <w:rFonts w:ascii="Arial" w:cs="Arial" w:eastAsia="Arial" w:hAnsi="Arial"/>
          <w:sz w:val="21"/>
          <w:szCs w:val="21"/>
          <w:color w:val="auto"/>
        </w:rPr>
      </w:pPr>
      <w:r>
        <w:rPr>
          <w:rFonts w:ascii="Arial" w:cs="Arial" w:eastAsia="Arial" w:hAnsi="Arial"/>
          <w:sz w:val="21"/>
          <w:szCs w:val="21"/>
          <w:b w:val="1"/>
          <w:bCs w:val="1"/>
          <w:color w:val="auto"/>
        </w:rPr>
        <w:t>Designation of Beneficiary</w:t>
      </w:r>
      <w:r>
        <w:rPr>
          <w:rFonts w:ascii="Arial" w:cs="Arial" w:eastAsia="Arial" w:hAnsi="Arial"/>
          <w:sz w:val="21"/>
          <w:szCs w:val="21"/>
          <w:color w:val="auto"/>
        </w:rPr>
        <w:t>. Your beneficiary for receipt of any payment made under this Award Agreement in the event</w:t>
      </w:r>
      <w:r>
        <w:rPr>
          <w:rFonts w:ascii="Arial" w:cs="Arial" w:eastAsia="Arial" w:hAnsi="Arial"/>
          <w:sz w:val="21"/>
          <w:szCs w:val="21"/>
          <w:b w:val="1"/>
          <w:bCs w:val="1"/>
          <w:color w:val="auto"/>
        </w:rPr>
        <w:t xml:space="preserve"> </w:t>
      </w:r>
      <w:r>
        <w:rPr>
          <w:rFonts w:ascii="Arial" w:cs="Arial" w:eastAsia="Arial" w:hAnsi="Arial"/>
          <w:sz w:val="21"/>
          <w:szCs w:val="21"/>
          <w:color w:val="auto"/>
        </w:rPr>
        <w:t>of your death shall be the person(s) designated as your beneficiary(ies) on a form prescribed by the Company. If no beneficiary is designated, upon your death, payment shall be made to your estate.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[Signature Page to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w:t>
      </w:r>
    </w:p>
    <w:p>
      <w:pPr>
        <w:sectPr>
          <w:pgSz w:w="11900" w:h="16838" w:orient="portrait"/>
          <w:cols w:equalWidth="0" w:num="1">
            <w:col w:w="11240"/>
          </w:cols>
          <w:pgMar w:left="320" w:top="1377" w:right="339" w:bottom="1440" w:gutter="0" w:footer="0" w:header="0"/>
        </w:sectPr>
      </w:pPr>
    </w:p>
    <w:bookmarkStart w:id="103" w:name="page104"/>
    <w:bookmarkEnd w:id="103"/>
    <w:p>
      <w:pPr>
        <w:ind w:firstLine="629"/>
        <w:spacing w:after="0" w:line="246" w:lineRule="auto"/>
        <w:rPr>
          <w:sz w:val="20"/>
          <w:szCs w:val="20"/>
          <w:color w:val="auto"/>
        </w:rPr>
      </w:pPr>
      <w:r>
        <w:rPr>
          <w:rFonts w:ascii="Arial" w:cs="Arial" w:eastAsia="Arial" w:hAnsi="Arial"/>
          <w:sz w:val="21"/>
          <w:szCs w:val="21"/>
          <w:color w:val="auto"/>
        </w:rPr>
        <w:t>If you accept this Award Agreement and agree to the foregoing terms and conditions, please so confirm by signing and returning the duplicate copy of this Award Agreement enclosed for that purpose.</w:t>
      </w:r>
    </w:p>
    <w:p>
      <w:pPr>
        <w:spacing w:after="0" w:line="187" w:lineRule="exact"/>
        <w:rPr>
          <w:sz w:val="20"/>
          <w:szCs w:val="20"/>
          <w:color w:val="auto"/>
        </w:rPr>
      </w:pPr>
    </w:p>
    <w:p>
      <w:pPr>
        <w:spacing w:after="0"/>
        <w:rPr>
          <w:sz w:val="20"/>
          <w:szCs w:val="20"/>
          <w:color w:val="auto"/>
        </w:rPr>
      </w:pPr>
      <w:r>
        <w:rPr>
          <w:rFonts w:ascii="Arial" w:cs="Arial" w:eastAsia="Arial" w:hAnsi="Arial"/>
          <w:sz w:val="21"/>
          <w:szCs w:val="21"/>
          <w:color w:val="auto"/>
        </w:rPr>
        <w:t>MATRIX SERVICE COMPANY</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21"/>
          <w:szCs w:val="21"/>
          <w:color w:val="auto"/>
        </w:rPr>
        <w:t>By:</w:t>
      </w:r>
    </w:p>
    <w:p>
      <w:pPr>
        <w:spacing w:after="0" w:line="221" w:lineRule="auto"/>
        <w:rPr>
          <w:sz w:val="20"/>
          <w:szCs w:val="20"/>
          <w:color w:val="auto"/>
        </w:rPr>
      </w:pPr>
      <w:r>
        <w:rPr>
          <w:rFonts w:ascii="Arial" w:cs="Arial" w:eastAsia="Arial" w:hAnsi="Arial"/>
          <w:sz w:val="21"/>
          <w:szCs w:val="21"/>
          <w:color w:val="auto"/>
        </w:rPr>
        <w:t>Name:</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The foregoing Award Agreement is accepted by me as of ______________________, and I hereby agree to the terms, conditions, and</w:t>
      </w:r>
    </w:p>
    <w:p>
      <w:pPr>
        <w:spacing w:after="0" w:line="34" w:lineRule="exact"/>
        <w:rPr>
          <w:sz w:val="20"/>
          <w:szCs w:val="20"/>
          <w:color w:val="auto"/>
        </w:rPr>
      </w:pPr>
    </w:p>
    <w:p>
      <w:pPr>
        <w:spacing w:after="0"/>
        <w:rPr>
          <w:sz w:val="20"/>
          <w:szCs w:val="20"/>
          <w:color w:val="auto"/>
        </w:rPr>
      </w:pPr>
      <w:r>
        <w:rPr>
          <w:rFonts w:ascii="Arial" w:cs="Arial" w:eastAsia="Arial" w:hAnsi="Arial"/>
          <w:sz w:val="21"/>
          <w:szCs w:val="21"/>
          <w:color w:val="auto"/>
        </w:rPr>
        <w:t>restrictions set forth above and in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21"/>
          <w:szCs w:val="21"/>
          <w:color w:val="auto"/>
        </w:rPr>
        <w:t>«Grantee»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11</w:t>
      </w:r>
    </w:p>
    <w:p>
      <w:pPr>
        <w:sectPr>
          <w:pgSz w:w="11900" w:h="16838" w:orient="portrait"/>
          <w:cols w:equalWidth="0" w:num="1">
            <w:col w:w="11240"/>
          </w:cols>
          <w:pgMar w:left="320" w:top="1377" w:right="339" w:bottom="1440" w:gutter="0" w:footer="0" w:header="0"/>
        </w:sectPr>
      </w:pPr>
    </w:p>
    <w:bookmarkStart w:id="104" w:name="page105"/>
    <w:bookmarkEnd w:id="104"/>
    <w:p>
      <w:pPr>
        <w:jc w:val="right"/>
        <w:spacing w:after="0"/>
        <w:rPr>
          <w:sz w:val="20"/>
          <w:szCs w:val="20"/>
          <w:color w:val="auto"/>
        </w:rPr>
      </w:pPr>
      <w:r>
        <w:rPr>
          <w:rFonts w:ascii="Arial" w:cs="Arial" w:eastAsia="Arial" w:hAnsi="Arial"/>
          <w:sz w:val="21"/>
          <w:szCs w:val="21"/>
          <w:b w:val="1"/>
          <w:bCs w:val="1"/>
          <w:color w:val="auto"/>
        </w:rPr>
        <w:t>Exhibit 10.17</w:t>
      </w:r>
    </w:p>
    <w:p>
      <w:pPr>
        <w:spacing w:after="0" w:line="200" w:lineRule="exact"/>
        <w:rPr>
          <w:sz w:val="20"/>
          <w:szCs w:val="20"/>
          <w:color w:val="auto"/>
        </w:rPr>
      </w:pPr>
    </w:p>
    <w:p>
      <w:pPr>
        <w:spacing w:after="0" w:line="272" w:lineRule="exact"/>
        <w:rPr>
          <w:sz w:val="20"/>
          <w:szCs w:val="20"/>
          <w:color w:val="auto"/>
        </w:rPr>
      </w:pPr>
    </w:p>
    <w:p>
      <w:pPr>
        <w:jc w:val="right"/>
        <w:spacing w:after="0"/>
        <w:rPr>
          <w:sz w:val="20"/>
          <w:szCs w:val="20"/>
          <w:color w:val="auto"/>
        </w:rPr>
      </w:pPr>
      <w:r>
        <w:rPr>
          <w:rFonts w:ascii="Arial" w:cs="Arial" w:eastAsia="Arial" w:hAnsi="Arial"/>
          <w:sz w:val="21"/>
          <w:szCs w:val="21"/>
          <w:color w:val="auto"/>
        </w:rPr>
        <w:t>Grantee:</w:t>
      </w:r>
    </w:p>
    <w:p>
      <w:pPr>
        <w:jc w:val="right"/>
        <w:spacing w:after="0" w:line="221" w:lineRule="auto"/>
        <w:rPr>
          <w:sz w:val="20"/>
          <w:szCs w:val="20"/>
          <w:color w:val="auto"/>
        </w:rPr>
      </w:pPr>
      <w:r>
        <w:rPr>
          <w:rFonts w:ascii="Arial" w:cs="Arial" w:eastAsia="Arial" w:hAnsi="Arial"/>
          <w:sz w:val="21"/>
          <w:szCs w:val="21"/>
          <w:color w:val="auto"/>
        </w:rPr>
        <w:t>Shares:</w:t>
      </w:r>
    </w:p>
    <w:p>
      <w:pPr>
        <w:jc w:val="center"/>
        <w:spacing w:after="0" w:line="222" w:lineRule="auto"/>
        <w:rPr>
          <w:sz w:val="20"/>
          <w:szCs w:val="20"/>
          <w:color w:val="auto"/>
        </w:rPr>
      </w:pPr>
      <w:r>
        <w:rPr>
          <w:rFonts w:ascii="Arial" w:cs="Arial" w:eastAsia="Arial" w:hAnsi="Arial"/>
          <w:sz w:val="21"/>
          <w:szCs w:val="21"/>
          <w:b w:val="1"/>
          <w:bCs w:val="1"/>
          <w:color w:val="auto"/>
        </w:rPr>
        <w:t>MATRIX SERVICE COMPANY</w:t>
      </w:r>
    </w:p>
    <w:p>
      <w:pPr>
        <w:jc w:val="center"/>
        <w:spacing w:after="0"/>
        <w:rPr>
          <w:sz w:val="20"/>
          <w:szCs w:val="20"/>
          <w:color w:val="auto"/>
        </w:rPr>
      </w:pPr>
      <w:r>
        <w:rPr>
          <w:rFonts w:ascii="Arial" w:cs="Arial" w:eastAsia="Arial" w:hAnsi="Arial"/>
          <w:sz w:val="21"/>
          <w:szCs w:val="21"/>
          <w:b w:val="1"/>
          <w:bCs w:val="1"/>
          <w:color w:val="auto"/>
        </w:rPr>
        <w:t>AWARD AGREEMENT</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August 23, 2021</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21"/>
          <w:szCs w:val="21"/>
          <w:color w:val="auto"/>
        </w:rPr>
        <w:t>«Grantee»</w:t>
      </w:r>
    </w:p>
    <w:p>
      <w:pPr>
        <w:spacing w:after="0" w:line="221" w:lineRule="auto"/>
        <w:rPr>
          <w:sz w:val="20"/>
          <w:szCs w:val="20"/>
          <w:color w:val="auto"/>
        </w:rPr>
      </w:pPr>
      <w:r>
        <w:rPr>
          <w:rFonts w:ascii="Arial" w:cs="Arial" w:eastAsia="Arial" w:hAnsi="Arial"/>
          <w:sz w:val="21"/>
          <w:szCs w:val="21"/>
          <w:color w:val="auto"/>
        </w:rPr>
        <w:t>«Address1»</w:t>
      </w:r>
    </w:p>
    <w:p>
      <w:pPr>
        <w:spacing w:after="0" w:line="222" w:lineRule="auto"/>
        <w:rPr>
          <w:sz w:val="20"/>
          <w:szCs w:val="20"/>
          <w:color w:val="auto"/>
        </w:rPr>
      </w:pPr>
      <w:r>
        <w:rPr>
          <w:rFonts w:ascii="Arial" w:cs="Arial" w:eastAsia="Arial" w:hAnsi="Arial"/>
          <w:sz w:val="21"/>
          <w:szCs w:val="21"/>
          <w:color w:val="auto"/>
        </w:rPr>
        <w:t>«Address2»</w:t>
      </w:r>
    </w:p>
    <w:p>
      <w:pPr>
        <w:spacing w:after="0"/>
        <w:rPr>
          <w:sz w:val="20"/>
          <w:szCs w:val="20"/>
          <w:color w:val="auto"/>
        </w:rPr>
      </w:pPr>
      <w:r>
        <w:rPr>
          <w:rFonts w:ascii="Arial" w:cs="Arial" w:eastAsia="Arial" w:hAnsi="Arial"/>
          <w:sz w:val="21"/>
          <w:szCs w:val="21"/>
          <w:color w:val="auto"/>
        </w:rPr>
        <w:t>«City», «State» «PostalCode»</w:t>
      </w:r>
    </w:p>
    <w:p>
      <w:pPr>
        <w:spacing w:after="0" w:line="199" w:lineRule="exact"/>
        <w:rPr>
          <w:sz w:val="20"/>
          <w:szCs w:val="20"/>
          <w:color w:val="auto"/>
        </w:rPr>
      </w:pPr>
    </w:p>
    <w:p>
      <w:pPr>
        <w:spacing w:after="0"/>
        <w:rPr>
          <w:sz w:val="20"/>
          <w:szCs w:val="20"/>
          <w:color w:val="auto"/>
        </w:rPr>
      </w:pPr>
      <w:r>
        <w:rPr>
          <w:rFonts w:ascii="Arial" w:cs="Arial" w:eastAsia="Arial" w:hAnsi="Arial"/>
          <w:sz w:val="21"/>
          <w:szCs w:val="21"/>
          <w:color w:val="auto"/>
        </w:rPr>
        <w:t>Dear «FirstName»:</w:t>
      </w:r>
    </w:p>
    <w:p>
      <w:pPr>
        <w:spacing w:after="0" w:line="211" w:lineRule="exact"/>
        <w:rPr>
          <w:sz w:val="20"/>
          <w:szCs w:val="20"/>
          <w:color w:val="auto"/>
        </w:rPr>
      </w:pPr>
    </w:p>
    <w:p>
      <w:pPr>
        <w:jc w:val="both"/>
        <w:ind w:firstLine="5"/>
        <w:spacing w:after="0" w:line="254" w:lineRule="auto"/>
        <w:tabs>
          <w:tab w:leader="none" w:pos="210" w:val="left"/>
        </w:tabs>
        <w:numPr>
          <w:ilvl w:val="0"/>
          <w:numId w:val="61"/>
        </w:numPr>
        <w:rPr>
          <w:rFonts w:ascii="Arial" w:cs="Arial" w:eastAsia="Arial" w:hAnsi="Arial"/>
          <w:sz w:val="19"/>
          <w:szCs w:val="19"/>
          <w:color w:val="auto"/>
        </w:rPr>
      </w:pPr>
      <w:r>
        <w:rPr>
          <w:rFonts w:ascii="Arial" w:cs="Arial" w:eastAsia="Arial" w:hAnsi="Arial"/>
          <w:sz w:val="19"/>
          <w:szCs w:val="19"/>
          <w:b w:val="1"/>
          <w:bCs w:val="1"/>
          <w:color w:val="auto"/>
        </w:rPr>
        <w:t>Award</w:t>
      </w:r>
      <w:r>
        <w:rPr>
          <w:rFonts w:ascii="Arial" w:cs="Arial" w:eastAsia="Arial" w:hAnsi="Arial"/>
          <w:sz w:val="19"/>
          <w:szCs w:val="19"/>
          <w:color w:val="auto"/>
        </w:rPr>
        <w:t>. The awards set forth in this Award Agreement (the "</w:t>
      </w:r>
      <w:r>
        <w:rPr>
          <w:rFonts w:ascii="Arial" w:cs="Arial" w:eastAsia="Arial" w:hAnsi="Arial"/>
          <w:sz w:val="19"/>
          <w:szCs w:val="19"/>
          <w:u w:val="single" w:color="auto"/>
          <w:color w:val="auto"/>
        </w:rPr>
        <w:t>Award Agreement</w:t>
      </w:r>
      <w:r>
        <w:rPr>
          <w:rFonts w:ascii="Arial" w:cs="Arial" w:eastAsia="Arial" w:hAnsi="Arial"/>
          <w:sz w:val="19"/>
          <w:szCs w:val="19"/>
          <w:color w:val="auto"/>
        </w:rPr>
        <w:t>") are subject to your acceptance of and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to all of the applicable terms, conditions, and restrictions described in the 2020 Stock and Incentive Compensation Plan (the "</w:t>
      </w:r>
      <w:r>
        <w:rPr>
          <w:rFonts w:ascii="Arial" w:cs="Arial" w:eastAsia="Arial" w:hAnsi="Arial"/>
          <w:sz w:val="19"/>
          <w:szCs w:val="19"/>
          <w:u w:val="single" w:color="auto"/>
          <w:color w:val="auto"/>
        </w:rPr>
        <w:t>Plan</w:t>
      </w:r>
      <w:r>
        <w:rPr>
          <w:rFonts w:ascii="Arial" w:cs="Arial" w:eastAsia="Arial" w:hAnsi="Arial"/>
          <w:sz w:val="19"/>
          <w:szCs w:val="19"/>
          <w:color w:val="auto"/>
        </w:rPr>
        <w:t>"), of Matrix Service Company, a Delaware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a copy of which is on file with, and may be obtained from, the Secretary of the Company, and to your acceptance of and agreement to the further terms, conditions, and restrictions described in this Award Agreement. To the extent that any provision of this Award Agreement conflicts with the expressly applicable terms of the Plan, it is hereby acknowledged and agreed that those terms of the Plan shall control and, if necessary, the applicable provisions of this Award Agreement shall be hereby deemed amended so as to carry out the purpose and intent of the Plan.</w:t>
      </w:r>
    </w:p>
    <w:p>
      <w:pPr>
        <w:spacing w:after="0" w:line="177" w:lineRule="exact"/>
        <w:rPr>
          <w:rFonts w:ascii="Arial" w:cs="Arial" w:eastAsia="Arial" w:hAnsi="Arial"/>
          <w:sz w:val="19"/>
          <w:szCs w:val="19"/>
          <w:color w:val="auto"/>
        </w:rPr>
      </w:pPr>
    </w:p>
    <w:p>
      <w:pPr>
        <w:ind w:left="840" w:hanging="206"/>
        <w:spacing w:after="0"/>
        <w:tabs>
          <w:tab w:leader="none" w:pos="840" w:val="left"/>
        </w:tabs>
        <w:numPr>
          <w:ilvl w:val="1"/>
          <w:numId w:val="61"/>
        </w:numPr>
        <w:rPr>
          <w:rFonts w:ascii="Arial" w:cs="Arial" w:eastAsia="Arial" w:hAnsi="Arial"/>
          <w:sz w:val="21"/>
          <w:szCs w:val="21"/>
          <w:color w:val="auto"/>
        </w:rPr>
      </w:pPr>
      <w:r>
        <w:rPr>
          <w:rFonts w:ascii="Arial" w:cs="Arial" w:eastAsia="Arial" w:hAnsi="Arial"/>
          <w:sz w:val="21"/>
          <w:szCs w:val="21"/>
          <w:b w:val="1"/>
          <w:bCs w:val="1"/>
          <w:color w:val="auto"/>
        </w:rPr>
        <w:t>Restricted Stock Units Award.</w:t>
      </w:r>
    </w:p>
    <w:p>
      <w:pPr>
        <w:spacing w:after="0" w:line="217" w:lineRule="exact"/>
        <w:rPr>
          <w:rFonts w:ascii="Arial" w:cs="Arial" w:eastAsia="Arial" w:hAnsi="Arial"/>
          <w:sz w:val="21"/>
          <w:szCs w:val="21"/>
          <w:color w:val="auto"/>
        </w:rPr>
      </w:pPr>
    </w:p>
    <w:p>
      <w:pPr>
        <w:jc w:val="both"/>
        <w:ind w:left="640" w:firstLine="624"/>
        <w:spacing w:after="0"/>
        <w:tabs>
          <w:tab w:leader="none" w:pos="1581" w:val="left"/>
        </w:tabs>
        <w:numPr>
          <w:ilvl w:val="2"/>
          <w:numId w:val="61"/>
        </w:numPr>
        <w:rPr>
          <w:rFonts w:ascii="Arial" w:cs="Arial" w:eastAsia="Arial" w:hAnsi="Arial"/>
          <w:sz w:val="20"/>
          <w:szCs w:val="20"/>
          <w:color w:val="auto"/>
        </w:rPr>
      </w:pPr>
      <w:r>
        <w:rPr>
          <w:rFonts w:ascii="Arial" w:cs="Arial" w:eastAsia="Arial" w:hAnsi="Arial"/>
          <w:sz w:val="20"/>
          <w:szCs w:val="20"/>
          <w:b w:val="1"/>
          <w:bCs w:val="1"/>
          <w:color w:val="auto"/>
        </w:rPr>
        <w:t xml:space="preserve">Restricted Stock Units Award. </w:t>
      </w:r>
      <w:r>
        <w:rPr>
          <w:rFonts w:ascii="Arial" w:cs="Arial" w:eastAsia="Arial" w:hAnsi="Arial"/>
          <w:sz w:val="20"/>
          <w:szCs w:val="20"/>
          <w:color w:val="auto"/>
        </w:rPr>
        <w:t>The Company hereby grants to you an aggregate of up to «Shares» restricted</w:t>
      </w:r>
      <w:r>
        <w:rPr>
          <w:rFonts w:ascii="Arial" w:cs="Arial" w:eastAsia="Arial" w:hAnsi="Arial"/>
          <w:sz w:val="20"/>
          <w:szCs w:val="20"/>
          <w:b w:val="1"/>
          <w:bCs w:val="1"/>
          <w:color w:val="auto"/>
        </w:rPr>
        <w:t xml:space="preserve"> </w:t>
      </w:r>
      <w:r>
        <w:rPr>
          <w:rFonts w:ascii="Arial" w:cs="Arial" w:eastAsia="Arial" w:hAnsi="Arial"/>
          <w:sz w:val="20"/>
          <w:szCs w:val="20"/>
          <w:color w:val="auto"/>
        </w:rPr>
        <w:t>stock units (individually, an "</w:t>
      </w:r>
      <w:r>
        <w:rPr>
          <w:rFonts w:ascii="Arial" w:cs="Arial" w:eastAsia="Arial" w:hAnsi="Arial"/>
          <w:sz w:val="20"/>
          <w:szCs w:val="20"/>
          <w:u w:val="single" w:color="auto"/>
          <w:color w:val="auto"/>
        </w:rPr>
        <w:t>RSU</w:t>
      </w:r>
      <w:r>
        <w:rPr>
          <w:rFonts w:ascii="Arial" w:cs="Arial" w:eastAsia="Arial" w:hAnsi="Arial"/>
          <w:sz w:val="20"/>
          <w:szCs w:val="20"/>
          <w:color w:val="auto"/>
        </w:rPr>
        <w:t>," and collectively, "</w:t>
      </w:r>
      <w:r>
        <w:rPr>
          <w:rFonts w:ascii="Arial" w:cs="Arial" w:eastAsia="Arial" w:hAnsi="Arial"/>
          <w:sz w:val="20"/>
          <w:szCs w:val="20"/>
          <w:u w:val="single" w:color="auto"/>
          <w:color w:val="auto"/>
        </w:rPr>
        <w:t>RSUs</w:t>
      </w:r>
      <w:r>
        <w:rPr>
          <w:rFonts w:ascii="Arial" w:cs="Arial" w:eastAsia="Arial" w:hAnsi="Arial"/>
          <w:sz w:val="20"/>
          <w:szCs w:val="20"/>
          <w:color w:val="auto"/>
        </w:rPr>
        <w:t>") as more specifically set forth in Section 2(e). This grant of RSUs is comprised of up to [Shares] "</w:t>
      </w:r>
      <w:r>
        <w:rPr>
          <w:rFonts w:ascii="Arial" w:cs="Arial" w:eastAsia="Arial" w:hAnsi="Arial"/>
          <w:sz w:val="20"/>
          <w:szCs w:val="20"/>
          <w:u w:val="single" w:color="auto"/>
          <w:color w:val="auto"/>
        </w:rPr>
        <w:t>Stock-Based RSUs</w:t>
      </w:r>
      <w:r>
        <w:rPr>
          <w:rFonts w:ascii="Arial" w:cs="Arial" w:eastAsia="Arial" w:hAnsi="Arial"/>
          <w:sz w:val="20"/>
          <w:szCs w:val="20"/>
          <w:color w:val="auto"/>
        </w:rPr>
        <w:t>" and up to [Shares] "</w:t>
      </w:r>
      <w:r>
        <w:rPr>
          <w:rFonts w:ascii="Arial" w:cs="Arial" w:eastAsia="Arial" w:hAnsi="Arial"/>
          <w:sz w:val="20"/>
          <w:szCs w:val="20"/>
          <w:u w:val="single" w:color="auto"/>
          <w:color w:val="auto"/>
        </w:rPr>
        <w:t>Cash-Based RSUs</w:t>
      </w:r>
      <w:r>
        <w:rPr>
          <w:rFonts w:ascii="Arial" w:cs="Arial" w:eastAsia="Arial" w:hAnsi="Arial"/>
          <w:sz w:val="20"/>
          <w:szCs w:val="20"/>
          <w:color w:val="auto"/>
        </w:rPr>
        <w:t>." Each Stock-Based RSU entitles you to receive one share of common stock, par value $.01 per share, of the Company (the "</w:t>
      </w:r>
      <w:r>
        <w:rPr>
          <w:rFonts w:ascii="Arial" w:cs="Arial" w:eastAsia="Arial" w:hAnsi="Arial"/>
          <w:sz w:val="20"/>
          <w:szCs w:val="20"/>
          <w:u w:val="single" w:color="auto"/>
          <w:color w:val="auto"/>
        </w:rPr>
        <w:t>Shares</w:t>
      </w:r>
      <w:r>
        <w:rPr>
          <w:rFonts w:ascii="Arial" w:cs="Arial" w:eastAsia="Arial" w:hAnsi="Arial"/>
          <w:sz w:val="20"/>
          <w:szCs w:val="20"/>
          <w:color w:val="auto"/>
        </w:rPr>
        <w:t>") at such time as the restrictions described in Section 2(d)(ii) lapse as described in Section 2(e)(i). Each Cash-Based RSU entitles you to receive an amount of cash equal to the value of one Share based on the closing price of the Shares at such time as the restrictions described in Section 2(d)(ii) lapse as described in Section 2(e)(i).</w:t>
      </w:r>
    </w:p>
    <w:p>
      <w:pPr>
        <w:spacing w:after="0" w:line="186" w:lineRule="exact"/>
        <w:rPr>
          <w:rFonts w:ascii="Arial" w:cs="Arial" w:eastAsia="Arial" w:hAnsi="Arial"/>
          <w:sz w:val="20"/>
          <w:szCs w:val="20"/>
          <w:color w:val="auto"/>
        </w:rPr>
      </w:pPr>
    </w:p>
    <w:p>
      <w:pPr>
        <w:jc w:val="both"/>
        <w:ind w:left="640" w:firstLine="624"/>
        <w:spacing w:after="0" w:line="233" w:lineRule="auto"/>
        <w:tabs>
          <w:tab w:leader="none" w:pos="1566" w:val="left"/>
        </w:tabs>
        <w:numPr>
          <w:ilvl w:val="2"/>
          <w:numId w:val="61"/>
        </w:numPr>
        <w:rPr>
          <w:rFonts w:ascii="Arial" w:cs="Arial" w:eastAsia="Arial" w:hAnsi="Arial"/>
          <w:sz w:val="21"/>
          <w:szCs w:val="21"/>
          <w:color w:val="auto"/>
        </w:rPr>
      </w:pPr>
      <w:r>
        <w:rPr>
          <w:rFonts w:ascii="Arial" w:cs="Arial" w:eastAsia="Arial" w:hAnsi="Arial"/>
          <w:sz w:val="21"/>
          <w:szCs w:val="21"/>
          <w:b w:val="1"/>
          <w:bCs w:val="1"/>
          <w:color w:val="auto"/>
        </w:rPr>
        <w:t xml:space="preserve">Form of Restricted Stock; Possession of Certificates. </w:t>
      </w:r>
      <w:r>
        <w:rPr>
          <w:rFonts w:ascii="Arial" w:cs="Arial" w:eastAsia="Arial" w:hAnsi="Arial"/>
          <w:sz w:val="21"/>
          <w:szCs w:val="21"/>
          <w:color w:val="auto"/>
        </w:rPr>
        <w:t>The Company shall issue the Shares you become entitled</w:t>
      </w:r>
      <w:r>
        <w:rPr>
          <w:rFonts w:ascii="Arial" w:cs="Arial" w:eastAsia="Arial" w:hAnsi="Arial"/>
          <w:sz w:val="21"/>
          <w:szCs w:val="21"/>
          <w:b w:val="1"/>
          <w:bCs w:val="1"/>
          <w:color w:val="auto"/>
        </w:rPr>
        <w:t xml:space="preserve"> </w:t>
      </w:r>
      <w:r>
        <w:rPr>
          <w:rFonts w:ascii="Arial" w:cs="Arial" w:eastAsia="Arial" w:hAnsi="Arial"/>
          <w:sz w:val="21"/>
          <w:szCs w:val="21"/>
          <w:color w:val="auto"/>
        </w:rPr>
        <w:t>to receive hereunder by book-entry registration or by issuance of a certificate or certificates for the Shares in your name as soon as practicable after the restrictions in Section 2(d)(ii) lapse as described in Section 2(e). In the event the Company issues a certificate or certificates for the Shares, such certificates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w:t>
      </w:r>
    </w:p>
    <w:p>
      <w:pPr>
        <w:sectPr>
          <w:pgSz w:w="11900" w:h="16838" w:orient="portrait"/>
          <w:cols w:equalWidth="0" w:num="1">
            <w:col w:w="11240"/>
          </w:cols>
          <w:pgMar w:left="320" w:top="1384" w:right="339" w:bottom="1440" w:gutter="0" w:footer="0" w:header="0"/>
        </w:sectPr>
      </w:pPr>
    </w:p>
    <w:bookmarkStart w:id="105" w:name="page106"/>
    <w:bookmarkEnd w:id="105"/>
    <w:p>
      <w:pPr>
        <w:jc w:val="both"/>
        <w:ind w:left="640"/>
        <w:spacing w:after="0" w:line="232" w:lineRule="auto"/>
        <w:rPr>
          <w:sz w:val="20"/>
          <w:szCs w:val="20"/>
          <w:color w:val="auto"/>
        </w:rPr>
      </w:pPr>
      <w:r>
        <w:rPr>
          <w:rFonts w:ascii="Arial" w:cs="Arial" w:eastAsia="Arial" w:hAnsi="Arial"/>
          <w:sz w:val="21"/>
          <w:szCs w:val="21"/>
          <w:color w:val="auto"/>
        </w:rPr>
        <w:t>shall be subject to such stop transfer orders and other restrictions as the committee of the Board of Directors that administers the Plan may deem necessary or advisable under the Plan and rules, regulations and other requirements of the Securities and Exchange Commission, any stock exchange upon which such Shares are then listed, and any applicable foreign, federal or state securities laws.</w:t>
      </w:r>
    </w:p>
    <w:p>
      <w:pPr>
        <w:spacing w:after="0" w:line="188" w:lineRule="exact"/>
        <w:rPr>
          <w:sz w:val="20"/>
          <w:szCs w:val="20"/>
          <w:color w:val="auto"/>
        </w:rPr>
      </w:pPr>
    </w:p>
    <w:p>
      <w:pPr>
        <w:jc w:val="both"/>
        <w:ind w:left="640" w:firstLine="624"/>
        <w:spacing w:after="0" w:line="233" w:lineRule="auto"/>
        <w:tabs>
          <w:tab w:leader="none" w:pos="1568" w:val="left"/>
        </w:tabs>
        <w:numPr>
          <w:ilvl w:val="1"/>
          <w:numId w:val="62"/>
        </w:numPr>
        <w:rPr>
          <w:rFonts w:ascii="Arial" w:cs="Arial" w:eastAsia="Arial" w:hAnsi="Arial"/>
          <w:sz w:val="21"/>
          <w:szCs w:val="21"/>
          <w:color w:val="auto"/>
        </w:rPr>
      </w:pPr>
      <w:r>
        <w:rPr>
          <w:rFonts w:ascii="Arial" w:cs="Arial" w:eastAsia="Arial" w:hAnsi="Arial"/>
          <w:sz w:val="21"/>
          <w:szCs w:val="21"/>
          <w:b w:val="1"/>
          <w:bCs w:val="1"/>
          <w:color w:val="auto"/>
        </w:rPr>
        <w:t xml:space="preserve">Stockholder Rights Prior to Issuance of Shares. </w:t>
      </w:r>
      <w:r>
        <w:rPr>
          <w:rFonts w:ascii="Arial" w:cs="Arial" w:eastAsia="Arial" w:hAnsi="Arial"/>
          <w:sz w:val="21"/>
          <w:szCs w:val="21"/>
          <w:color w:val="auto"/>
        </w:rPr>
        <w:t>Neither you nor any of your beneficiaries shall be deemed to</w:t>
      </w:r>
      <w:r>
        <w:rPr>
          <w:rFonts w:ascii="Arial" w:cs="Arial" w:eastAsia="Arial" w:hAnsi="Arial"/>
          <w:sz w:val="21"/>
          <w:szCs w:val="21"/>
          <w:b w:val="1"/>
          <w:bCs w:val="1"/>
          <w:color w:val="auto"/>
        </w:rPr>
        <w:t xml:space="preserve"> </w:t>
      </w:r>
      <w:r>
        <w:rPr>
          <w:rFonts w:ascii="Arial" w:cs="Arial" w:eastAsia="Arial" w:hAnsi="Arial"/>
          <w:sz w:val="21"/>
          <w:szCs w:val="21"/>
          <w:color w:val="auto"/>
        </w:rPr>
        <w:t>have any voting rights, rights to receive dividends or other rights as a stockholder of the Company with respect to any Shares covered by the RSUs until the date of book-entry registration or issuance by the Company of a certificate to you for such Shares.</w:t>
      </w:r>
    </w:p>
    <w:p>
      <w:pPr>
        <w:spacing w:after="0" w:line="189" w:lineRule="exact"/>
        <w:rPr>
          <w:rFonts w:ascii="Arial" w:cs="Arial" w:eastAsia="Arial" w:hAnsi="Arial"/>
          <w:sz w:val="21"/>
          <w:szCs w:val="21"/>
          <w:color w:val="auto"/>
        </w:rPr>
      </w:pPr>
    </w:p>
    <w:p>
      <w:pPr>
        <w:ind w:left="1560" w:hanging="296"/>
        <w:spacing w:after="0"/>
        <w:tabs>
          <w:tab w:leader="none" w:pos="1560" w:val="left"/>
        </w:tabs>
        <w:numPr>
          <w:ilvl w:val="1"/>
          <w:numId w:val="62"/>
        </w:numPr>
        <w:rPr>
          <w:rFonts w:ascii="Arial" w:cs="Arial" w:eastAsia="Arial" w:hAnsi="Arial"/>
          <w:sz w:val="21"/>
          <w:szCs w:val="21"/>
          <w:color w:val="auto"/>
        </w:rPr>
      </w:pPr>
      <w:r>
        <w:rPr>
          <w:rFonts w:ascii="Arial" w:cs="Arial" w:eastAsia="Arial" w:hAnsi="Arial"/>
          <w:sz w:val="21"/>
          <w:szCs w:val="21"/>
          <w:b w:val="1"/>
          <w:bCs w:val="1"/>
          <w:color w:val="auto"/>
        </w:rPr>
        <w:t>Restrictions.</w:t>
      </w:r>
    </w:p>
    <w:p>
      <w:pPr>
        <w:spacing w:after="0" w:line="236" w:lineRule="exact"/>
        <w:rPr>
          <w:rFonts w:ascii="Arial" w:cs="Arial" w:eastAsia="Arial" w:hAnsi="Arial"/>
          <w:sz w:val="21"/>
          <w:szCs w:val="21"/>
          <w:color w:val="auto"/>
        </w:rPr>
      </w:pPr>
    </w:p>
    <w:p>
      <w:pPr>
        <w:ind w:left="1260" w:firstLine="633"/>
        <w:spacing w:after="0" w:line="246" w:lineRule="auto"/>
        <w:tabs>
          <w:tab w:leader="none" w:pos="2153" w:val="left"/>
        </w:tabs>
        <w:numPr>
          <w:ilvl w:val="2"/>
          <w:numId w:val="62"/>
        </w:numPr>
        <w:rPr>
          <w:rFonts w:ascii="Arial" w:cs="Arial" w:eastAsia="Arial" w:hAnsi="Arial"/>
          <w:sz w:val="21"/>
          <w:szCs w:val="21"/>
          <w:color w:val="auto"/>
        </w:rPr>
      </w:pPr>
      <w:r>
        <w:rPr>
          <w:rFonts w:ascii="Arial" w:cs="Arial" w:eastAsia="Arial" w:hAnsi="Arial"/>
          <w:sz w:val="21"/>
          <w:szCs w:val="21"/>
          <w:color w:val="auto"/>
        </w:rPr>
        <w:t>Your ownership of the RSUs shall be subject to the restrictions set forth in subsection (ii) of this Section 2(d) until such restrictions lapse pursuant to the terms of Section 2(e).</w:t>
      </w:r>
    </w:p>
    <w:p>
      <w:pPr>
        <w:spacing w:after="0" w:line="186" w:lineRule="exact"/>
        <w:rPr>
          <w:rFonts w:ascii="Arial" w:cs="Arial" w:eastAsia="Arial" w:hAnsi="Arial"/>
          <w:sz w:val="21"/>
          <w:szCs w:val="21"/>
          <w:color w:val="auto"/>
        </w:rPr>
      </w:pPr>
    </w:p>
    <w:p>
      <w:pPr>
        <w:ind w:left="2200" w:hanging="307"/>
        <w:spacing w:after="0"/>
        <w:tabs>
          <w:tab w:leader="none" w:pos="2200" w:val="left"/>
        </w:tabs>
        <w:numPr>
          <w:ilvl w:val="2"/>
          <w:numId w:val="62"/>
        </w:numPr>
        <w:rPr>
          <w:rFonts w:ascii="Arial" w:cs="Arial" w:eastAsia="Arial" w:hAnsi="Arial"/>
          <w:sz w:val="21"/>
          <w:szCs w:val="21"/>
          <w:color w:val="auto"/>
        </w:rPr>
      </w:pPr>
      <w:r>
        <w:rPr>
          <w:rFonts w:ascii="Arial" w:cs="Arial" w:eastAsia="Arial" w:hAnsi="Arial"/>
          <w:sz w:val="21"/>
          <w:szCs w:val="21"/>
          <w:color w:val="auto"/>
        </w:rPr>
        <w:t>The restrictions referred to in subsection (i) of this Section 2(d) are as follows:</w:t>
      </w:r>
    </w:p>
    <w:p>
      <w:pPr>
        <w:spacing w:after="0" w:line="217" w:lineRule="exact"/>
        <w:rPr>
          <w:rFonts w:ascii="Arial" w:cs="Arial" w:eastAsia="Arial" w:hAnsi="Arial"/>
          <w:sz w:val="21"/>
          <w:szCs w:val="21"/>
          <w:color w:val="auto"/>
        </w:rPr>
      </w:pPr>
    </w:p>
    <w:p>
      <w:pPr>
        <w:jc w:val="both"/>
        <w:ind w:left="1900" w:firstLine="623"/>
        <w:spacing w:after="0" w:line="232" w:lineRule="auto"/>
        <w:tabs>
          <w:tab w:leader="none" w:pos="2899" w:val="left"/>
        </w:tabs>
        <w:numPr>
          <w:ilvl w:val="3"/>
          <w:numId w:val="62"/>
        </w:numPr>
        <w:rPr>
          <w:rFonts w:ascii="Arial" w:cs="Arial" w:eastAsia="Arial" w:hAnsi="Arial"/>
          <w:sz w:val="21"/>
          <w:szCs w:val="21"/>
          <w:color w:val="auto"/>
        </w:rPr>
      </w:pPr>
      <w:r>
        <w:rPr>
          <w:rFonts w:ascii="Arial" w:cs="Arial" w:eastAsia="Arial" w:hAnsi="Arial"/>
          <w:sz w:val="21"/>
          <w:szCs w:val="21"/>
          <w:color w:val="auto"/>
        </w:rPr>
        <w:t>At the time of your termination of employment with the Company or an Affiliate, other than a termination of employment that occurs as a result of an event described in any of Subsections (ii) through (v) of Section 2(e), you shall forfeit the RSUs to the Company and all of your rights thereto shall terminate without any payment of consideration by the Company.</w:t>
      </w:r>
    </w:p>
    <w:p>
      <w:pPr>
        <w:spacing w:after="0" w:line="194" w:lineRule="exact"/>
        <w:rPr>
          <w:rFonts w:ascii="Arial" w:cs="Arial" w:eastAsia="Arial" w:hAnsi="Arial"/>
          <w:sz w:val="21"/>
          <w:szCs w:val="21"/>
          <w:color w:val="auto"/>
        </w:rPr>
      </w:pPr>
    </w:p>
    <w:p>
      <w:pPr>
        <w:jc w:val="both"/>
        <w:ind w:left="1900" w:firstLine="623"/>
        <w:spacing w:after="0" w:line="242" w:lineRule="auto"/>
        <w:tabs>
          <w:tab w:leader="none" w:pos="2862" w:val="left"/>
        </w:tabs>
        <w:numPr>
          <w:ilvl w:val="3"/>
          <w:numId w:val="62"/>
        </w:numPr>
        <w:rPr>
          <w:rFonts w:ascii="Arial" w:cs="Arial" w:eastAsia="Arial" w:hAnsi="Arial"/>
          <w:sz w:val="20"/>
          <w:szCs w:val="20"/>
          <w:color w:val="auto"/>
        </w:rPr>
      </w:pPr>
      <w:r>
        <w:rPr>
          <w:rFonts w:ascii="Arial" w:cs="Arial" w:eastAsia="Arial" w:hAnsi="Arial"/>
          <w:sz w:val="20"/>
          <w:szCs w:val="20"/>
          <w:color w:val="auto"/>
        </w:rPr>
        <w:t>You may not sell, assign, transfer or otherwise dispose of any RSUs, or any rights under the RSUs. No RSU and no rights under any such RSU may be pledged, alienated, attached or otherwise encumbered, other than by will or the laws of descent and distribution. If you or anyone claiming under or through you attempts to violate this Section 2(d)(ii)(B), such attempted violation shall be null and void and without effect, and all of the Company's obligations hereunder shall terminate.</w:t>
      </w:r>
    </w:p>
    <w:p>
      <w:pPr>
        <w:spacing w:after="0" w:line="185" w:lineRule="exact"/>
        <w:rPr>
          <w:rFonts w:ascii="Arial" w:cs="Arial" w:eastAsia="Arial" w:hAnsi="Arial"/>
          <w:sz w:val="20"/>
          <w:szCs w:val="20"/>
          <w:color w:val="auto"/>
        </w:rPr>
      </w:pPr>
    </w:p>
    <w:p>
      <w:pPr>
        <w:ind w:left="300" w:hanging="295"/>
        <w:spacing w:after="0"/>
        <w:tabs>
          <w:tab w:leader="none" w:pos="300" w:val="left"/>
        </w:tabs>
        <w:numPr>
          <w:ilvl w:val="0"/>
          <w:numId w:val="63"/>
        </w:numPr>
        <w:rPr>
          <w:rFonts w:ascii="Arial" w:cs="Arial" w:eastAsia="Arial" w:hAnsi="Arial"/>
          <w:sz w:val="21"/>
          <w:szCs w:val="21"/>
          <w:color w:val="auto"/>
        </w:rPr>
      </w:pPr>
      <w:r>
        <w:rPr>
          <w:rFonts w:ascii="Arial" w:cs="Arial" w:eastAsia="Arial" w:hAnsi="Arial"/>
          <w:sz w:val="21"/>
          <w:szCs w:val="21"/>
          <w:b w:val="1"/>
          <w:bCs w:val="1"/>
          <w:color w:val="auto"/>
        </w:rPr>
        <w:t>Lapse of Restrictions.</w:t>
      </w:r>
    </w:p>
    <w:p>
      <w:pPr>
        <w:spacing w:after="0" w:line="223" w:lineRule="exact"/>
        <w:rPr>
          <w:rFonts w:ascii="Arial" w:cs="Arial" w:eastAsia="Arial" w:hAnsi="Arial"/>
          <w:sz w:val="21"/>
          <w:szCs w:val="21"/>
          <w:color w:val="auto"/>
        </w:rPr>
      </w:pPr>
    </w:p>
    <w:p>
      <w:pPr>
        <w:jc w:val="both"/>
        <w:ind w:left="1260" w:firstLine="633"/>
        <w:spacing w:after="0" w:line="232" w:lineRule="auto"/>
        <w:tabs>
          <w:tab w:leader="none" w:pos="2140" w:val="left"/>
        </w:tabs>
        <w:numPr>
          <w:ilvl w:val="2"/>
          <w:numId w:val="63"/>
        </w:numPr>
        <w:rPr>
          <w:rFonts w:ascii="Arial" w:cs="Arial" w:eastAsia="Arial" w:hAnsi="Arial"/>
          <w:sz w:val="21"/>
          <w:szCs w:val="21"/>
          <w:color w:val="auto"/>
        </w:rPr>
      </w:pPr>
      <w:r>
        <w:rPr>
          <w:rFonts w:ascii="Arial" w:cs="Arial" w:eastAsia="Arial" w:hAnsi="Arial"/>
          <w:sz w:val="21"/>
          <w:szCs w:val="21"/>
          <w:color w:val="auto"/>
        </w:rPr>
        <w:t>The restrictions described in Section 2(d)(ii) shall lapse with respect to the RSUs in four equal installments of 25 percent each on each of the first, second, third and fourth anniversaries of the date of this Award Agreement, such that the restrictions set forth in Section 2(d)(ii) shall have lapsed with respect to 100 percent of the RSUs on the fourth anniversary of the date of this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11240"/>
          </w:cols>
          <w:pgMar w:left="320" w:top="1377" w:right="339" w:bottom="1440" w:gutter="0" w:footer="0" w:header="0"/>
        </w:sectPr>
      </w:pPr>
    </w:p>
    <w:bookmarkStart w:id="106" w:name="page107"/>
    <w:bookmarkEnd w:id="106"/>
    <w:p>
      <w:pPr>
        <w:ind w:left="140" w:firstLine="633"/>
        <w:spacing w:after="0" w:line="246" w:lineRule="auto"/>
        <w:tabs>
          <w:tab w:leader="none" w:pos="1091" w:val="left"/>
        </w:tabs>
        <w:numPr>
          <w:ilvl w:val="0"/>
          <w:numId w:val="64"/>
        </w:numPr>
        <w:rPr>
          <w:rFonts w:ascii="Arial" w:cs="Arial" w:eastAsia="Arial" w:hAnsi="Arial"/>
          <w:sz w:val="21"/>
          <w:szCs w:val="21"/>
          <w:color w:val="auto"/>
        </w:rPr>
      </w:pPr>
      <w:r>
        <w:rPr>
          <w:rFonts w:ascii="Arial" w:cs="Arial" w:eastAsia="Arial" w:hAnsi="Arial"/>
          <w:sz w:val="21"/>
          <w:szCs w:val="21"/>
          <w:color w:val="auto"/>
        </w:rPr>
        <w:t>Notwithstanding the provisions of subsection (i) of this Section 2(e), the restrictions described in Section 2(d)(ii) shall lapse with respect to the RSUs upon the occurrence of your death or "</w:t>
      </w:r>
      <w:r>
        <w:rPr>
          <w:rFonts w:ascii="Arial" w:cs="Arial" w:eastAsia="Arial" w:hAnsi="Arial"/>
          <w:sz w:val="21"/>
          <w:szCs w:val="21"/>
          <w:u w:val="single" w:color="auto"/>
          <w:color w:val="auto"/>
        </w:rPr>
        <w:t>Disability</w:t>
      </w:r>
      <w:r>
        <w:rPr>
          <w:rFonts w:ascii="Arial" w:cs="Arial" w:eastAsia="Arial" w:hAnsi="Arial"/>
          <w:sz w:val="21"/>
          <w:szCs w:val="21"/>
          <w:color w:val="auto"/>
        </w:rPr>
        <w:t>."</w:t>
      </w:r>
    </w:p>
    <w:p>
      <w:pPr>
        <w:spacing w:after="0" w:line="187" w:lineRule="exact"/>
        <w:rPr>
          <w:sz w:val="20"/>
          <w:szCs w:val="20"/>
          <w:color w:val="auto"/>
        </w:rPr>
      </w:pPr>
    </w:p>
    <w:p>
      <w:pPr>
        <w:jc w:val="both"/>
        <w:ind w:left="140" w:firstLine="629"/>
        <w:spacing w:after="0" w:line="236" w:lineRule="auto"/>
        <w:rPr>
          <w:sz w:val="20"/>
          <w:szCs w:val="20"/>
          <w:color w:val="auto"/>
        </w:rPr>
      </w:pPr>
      <w:r>
        <w:rPr>
          <w:rFonts w:ascii="Arial" w:cs="Arial" w:eastAsia="Arial" w:hAnsi="Arial"/>
          <w:sz w:val="21"/>
          <w:szCs w:val="21"/>
          <w:color w:val="auto"/>
        </w:rPr>
        <w:t>The term "</w:t>
      </w:r>
      <w:r>
        <w:rPr>
          <w:rFonts w:ascii="Arial" w:cs="Arial" w:eastAsia="Arial" w:hAnsi="Arial"/>
          <w:sz w:val="21"/>
          <w:szCs w:val="21"/>
          <w:u w:val="single" w:color="auto"/>
          <w:color w:val="auto"/>
        </w:rPr>
        <w:t>Disability</w:t>
      </w:r>
      <w:r>
        <w:rPr>
          <w:rFonts w:ascii="Arial" w:cs="Arial" w:eastAsia="Arial" w:hAnsi="Arial"/>
          <w:sz w:val="21"/>
          <w:szCs w:val="21"/>
          <w:color w:val="auto"/>
        </w:rPr>
        <w:t>" shall mean your inability to engage in any substantial gainful activity by reason of any medically determinable physical or mental impairment which can be expected to result in death, or which has lasted or can be expected to last for a continuous period of not less than 12 months.</w:t>
      </w:r>
    </w:p>
    <w:p>
      <w:pPr>
        <w:spacing w:after="0" w:line="192" w:lineRule="exact"/>
        <w:rPr>
          <w:sz w:val="20"/>
          <w:szCs w:val="20"/>
          <w:color w:val="auto"/>
        </w:rPr>
      </w:pPr>
    </w:p>
    <w:p>
      <w:pPr>
        <w:jc w:val="both"/>
        <w:ind w:left="140" w:firstLine="633"/>
        <w:spacing w:after="0" w:line="227" w:lineRule="auto"/>
        <w:tabs>
          <w:tab w:leader="none" w:pos="1189" w:val="left"/>
        </w:tabs>
        <w:numPr>
          <w:ilvl w:val="0"/>
          <w:numId w:val="65"/>
        </w:numPr>
        <w:rPr>
          <w:rFonts w:ascii="Arial" w:cs="Arial" w:eastAsia="Arial" w:hAnsi="Arial"/>
          <w:sz w:val="21"/>
          <w:szCs w:val="21"/>
          <w:color w:val="auto"/>
        </w:rPr>
      </w:pPr>
      <w:r>
        <w:rPr>
          <w:rFonts w:ascii="Arial" w:cs="Arial" w:eastAsia="Arial" w:hAnsi="Arial"/>
          <w:sz w:val="21"/>
          <w:szCs w:val="21"/>
          <w:color w:val="auto"/>
        </w:rPr>
        <w:t>Notwithstanding the provisions of subsection (i) of this Section 2(e), upon the occurrence of your "</w:t>
      </w:r>
      <w:r>
        <w:rPr>
          <w:rFonts w:ascii="Arial" w:cs="Arial" w:eastAsia="Arial" w:hAnsi="Arial"/>
          <w:sz w:val="21"/>
          <w:szCs w:val="21"/>
          <w:u w:val="single" w:color="auto"/>
          <w:color w:val="auto"/>
        </w:rPr>
        <w:t>Retirement</w:t>
      </w:r>
      <w:r>
        <w:rPr>
          <w:rFonts w:ascii="Arial" w:cs="Arial" w:eastAsia="Arial" w:hAnsi="Arial"/>
          <w:sz w:val="21"/>
          <w:szCs w:val="21"/>
          <w:color w:val="auto"/>
        </w:rPr>
        <w:t>," the restrictions described in Section 2(d)(ii) automatically and with no exercise of discretion of the Committee shall lapse with respect to all of your remaining RSUs and be settled upon the earliest to occur of (A) the normal lapsing schedule set forth in Section 2(e)(i) hereof and (B) your death. Notwithstanding any other provision of this subsection (iii), in the event that you Retire within one year of the date of this Award Agreement, the restrictions will not lapse on any portion of the RSUs represented by this Award Agreement and all such remaining RSUs shall immediately be forfeited.</w:t>
      </w:r>
    </w:p>
    <w:p>
      <w:pPr>
        <w:spacing w:after="0" w:line="198" w:lineRule="exact"/>
        <w:rPr>
          <w:sz w:val="20"/>
          <w:szCs w:val="20"/>
          <w:color w:val="auto"/>
        </w:rPr>
      </w:pPr>
    </w:p>
    <w:p>
      <w:pPr>
        <w:jc w:val="both"/>
        <w:ind w:left="140" w:firstLine="629"/>
        <w:spacing w:after="0" w:line="251" w:lineRule="auto"/>
        <w:rPr>
          <w:sz w:val="20"/>
          <w:szCs w:val="20"/>
          <w:color w:val="auto"/>
        </w:rPr>
      </w:pPr>
      <w:r>
        <w:rPr>
          <w:rFonts w:ascii="Arial" w:cs="Arial" w:eastAsia="Arial" w:hAnsi="Arial"/>
          <w:sz w:val="20"/>
          <w:szCs w:val="20"/>
          <w:color w:val="auto"/>
        </w:rPr>
        <w:t>The term "</w:t>
      </w:r>
      <w:r>
        <w:rPr>
          <w:rFonts w:ascii="Arial" w:cs="Arial" w:eastAsia="Arial" w:hAnsi="Arial"/>
          <w:sz w:val="20"/>
          <w:szCs w:val="20"/>
          <w:u w:val="single" w:color="auto"/>
          <w:color w:val="auto"/>
        </w:rPr>
        <w:t>Retirement</w:t>
      </w:r>
      <w:r>
        <w:rPr>
          <w:rFonts w:ascii="Arial" w:cs="Arial" w:eastAsia="Arial" w:hAnsi="Arial"/>
          <w:sz w:val="20"/>
          <w:szCs w:val="20"/>
          <w:color w:val="auto"/>
        </w:rPr>
        <w:t>" or "</w:t>
      </w:r>
      <w:r>
        <w:rPr>
          <w:rFonts w:ascii="Arial" w:cs="Arial" w:eastAsia="Arial" w:hAnsi="Arial"/>
          <w:sz w:val="20"/>
          <w:szCs w:val="20"/>
          <w:u w:val="single" w:color="auto"/>
          <w:color w:val="auto"/>
        </w:rPr>
        <w:t>Retire</w:t>
      </w:r>
      <w:r>
        <w:rPr>
          <w:rFonts w:ascii="Arial" w:cs="Arial" w:eastAsia="Arial" w:hAnsi="Arial"/>
          <w:sz w:val="20"/>
          <w:szCs w:val="20"/>
          <w:color w:val="auto"/>
        </w:rPr>
        <w:t>" shall mean your voluntary "</w:t>
      </w:r>
      <w:r>
        <w:rPr>
          <w:rFonts w:ascii="Arial" w:cs="Arial" w:eastAsia="Arial" w:hAnsi="Arial"/>
          <w:sz w:val="20"/>
          <w:szCs w:val="20"/>
          <w:u w:val="single" w:color="auto"/>
          <w:color w:val="auto"/>
        </w:rPr>
        <w:t>Separation from Service</w:t>
      </w:r>
      <w:r>
        <w:rPr>
          <w:rFonts w:ascii="Arial" w:cs="Arial" w:eastAsia="Arial" w:hAnsi="Arial"/>
          <w:sz w:val="20"/>
          <w:szCs w:val="20"/>
          <w:color w:val="auto"/>
        </w:rPr>
        <w:t>" (as defined in Code Section 409A), on or after the date (A) on which you attain age 65 or (B) on which you attain age 60 and have completed at least ten years of continuous service as an employee of the Company or an Affiliate.</w:t>
      </w:r>
    </w:p>
    <w:p>
      <w:pPr>
        <w:spacing w:after="0" w:line="183" w:lineRule="exact"/>
        <w:rPr>
          <w:sz w:val="20"/>
          <w:szCs w:val="20"/>
          <w:color w:val="auto"/>
        </w:rPr>
      </w:pPr>
    </w:p>
    <w:p>
      <w:pPr>
        <w:jc w:val="both"/>
        <w:ind w:left="140" w:firstLine="633"/>
        <w:spacing w:after="0" w:line="237" w:lineRule="auto"/>
        <w:tabs>
          <w:tab w:leader="none" w:pos="1125" w:val="left"/>
        </w:tabs>
        <w:numPr>
          <w:ilvl w:val="0"/>
          <w:numId w:val="66"/>
        </w:numPr>
        <w:rPr>
          <w:rFonts w:ascii="Arial" w:cs="Arial" w:eastAsia="Arial" w:hAnsi="Arial"/>
          <w:sz w:val="20"/>
          <w:szCs w:val="20"/>
          <w:color w:val="auto"/>
        </w:rPr>
      </w:pPr>
      <w:r>
        <w:rPr>
          <w:rFonts w:ascii="Arial" w:cs="Arial" w:eastAsia="Arial" w:hAnsi="Arial"/>
          <w:sz w:val="20"/>
          <w:szCs w:val="20"/>
          <w:color w:val="auto"/>
        </w:rPr>
        <w:t>Notwithstanding the provisions of subsection (i) of this Section 2(e), in the event of a Change of Control of the Company, this Award Agreement may be continued or assumed by the continuing or successor (as the case may be) organization (the "</w:t>
      </w:r>
      <w:r>
        <w:rPr>
          <w:rFonts w:ascii="Arial" w:cs="Arial" w:eastAsia="Arial" w:hAnsi="Arial"/>
          <w:sz w:val="20"/>
          <w:szCs w:val="20"/>
          <w:u w:val="single" w:color="auto"/>
          <w:color w:val="auto"/>
        </w:rPr>
        <w:t>Successor</w:t>
      </w:r>
      <w:r>
        <w:rPr>
          <w:rFonts w:ascii="Arial" w:cs="Arial" w:eastAsia="Arial" w:hAnsi="Arial"/>
          <w:sz w:val="20"/>
          <w:szCs w:val="20"/>
          <w:color w:val="auto"/>
        </w:rPr>
        <w:t>"), or the Successor may substitute an equivalent award. With respect to any RSUs that are continued, assumed or substituted for in accordance with this subsection (iv), the restrictions described in Section 2(d)(ii) shall continue to lapse with respect to such RSUs (as the same may be adjusted in accordance with this subsection (iv)) as set forth in Section 2(e)(i) hereof; provided, however, in the event you incur a voluntary Separation from Service after suffering an "</w:t>
      </w:r>
      <w:r>
        <w:rPr>
          <w:rFonts w:ascii="Arial" w:cs="Arial" w:eastAsia="Arial" w:hAnsi="Arial"/>
          <w:sz w:val="20"/>
          <w:szCs w:val="20"/>
          <w:u w:val="single" w:color="auto"/>
          <w:color w:val="auto"/>
        </w:rPr>
        <w:t>Adverse Event</w:t>
      </w:r>
      <w:r>
        <w:rPr>
          <w:rFonts w:ascii="Arial" w:cs="Arial" w:eastAsia="Arial" w:hAnsi="Arial"/>
          <w:sz w:val="20"/>
          <w:szCs w:val="20"/>
          <w:color w:val="auto"/>
        </w:rPr>
        <w:t>" or incur an involuntary Separation from Service not for "</w:t>
      </w:r>
      <w:r>
        <w:rPr>
          <w:rFonts w:ascii="Arial" w:cs="Arial" w:eastAsia="Arial" w:hAnsi="Arial"/>
          <w:sz w:val="20"/>
          <w:szCs w:val="20"/>
          <w:u w:val="single" w:color="auto"/>
          <w:color w:val="auto"/>
        </w:rPr>
        <w:t>Cause</w:t>
      </w:r>
      <w:r>
        <w:rPr>
          <w:rFonts w:ascii="Arial" w:cs="Arial" w:eastAsia="Arial" w:hAnsi="Arial"/>
          <w:sz w:val="20"/>
          <w:szCs w:val="20"/>
          <w:color w:val="auto"/>
        </w:rPr>
        <w:t>," in connection with a Change of Control or at any time ending with the earlier to occur of the second anniversary of the Change of Control or the Measurement Date, the restrictions described in Section 2(d)(ii) shall immediately lapse with respect to the RSUs.</w:t>
      </w:r>
    </w:p>
    <w:p>
      <w:pPr>
        <w:spacing w:after="0" w:line="194" w:lineRule="exact"/>
        <w:rPr>
          <w:sz w:val="20"/>
          <w:szCs w:val="20"/>
          <w:color w:val="auto"/>
        </w:rPr>
      </w:pPr>
    </w:p>
    <w:p>
      <w:pPr>
        <w:ind w:left="780"/>
        <w:spacing w:after="0"/>
        <w:rPr>
          <w:sz w:val="20"/>
          <w:szCs w:val="20"/>
          <w:color w:val="auto"/>
        </w:rPr>
      </w:pPr>
      <w:r>
        <w:rPr>
          <w:rFonts w:ascii="Arial" w:cs="Arial" w:eastAsia="Arial" w:hAnsi="Arial"/>
          <w:sz w:val="21"/>
          <w:szCs w:val="21"/>
          <w:color w:val="auto"/>
        </w:rPr>
        <w:t>The term "Adverse Event" shall as to any Participant mean:</w:t>
      </w:r>
    </w:p>
    <w:p>
      <w:pPr>
        <w:spacing w:after="0" w:line="217" w:lineRule="exact"/>
        <w:rPr>
          <w:sz w:val="20"/>
          <w:szCs w:val="20"/>
          <w:color w:val="auto"/>
        </w:rPr>
      </w:pPr>
    </w:p>
    <w:p>
      <w:pPr>
        <w:ind w:left="1120" w:hanging="347"/>
        <w:spacing w:after="0"/>
        <w:tabs>
          <w:tab w:leader="none" w:pos="1120" w:val="left"/>
        </w:tabs>
        <w:numPr>
          <w:ilvl w:val="0"/>
          <w:numId w:val="67"/>
        </w:numPr>
        <w:rPr>
          <w:rFonts w:ascii="Arial" w:cs="Arial" w:eastAsia="Arial" w:hAnsi="Arial"/>
          <w:sz w:val="21"/>
          <w:szCs w:val="21"/>
          <w:color w:val="auto"/>
        </w:rPr>
      </w:pPr>
      <w:r>
        <w:rPr>
          <w:rFonts w:ascii="Arial" w:cs="Arial" w:eastAsia="Arial" w:hAnsi="Arial"/>
          <w:sz w:val="21"/>
          <w:szCs w:val="21"/>
          <w:color w:val="auto"/>
        </w:rPr>
        <w:t>a material reduction of the Participant’s authorities, duties, or responsibilities with the Company;</w:t>
      </w: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76" w:lineRule="exact"/>
        <w:rPr>
          <w:rFonts w:ascii="Arial" w:cs="Arial" w:eastAsia="Arial" w:hAnsi="Arial"/>
          <w:sz w:val="21"/>
          <w:szCs w:val="21"/>
          <w:color w:val="auto"/>
        </w:rPr>
      </w:pPr>
    </w:p>
    <w:p>
      <w:pPr>
        <w:ind w:left="4460"/>
        <w:spacing w:after="0"/>
        <w:rPr>
          <w:rFonts w:ascii="Arial" w:cs="Arial" w:eastAsia="Arial" w:hAnsi="Arial"/>
          <w:sz w:val="21"/>
          <w:szCs w:val="21"/>
          <w:color w:val="auto"/>
        </w:rPr>
      </w:pPr>
      <w:r>
        <w:rPr>
          <w:rFonts w:ascii="Arial" w:cs="Arial" w:eastAsia="Arial" w:hAnsi="Arial"/>
          <w:sz w:val="21"/>
          <w:szCs w:val="21"/>
          <w:color w:val="auto"/>
        </w:rPr>
        <w:t>3</w:t>
      </w:r>
    </w:p>
    <w:p>
      <w:pPr>
        <w:sectPr>
          <w:pgSz w:w="11900" w:h="16838" w:orient="portrait"/>
          <w:cols w:equalWidth="0" w:num="1">
            <w:col w:w="10120"/>
          </w:cols>
          <w:pgMar w:left="1440" w:top="1377" w:right="339" w:bottom="1440" w:gutter="0" w:footer="0" w:header="0"/>
        </w:sectPr>
      </w:pPr>
    </w:p>
    <w:bookmarkStart w:id="107" w:name="page108"/>
    <w:bookmarkEnd w:id="107"/>
    <w:p>
      <w:pPr>
        <w:jc w:val="both"/>
        <w:ind w:left="626" w:firstLine="633"/>
        <w:spacing w:after="0" w:line="236" w:lineRule="auto"/>
        <w:tabs>
          <w:tab w:leader="none" w:pos="1613" w:val="left"/>
        </w:tabs>
        <w:numPr>
          <w:ilvl w:val="0"/>
          <w:numId w:val="68"/>
        </w:numPr>
        <w:rPr>
          <w:rFonts w:ascii="Arial" w:cs="Arial" w:eastAsia="Arial" w:hAnsi="Arial"/>
          <w:sz w:val="21"/>
          <w:szCs w:val="21"/>
          <w:color w:val="auto"/>
        </w:rPr>
      </w:pPr>
      <w:r>
        <w:rPr>
          <w:rFonts w:ascii="Arial" w:cs="Arial" w:eastAsia="Arial" w:hAnsi="Arial"/>
          <w:sz w:val="21"/>
          <w:szCs w:val="21"/>
          <w:color w:val="auto"/>
        </w:rPr>
        <w:t>a material reduction of the Participant’s annual salary or a material reduction in the Participant’s target annual incentive compensation, in each case other than a reduction which is applicable to all employees in the same salary grade as the Participant; or</w:t>
      </w:r>
    </w:p>
    <w:p>
      <w:pPr>
        <w:spacing w:after="0" w:line="192" w:lineRule="exact"/>
        <w:rPr>
          <w:rFonts w:ascii="Arial" w:cs="Arial" w:eastAsia="Arial" w:hAnsi="Arial"/>
          <w:sz w:val="21"/>
          <w:szCs w:val="21"/>
          <w:color w:val="auto"/>
        </w:rPr>
      </w:pPr>
    </w:p>
    <w:p>
      <w:pPr>
        <w:ind w:left="1586" w:hanging="327"/>
        <w:spacing w:after="0"/>
        <w:tabs>
          <w:tab w:leader="none" w:pos="1586" w:val="left"/>
        </w:tabs>
        <w:numPr>
          <w:ilvl w:val="0"/>
          <w:numId w:val="68"/>
        </w:numPr>
        <w:rPr>
          <w:rFonts w:ascii="Arial" w:cs="Arial" w:eastAsia="Arial" w:hAnsi="Arial"/>
          <w:sz w:val="21"/>
          <w:szCs w:val="21"/>
          <w:color w:val="auto"/>
        </w:rPr>
      </w:pPr>
      <w:r>
        <w:rPr>
          <w:rFonts w:ascii="Arial" w:cs="Arial" w:eastAsia="Arial" w:hAnsi="Arial"/>
          <w:sz w:val="21"/>
          <w:szCs w:val="21"/>
          <w:color w:val="auto"/>
        </w:rPr>
        <w:t>a transfer of the Participant’s primary workplace by more than thirty-five (35) miles.</w:t>
      </w:r>
    </w:p>
    <w:p>
      <w:pPr>
        <w:spacing w:after="0" w:line="217" w:lineRule="exact"/>
        <w:rPr>
          <w:sz w:val="20"/>
          <w:szCs w:val="20"/>
          <w:color w:val="auto"/>
        </w:rPr>
      </w:pPr>
    </w:p>
    <w:p>
      <w:pPr>
        <w:jc w:val="both"/>
        <w:ind w:left="626" w:firstLine="629"/>
        <w:spacing w:after="0" w:line="230" w:lineRule="auto"/>
        <w:rPr>
          <w:sz w:val="20"/>
          <w:szCs w:val="20"/>
          <w:color w:val="auto"/>
        </w:rPr>
      </w:pPr>
      <w:r>
        <w:rPr>
          <w:rFonts w:ascii="Arial" w:cs="Arial" w:eastAsia="Arial" w:hAnsi="Arial"/>
          <w:sz w:val="21"/>
          <w:szCs w:val="21"/>
          <w:color w:val="auto"/>
        </w:rPr>
        <w:t>If a Participant purports to terminate his or her employment after suffering an Adverse Event, the Participant must give the Company written notice of his or her intent to terminate within sixty (60) calendar days of the occurrence of the event that allegedly constitutes an Adverse Event. The Company shall have a right to cure the event alleged to constitute an Adverse Event for a period of thirty (30) calendar days after notice from the Participant of his or her intention to terminate.</w:t>
      </w:r>
    </w:p>
    <w:p>
      <w:pPr>
        <w:spacing w:after="0" w:line="194" w:lineRule="exact"/>
        <w:rPr>
          <w:sz w:val="20"/>
          <w:szCs w:val="20"/>
          <w:color w:val="auto"/>
        </w:rPr>
      </w:pPr>
    </w:p>
    <w:p>
      <w:pPr>
        <w:jc w:val="both"/>
        <w:ind w:left="626" w:firstLine="629"/>
        <w:spacing w:after="0" w:line="230" w:lineRule="auto"/>
        <w:rPr>
          <w:sz w:val="20"/>
          <w:szCs w:val="20"/>
          <w:color w:val="auto"/>
        </w:rPr>
      </w:pPr>
      <w:r>
        <w:rPr>
          <w:rFonts w:ascii="Arial" w:cs="Arial" w:eastAsia="Arial" w:hAnsi="Arial"/>
          <w:sz w:val="21"/>
          <w:szCs w:val="21"/>
          <w:color w:val="auto"/>
        </w:rPr>
        <w:t xml:space="preserve">The term "Cause" shall mean your theft of company property, embezzlement or dishonesty that results in harm to the Company or any Successor; your continued gross or willful neglect of your job responsibilities after receiving written warnings regarding such neglect from the Company or any Successor; your conviction of a felony or pleading </w:t>
      </w:r>
      <w:r>
        <w:rPr>
          <w:rFonts w:ascii="Arial" w:cs="Arial" w:eastAsia="Arial" w:hAnsi="Arial"/>
          <w:sz w:val="21"/>
          <w:szCs w:val="21"/>
          <w:i w:val="1"/>
          <w:iCs w:val="1"/>
          <w:color w:val="auto"/>
        </w:rPr>
        <w:t xml:space="preserve">nolo contender </w:t>
      </w:r>
      <w:r>
        <w:rPr>
          <w:rFonts w:ascii="Arial" w:cs="Arial" w:eastAsia="Arial" w:hAnsi="Arial"/>
          <w:sz w:val="21"/>
          <w:szCs w:val="21"/>
          <w:color w:val="auto"/>
        </w:rPr>
        <w:t>to a felony charged under state or federal law; or your willful violation of Company policy or the</w:t>
      </w:r>
      <w:r>
        <w:rPr>
          <w:rFonts w:ascii="Arial" w:cs="Arial" w:eastAsia="Arial" w:hAnsi="Arial"/>
          <w:sz w:val="21"/>
          <w:szCs w:val="21"/>
          <w:i w:val="1"/>
          <w:iCs w:val="1"/>
          <w:color w:val="auto"/>
        </w:rPr>
        <w:t xml:space="preserve"> </w:t>
      </w:r>
      <w:r>
        <w:rPr>
          <w:rFonts w:ascii="Arial" w:cs="Arial" w:eastAsia="Arial" w:hAnsi="Arial"/>
          <w:sz w:val="21"/>
          <w:szCs w:val="21"/>
          <w:color w:val="auto"/>
        </w:rPr>
        <w:t>policies of any Successor.</w:t>
      </w:r>
    </w:p>
    <w:p>
      <w:pPr>
        <w:spacing w:after="0" w:line="194" w:lineRule="exact"/>
        <w:rPr>
          <w:sz w:val="20"/>
          <w:szCs w:val="20"/>
          <w:color w:val="auto"/>
        </w:rPr>
      </w:pPr>
    </w:p>
    <w:p>
      <w:pPr>
        <w:jc w:val="both"/>
        <w:ind w:left="626" w:firstLine="633"/>
        <w:spacing w:after="0" w:line="232" w:lineRule="auto"/>
        <w:tabs>
          <w:tab w:leader="none" w:pos="1565" w:val="left"/>
        </w:tabs>
        <w:numPr>
          <w:ilvl w:val="2"/>
          <w:numId w:val="69"/>
        </w:numPr>
        <w:rPr>
          <w:rFonts w:ascii="Arial" w:cs="Arial" w:eastAsia="Arial" w:hAnsi="Arial"/>
          <w:sz w:val="21"/>
          <w:szCs w:val="21"/>
          <w:color w:val="auto"/>
        </w:rPr>
      </w:pPr>
      <w:r>
        <w:rPr>
          <w:rFonts w:ascii="Arial" w:cs="Arial" w:eastAsia="Arial" w:hAnsi="Arial"/>
          <w:sz w:val="21"/>
          <w:szCs w:val="21"/>
          <w:color w:val="auto"/>
        </w:rPr>
        <w:t>Notwithstanding the provisions of subsection (i) of this Section 2(e), in the event a Change of Control of the Company occurs and this Award Agreement is not continued or assumed by the Successor and the Successor does not substitute an equivalent award, the restrictions described in Section 2(d)(ii) shall immediately lapse with respect to the RSUs.</w:t>
      </w:r>
    </w:p>
    <w:p>
      <w:pPr>
        <w:spacing w:after="0" w:line="194" w:lineRule="exact"/>
        <w:rPr>
          <w:rFonts w:ascii="Arial" w:cs="Arial" w:eastAsia="Arial" w:hAnsi="Arial"/>
          <w:sz w:val="21"/>
          <w:szCs w:val="21"/>
          <w:color w:val="auto"/>
        </w:rPr>
      </w:pPr>
    </w:p>
    <w:p>
      <w:pPr>
        <w:jc w:val="both"/>
        <w:ind w:left="626" w:firstLine="633"/>
        <w:spacing w:after="0" w:line="262" w:lineRule="auto"/>
        <w:tabs>
          <w:tab w:leader="none" w:pos="1623" w:val="left"/>
        </w:tabs>
        <w:numPr>
          <w:ilvl w:val="2"/>
          <w:numId w:val="69"/>
        </w:numPr>
        <w:rPr>
          <w:rFonts w:ascii="Arial" w:cs="Arial" w:eastAsia="Arial" w:hAnsi="Arial"/>
          <w:sz w:val="19"/>
          <w:szCs w:val="19"/>
          <w:color w:val="auto"/>
        </w:rPr>
      </w:pPr>
      <w:r>
        <w:rPr>
          <w:rFonts w:ascii="Arial" w:cs="Arial" w:eastAsia="Arial" w:hAnsi="Arial"/>
          <w:sz w:val="19"/>
          <w:szCs w:val="19"/>
          <w:color w:val="auto"/>
        </w:rPr>
        <w:t>On the date of the lapse of the restrictions in accordance with this Section 2(e), or in any event, no later than sixty (60) days after such date, the Company will make a book-entry registration or will issue you a certificate as provided in Section 2(b) of this Award Agreement for the Shares covered by such Stock-Settled RSUs in redemption of such RSUs and will pay you by check in redemption of the Shares covered by such Cash-Settled RSUs.</w:t>
      </w:r>
    </w:p>
    <w:p>
      <w:pPr>
        <w:spacing w:after="0" w:line="167" w:lineRule="exact"/>
        <w:rPr>
          <w:rFonts w:ascii="Arial" w:cs="Arial" w:eastAsia="Arial" w:hAnsi="Arial"/>
          <w:sz w:val="19"/>
          <w:szCs w:val="19"/>
          <w:color w:val="auto"/>
        </w:rPr>
      </w:pPr>
    </w:p>
    <w:p>
      <w:pPr>
        <w:ind w:left="206" w:hanging="206"/>
        <w:spacing w:after="0"/>
        <w:tabs>
          <w:tab w:leader="none" w:pos="206" w:val="left"/>
        </w:tabs>
        <w:numPr>
          <w:ilvl w:val="0"/>
          <w:numId w:val="70"/>
        </w:numPr>
        <w:rPr>
          <w:rFonts w:ascii="Arial" w:cs="Arial" w:eastAsia="Arial" w:hAnsi="Arial"/>
          <w:sz w:val="21"/>
          <w:szCs w:val="21"/>
          <w:color w:val="auto"/>
        </w:rPr>
      </w:pPr>
      <w:r>
        <w:rPr>
          <w:rFonts w:ascii="Arial" w:cs="Arial" w:eastAsia="Arial" w:hAnsi="Arial"/>
          <w:sz w:val="21"/>
          <w:szCs w:val="21"/>
          <w:b w:val="1"/>
          <w:bCs w:val="1"/>
          <w:color w:val="auto"/>
        </w:rPr>
        <w:t>Agreement with Respect to Taxes; Share Withholding</w:t>
      </w:r>
      <w:r>
        <w:rPr>
          <w:rFonts w:ascii="Arial" w:cs="Arial" w:eastAsia="Arial" w:hAnsi="Arial"/>
          <w:sz w:val="21"/>
          <w:szCs w:val="21"/>
          <w:color w:val="auto"/>
        </w:rPr>
        <w:t>.</w:t>
      </w:r>
    </w:p>
    <w:p>
      <w:pPr>
        <w:spacing w:after="0" w:line="223" w:lineRule="exact"/>
        <w:rPr>
          <w:rFonts w:ascii="Arial" w:cs="Arial" w:eastAsia="Arial" w:hAnsi="Arial"/>
          <w:sz w:val="21"/>
          <w:szCs w:val="21"/>
          <w:color w:val="auto"/>
        </w:rPr>
      </w:pPr>
    </w:p>
    <w:p>
      <w:pPr>
        <w:jc w:val="both"/>
        <w:ind w:left="6" w:firstLine="624"/>
        <w:spacing w:after="0" w:line="258" w:lineRule="auto"/>
        <w:tabs>
          <w:tab w:leader="none" w:pos="920" w:val="left"/>
        </w:tabs>
        <w:numPr>
          <w:ilvl w:val="1"/>
          <w:numId w:val="70"/>
        </w:numPr>
        <w:rPr>
          <w:rFonts w:ascii="Arial" w:cs="Arial" w:eastAsia="Arial" w:hAnsi="Arial"/>
          <w:sz w:val="19"/>
          <w:szCs w:val="19"/>
          <w:color w:val="auto"/>
        </w:rPr>
      </w:pPr>
      <w:r>
        <w:rPr>
          <w:rFonts w:ascii="Arial" w:cs="Arial" w:eastAsia="Arial" w:hAnsi="Arial"/>
          <w:sz w:val="19"/>
          <w:szCs w:val="19"/>
          <w:color w:val="auto"/>
        </w:rPr>
        <w:t>You agree that (1) you will pay to the Company or an Affiliate, as the case may be, in cash, or make arrangements satisfactory to the Company or such Affiliate regarding the payment of any taxes of any kind required by law to be withheld by the Company or any of its Affiliates with respect to the RSUs, the and/or the Shares and (2) the Company or any of its Affiliates shall, to the extent permitted by law, have the right to deduct from any payments of any kind otherwise due to you any taxes of any kind required by law to be withheld with respect to the RSUs and the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946"/>
        <w:spacing w:after="0"/>
        <w:rPr>
          <w:sz w:val="20"/>
          <w:szCs w:val="20"/>
          <w:color w:val="auto"/>
        </w:rPr>
      </w:pPr>
      <w:r>
        <w:rPr>
          <w:rFonts w:ascii="Arial" w:cs="Arial" w:eastAsia="Arial" w:hAnsi="Arial"/>
          <w:sz w:val="21"/>
          <w:szCs w:val="21"/>
          <w:color w:val="auto"/>
        </w:rPr>
        <w:t>4</w:t>
      </w:r>
    </w:p>
    <w:p>
      <w:pPr>
        <w:sectPr>
          <w:pgSz w:w="11900" w:h="16838" w:orient="portrait"/>
          <w:cols w:equalWidth="0" w:num="1">
            <w:col w:w="10606"/>
          </w:cols>
          <w:pgMar w:left="954" w:top="1377" w:right="339" w:bottom="1440" w:gutter="0" w:footer="0" w:header="0"/>
        </w:sectPr>
      </w:pPr>
    </w:p>
    <w:bookmarkStart w:id="108" w:name="page109"/>
    <w:bookmarkEnd w:id="108"/>
    <w:p>
      <w:pPr>
        <w:jc w:val="both"/>
        <w:ind w:left="640" w:firstLine="624"/>
        <w:spacing w:after="0" w:line="238" w:lineRule="auto"/>
        <w:tabs>
          <w:tab w:leader="none" w:pos="1580" w:val="left"/>
        </w:tabs>
        <w:numPr>
          <w:ilvl w:val="1"/>
          <w:numId w:val="71"/>
        </w:numPr>
        <w:rPr>
          <w:rFonts w:ascii="Arial" w:cs="Arial" w:eastAsia="Arial" w:hAnsi="Arial"/>
          <w:sz w:val="20"/>
          <w:szCs w:val="20"/>
          <w:color w:val="auto"/>
        </w:rPr>
      </w:pPr>
      <w:r>
        <w:rPr>
          <w:rFonts w:ascii="Arial" w:cs="Arial" w:eastAsia="Arial" w:hAnsi="Arial"/>
          <w:sz w:val="20"/>
          <w:szCs w:val="20"/>
          <w:color w:val="auto"/>
        </w:rPr>
        <w:t>With respect to withholding required upon the lapse of restrictions or upon any other taxable event arising as a result of the RSUs awarded or the issuance of Shares to you, you may elect, subject to the approval of the Committee, to satisfy the withholding requirement, in whole or in part, by having the Company withhold Shares having a Fair Market Value on the date the tax is to be determined equal to the minimum statutory total tax which could be withheld on the transaction (or such other amount that will not cause adverse accounting consequences for the Company and is permitted under the Plan and applicable withholding rules promulgated by the Internal Revenue Service or other applicable governmental entity). All such elections shall be irrevocable, made in writing, signed by you, and shall be subject to any restrictions or limitations that such Committee, in its sole discretion, deems appropriate.</w:t>
      </w:r>
    </w:p>
    <w:p>
      <w:pPr>
        <w:spacing w:after="0" w:line="188" w:lineRule="exact"/>
        <w:rPr>
          <w:rFonts w:ascii="Arial" w:cs="Arial" w:eastAsia="Arial" w:hAnsi="Arial"/>
          <w:sz w:val="20"/>
          <w:szCs w:val="20"/>
          <w:color w:val="auto"/>
        </w:rPr>
      </w:pPr>
    </w:p>
    <w:p>
      <w:pPr>
        <w:ind w:firstLine="634"/>
        <w:spacing w:after="0" w:line="252" w:lineRule="auto"/>
        <w:tabs>
          <w:tab w:leader="none" w:pos="852" w:val="left"/>
        </w:tabs>
        <w:numPr>
          <w:ilvl w:val="0"/>
          <w:numId w:val="72"/>
        </w:numPr>
        <w:rPr>
          <w:rFonts w:ascii="Arial" w:cs="Arial" w:eastAsia="Arial" w:hAnsi="Arial"/>
          <w:sz w:val="21"/>
          <w:szCs w:val="21"/>
          <w:color w:val="auto"/>
        </w:rPr>
      </w:pPr>
      <w:r>
        <w:rPr>
          <w:rFonts w:ascii="Arial" w:cs="Arial" w:eastAsia="Arial" w:hAnsi="Arial"/>
          <w:sz w:val="21"/>
          <w:szCs w:val="21"/>
          <w:b w:val="1"/>
          <w:bCs w:val="1"/>
          <w:color w:val="auto"/>
        </w:rPr>
        <w:t xml:space="preserve">Adjustment of Shares. </w:t>
      </w:r>
      <w:r>
        <w:rPr>
          <w:rFonts w:ascii="Arial" w:cs="Arial" w:eastAsia="Arial" w:hAnsi="Arial"/>
          <w:sz w:val="21"/>
          <w:szCs w:val="21"/>
          <w:color w:val="auto"/>
        </w:rPr>
        <w:t>The number of Shares subject to the RSUs awarded to you under this Award Agreement may be</w:t>
      </w:r>
      <w:r>
        <w:rPr>
          <w:rFonts w:ascii="Arial" w:cs="Arial" w:eastAsia="Arial" w:hAnsi="Arial"/>
          <w:sz w:val="21"/>
          <w:szCs w:val="21"/>
          <w:b w:val="1"/>
          <w:bCs w:val="1"/>
          <w:color w:val="auto"/>
        </w:rPr>
        <w:t xml:space="preserve"> </w:t>
      </w:r>
      <w:r>
        <w:rPr>
          <w:rFonts w:ascii="Arial" w:cs="Arial" w:eastAsia="Arial" w:hAnsi="Arial"/>
          <w:sz w:val="21"/>
          <w:szCs w:val="21"/>
          <w:color w:val="auto"/>
        </w:rPr>
        <w:t>adjusted as provided in the Plan.</w:t>
      </w:r>
    </w:p>
    <w:p>
      <w:pPr>
        <w:spacing w:after="0" w:line="174" w:lineRule="exact"/>
        <w:rPr>
          <w:rFonts w:ascii="Arial" w:cs="Arial" w:eastAsia="Arial" w:hAnsi="Arial"/>
          <w:sz w:val="21"/>
          <w:szCs w:val="21"/>
          <w:color w:val="auto"/>
        </w:rPr>
      </w:pPr>
    </w:p>
    <w:p>
      <w:pPr>
        <w:jc w:val="both"/>
        <w:ind w:firstLine="634"/>
        <w:spacing w:after="0" w:line="243" w:lineRule="auto"/>
        <w:tabs>
          <w:tab w:leader="none" w:pos="879" w:val="left"/>
        </w:tabs>
        <w:numPr>
          <w:ilvl w:val="0"/>
          <w:numId w:val="72"/>
        </w:numPr>
        <w:rPr>
          <w:rFonts w:ascii="Arial" w:cs="Arial" w:eastAsia="Arial" w:hAnsi="Arial"/>
          <w:sz w:val="20"/>
          <w:szCs w:val="20"/>
          <w:color w:val="auto"/>
        </w:rPr>
      </w:pPr>
      <w:r>
        <w:rPr>
          <w:rFonts w:ascii="Arial" w:cs="Arial" w:eastAsia="Arial" w:hAnsi="Arial"/>
          <w:sz w:val="20"/>
          <w:szCs w:val="20"/>
          <w:b w:val="1"/>
          <w:bCs w:val="1"/>
          <w:color w:val="auto"/>
        </w:rPr>
        <w:t xml:space="preserve">Agreement With Respect to Securities Matters. </w:t>
      </w:r>
      <w:r>
        <w:rPr>
          <w:rFonts w:ascii="Arial" w:cs="Arial" w:eastAsia="Arial" w:hAnsi="Arial"/>
          <w:sz w:val="20"/>
          <w:szCs w:val="20"/>
          <w:color w:val="auto"/>
        </w:rPr>
        <w:t>You agree that you will not sell or otherwise transfer any Shares</w:t>
      </w:r>
      <w:r>
        <w:rPr>
          <w:rFonts w:ascii="Arial" w:cs="Arial" w:eastAsia="Arial" w:hAnsi="Arial"/>
          <w:sz w:val="20"/>
          <w:szCs w:val="20"/>
          <w:b w:val="1"/>
          <w:bCs w:val="1"/>
          <w:color w:val="auto"/>
        </w:rPr>
        <w:t xml:space="preserve"> </w:t>
      </w:r>
      <w:r>
        <w:rPr>
          <w:rFonts w:ascii="Arial" w:cs="Arial" w:eastAsia="Arial" w:hAnsi="Arial"/>
          <w:sz w:val="20"/>
          <w:szCs w:val="20"/>
          <w:color w:val="auto"/>
        </w:rPr>
        <w:t>received pursuant to this Award Agreement except pursuant to an effective registration statement under the U.S. Securities Act of 1933, as amended, or pursuant to an applicable exemption from such registration. Unless a registration statement relating to the Shares issuable upon the lapse of the restrictions on the RSUs pursuant to this Award Agreement is in effect at the time of issuance of such Shares, the certificate(s) for the Shares shall contain the following legend:</w:t>
      </w:r>
    </w:p>
    <w:p>
      <w:pPr>
        <w:spacing w:after="0" w:line="192" w:lineRule="exact"/>
        <w:rPr>
          <w:sz w:val="20"/>
          <w:szCs w:val="20"/>
          <w:color w:val="auto"/>
        </w:rPr>
      </w:pPr>
    </w:p>
    <w:p>
      <w:pPr>
        <w:jc w:val="both"/>
        <w:ind w:left="640"/>
        <w:spacing w:after="0" w:line="230" w:lineRule="auto"/>
        <w:rPr>
          <w:sz w:val="20"/>
          <w:szCs w:val="20"/>
          <w:color w:val="auto"/>
        </w:rPr>
      </w:pPr>
      <w:r>
        <w:rPr>
          <w:rFonts w:ascii="Arial" w:cs="Arial" w:eastAsia="Arial" w:hAnsi="Arial"/>
          <w:sz w:val="21"/>
          <w:szCs w:val="21"/>
          <w:color w:val="auto"/>
        </w:rPr>
        <w:t>The securities evidenced by this certificate have not been registered under the Securities Act of 1933 or any other securities laws. These securities have been acquired for investment and may not be sold or transferred for value in the absence of an effective registration of them under the U.S. Securities Act of 1933 and any other applicable securities laws, or receipt by the Company of an opinion of counsel or other evidence acceptable to the Company that such registration is not required under such acts.</w:t>
      </w:r>
    </w:p>
    <w:p>
      <w:pPr>
        <w:spacing w:after="0" w:line="188" w:lineRule="exact"/>
        <w:rPr>
          <w:sz w:val="20"/>
          <w:szCs w:val="20"/>
          <w:color w:val="auto"/>
        </w:rPr>
      </w:pPr>
    </w:p>
    <w:p>
      <w:pPr>
        <w:jc w:val="both"/>
        <w:ind w:firstLine="246"/>
        <w:spacing w:after="0" w:line="247" w:lineRule="auto"/>
        <w:tabs>
          <w:tab w:leader="none" w:pos="459" w:val="left"/>
        </w:tabs>
        <w:numPr>
          <w:ilvl w:val="0"/>
          <w:numId w:val="73"/>
        </w:numPr>
        <w:rPr>
          <w:rFonts w:ascii="Arial" w:cs="Arial" w:eastAsia="Arial" w:hAnsi="Arial"/>
          <w:sz w:val="20"/>
          <w:szCs w:val="20"/>
          <w:color w:val="auto"/>
        </w:rPr>
      </w:pPr>
      <w:r>
        <w:rPr>
          <w:rFonts w:ascii="Arial" w:cs="Arial" w:eastAsia="Arial" w:hAnsi="Arial"/>
          <w:sz w:val="20"/>
          <w:szCs w:val="20"/>
          <w:b w:val="1"/>
          <w:bCs w:val="1"/>
          <w:color w:val="auto"/>
        </w:rPr>
        <w:t xml:space="preserve">Forfeiture. </w:t>
      </w:r>
      <w:r>
        <w:rPr>
          <w:rFonts w:ascii="Arial" w:cs="Arial" w:eastAsia="Arial" w:hAnsi="Arial"/>
          <w:sz w:val="20"/>
          <w:szCs w:val="20"/>
          <w:color w:val="auto"/>
        </w:rPr>
        <w:t>You agree that in the event you violate the confidentiality, non-competition, non-solicitation or non-disparagement</w:t>
      </w:r>
      <w:r>
        <w:rPr>
          <w:rFonts w:ascii="Arial" w:cs="Arial" w:eastAsia="Arial" w:hAnsi="Arial"/>
          <w:sz w:val="20"/>
          <w:szCs w:val="20"/>
          <w:b w:val="1"/>
          <w:bCs w:val="1"/>
          <w:color w:val="auto"/>
        </w:rPr>
        <w:t xml:space="preserve"> </w:t>
      </w:r>
      <w:r>
        <w:rPr>
          <w:rFonts w:ascii="Arial" w:cs="Arial" w:eastAsia="Arial" w:hAnsi="Arial"/>
          <w:sz w:val="20"/>
          <w:szCs w:val="20"/>
          <w:color w:val="auto"/>
        </w:rPr>
        <w:t>provisions of any agreement between you and the Company or any Affiliate, or any plan of the Company or any Affiliate in which you participate, including without limitation, the non-solicitation provisions of Section 7 below, you will forfeit in their entirety the RSUs, and all of your rights thereto shall terminate without any payment of consideration by the Company.</w:t>
      </w:r>
    </w:p>
    <w:p>
      <w:pPr>
        <w:spacing w:after="0" w:line="181" w:lineRule="exact"/>
        <w:rPr>
          <w:rFonts w:ascii="Arial" w:cs="Arial" w:eastAsia="Arial" w:hAnsi="Arial"/>
          <w:sz w:val="20"/>
          <w:szCs w:val="20"/>
          <w:color w:val="auto"/>
        </w:rPr>
      </w:pPr>
    </w:p>
    <w:p>
      <w:pPr>
        <w:ind w:left="840" w:hanging="206"/>
        <w:spacing w:after="0"/>
        <w:tabs>
          <w:tab w:leader="none" w:pos="840" w:val="left"/>
        </w:tabs>
        <w:numPr>
          <w:ilvl w:val="1"/>
          <w:numId w:val="73"/>
        </w:numPr>
        <w:rPr>
          <w:rFonts w:ascii="Arial" w:cs="Arial" w:eastAsia="Arial" w:hAnsi="Arial"/>
          <w:sz w:val="21"/>
          <w:szCs w:val="21"/>
          <w:color w:val="auto"/>
        </w:rPr>
      </w:pPr>
      <w:r>
        <w:rPr>
          <w:rFonts w:ascii="Arial" w:cs="Arial" w:eastAsia="Arial" w:hAnsi="Arial"/>
          <w:sz w:val="21"/>
          <w:szCs w:val="21"/>
          <w:b w:val="1"/>
          <w:bCs w:val="1"/>
          <w:color w:val="auto"/>
        </w:rPr>
        <w:t>Non-Solicitation</w:t>
      </w:r>
      <w:r>
        <w:rPr>
          <w:rFonts w:ascii="Arial" w:cs="Arial" w:eastAsia="Arial" w:hAnsi="Arial"/>
          <w:sz w:val="21"/>
          <w:szCs w:val="21"/>
          <w:color w:val="auto"/>
        </w:rPr>
        <w:t>.</w:t>
      </w:r>
    </w:p>
    <w:p>
      <w:pPr>
        <w:spacing w:after="0" w:line="217" w:lineRule="exact"/>
        <w:rPr>
          <w:rFonts w:ascii="Arial" w:cs="Arial" w:eastAsia="Arial" w:hAnsi="Arial"/>
          <w:sz w:val="21"/>
          <w:szCs w:val="21"/>
          <w:color w:val="auto"/>
        </w:rPr>
      </w:pPr>
    </w:p>
    <w:p>
      <w:pPr>
        <w:jc w:val="both"/>
        <w:ind w:left="640" w:firstLine="624"/>
        <w:spacing w:after="0" w:line="241" w:lineRule="auto"/>
        <w:tabs>
          <w:tab w:leader="none" w:pos="1555" w:val="left"/>
        </w:tabs>
        <w:numPr>
          <w:ilvl w:val="2"/>
          <w:numId w:val="73"/>
        </w:numPr>
        <w:rPr>
          <w:rFonts w:ascii="Arial" w:cs="Arial" w:eastAsia="Arial" w:hAnsi="Arial"/>
          <w:sz w:val="20"/>
          <w:szCs w:val="20"/>
          <w:color w:val="auto"/>
        </w:rPr>
      </w:pPr>
      <w:r>
        <w:rPr>
          <w:rFonts w:ascii="Arial" w:cs="Arial" w:eastAsia="Arial" w:hAnsi="Arial"/>
          <w:sz w:val="20"/>
          <w:szCs w:val="20"/>
          <w:b w:val="1"/>
          <w:bCs w:val="1"/>
          <w:color w:val="auto"/>
        </w:rPr>
        <w:t>Non-Solicitation of Employees</w:t>
      </w:r>
      <w:r>
        <w:rPr>
          <w:rFonts w:ascii="Arial" w:cs="Arial" w:eastAsia="Arial" w:hAnsi="Arial"/>
          <w:sz w:val="20"/>
          <w:szCs w:val="20"/>
          <w:color w:val="auto"/>
        </w:rPr>
        <w:t>. During the period beginning on the date of this Award Agreement and ending on</w:t>
      </w:r>
      <w:r>
        <w:rPr>
          <w:rFonts w:ascii="Arial" w:cs="Arial" w:eastAsia="Arial" w:hAnsi="Arial"/>
          <w:sz w:val="20"/>
          <w:szCs w:val="20"/>
          <w:b w:val="1"/>
          <w:bCs w:val="1"/>
          <w:color w:val="auto"/>
        </w:rPr>
        <w:t xml:space="preserve"> </w:t>
      </w:r>
      <w:r>
        <w:rPr>
          <w:rFonts w:ascii="Arial" w:cs="Arial" w:eastAsia="Arial" w:hAnsi="Arial"/>
          <w:sz w:val="20"/>
          <w:szCs w:val="20"/>
          <w:color w:val="auto"/>
        </w:rPr>
        <w:t>the second anniversary of the date of your termination of employment with the Company or an Affiliate, regardless of the reason for your termination of employment, you shall not, directly, or indirectly by assisting others: (i) cause or attempt to cause or encourage any employee of the Company or an Affiliate to terminate his or her relationship with the Company or an Affiliate or (ii) solicit the employment or engagement as a consultant or adviser, of any employee of the Company or an Affiliate or any former employee of the Company or an Affiliate who left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w:t>
      </w:r>
    </w:p>
    <w:p>
      <w:pPr>
        <w:sectPr>
          <w:pgSz w:w="11900" w:h="16838" w:orient="portrait"/>
          <w:cols w:equalWidth="0" w:num="1">
            <w:col w:w="11240"/>
          </w:cols>
          <w:pgMar w:left="320" w:top="1377" w:right="339" w:bottom="1440" w:gutter="0" w:footer="0" w:header="0"/>
        </w:sectPr>
      </w:pPr>
    </w:p>
    <w:bookmarkStart w:id="109" w:name="page110"/>
    <w:bookmarkEnd w:id="109"/>
    <w:p>
      <w:pPr>
        <w:ind w:left="640"/>
        <w:spacing w:after="0" w:line="246" w:lineRule="auto"/>
        <w:rPr>
          <w:sz w:val="20"/>
          <w:szCs w:val="20"/>
          <w:color w:val="auto"/>
        </w:rPr>
      </w:pPr>
      <w:r>
        <w:rPr>
          <w:rFonts w:ascii="Arial" w:cs="Arial" w:eastAsia="Arial" w:hAnsi="Arial"/>
          <w:sz w:val="21"/>
          <w:szCs w:val="21"/>
          <w:color w:val="auto"/>
        </w:rPr>
        <w:t>employ of the Company or Affiliate within two years following your termination of employment with the Company or an Affiliate.</w:t>
      </w:r>
    </w:p>
    <w:p>
      <w:pPr>
        <w:spacing w:after="0" w:line="181" w:lineRule="exact"/>
        <w:rPr>
          <w:sz w:val="20"/>
          <w:szCs w:val="20"/>
          <w:color w:val="auto"/>
        </w:rPr>
      </w:pPr>
    </w:p>
    <w:p>
      <w:pPr>
        <w:jc w:val="both"/>
        <w:ind w:left="640" w:firstLine="624"/>
        <w:spacing w:after="0" w:line="243" w:lineRule="auto"/>
        <w:tabs>
          <w:tab w:leader="none" w:pos="1632" w:val="left"/>
        </w:tabs>
        <w:numPr>
          <w:ilvl w:val="1"/>
          <w:numId w:val="74"/>
        </w:numPr>
        <w:rPr>
          <w:rFonts w:ascii="Arial" w:cs="Arial" w:eastAsia="Arial" w:hAnsi="Arial"/>
          <w:sz w:val="20"/>
          <w:szCs w:val="20"/>
          <w:color w:val="auto"/>
        </w:rPr>
      </w:pPr>
      <w:r>
        <w:rPr>
          <w:rFonts w:ascii="Arial" w:cs="Arial" w:eastAsia="Arial" w:hAnsi="Arial"/>
          <w:sz w:val="20"/>
          <w:szCs w:val="20"/>
          <w:b w:val="1"/>
          <w:bCs w:val="1"/>
          <w:color w:val="auto"/>
        </w:rPr>
        <w:t>Reasonableness of Restriction</w:t>
      </w:r>
      <w:r>
        <w:rPr>
          <w:rFonts w:ascii="Arial" w:cs="Arial" w:eastAsia="Arial" w:hAnsi="Arial"/>
          <w:sz w:val="20"/>
          <w:szCs w:val="20"/>
          <w:color w:val="auto"/>
        </w:rPr>
        <w:t>. You agree and acknowledge that the above non-solicitation covenant is</w:t>
      </w:r>
      <w:r>
        <w:rPr>
          <w:rFonts w:ascii="Arial" w:cs="Arial" w:eastAsia="Arial" w:hAnsi="Arial"/>
          <w:sz w:val="20"/>
          <w:szCs w:val="20"/>
          <w:b w:val="1"/>
          <w:bCs w:val="1"/>
          <w:color w:val="auto"/>
        </w:rPr>
        <w:t xml:space="preserve"> </w:t>
      </w:r>
      <w:r>
        <w:rPr>
          <w:rFonts w:ascii="Arial" w:cs="Arial" w:eastAsia="Arial" w:hAnsi="Arial"/>
          <w:sz w:val="20"/>
          <w:szCs w:val="20"/>
          <w:color w:val="auto"/>
        </w:rPr>
        <w:t>reasonable in the scope of activities restricted, the geographic area covered by the restriction and the duration of the restriction, and is necessary in that it protects the legitimate business interests of the Company and its Affiliates in its confidential information, its proprietary work, and its relationships with its employees, customers, suppliers and agents and that it does not unreasonably impair your ability to earn a livelihood or to support your dependents.</w:t>
      </w:r>
    </w:p>
    <w:p>
      <w:pPr>
        <w:spacing w:after="0" w:line="186" w:lineRule="exact"/>
        <w:rPr>
          <w:rFonts w:ascii="Arial" w:cs="Arial" w:eastAsia="Arial" w:hAnsi="Arial"/>
          <w:sz w:val="20"/>
          <w:szCs w:val="20"/>
          <w:color w:val="auto"/>
        </w:rPr>
      </w:pPr>
    </w:p>
    <w:p>
      <w:pPr>
        <w:jc w:val="both"/>
        <w:ind w:left="640" w:firstLine="624"/>
        <w:spacing w:after="0" w:line="243" w:lineRule="auto"/>
        <w:tabs>
          <w:tab w:leader="none" w:pos="1555" w:val="left"/>
        </w:tabs>
        <w:numPr>
          <w:ilvl w:val="1"/>
          <w:numId w:val="74"/>
        </w:numPr>
        <w:rPr>
          <w:rFonts w:ascii="Arial" w:cs="Arial" w:eastAsia="Arial" w:hAnsi="Arial"/>
          <w:sz w:val="20"/>
          <w:szCs w:val="20"/>
          <w:color w:val="auto"/>
        </w:rPr>
      </w:pPr>
      <w:r>
        <w:rPr>
          <w:rFonts w:ascii="Arial" w:cs="Arial" w:eastAsia="Arial" w:hAnsi="Arial"/>
          <w:sz w:val="20"/>
          <w:szCs w:val="20"/>
          <w:b w:val="1"/>
          <w:bCs w:val="1"/>
          <w:color w:val="auto"/>
        </w:rPr>
        <w:t>Irreparable Harm; Injunctive Relief</w:t>
      </w:r>
      <w:r>
        <w:rPr>
          <w:rFonts w:ascii="Arial" w:cs="Arial" w:eastAsia="Arial" w:hAnsi="Arial"/>
          <w:sz w:val="20"/>
          <w:szCs w:val="20"/>
          <w:color w:val="auto"/>
        </w:rPr>
        <w:t>. You agree and acknowledge that a violation by you of the non-solicitation</w:t>
      </w:r>
      <w:r>
        <w:rPr>
          <w:rFonts w:ascii="Arial" w:cs="Arial" w:eastAsia="Arial" w:hAnsi="Arial"/>
          <w:sz w:val="20"/>
          <w:szCs w:val="20"/>
          <w:b w:val="1"/>
          <w:bCs w:val="1"/>
          <w:color w:val="auto"/>
        </w:rPr>
        <w:t xml:space="preserve"> </w:t>
      </w:r>
      <w:r>
        <w:rPr>
          <w:rFonts w:ascii="Arial" w:cs="Arial" w:eastAsia="Arial" w:hAnsi="Arial"/>
          <w:sz w:val="20"/>
          <w:szCs w:val="20"/>
          <w:color w:val="auto"/>
        </w:rPr>
        <w:t>covenant contained herein will result in immediate and irreparable harm to the Company for which there is no adequate remedy at law. You hereby agree that the Company will be entitled, in addition to any remedies it might have under this Award Agreement or at law, to injunctive and other equitable relief to prevent or curtail any threatened or actual breach of this Award Agreement by you, without the posting of bond or other security.</w:t>
      </w:r>
    </w:p>
    <w:p>
      <w:pPr>
        <w:spacing w:after="0" w:line="186" w:lineRule="exact"/>
        <w:rPr>
          <w:rFonts w:ascii="Arial" w:cs="Arial" w:eastAsia="Arial" w:hAnsi="Arial"/>
          <w:sz w:val="20"/>
          <w:szCs w:val="20"/>
          <w:color w:val="auto"/>
        </w:rPr>
      </w:pPr>
    </w:p>
    <w:p>
      <w:pPr>
        <w:ind w:left="640" w:firstLine="624"/>
        <w:spacing w:after="0" w:line="304" w:lineRule="auto"/>
        <w:tabs>
          <w:tab w:leader="none" w:pos="1566" w:val="left"/>
        </w:tabs>
        <w:numPr>
          <w:ilvl w:val="1"/>
          <w:numId w:val="74"/>
        </w:numPr>
        <w:rPr>
          <w:rFonts w:ascii="Arial" w:cs="Arial" w:eastAsia="Arial" w:hAnsi="Arial"/>
          <w:sz w:val="19"/>
          <w:szCs w:val="19"/>
          <w:color w:val="auto"/>
        </w:rPr>
      </w:pPr>
      <w:r>
        <w:rPr>
          <w:rFonts w:ascii="Arial" w:cs="Arial" w:eastAsia="Arial" w:hAnsi="Arial"/>
          <w:sz w:val="19"/>
          <w:szCs w:val="19"/>
          <w:b w:val="1"/>
          <w:bCs w:val="1"/>
          <w:color w:val="auto"/>
        </w:rPr>
        <w:t>Extension of Covenant</w:t>
      </w:r>
      <w:r>
        <w:rPr>
          <w:rFonts w:ascii="Arial" w:cs="Arial" w:eastAsia="Arial" w:hAnsi="Arial"/>
          <w:sz w:val="19"/>
          <w:szCs w:val="19"/>
          <w:color w:val="auto"/>
        </w:rPr>
        <w:t>. During any breach of the non-solicitation provisions of this Award Agreement, the period</w:t>
      </w:r>
      <w:r>
        <w:rPr>
          <w:rFonts w:ascii="Arial" w:cs="Arial" w:eastAsia="Arial" w:hAnsi="Arial"/>
          <w:sz w:val="19"/>
          <w:szCs w:val="19"/>
          <w:b w:val="1"/>
          <w:bCs w:val="1"/>
          <w:color w:val="auto"/>
        </w:rPr>
        <w:t xml:space="preserve"> </w:t>
      </w:r>
      <w:r>
        <w:rPr>
          <w:rFonts w:ascii="Arial" w:cs="Arial" w:eastAsia="Arial" w:hAnsi="Arial"/>
          <w:sz w:val="19"/>
          <w:szCs w:val="19"/>
          <w:color w:val="auto"/>
        </w:rPr>
        <w:t>of restraint set forth herein shall be automatically tolled and suspended for the amount of time that the violation continues.</w:t>
      </w:r>
    </w:p>
    <w:p>
      <w:pPr>
        <w:spacing w:after="0" w:line="128" w:lineRule="exact"/>
        <w:rPr>
          <w:rFonts w:ascii="Arial" w:cs="Arial" w:eastAsia="Arial" w:hAnsi="Arial"/>
          <w:sz w:val="19"/>
          <w:szCs w:val="19"/>
          <w:color w:val="auto"/>
        </w:rPr>
      </w:pPr>
    </w:p>
    <w:p>
      <w:pPr>
        <w:ind w:left="640" w:firstLine="624"/>
        <w:spacing w:after="0" w:line="252" w:lineRule="auto"/>
        <w:tabs>
          <w:tab w:leader="none" w:pos="1568" w:val="left"/>
        </w:tabs>
        <w:numPr>
          <w:ilvl w:val="1"/>
          <w:numId w:val="74"/>
        </w:numPr>
        <w:rPr>
          <w:rFonts w:ascii="Arial" w:cs="Arial" w:eastAsia="Arial" w:hAnsi="Arial"/>
          <w:sz w:val="21"/>
          <w:szCs w:val="21"/>
          <w:color w:val="auto"/>
        </w:rPr>
      </w:pPr>
      <w:r>
        <w:rPr>
          <w:rFonts w:ascii="Arial" w:cs="Arial" w:eastAsia="Arial" w:hAnsi="Arial"/>
          <w:sz w:val="21"/>
          <w:szCs w:val="21"/>
          <w:b w:val="1"/>
          <w:bCs w:val="1"/>
          <w:color w:val="auto"/>
        </w:rPr>
        <w:t>Survival of Covenants</w:t>
      </w:r>
      <w:r>
        <w:rPr>
          <w:rFonts w:ascii="Arial" w:cs="Arial" w:eastAsia="Arial" w:hAnsi="Arial"/>
          <w:sz w:val="21"/>
          <w:szCs w:val="21"/>
          <w:color w:val="auto"/>
        </w:rPr>
        <w:t>. Your obligations pursuant to this Section 7 shall survive the termination of this Award</w:t>
      </w:r>
      <w:r>
        <w:rPr>
          <w:rFonts w:ascii="Arial" w:cs="Arial" w:eastAsia="Arial" w:hAnsi="Arial"/>
          <w:sz w:val="21"/>
          <w:szCs w:val="21"/>
          <w:b w:val="1"/>
          <w:bCs w:val="1"/>
          <w:color w:val="auto"/>
        </w:rPr>
        <w:t xml:space="preserve"> </w:t>
      </w:r>
      <w:r>
        <w:rPr>
          <w:rFonts w:ascii="Arial" w:cs="Arial" w:eastAsia="Arial" w:hAnsi="Arial"/>
          <w:sz w:val="21"/>
          <w:szCs w:val="21"/>
          <w:color w:val="auto"/>
        </w:rPr>
        <w:t>Agreement and the termination of your employment with the Company or an Affiliate.</w:t>
      </w:r>
    </w:p>
    <w:p>
      <w:pPr>
        <w:spacing w:after="0" w:line="174" w:lineRule="exact"/>
        <w:rPr>
          <w:rFonts w:ascii="Arial" w:cs="Arial" w:eastAsia="Arial" w:hAnsi="Arial"/>
          <w:sz w:val="21"/>
          <w:szCs w:val="21"/>
          <w:color w:val="auto"/>
        </w:rPr>
      </w:pPr>
    </w:p>
    <w:p>
      <w:pPr>
        <w:jc w:val="both"/>
        <w:ind w:left="640" w:firstLine="624"/>
        <w:spacing w:after="0" w:line="238" w:lineRule="auto"/>
        <w:tabs>
          <w:tab w:leader="none" w:pos="1558" w:val="left"/>
        </w:tabs>
        <w:numPr>
          <w:ilvl w:val="1"/>
          <w:numId w:val="74"/>
        </w:numPr>
        <w:rPr>
          <w:rFonts w:ascii="Arial" w:cs="Arial" w:eastAsia="Arial" w:hAnsi="Arial"/>
          <w:sz w:val="21"/>
          <w:szCs w:val="21"/>
          <w:color w:val="auto"/>
        </w:rPr>
      </w:pPr>
      <w:r>
        <w:rPr>
          <w:rFonts w:ascii="Arial" w:cs="Arial" w:eastAsia="Arial" w:hAnsi="Arial"/>
          <w:sz w:val="21"/>
          <w:szCs w:val="21"/>
          <w:b w:val="1"/>
          <w:bCs w:val="1"/>
          <w:color w:val="auto"/>
        </w:rPr>
        <w:t>Attorneys' Fees</w:t>
      </w:r>
      <w:r>
        <w:rPr>
          <w:rFonts w:ascii="Arial" w:cs="Arial" w:eastAsia="Arial" w:hAnsi="Arial"/>
          <w:sz w:val="21"/>
          <w:szCs w:val="21"/>
          <w:color w:val="auto"/>
        </w:rPr>
        <w:t>. You agree to pay the Company any attorneys' fees and costs which the Company incurs in</w:t>
      </w:r>
      <w:r>
        <w:rPr>
          <w:rFonts w:ascii="Arial" w:cs="Arial" w:eastAsia="Arial" w:hAnsi="Arial"/>
          <w:sz w:val="21"/>
          <w:szCs w:val="21"/>
          <w:b w:val="1"/>
          <w:bCs w:val="1"/>
          <w:color w:val="auto"/>
        </w:rPr>
        <w:t xml:space="preserve"> </w:t>
      </w:r>
      <w:r>
        <w:rPr>
          <w:rFonts w:ascii="Arial" w:cs="Arial" w:eastAsia="Arial" w:hAnsi="Arial"/>
          <w:sz w:val="21"/>
          <w:szCs w:val="21"/>
          <w:color w:val="auto"/>
        </w:rPr>
        <w:t>enforcing, to any extent, the provisions of this Section 7, whether or not litigation is actually commenced, and including any appeal.</w:t>
      </w:r>
    </w:p>
    <w:p>
      <w:pPr>
        <w:spacing w:after="0" w:line="186" w:lineRule="exact"/>
        <w:rPr>
          <w:rFonts w:ascii="Arial" w:cs="Arial" w:eastAsia="Arial" w:hAnsi="Arial"/>
          <w:sz w:val="21"/>
          <w:szCs w:val="21"/>
          <w:color w:val="auto"/>
        </w:rPr>
      </w:pPr>
    </w:p>
    <w:p>
      <w:pPr>
        <w:jc w:val="both"/>
        <w:ind w:firstLine="634"/>
        <w:spacing w:after="0" w:line="250" w:lineRule="auto"/>
        <w:tabs>
          <w:tab w:leader="none" w:pos="852" w:val="left"/>
        </w:tabs>
        <w:numPr>
          <w:ilvl w:val="0"/>
          <w:numId w:val="75"/>
        </w:numPr>
        <w:rPr>
          <w:rFonts w:ascii="Arial" w:cs="Arial" w:eastAsia="Arial" w:hAnsi="Arial"/>
          <w:sz w:val="19"/>
          <w:szCs w:val="19"/>
          <w:color w:val="auto"/>
        </w:rPr>
      </w:pPr>
      <w:r>
        <w:rPr>
          <w:rFonts w:ascii="Arial" w:cs="Arial" w:eastAsia="Arial" w:hAnsi="Arial"/>
          <w:sz w:val="19"/>
          <w:szCs w:val="19"/>
          <w:b w:val="1"/>
          <w:bCs w:val="1"/>
          <w:color w:val="auto"/>
        </w:rPr>
        <w:t>Compliance with 409A</w:t>
      </w:r>
      <w:r>
        <w:rPr>
          <w:rFonts w:ascii="Arial" w:cs="Arial" w:eastAsia="Arial" w:hAnsi="Arial"/>
          <w:sz w:val="19"/>
          <w:szCs w:val="19"/>
          <w:color w:val="auto"/>
        </w:rPr>
        <w:t>. The Company intends that this Award Agreement and the Plan either (a) comply with Section</w:t>
      </w:r>
      <w:r>
        <w:rPr>
          <w:rFonts w:ascii="Arial" w:cs="Arial" w:eastAsia="Arial" w:hAnsi="Arial"/>
          <w:sz w:val="19"/>
          <w:szCs w:val="19"/>
          <w:b w:val="1"/>
          <w:bCs w:val="1"/>
          <w:color w:val="auto"/>
        </w:rPr>
        <w:t xml:space="preserve"> </w:t>
      </w:r>
      <w:r>
        <w:rPr>
          <w:rFonts w:ascii="Arial" w:cs="Arial" w:eastAsia="Arial" w:hAnsi="Arial"/>
          <w:sz w:val="19"/>
          <w:szCs w:val="19"/>
          <w:color w:val="auto"/>
        </w:rPr>
        <w:t>409A and guidance thereunder or (b) be excepted from the provisions of Section 409A. Accordingly, the Company reserves the right and you agree that the Company shall have the right, without your consent and without prior notice to you, to amend either or both this Award Agreement and the Plan to cause this Award Agreement and the Plan to be so compliant or so excepted and to take such other actions under the Plan and this Award Agreement to achieve such compliance or exception. If the payment of any benefit herein would be subject to additional taxes and interest under Code Section 409A because the timing of such payment is not delayed as provided in Code Section 409A for a “specified employee” (within the meaning of Code Section 409A), then if a Participant is a “specified employee,” any such payment that the Participant would otherwise be entitled to receive during the first six months following a “separation from service” (as defined in Code Section 409A) shall be accumulated and paid or provided, as applicable, within ten (10) days after the date that is six months following such separation from service, or such earlier date upon which such amount can be paid or provided under Code Section 409A without being subject to such additional taxes and interest imposed pursuant to Code Section 409A and related provisions of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w:t>
      </w:r>
    </w:p>
    <w:p>
      <w:pPr>
        <w:sectPr>
          <w:pgSz w:w="11900" w:h="16838" w:orient="portrait"/>
          <w:cols w:equalWidth="0" w:num="1">
            <w:col w:w="11240"/>
          </w:cols>
          <w:pgMar w:left="320" w:top="1377" w:right="339" w:bottom="1440" w:gutter="0" w:footer="0" w:header="0"/>
        </w:sectPr>
      </w:pPr>
    </w:p>
    <w:bookmarkStart w:id="110" w:name="page111"/>
    <w:bookmarkEnd w:id="110"/>
    <w:p>
      <w:pPr>
        <w:spacing w:after="0" w:line="167" w:lineRule="exact"/>
        <w:rPr>
          <w:sz w:val="20"/>
          <w:szCs w:val="20"/>
          <w:color w:val="auto"/>
        </w:rPr>
      </w:pPr>
    </w:p>
    <w:p>
      <w:pPr>
        <w:ind w:left="-20" w:firstLine="634"/>
        <w:spacing w:after="0" w:line="252" w:lineRule="auto"/>
        <w:tabs>
          <w:tab w:leader="none" w:pos="845" w:val="left"/>
        </w:tabs>
        <w:numPr>
          <w:ilvl w:val="0"/>
          <w:numId w:val="76"/>
        </w:numPr>
        <w:rPr>
          <w:rFonts w:ascii="Arial" w:cs="Arial" w:eastAsia="Arial" w:hAnsi="Arial"/>
          <w:sz w:val="21"/>
          <w:szCs w:val="21"/>
          <w:color w:val="auto"/>
        </w:rPr>
      </w:pPr>
      <w:r>
        <w:rPr>
          <w:rFonts w:ascii="Arial" w:cs="Arial" w:eastAsia="Arial" w:hAnsi="Arial"/>
          <w:sz w:val="21"/>
          <w:szCs w:val="21"/>
          <w:b w:val="1"/>
          <w:bCs w:val="1"/>
          <w:color w:val="auto"/>
        </w:rPr>
        <w:t xml:space="preserve">Certain Definitions. </w:t>
      </w:r>
      <w:r>
        <w:rPr>
          <w:rFonts w:ascii="Arial" w:cs="Arial" w:eastAsia="Arial" w:hAnsi="Arial"/>
          <w:sz w:val="21"/>
          <w:szCs w:val="21"/>
          <w:color w:val="auto"/>
        </w:rPr>
        <w:t>Capitalized terms used in this Award Agreement and not otherwise defined herein shall have the</w:t>
      </w:r>
      <w:r>
        <w:rPr>
          <w:rFonts w:ascii="Arial" w:cs="Arial" w:eastAsia="Arial" w:hAnsi="Arial"/>
          <w:sz w:val="21"/>
          <w:szCs w:val="21"/>
          <w:b w:val="1"/>
          <w:bCs w:val="1"/>
          <w:color w:val="auto"/>
        </w:rPr>
        <w:t xml:space="preserve"> </w:t>
      </w:r>
      <w:r>
        <w:rPr>
          <w:rFonts w:ascii="Arial" w:cs="Arial" w:eastAsia="Arial" w:hAnsi="Arial"/>
          <w:sz w:val="21"/>
          <w:szCs w:val="21"/>
          <w:color w:val="auto"/>
        </w:rPr>
        <w:t>respective meanings provided in the Plan.</w:t>
      </w:r>
    </w:p>
    <w:p>
      <w:pPr>
        <w:spacing w:after="0" w:line="174" w:lineRule="exact"/>
        <w:rPr>
          <w:rFonts w:ascii="Arial" w:cs="Arial" w:eastAsia="Arial" w:hAnsi="Arial"/>
          <w:sz w:val="21"/>
          <w:szCs w:val="21"/>
          <w:color w:val="auto"/>
        </w:rPr>
      </w:pPr>
    </w:p>
    <w:p>
      <w:pPr>
        <w:jc w:val="both"/>
        <w:ind w:left="-20" w:firstLine="634"/>
        <w:spacing w:after="0" w:line="238" w:lineRule="auto"/>
        <w:tabs>
          <w:tab w:leader="none" w:pos="924" w:val="left"/>
        </w:tabs>
        <w:numPr>
          <w:ilvl w:val="0"/>
          <w:numId w:val="76"/>
        </w:numPr>
        <w:rPr>
          <w:rFonts w:ascii="Arial" w:cs="Arial" w:eastAsia="Arial" w:hAnsi="Arial"/>
          <w:sz w:val="21"/>
          <w:szCs w:val="21"/>
          <w:color w:val="auto"/>
        </w:rPr>
      </w:pPr>
      <w:r>
        <w:rPr>
          <w:rFonts w:ascii="Arial" w:cs="Arial" w:eastAsia="Arial" w:hAnsi="Arial"/>
          <w:sz w:val="21"/>
          <w:szCs w:val="21"/>
          <w:b w:val="1"/>
          <w:bCs w:val="1"/>
          <w:color w:val="auto"/>
        </w:rPr>
        <w:t>Designation of Beneficiary</w:t>
      </w:r>
      <w:r>
        <w:rPr>
          <w:rFonts w:ascii="Arial" w:cs="Arial" w:eastAsia="Arial" w:hAnsi="Arial"/>
          <w:sz w:val="21"/>
          <w:szCs w:val="21"/>
          <w:color w:val="auto"/>
        </w:rPr>
        <w:t>. Your beneficiary for receipt of any payment made under this Award Agreement in the event</w:t>
      </w:r>
      <w:r>
        <w:rPr>
          <w:rFonts w:ascii="Arial" w:cs="Arial" w:eastAsia="Arial" w:hAnsi="Arial"/>
          <w:sz w:val="21"/>
          <w:szCs w:val="21"/>
          <w:b w:val="1"/>
          <w:bCs w:val="1"/>
          <w:color w:val="auto"/>
        </w:rPr>
        <w:t xml:space="preserve"> </w:t>
      </w:r>
      <w:r>
        <w:rPr>
          <w:rFonts w:ascii="Arial" w:cs="Arial" w:eastAsia="Arial" w:hAnsi="Arial"/>
          <w:sz w:val="21"/>
          <w:szCs w:val="21"/>
          <w:color w:val="auto"/>
        </w:rPr>
        <w:t>of your death shall be the person(s) designated as your beneficiary(ies) on a form prescribed by the Company. If no beneficiary is designated, upon your death, payment shall be made to your estate.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[Signature Page to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w:t>
      </w:r>
    </w:p>
    <w:p>
      <w:pPr>
        <w:sectPr>
          <w:pgSz w:w="11900" w:h="16838" w:orient="portrait"/>
          <w:cols w:equalWidth="0" w:num="1">
            <w:col w:w="11220"/>
          </w:cols>
          <w:pgMar w:left="340" w:top="1440" w:right="339" w:bottom="1440" w:gutter="0" w:footer="0" w:header="0"/>
        </w:sectPr>
      </w:pPr>
    </w:p>
    <w:bookmarkStart w:id="111" w:name="page112"/>
    <w:bookmarkEnd w:id="111"/>
    <w:p>
      <w:pPr>
        <w:ind w:firstLine="629"/>
        <w:spacing w:after="0" w:line="246" w:lineRule="auto"/>
        <w:rPr>
          <w:sz w:val="20"/>
          <w:szCs w:val="20"/>
          <w:color w:val="auto"/>
        </w:rPr>
      </w:pPr>
      <w:r>
        <w:rPr>
          <w:rFonts w:ascii="Arial" w:cs="Arial" w:eastAsia="Arial" w:hAnsi="Arial"/>
          <w:sz w:val="21"/>
          <w:szCs w:val="21"/>
          <w:color w:val="auto"/>
        </w:rPr>
        <w:t>If you accept this Award Agreement and agree to the foregoing terms and conditions, please so confirm by signing and returning the duplicate copy of this Award Agreement enclosed for that purpose.</w:t>
      </w:r>
    </w:p>
    <w:p>
      <w:pPr>
        <w:spacing w:after="0" w:line="187" w:lineRule="exact"/>
        <w:rPr>
          <w:sz w:val="20"/>
          <w:szCs w:val="20"/>
          <w:color w:val="auto"/>
        </w:rPr>
      </w:pPr>
    </w:p>
    <w:p>
      <w:pPr>
        <w:spacing w:after="0"/>
        <w:rPr>
          <w:sz w:val="20"/>
          <w:szCs w:val="20"/>
          <w:color w:val="auto"/>
        </w:rPr>
      </w:pPr>
      <w:r>
        <w:rPr>
          <w:rFonts w:ascii="Arial" w:cs="Arial" w:eastAsia="Arial" w:hAnsi="Arial"/>
          <w:sz w:val="21"/>
          <w:szCs w:val="21"/>
          <w:color w:val="auto"/>
        </w:rPr>
        <w:t>MATRIX SERVICE COMPANY</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21"/>
          <w:szCs w:val="21"/>
          <w:color w:val="auto"/>
        </w:rPr>
        <w:t>By:</w:t>
      </w:r>
    </w:p>
    <w:p>
      <w:pPr>
        <w:spacing w:after="0" w:line="221" w:lineRule="auto"/>
        <w:rPr>
          <w:sz w:val="20"/>
          <w:szCs w:val="20"/>
          <w:color w:val="auto"/>
        </w:rPr>
      </w:pPr>
      <w:r>
        <w:rPr>
          <w:rFonts w:ascii="Arial" w:cs="Arial" w:eastAsia="Arial" w:hAnsi="Arial"/>
          <w:sz w:val="21"/>
          <w:szCs w:val="21"/>
          <w:color w:val="auto"/>
        </w:rPr>
        <w:t>Name:</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The foregoing Award Agreement is accepted by me as of ______________________, and I hereby agree to the terms, conditions, and</w:t>
      </w:r>
    </w:p>
    <w:p>
      <w:pPr>
        <w:spacing w:after="0" w:line="34" w:lineRule="exact"/>
        <w:rPr>
          <w:sz w:val="20"/>
          <w:szCs w:val="20"/>
          <w:color w:val="auto"/>
        </w:rPr>
      </w:pPr>
    </w:p>
    <w:p>
      <w:pPr>
        <w:spacing w:after="0"/>
        <w:rPr>
          <w:sz w:val="20"/>
          <w:szCs w:val="20"/>
          <w:color w:val="auto"/>
        </w:rPr>
      </w:pPr>
      <w:r>
        <w:rPr>
          <w:rFonts w:ascii="Arial" w:cs="Arial" w:eastAsia="Arial" w:hAnsi="Arial"/>
          <w:sz w:val="21"/>
          <w:szCs w:val="21"/>
          <w:color w:val="auto"/>
        </w:rPr>
        <w:t>restrictions set forth above and in the Plan.</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1"/>
          <w:szCs w:val="21"/>
          <w:color w:val="auto"/>
        </w:rPr>
        <w:t>«Grantee»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w:t>
      </w:r>
    </w:p>
    <w:p>
      <w:pPr>
        <w:sectPr>
          <w:pgSz w:w="11900" w:h="16838" w:orient="portrait"/>
          <w:cols w:equalWidth="0" w:num="1">
            <w:col w:w="11240"/>
          </w:cols>
          <w:pgMar w:left="320" w:top="1377" w:right="339" w:bottom="1440" w:gutter="0" w:footer="0" w:header="0"/>
        </w:sectPr>
      </w:pPr>
    </w:p>
    <w:bookmarkStart w:id="112" w:name="page113"/>
    <w:bookmarkEnd w:id="112"/>
    <w:p>
      <w:pPr>
        <w:jc w:val="right"/>
        <w:spacing w:after="0"/>
        <w:rPr>
          <w:sz w:val="20"/>
          <w:szCs w:val="20"/>
          <w:color w:val="auto"/>
        </w:rPr>
      </w:pPr>
      <w:r>
        <w:rPr>
          <w:rFonts w:ascii="Arial" w:cs="Arial" w:eastAsia="Arial" w:hAnsi="Arial"/>
          <w:sz w:val="21"/>
          <w:szCs w:val="21"/>
          <w:b w:val="1"/>
          <w:bCs w:val="1"/>
          <w:color w:val="auto"/>
        </w:rPr>
        <w:t>Exhibit 10.19</w:t>
      </w:r>
    </w:p>
    <w:p>
      <w:pPr>
        <w:spacing w:after="0" w:line="241" w:lineRule="exact"/>
        <w:rPr>
          <w:sz w:val="20"/>
          <w:szCs w:val="20"/>
          <w:color w:val="auto"/>
        </w:rPr>
      </w:pPr>
    </w:p>
    <w:p>
      <w:pPr>
        <w:jc w:val="right"/>
        <w:spacing w:after="0"/>
        <w:rPr>
          <w:sz w:val="20"/>
          <w:szCs w:val="20"/>
          <w:color w:val="auto"/>
        </w:rPr>
      </w:pPr>
      <w:r>
        <w:rPr>
          <w:rFonts w:ascii="Arial" w:cs="Arial" w:eastAsia="Arial" w:hAnsi="Arial"/>
          <w:sz w:val="19"/>
          <w:szCs w:val="19"/>
          <w:b w:val="1"/>
          <w:bCs w:val="1"/>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1245870</wp:posOffset>
            </wp:positionV>
            <wp:extent cx="7136130" cy="3302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1">
                      <a:extLst>
                        <a:ext uri="{28A0092B-C50C-407E-A947-70E740481C1C}"/>
                      </a:extLst>
                    </a:blip>
                    <a:srcRect/>
                    <a:stretch>
                      <a:fillRect/>
                    </a:stretch>
                  </pic:blipFill>
                  <pic:spPr bwMode="auto">
                    <a:xfrm>
                      <a:off x="0" y="0"/>
                      <a:ext cx="7136130" cy="33020"/>
                    </a:xfrm>
                    <a:prstGeom prst="rect">
                      <a:avLst/>
                    </a:prstGeom>
                    <a:noFill/>
                  </pic:spPr>
                </pic:pic>
              </a:graphicData>
            </a:graphic>
          </wp:anchor>
        </w:drawing>
        <w:drawing>
          <wp:anchor simplePos="0" relativeHeight="251657728" behindDoc="1" locked="0" layoutInCell="0" allowOverlap="1">
            <wp:simplePos x="0" y="0"/>
            <wp:positionH relativeFrom="column">
              <wp:posOffset>-707390</wp:posOffset>
            </wp:positionH>
            <wp:positionV relativeFrom="paragraph">
              <wp:posOffset>1320800</wp:posOffset>
            </wp:positionV>
            <wp:extent cx="7136130" cy="3302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2">
                      <a:extLst>
                        <a:ext uri="{28A0092B-C50C-407E-A947-70E740481C1C}"/>
                      </a:extLst>
                    </a:blip>
                    <a:srcRect/>
                    <a:stretch>
                      <a:fillRect/>
                    </a:stretch>
                  </pic:blipFill>
                  <pic:spPr bwMode="auto">
                    <a:xfrm>
                      <a:off x="0" y="0"/>
                      <a:ext cx="7136130" cy="3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120"/>
        <w:spacing w:after="0"/>
        <w:rPr>
          <w:sz w:val="20"/>
          <w:szCs w:val="20"/>
          <w:color w:val="auto"/>
        </w:rPr>
      </w:pPr>
      <w:r>
        <w:rPr>
          <w:rFonts w:ascii="Arial" w:cs="Arial" w:eastAsia="Arial" w:hAnsi="Arial"/>
          <w:sz w:val="19"/>
          <w:szCs w:val="19"/>
          <w:color w:val="auto"/>
        </w:rPr>
        <w:t>CREDIT AGREEMENT</w:t>
      </w:r>
    </w:p>
    <w:p>
      <w:pPr>
        <w:spacing w:after="0" w:line="214" w:lineRule="exact"/>
        <w:rPr>
          <w:sz w:val="20"/>
          <w:szCs w:val="20"/>
          <w:color w:val="auto"/>
        </w:rPr>
      </w:pPr>
    </w:p>
    <w:p>
      <w:pPr>
        <w:ind w:left="3320"/>
        <w:spacing w:after="0"/>
        <w:rPr>
          <w:sz w:val="20"/>
          <w:szCs w:val="20"/>
          <w:color w:val="auto"/>
        </w:rPr>
      </w:pPr>
      <w:r>
        <w:rPr>
          <w:rFonts w:ascii="Arial" w:cs="Arial" w:eastAsia="Arial" w:hAnsi="Arial"/>
          <w:sz w:val="19"/>
          <w:szCs w:val="19"/>
          <w:color w:val="auto"/>
        </w:rPr>
        <w:t>Dated as of September 9, 2021</w:t>
      </w:r>
    </w:p>
    <w:p>
      <w:pPr>
        <w:spacing w:after="0" w:line="214" w:lineRule="exact"/>
        <w:rPr>
          <w:sz w:val="20"/>
          <w:szCs w:val="20"/>
          <w:color w:val="auto"/>
        </w:rPr>
      </w:pPr>
    </w:p>
    <w:p>
      <w:pPr>
        <w:jc w:val="center"/>
        <w:ind w:right="1740"/>
        <w:spacing w:after="0"/>
        <w:rPr>
          <w:sz w:val="20"/>
          <w:szCs w:val="20"/>
          <w:color w:val="auto"/>
        </w:rPr>
      </w:pPr>
      <w:r>
        <w:rPr>
          <w:rFonts w:ascii="Arial" w:cs="Arial" w:eastAsia="Arial" w:hAnsi="Arial"/>
          <w:sz w:val="19"/>
          <w:szCs w:val="19"/>
          <w:color w:val="auto"/>
        </w:rPr>
        <w:t>among</w:t>
      </w:r>
    </w:p>
    <w:p>
      <w:pPr>
        <w:spacing w:after="0" w:line="214" w:lineRule="exact"/>
        <w:rPr>
          <w:sz w:val="20"/>
          <w:szCs w:val="20"/>
          <w:color w:val="auto"/>
        </w:rPr>
      </w:pPr>
    </w:p>
    <w:p>
      <w:pPr>
        <w:jc w:val="center"/>
        <w:ind w:right="1740"/>
        <w:spacing w:after="0"/>
        <w:rPr>
          <w:sz w:val="20"/>
          <w:szCs w:val="20"/>
          <w:color w:val="auto"/>
        </w:rPr>
      </w:pPr>
      <w:r>
        <w:rPr>
          <w:rFonts w:ascii="Arial" w:cs="Arial" w:eastAsia="Arial" w:hAnsi="Arial"/>
          <w:sz w:val="19"/>
          <w:szCs w:val="19"/>
          <w:color w:val="auto"/>
        </w:rPr>
        <w:t>MATRIX SERVICE COMPANY,</w:t>
      </w:r>
    </w:p>
    <w:p>
      <w:pPr>
        <w:spacing w:after="0" w:line="20" w:lineRule="exact"/>
        <w:rPr>
          <w:sz w:val="20"/>
          <w:szCs w:val="20"/>
          <w:color w:val="auto"/>
        </w:rPr>
      </w:pPr>
    </w:p>
    <w:p>
      <w:pPr>
        <w:jc w:val="center"/>
        <w:ind w:right="1740"/>
        <w:spacing w:after="0"/>
        <w:rPr>
          <w:sz w:val="20"/>
          <w:szCs w:val="20"/>
          <w:color w:val="auto"/>
        </w:rPr>
      </w:pPr>
      <w:r>
        <w:rPr>
          <w:rFonts w:ascii="Arial" w:cs="Arial" w:eastAsia="Arial" w:hAnsi="Arial"/>
          <w:sz w:val="19"/>
          <w:szCs w:val="19"/>
          <w:color w:val="auto"/>
        </w:rPr>
        <w:t>as a Borrower</w:t>
      </w:r>
    </w:p>
    <w:p>
      <w:pPr>
        <w:spacing w:after="0" w:line="4" w:lineRule="exact"/>
        <w:rPr>
          <w:sz w:val="20"/>
          <w:szCs w:val="20"/>
          <w:color w:val="auto"/>
        </w:rPr>
      </w:pPr>
    </w:p>
    <w:p>
      <w:pPr>
        <w:jc w:val="center"/>
        <w:ind w:right="1740"/>
        <w:spacing w:after="0"/>
        <w:rPr>
          <w:sz w:val="20"/>
          <w:szCs w:val="20"/>
          <w:color w:val="auto"/>
        </w:rPr>
      </w:pPr>
      <w:r>
        <w:rPr>
          <w:rFonts w:ascii="Arial" w:cs="Arial" w:eastAsia="Arial" w:hAnsi="Arial"/>
          <w:sz w:val="19"/>
          <w:szCs w:val="19"/>
          <w:color w:val="auto"/>
        </w:rPr>
        <w:t>and certain Subsidiaries thereof,</w:t>
      </w:r>
    </w:p>
    <w:p>
      <w:pPr>
        <w:spacing w:after="0" w:line="4" w:lineRule="exact"/>
        <w:rPr>
          <w:sz w:val="20"/>
          <w:szCs w:val="20"/>
          <w:color w:val="auto"/>
        </w:rPr>
      </w:pPr>
    </w:p>
    <w:p>
      <w:pPr>
        <w:jc w:val="center"/>
        <w:ind w:right="1740"/>
        <w:spacing w:after="0"/>
        <w:rPr>
          <w:sz w:val="20"/>
          <w:szCs w:val="20"/>
          <w:color w:val="auto"/>
        </w:rPr>
      </w:pPr>
      <w:r>
        <w:rPr>
          <w:rFonts w:ascii="Arial" w:cs="Arial" w:eastAsia="Arial" w:hAnsi="Arial"/>
          <w:sz w:val="19"/>
          <w:szCs w:val="19"/>
          <w:color w:val="auto"/>
        </w:rPr>
        <w:t>each as a Loan Party hereto,</w:t>
      </w:r>
    </w:p>
    <w:p>
      <w:pPr>
        <w:spacing w:after="0" w:line="198" w:lineRule="exact"/>
        <w:rPr>
          <w:sz w:val="20"/>
          <w:szCs w:val="20"/>
          <w:color w:val="auto"/>
        </w:rPr>
      </w:pPr>
    </w:p>
    <w:p>
      <w:pPr>
        <w:jc w:val="center"/>
        <w:ind w:right="1740"/>
        <w:spacing w:after="0"/>
        <w:rPr>
          <w:sz w:val="20"/>
          <w:szCs w:val="20"/>
          <w:color w:val="auto"/>
        </w:rPr>
      </w:pPr>
      <w:r>
        <w:rPr>
          <w:rFonts w:ascii="Arial" w:cs="Arial" w:eastAsia="Arial" w:hAnsi="Arial"/>
          <w:sz w:val="18"/>
          <w:szCs w:val="18"/>
          <w:color w:val="auto"/>
        </w:rPr>
        <w:t>CERTAIN FINANCIAL INSTITUTIONS,</w:t>
      </w:r>
    </w:p>
    <w:p>
      <w:pPr>
        <w:spacing w:after="0" w:line="32" w:lineRule="exact"/>
        <w:rPr>
          <w:sz w:val="20"/>
          <w:szCs w:val="20"/>
          <w:color w:val="auto"/>
        </w:rPr>
      </w:pPr>
    </w:p>
    <w:p>
      <w:pPr>
        <w:jc w:val="center"/>
        <w:ind w:right="1740"/>
        <w:spacing w:after="0"/>
        <w:rPr>
          <w:sz w:val="20"/>
          <w:szCs w:val="20"/>
          <w:color w:val="auto"/>
        </w:rPr>
      </w:pPr>
      <w:r>
        <w:rPr>
          <w:rFonts w:ascii="Arial" w:cs="Arial" w:eastAsia="Arial" w:hAnsi="Arial"/>
          <w:sz w:val="19"/>
          <w:szCs w:val="19"/>
          <w:color w:val="auto"/>
        </w:rPr>
        <w:t>as Lenders,</w:t>
      </w:r>
    </w:p>
    <w:p>
      <w:pPr>
        <w:spacing w:after="0" w:line="198" w:lineRule="exact"/>
        <w:rPr>
          <w:sz w:val="20"/>
          <w:szCs w:val="20"/>
          <w:color w:val="auto"/>
        </w:rPr>
      </w:pPr>
    </w:p>
    <w:p>
      <w:pPr>
        <w:ind w:left="3500"/>
        <w:spacing w:after="0"/>
        <w:rPr>
          <w:sz w:val="20"/>
          <w:szCs w:val="20"/>
          <w:color w:val="auto"/>
        </w:rPr>
      </w:pPr>
      <w:r>
        <w:rPr>
          <w:rFonts w:ascii="Arial" w:cs="Arial" w:eastAsia="Arial" w:hAnsi="Arial"/>
          <w:sz w:val="19"/>
          <w:szCs w:val="19"/>
          <w:color w:val="auto"/>
        </w:rPr>
        <w:t>BANK OF MONTREAL,</w:t>
      </w:r>
    </w:p>
    <w:p>
      <w:pPr>
        <w:spacing w:after="0" w:line="240" w:lineRule="exact"/>
        <w:rPr>
          <w:sz w:val="20"/>
          <w:szCs w:val="20"/>
          <w:color w:val="auto"/>
        </w:rPr>
      </w:pPr>
    </w:p>
    <w:p>
      <w:pPr>
        <w:ind w:left="4060"/>
        <w:spacing w:after="0"/>
        <w:rPr>
          <w:sz w:val="20"/>
          <w:szCs w:val="20"/>
          <w:color w:val="auto"/>
        </w:rPr>
      </w:pPr>
      <w:r>
        <w:rPr>
          <w:rFonts w:ascii="Arial" w:cs="Arial" w:eastAsia="Arial" w:hAnsi="Arial"/>
          <w:sz w:val="19"/>
          <w:szCs w:val="19"/>
          <w:color w:val="auto"/>
        </w:rPr>
        <w:t>and</w:t>
      </w:r>
    </w:p>
    <w:p>
      <w:pPr>
        <w:spacing w:after="0" w:line="214" w:lineRule="exact"/>
        <w:rPr>
          <w:sz w:val="20"/>
          <w:szCs w:val="20"/>
          <w:color w:val="auto"/>
        </w:rPr>
      </w:pPr>
    </w:p>
    <w:p>
      <w:pPr>
        <w:ind w:left="3360"/>
        <w:spacing w:after="0"/>
        <w:rPr>
          <w:sz w:val="20"/>
          <w:szCs w:val="20"/>
          <w:color w:val="auto"/>
        </w:rPr>
      </w:pPr>
      <w:r>
        <w:rPr>
          <w:rFonts w:ascii="Arial" w:cs="Arial" w:eastAsia="Arial" w:hAnsi="Arial"/>
          <w:sz w:val="19"/>
          <w:szCs w:val="19"/>
          <w:color w:val="auto"/>
        </w:rPr>
        <w:t>BMO CAPITAL MARKETS,</w:t>
      </w:r>
    </w:p>
    <w:p>
      <w:pPr>
        <w:spacing w:after="0" w:line="20" w:lineRule="exact"/>
        <w:rPr>
          <w:sz w:val="20"/>
          <w:szCs w:val="20"/>
          <w:color w:val="auto"/>
        </w:rPr>
      </w:pPr>
    </w:p>
    <w:p>
      <w:pPr>
        <w:ind w:left="3360"/>
        <w:spacing w:after="0"/>
        <w:rPr>
          <w:sz w:val="20"/>
          <w:szCs w:val="20"/>
          <w:color w:val="auto"/>
        </w:rPr>
      </w:pPr>
      <w:r>
        <w:rPr>
          <w:rFonts w:ascii="Arial" w:cs="Arial" w:eastAsia="Arial" w:hAnsi="Arial"/>
          <w:sz w:val="19"/>
          <w:szCs w:val="19"/>
          <w:color w:val="auto"/>
        </w:rPr>
        <w:t>as Arranger and Book Runner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1185545</wp:posOffset>
            </wp:positionV>
            <wp:extent cx="7136130" cy="330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3">
                      <a:extLst>
                        <a:ext uri="{28A0092B-C50C-407E-A947-70E740481C1C}"/>
                      </a:extLst>
                    </a:blip>
                    <a:srcRect/>
                    <a:stretch>
                      <a:fillRect/>
                    </a:stretch>
                  </pic:blipFill>
                  <pic:spPr bwMode="auto">
                    <a:xfrm>
                      <a:off x="0" y="0"/>
                      <a:ext cx="7136130" cy="33020"/>
                    </a:xfrm>
                    <a:prstGeom prst="rect">
                      <a:avLst/>
                    </a:prstGeom>
                    <a:noFill/>
                  </pic:spPr>
                </pic:pic>
              </a:graphicData>
            </a:graphic>
          </wp:anchor>
        </w:drawing>
        <w:drawing>
          <wp:anchor simplePos="0" relativeHeight="251657728" behindDoc="1" locked="0" layoutInCell="0" allowOverlap="1">
            <wp:simplePos x="0" y="0"/>
            <wp:positionH relativeFrom="column">
              <wp:posOffset>-707390</wp:posOffset>
            </wp:positionH>
            <wp:positionV relativeFrom="paragraph">
              <wp:posOffset>1260475</wp:posOffset>
            </wp:positionV>
            <wp:extent cx="7136130" cy="3302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4">
                      <a:extLst>
                        <a:ext uri="{28A0092B-C50C-407E-A947-70E740481C1C}"/>
                      </a:extLst>
                    </a:blip>
                    <a:srcRect/>
                    <a:stretch>
                      <a:fillRect/>
                    </a:stretch>
                  </pic:blipFill>
                  <pic:spPr bwMode="auto">
                    <a:xfrm>
                      <a:off x="0" y="0"/>
                      <a:ext cx="7136130" cy="33020"/>
                    </a:xfrm>
                    <a:prstGeom prst="rect">
                      <a:avLst/>
                    </a:prstGeom>
                    <a:noFill/>
                  </pic:spPr>
                </pic:pic>
              </a:graphicData>
            </a:graphic>
          </wp:anchor>
        </w:drawing>
      </w:r>
    </w:p>
    <w:p>
      <w:pPr>
        <w:sectPr>
          <w:pgSz w:w="11900" w:h="16838" w:orient="portrait"/>
          <w:cols w:equalWidth="0" w:num="1">
            <w:col w:w="10120"/>
          </w:cols>
          <w:pgMar w:left="1440" w:top="125" w:right="339" w:bottom="1440" w:gutter="0" w:footer="0" w:header="0"/>
        </w:sectPr>
      </w:pPr>
    </w:p>
    <w:bookmarkStart w:id="113" w:name="page114"/>
    <w:bookmarkEnd w:id="113"/>
    <w:p>
      <w:pPr>
        <w:jc w:val="center"/>
        <w:ind w:right="-19"/>
        <w:spacing w:after="0"/>
        <w:rPr>
          <w:sz w:val="20"/>
          <w:szCs w:val="20"/>
          <w:color w:val="auto"/>
        </w:rPr>
      </w:pPr>
      <w:r>
        <w:rPr>
          <w:rFonts w:ascii="Arial" w:cs="Arial" w:eastAsia="Arial" w:hAnsi="Arial"/>
          <w:sz w:val="19"/>
          <w:szCs w:val="19"/>
          <w:b w:val="1"/>
          <w:bCs w:val="1"/>
          <w:color w:val="auto"/>
        </w:rPr>
        <w:t>TABLE OF CONTENTS</w:t>
      </w:r>
    </w:p>
    <w:p>
      <w:pPr>
        <w:spacing w:after="0" w:line="240"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20" w:type="dxa"/>
            <w:vAlign w:val="bottom"/>
          </w:tcPr>
          <w:p>
            <w:pPr>
              <w:spacing w:after="0"/>
              <w:rPr>
                <w:sz w:val="19"/>
                <w:szCs w:val="19"/>
                <w:color w:val="auto"/>
              </w:rPr>
            </w:pPr>
          </w:p>
        </w:tc>
        <w:tc>
          <w:tcPr>
            <w:tcW w:w="8600" w:type="dxa"/>
            <w:vAlign w:val="bottom"/>
          </w:tcPr>
          <w:p>
            <w:pPr>
              <w:jc w:val="center"/>
              <w:ind w:left="1544"/>
              <w:spacing w:after="0"/>
              <w:rPr>
                <w:sz w:val="20"/>
                <w:szCs w:val="20"/>
                <w:color w:val="auto"/>
              </w:rPr>
            </w:pPr>
            <w:r>
              <w:rPr>
                <w:rFonts w:ascii="Arial" w:cs="Arial" w:eastAsia="Arial" w:hAnsi="Arial"/>
                <w:sz w:val="19"/>
                <w:szCs w:val="19"/>
                <w:color w:val="auto"/>
              </w:rPr>
              <w:t>ARTICLE I</w:t>
            </w:r>
          </w:p>
        </w:tc>
        <w:tc>
          <w:tcPr>
            <w:tcW w:w="1600" w:type="dxa"/>
            <w:vAlign w:val="bottom"/>
          </w:tcPr>
          <w:p>
            <w:pPr>
              <w:spacing w:after="0"/>
              <w:rPr>
                <w:sz w:val="19"/>
                <w:szCs w:val="19"/>
                <w:color w:val="auto"/>
              </w:rPr>
            </w:pPr>
          </w:p>
        </w:tc>
      </w:tr>
      <w:tr>
        <w:trPr>
          <w:trHeight w:val="245"/>
        </w:trPr>
        <w:tc>
          <w:tcPr>
            <w:tcW w:w="420" w:type="dxa"/>
            <w:vAlign w:val="bottom"/>
          </w:tcPr>
          <w:p>
            <w:pPr>
              <w:spacing w:after="0"/>
              <w:rPr>
                <w:sz w:val="21"/>
                <w:szCs w:val="21"/>
                <w:color w:val="auto"/>
              </w:rPr>
            </w:pPr>
          </w:p>
        </w:tc>
        <w:tc>
          <w:tcPr>
            <w:tcW w:w="8600" w:type="dxa"/>
            <w:vAlign w:val="bottom"/>
          </w:tcPr>
          <w:p>
            <w:pPr>
              <w:jc w:val="center"/>
              <w:ind w:left="1564"/>
              <w:spacing w:after="0"/>
              <w:rPr>
                <w:sz w:val="20"/>
                <w:szCs w:val="20"/>
                <w:color w:val="auto"/>
              </w:rPr>
            </w:pPr>
            <w:r>
              <w:rPr>
                <w:rFonts w:ascii="Arial" w:cs="Arial" w:eastAsia="Arial" w:hAnsi="Arial"/>
                <w:sz w:val="19"/>
                <w:szCs w:val="19"/>
                <w:color w:val="auto"/>
                <w:w w:val="98"/>
              </w:rPr>
              <w:t>DEFINITIONS AND ACCOUNTING TERMS</w:t>
            </w:r>
          </w:p>
        </w:tc>
        <w:tc>
          <w:tcPr>
            <w:tcW w:w="1600" w:type="dxa"/>
            <w:vAlign w:val="bottom"/>
          </w:tcPr>
          <w:p>
            <w:pPr>
              <w:spacing w:after="0"/>
              <w:rPr>
                <w:sz w:val="21"/>
                <w:szCs w:val="21"/>
                <w:color w:val="auto"/>
              </w:rPr>
            </w:pPr>
          </w:p>
        </w:tc>
      </w:tr>
      <w:tr>
        <w:trPr>
          <w:trHeight w:val="275"/>
        </w:trPr>
        <w:tc>
          <w:tcPr>
            <w:tcW w:w="420" w:type="dxa"/>
            <w:vAlign w:val="bottom"/>
          </w:tcPr>
          <w:p>
            <w:pPr>
              <w:spacing w:after="0"/>
              <w:rPr>
                <w:sz w:val="20"/>
                <w:szCs w:val="20"/>
                <w:color w:val="auto"/>
              </w:rPr>
            </w:pPr>
            <w:r>
              <w:rPr>
                <w:rFonts w:ascii="Arial" w:cs="Arial" w:eastAsia="Arial" w:hAnsi="Arial"/>
                <w:sz w:val="19"/>
                <w:szCs w:val="19"/>
                <w:color w:val="auto"/>
              </w:rPr>
              <w:t>1.01</w:t>
            </w:r>
          </w:p>
        </w:tc>
        <w:tc>
          <w:tcPr>
            <w:tcW w:w="8600" w:type="dxa"/>
            <w:vAlign w:val="bottom"/>
          </w:tcPr>
          <w:p>
            <w:pPr>
              <w:ind w:left="100"/>
              <w:spacing w:after="0"/>
              <w:rPr>
                <w:sz w:val="20"/>
                <w:szCs w:val="20"/>
                <w:color w:val="auto"/>
              </w:rPr>
            </w:pPr>
            <w:r>
              <w:rPr>
                <w:rFonts w:ascii="Arial" w:cs="Arial" w:eastAsia="Arial" w:hAnsi="Arial"/>
                <w:sz w:val="19"/>
                <w:szCs w:val="19"/>
                <w:color w:val="auto"/>
              </w:rPr>
              <w:t>Defined Terms</w:t>
            </w:r>
          </w:p>
        </w:tc>
        <w:tc>
          <w:tcPr>
            <w:tcW w:w="1600" w:type="dxa"/>
            <w:vAlign w:val="bottom"/>
          </w:tcPr>
          <w:p>
            <w:pPr>
              <w:ind w:left="1360"/>
              <w:spacing w:after="0"/>
              <w:rPr>
                <w:sz w:val="20"/>
                <w:szCs w:val="20"/>
                <w:color w:val="auto"/>
              </w:rPr>
            </w:pPr>
            <w:r>
              <w:rPr>
                <w:rFonts w:ascii="Arial" w:cs="Arial" w:eastAsia="Arial" w:hAnsi="Arial"/>
                <w:sz w:val="19"/>
                <w:szCs w:val="19"/>
                <w:color w:val="auto"/>
              </w:rPr>
              <w:t>1</w:t>
            </w:r>
          </w:p>
        </w:tc>
      </w:tr>
      <w:tr>
        <w:trPr>
          <w:trHeight w:val="275"/>
        </w:trPr>
        <w:tc>
          <w:tcPr>
            <w:tcW w:w="420" w:type="dxa"/>
            <w:vAlign w:val="bottom"/>
          </w:tcPr>
          <w:p>
            <w:pPr>
              <w:spacing w:after="0"/>
              <w:rPr>
                <w:sz w:val="20"/>
                <w:szCs w:val="20"/>
                <w:color w:val="auto"/>
              </w:rPr>
            </w:pPr>
            <w:r>
              <w:rPr>
                <w:rFonts w:ascii="Arial" w:cs="Arial" w:eastAsia="Arial" w:hAnsi="Arial"/>
                <w:sz w:val="19"/>
                <w:szCs w:val="19"/>
                <w:color w:val="auto"/>
              </w:rPr>
              <w:t>1.02</w:t>
            </w:r>
          </w:p>
        </w:tc>
        <w:tc>
          <w:tcPr>
            <w:tcW w:w="8600" w:type="dxa"/>
            <w:vAlign w:val="bottom"/>
          </w:tcPr>
          <w:p>
            <w:pPr>
              <w:ind w:left="100"/>
              <w:spacing w:after="0"/>
              <w:rPr>
                <w:sz w:val="20"/>
                <w:szCs w:val="20"/>
                <w:color w:val="auto"/>
              </w:rPr>
            </w:pPr>
            <w:r>
              <w:rPr>
                <w:rFonts w:ascii="Arial" w:cs="Arial" w:eastAsia="Arial" w:hAnsi="Arial"/>
                <w:sz w:val="19"/>
                <w:szCs w:val="19"/>
                <w:color w:val="auto"/>
              </w:rPr>
              <w:t>Other Interpretive Provisions</w:t>
            </w:r>
          </w:p>
        </w:tc>
        <w:tc>
          <w:tcPr>
            <w:tcW w:w="1600" w:type="dxa"/>
            <w:vAlign w:val="bottom"/>
          </w:tcPr>
          <w:p>
            <w:pPr>
              <w:ind w:left="1300"/>
              <w:spacing w:after="0"/>
              <w:rPr>
                <w:sz w:val="20"/>
                <w:szCs w:val="20"/>
                <w:color w:val="auto"/>
              </w:rPr>
            </w:pPr>
            <w:r>
              <w:rPr>
                <w:rFonts w:ascii="Arial" w:cs="Arial" w:eastAsia="Arial" w:hAnsi="Arial"/>
                <w:sz w:val="19"/>
                <w:szCs w:val="19"/>
                <w:color w:val="auto"/>
              </w:rPr>
              <w:t>62</w:t>
            </w:r>
          </w:p>
        </w:tc>
      </w:tr>
      <w:tr>
        <w:trPr>
          <w:trHeight w:val="275"/>
        </w:trPr>
        <w:tc>
          <w:tcPr>
            <w:tcW w:w="420" w:type="dxa"/>
            <w:vAlign w:val="bottom"/>
          </w:tcPr>
          <w:p>
            <w:pPr>
              <w:spacing w:after="0"/>
              <w:rPr>
                <w:sz w:val="20"/>
                <w:szCs w:val="20"/>
                <w:color w:val="auto"/>
              </w:rPr>
            </w:pPr>
            <w:r>
              <w:rPr>
                <w:rFonts w:ascii="Arial" w:cs="Arial" w:eastAsia="Arial" w:hAnsi="Arial"/>
                <w:sz w:val="19"/>
                <w:szCs w:val="19"/>
                <w:color w:val="auto"/>
              </w:rPr>
              <w:t>1.03</w:t>
            </w:r>
          </w:p>
        </w:tc>
        <w:tc>
          <w:tcPr>
            <w:tcW w:w="8600" w:type="dxa"/>
            <w:vAlign w:val="bottom"/>
          </w:tcPr>
          <w:p>
            <w:pPr>
              <w:ind w:left="80"/>
              <w:spacing w:after="0"/>
              <w:rPr>
                <w:sz w:val="20"/>
                <w:szCs w:val="20"/>
                <w:color w:val="auto"/>
              </w:rPr>
            </w:pPr>
            <w:r>
              <w:rPr>
                <w:rFonts w:ascii="Arial" w:cs="Arial" w:eastAsia="Arial" w:hAnsi="Arial"/>
                <w:sz w:val="19"/>
                <w:szCs w:val="19"/>
                <w:color w:val="auto"/>
              </w:rPr>
              <w:t>Accounting Terms</w:t>
            </w:r>
          </w:p>
        </w:tc>
        <w:tc>
          <w:tcPr>
            <w:tcW w:w="1600" w:type="dxa"/>
            <w:vAlign w:val="bottom"/>
          </w:tcPr>
          <w:p>
            <w:pPr>
              <w:ind w:left="1300"/>
              <w:spacing w:after="0"/>
              <w:rPr>
                <w:sz w:val="20"/>
                <w:szCs w:val="20"/>
                <w:color w:val="auto"/>
              </w:rPr>
            </w:pPr>
            <w:r>
              <w:rPr>
                <w:rFonts w:ascii="Arial" w:cs="Arial" w:eastAsia="Arial" w:hAnsi="Arial"/>
                <w:sz w:val="19"/>
                <w:szCs w:val="19"/>
                <w:color w:val="auto"/>
              </w:rPr>
              <w:t>63</w:t>
            </w:r>
          </w:p>
        </w:tc>
      </w:tr>
      <w:tr>
        <w:trPr>
          <w:trHeight w:val="275"/>
        </w:trPr>
        <w:tc>
          <w:tcPr>
            <w:tcW w:w="420" w:type="dxa"/>
            <w:vAlign w:val="bottom"/>
          </w:tcPr>
          <w:p>
            <w:pPr>
              <w:spacing w:after="0"/>
              <w:rPr>
                <w:sz w:val="20"/>
                <w:szCs w:val="20"/>
                <w:color w:val="auto"/>
              </w:rPr>
            </w:pPr>
            <w:r>
              <w:rPr>
                <w:rFonts w:ascii="Arial" w:cs="Arial" w:eastAsia="Arial" w:hAnsi="Arial"/>
                <w:sz w:val="19"/>
                <w:szCs w:val="19"/>
                <w:color w:val="auto"/>
              </w:rPr>
              <w:t>1.04</w:t>
            </w:r>
          </w:p>
        </w:tc>
        <w:tc>
          <w:tcPr>
            <w:tcW w:w="8600" w:type="dxa"/>
            <w:vAlign w:val="bottom"/>
          </w:tcPr>
          <w:p>
            <w:pPr>
              <w:ind w:left="100"/>
              <w:spacing w:after="0"/>
              <w:rPr>
                <w:sz w:val="20"/>
                <w:szCs w:val="20"/>
                <w:color w:val="auto"/>
              </w:rPr>
            </w:pPr>
            <w:r>
              <w:rPr>
                <w:rFonts w:ascii="Arial" w:cs="Arial" w:eastAsia="Arial" w:hAnsi="Arial"/>
                <w:sz w:val="19"/>
                <w:szCs w:val="19"/>
                <w:color w:val="auto"/>
              </w:rPr>
              <w:t>Uniform Commercial Code</w:t>
            </w:r>
          </w:p>
        </w:tc>
        <w:tc>
          <w:tcPr>
            <w:tcW w:w="1600" w:type="dxa"/>
            <w:vAlign w:val="bottom"/>
          </w:tcPr>
          <w:p>
            <w:pPr>
              <w:ind w:left="1300"/>
              <w:spacing w:after="0"/>
              <w:rPr>
                <w:sz w:val="20"/>
                <w:szCs w:val="20"/>
                <w:color w:val="auto"/>
              </w:rPr>
            </w:pPr>
            <w:r>
              <w:rPr>
                <w:rFonts w:ascii="Arial" w:cs="Arial" w:eastAsia="Arial" w:hAnsi="Arial"/>
                <w:sz w:val="19"/>
                <w:szCs w:val="19"/>
                <w:color w:val="auto"/>
              </w:rPr>
              <w:t>64</w:t>
            </w:r>
          </w:p>
        </w:tc>
      </w:tr>
      <w:tr>
        <w:trPr>
          <w:trHeight w:val="275"/>
        </w:trPr>
        <w:tc>
          <w:tcPr>
            <w:tcW w:w="420" w:type="dxa"/>
            <w:vAlign w:val="bottom"/>
          </w:tcPr>
          <w:p>
            <w:pPr>
              <w:spacing w:after="0"/>
              <w:rPr>
                <w:sz w:val="20"/>
                <w:szCs w:val="20"/>
                <w:color w:val="auto"/>
              </w:rPr>
            </w:pPr>
            <w:r>
              <w:rPr>
                <w:rFonts w:ascii="Arial" w:cs="Arial" w:eastAsia="Arial" w:hAnsi="Arial"/>
                <w:sz w:val="19"/>
                <w:szCs w:val="19"/>
                <w:color w:val="auto"/>
              </w:rPr>
              <w:t>1.05</w:t>
            </w:r>
          </w:p>
        </w:tc>
        <w:tc>
          <w:tcPr>
            <w:tcW w:w="8600" w:type="dxa"/>
            <w:vAlign w:val="bottom"/>
          </w:tcPr>
          <w:p>
            <w:pPr>
              <w:ind w:left="100"/>
              <w:spacing w:after="0"/>
              <w:rPr>
                <w:sz w:val="20"/>
                <w:szCs w:val="20"/>
                <w:color w:val="auto"/>
              </w:rPr>
            </w:pPr>
            <w:r>
              <w:rPr>
                <w:rFonts w:ascii="Arial" w:cs="Arial" w:eastAsia="Arial" w:hAnsi="Arial"/>
                <w:sz w:val="19"/>
                <w:szCs w:val="19"/>
                <w:color w:val="auto"/>
              </w:rPr>
              <w:t>Rounding</w:t>
            </w:r>
          </w:p>
        </w:tc>
        <w:tc>
          <w:tcPr>
            <w:tcW w:w="1600" w:type="dxa"/>
            <w:vAlign w:val="bottom"/>
          </w:tcPr>
          <w:p>
            <w:pPr>
              <w:ind w:left="1300"/>
              <w:spacing w:after="0"/>
              <w:rPr>
                <w:sz w:val="20"/>
                <w:szCs w:val="20"/>
                <w:color w:val="auto"/>
              </w:rPr>
            </w:pPr>
            <w:r>
              <w:rPr>
                <w:rFonts w:ascii="Arial" w:cs="Arial" w:eastAsia="Arial" w:hAnsi="Arial"/>
                <w:sz w:val="19"/>
                <w:szCs w:val="19"/>
                <w:color w:val="auto"/>
              </w:rPr>
              <w:t>64</w:t>
            </w:r>
          </w:p>
        </w:tc>
      </w:tr>
      <w:tr>
        <w:trPr>
          <w:trHeight w:val="275"/>
        </w:trPr>
        <w:tc>
          <w:tcPr>
            <w:tcW w:w="420" w:type="dxa"/>
            <w:vAlign w:val="bottom"/>
          </w:tcPr>
          <w:p>
            <w:pPr>
              <w:spacing w:after="0"/>
              <w:rPr>
                <w:sz w:val="20"/>
                <w:szCs w:val="20"/>
                <w:color w:val="auto"/>
              </w:rPr>
            </w:pPr>
            <w:r>
              <w:rPr>
                <w:rFonts w:ascii="Arial" w:cs="Arial" w:eastAsia="Arial" w:hAnsi="Arial"/>
                <w:sz w:val="19"/>
                <w:szCs w:val="19"/>
                <w:color w:val="auto"/>
              </w:rPr>
              <w:t>1.06</w:t>
            </w:r>
          </w:p>
        </w:tc>
        <w:tc>
          <w:tcPr>
            <w:tcW w:w="8600" w:type="dxa"/>
            <w:vAlign w:val="bottom"/>
          </w:tcPr>
          <w:p>
            <w:pPr>
              <w:ind w:left="100"/>
              <w:spacing w:after="0"/>
              <w:rPr>
                <w:sz w:val="20"/>
                <w:szCs w:val="20"/>
                <w:color w:val="auto"/>
              </w:rPr>
            </w:pPr>
            <w:r>
              <w:rPr>
                <w:rFonts w:ascii="Arial" w:cs="Arial" w:eastAsia="Arial" w:hAnsi="Arial"/>
                <w:sz w:val="19"/>
                <w:szCs w:val="19"/>
                <w:color w:val="auto"/>
              </w:rPr>
              <w:t>Times of Day</w:t>
            </w:r>
          </w:p>
        </w:tc>
        <w:tc>
          <w:tcPr>
            <w:tcW w:w="1600" w:type="dxa"/>
            <w:vAlign w:val="bottom"/>
          </w:tcPr>
          <w:p>
            <w:pPr>
              <w:ind w:left="1300"/>
              <w:spacing w:after="0"/>
              <w:rPr>
                <w:sz w:val="20"/>
                <w:szCs w:val="20"/>
                <w:color w:val="auto"/>
              </w:rPr>
            </w:pPr>
            <w:r>
              <w:rPr>
                <w:rFonts w:ascii="Arial" w:cs="Arial" w:eastAsia="Arial" w:hAnsi="Arial"/>
                <w:sz w:val="19"/>
                <w:szCs w:val="19"/>
                <w:color w:val="auto"/>
              </w:rPr>
              <w:t>64</w:t>
            </w:r>
          </w:p>
        </w:tc>
      </w:tr>
      <w:tr>
        <w:trPr>
          <w:trHeight w:val="275"/>
        </w:trPr>
        <w:tc>
          <w:tcPr>
            <w:tcW w:w="420" w:type="dxa"/>
            <w:vAlign w:val="bottom"/>
          </w:tcPr>
          <w:p>
            <w:pPr>
              <w:spacing w:after="0"/>
              <w:rPr>
                <w:sz w:val="20"/>
                <w:szCs w:val="20"/>
                <w:color w:val="auto"/>
              </w:rPr>
            </w:pPr>
            <w:r>
              <w:rPr>
                <w:rFonts w:ascii="Arial" w:cs="Arial" w:eastAsia="Arial" w:hAnsi="Arial"/>
                <w:sz w:val="19"/>
                <w:szCs w:val="19"/>
                <w:color w:val="auto"/>
              </w:rPr>
              <w:t>1.07</w:t>
            </w:r>
          </w:p>
        </w:tc>
        <w:tc>
          <w:tcPr>
            <w:tcW w:w="8600" w:type="dxa"/>
            <w:vAlign w:val="bottom"/>
          </w:tcPr>
          <w:p>
            <w:pPr>
              <w:ind w:left="100"/>
              <w:spacing w:after="0"/>
              <w:rPr>
                <w:sz w:val="20"/>
                <w:szCs w:val="20"/>
                <w:color w:val="auto"/>
              </w:rPr>
            </w:pPr>
            <w:r>
              <w:rPr>
                <w:rFonts w:ascii="Arial" w:cs="Arial" w:eastAsia="Arial" w:hAnsi="Arial"/>
                <w:sz w:val="19"/>
                <w:szCs w:val="19"/>
                <w:color w:val="auto"/>
              </w:rPr>
              <w:t>Letter of Credit Amounts</w:t>
            </w:r>
          </w:p>
        </w:tc>
        <w:tc>
          <w:tcPr>
            <w:tcW w:w="1600" w:type="dxa"/>
            <w:vAlign w:val="bottom"/>
          </w:tcPr>
          <w:p>
            <w:pPr>
              <w:ind w:left="1300"/>
              <w:spacing w:after="0"/>
              <w:rPr>
                <w:sz w:val="20"/>
                <w:szCs w:val="20"/>
                <w:color w:val="auto"/>
              </w:rPr>
            </w:pPr>
            <w:r>
              <w:rPr>
                <w:rFonts w:ascii="Arial" w:cs="Arial" w:eastAsia="Arial" w:hAnsi="Arial"/>
                <w:sz w:val="19"/>
                <w:szCs w:val="19"/>
                <w:color w:val="auto"/>
              </w:rPr>
              <w:t>65</w:t>
            </w:r>
          </w:p>
        </w:tc>
      </w:tr>
      <w:tr>
        <w:trPr>
          <w:trHeight w:val="275"/>
        </w:trPr>
        <w:tc>
          <w:tcPr>
            <w:tcW w:w="420" w:type="dxa"/>
            <w:vAlign w:val="bottom"/>
          </w:tcPr>
          <w:p>
            <w:pPr>
              <w:spacing w:after="0"/>
              <w:rPr>
                <w:sz w:val="20"/>
                <w:szCs w:val="20"/>
                <w:color w:val="auto"/>
              </w:rPr>
            </w:pPr>
            <w:r>
              <w:rPr>
                <w:rFonts w:ascii="Arial" w:cs="Arial" w:eastAsia="Arial" w:hAnsi="Arial"/>
                <w:sz w:val="19"/>
                <w:szCs w:val="19"/>
                <w:color w:val="auto"/>
              </w:rPr>
              <w:t>1.08</w:t>
            </w:r>
          </w:p>
        </w:tc>
        <w:tc>
          <w:tcPr>
            <w:tcW w:w="8600" w:type="dxa"/>
            <w:vAlign w:val="bottom"/>
          </w:tcPr>
          <w:p>
            <w:pPr>
              <w:ind w:left="100"/>
              <w:spacing w:after="0"/>
              <w:rPr>
                <w:sz w:val="20"/>
                <w:szCs w:val="20"/>
                <w:color w:val="auto"/>
              </w:rPr>
            </w:pPr>
            <w:r>
              <w:rPr>
                <w:rFonts w:ascii="Arial" w:cs="Arial" w:eastAsia="Arial" w:hAnsi="Arial"/>
                <w:sz w:val="19"/>
                <w:szCs w:val="19"/>
                <w:color w:val="auto"/>
              </w:rPr>
              <w:t>Exchange Rates; and Currency Equivalents</w:t>
            </w:r>
          </w:p>
        </w:tc>
        <w:tc>
          <w:tcPr>
            <w:tcW w:w="1600" w:type="dxa"/>
            <w:vAlign w:val="bottom"/>
          </w:tcPr>
          <w:p>
            <w:pPr>
              <w:ind w:left="1300"/>
              <w:spacing w:after="0"/>
              <w:rPr>
                <w:sz w:val="20"/>
                <w:szCs w:val="20"/>
                <w:color w:val="auto"/>
              </w:rPr>
            </w:pPr>
            <w:r>
              <w:rPr>
                <w:rFonts w:ascii="Arial" w:cs="Arial" w:eastAsia="Arial" w:hAnsi="Arial"/>
                <w:sz w:val="19"/>
                <w:szCs w:val="19"/>
                <w:color w:val="auto"/>
              </w:rPr>
              <w:t>65</w:t>
            </w:r>
          </w:p>
        </w:tc>
      </w:tr>
      <w:tr>
        <w:trPr>
          <w:trHeight w:val="275"/>
        </w:trPr>
        <w:tc>
          <w:tcPr>
            <w:tcW w:w="420" w:type="dxa"/>
            <w:vAlign w:val="bottom"/>
          </w:tcPr>
          <w:p>
            <w:pPr>
              <w:spacing w:after="0"/>
              <w:rPr>
                <w:sz w:val="20"/>
                <w:szCs w:val="20"/>
                <w:color w:val="auto"/>
              </w:rPr>
            </w:pPr>
            <w:r>
              <w:rPr>
                <w:rFonts w:ascii="Arial" w:cs="Arial" w:eastAsia="Arial" w:hAnsi="Arial"/>
                <w:sz w:val="19"/>
                <w:szCs w:val="19"/>
                <w:color w:val="auto"/>
              </w:rPr>
              <w:t>1.09</w:t>
            </w:r>
          </w:p>
        </w:tc>
        <w:tc>
          <w:tcPr>
            <w:tcW w:w="8600" w:type="dxa"/>
            <w:vAlign w:val="bottom"/>
          </w:tcPr>
          <w:p>
            <w:pPr>
              <w:ind w:left="100"/>
              <w:spacing w:after="0"/>
              <w:rPr>
                <w:sz w:val="20"/>
                <w:szCs w:val="20"/>
                <w:color w:val="auto"/>
              </w:rPr>
            </w:pPr>
            <w:r>
              <w:rPr>
                <w:rFonts w:ascii="Arial" w:cs="Arial" w:eastAsia="Arial" w:hAnsi="Arial"/>
                <w:sz w:val="19"/>
                <w:szCs w:val="19"/>
                <w:color w:val="auto"/>
              </w:rPr>
              <w:t>Québec References</w:t>
            </w:r>
          </w:p>
        </w:tc>
        <w:tc>
          <w:tcPr>
            <w:tcW w:w="1600" w:type="dxa"/>
            <w:vAlign w:val="bottom"/>
          </w:tcPr>
          <w:p>
            <w:pPr>
              <w:ind w:left="1300"/>
              <w:spacing w:after="0"/>
              <w:rPr>
                <w:sz w:val="20"/>
                <w:szCs w:val="20"/>
                <w:color w:val="auto"/>
              </w:rPr>
            </w:pPr>
            <w:r>
              <w:rPr>
                <w:rFonts w:ascii="Arial" w:cs="Arial" w:eastAsia="Arial" w:hAnsi="Arial"/>
                <w:sz w:val="19"/>
                <w:szCs w:val="19"/>
                <w:color w:val="auto"/>
              </w:rPr>
              <w:t>65</w:t>
            </w:r>
          </w:p>
        </w:tc>
      </w:tr>
      <w:tr>
        <w:trPr>
          <w:trHeight w:val="253"/>
        </w:trPr>
        <w:tc>
          <w:tcPr>
            <w:tcW w:w="420" w:type="dxa"/>
            <w:vAlign w:val="bottom"/>
          </w:tcPr>
          <w:p>
            <w:pPr>
              <w:spacing w:after="0"/>
              <w:rPr>
                <w:sz w:val="22"/>
                <w:szCs w:val="22"/>
                <w:color w:val="auto"/>
              </w:rPr>
            </w:pPr>
          </w:p>
        </w:tc>
        <w:tc>
          <w:tcPr>
            <w:tcW w:w="8600" w:type="dxa"/>
            <w:vAlign w:val="bottom"/>
          </w:tcPr>
          <w:p>
            <w:pPr>
              <w:jc w:val="center"/>
              <w:ind w:left="1564"/>
              <w:spacing w:after="0"/>
              <w:rPr>
                <w:sz w:val="20"/>
                <w:szCs w:val="20"/>
                <w:color w:val="auto"/>
              </w:rPr>
            </w:pPr>
            <w:r>
              <w:rPr>
                <w:rFonts w:ascii="Arial" w:cs="Arial" w:eastAsia="Arial" w:hAnsi="Arial"/>
                <w:sz w:val="19"/>
                <w:szCs w:val="19"/>
                <w:color w:val="auto"/>
              </w:rPr>
              <w:t>ARTICLE II</w:t>
            </w:r>
          </w:p>
        </w:tc>
        <w:tc>
          <w:tcPr>
            <w:tcW w:w="1600" w:type="dxa"/>
            <w:vAlign w:val="bottom"/>
          </w:tcPr>
          <w:p>
            <w:pPr>
              <w:spacing w:after="0"/>
              <w:rPr>
                <w:sz w:val="22"/>
                <w:szCs w:val="22"/>
                <w:color w:val="auto"/>
              </w:rPr>
            </w:pPr>
          </w:p>
        </w:tc>
      </w:tr>
      <w:tr>
        <w:trPr>
          <w:trHeight w:val="245"/>
        </w:trPr>
        <w:tc>
          <w:tcPr>
            <w:tcW w:w="420" w:type="dxa"/>
            <w:vAlign w:val="bottom"/>
          </w:tcPr>
          <w:p>
            <w:pPr>
              <w:spacing w:after="0"/>
              <w:rPr>
                <w:sz w:val="21"/>
                <w:szCs w:val="21"/>
                <w:color w:val="auto"/>
              </w:rPr>
            </w:pPr>
          </w:p>
        </w:tc>
        <w:tc>
          <w:tcPr>
            <w:tcW w:w="8600" w:type="dxa"/>
            <w:vAlign w:val="bottom"/>
          </w:tcPr>
          <w:p>
            <w:pPr>
              <w:jc w:val="center"/>
              <w:ind w:left="1564"/>
              <w:spacing w:after="0"/>
              <w:rPr>
                <w:sz w:val="20"/>
                <w:szCs w:val="20"/>
                <w:color w:val="auto"/>
              </w:rPr>
            </w:pPr>
            <w:r>
              <w:rPr>
                <w:rFonts w:ascii="Arial" w:cs="Arial" w:eastAsia="Arial" w:hAnsi="Arial"/>
                <w:sz w:val="19"/>
                <w:szCs w:val="19"/>
                <w:color w:val="auto"/>
                <w:w w:val="98"/>
              </w:rPr>
              <w:t>THE COMMITMENTS AND CREDIT EXTENSIONS</w:t>
            </w:r>
          </w:p>
        </w:tc>
        <w:tc>
          <w:tcPr>
            <w:tcW w:w="1600" w:type="dxa"/>
            <w:vAlign w:val="bottom"/>
          </w:tcPr>
          <w:p>
            <w:pPr>
              <w:spacing w:after="0"/>
              <w:rPr>
                <w:sz w:val="21"/>
                <w:szCs w:val="21"/>
                <w:color w:val="auto"/>
              </w:rPr>
            </w:pPr>
          </w:p>
        </w:tc>
      </w:tr>
      <w:tr>
        <w:trPr>
          <w:trHeight w:val="275"/>
        </w:trPr>
        <w:tc>
          <w:tcPr>
            <w:tcW w:w="420" w:type="dxa"/>
            <w:vAlign w:val="bottom"/>
          </w:tcPr>
          <w:p>
            <w:pPr>
              <w:spacing w:after="0"/>
              <w:rPr>
                <w:sz w:val="20"/>
                <w:szCs w:val="20"/>
                <w:color w:val="auto"/>
              </w:rPr>
            </w:pPr>
            <w:r>
              <w:rPr>
                <w:rFonts w:ascii="Arial" w:cs="Arial" w:eastAsia="Arial" w:hAnsi="Arial"/>
                <w:sz w:val="19"/>
                <w:szCs w:val="19"/>
                <w:color w:val="auto"/>
              </w:rPr>
              <w:t>2.01</w:t>
            </w:r>
          </w:p>
        </w:tc>
        <w:tc>
          <w:tcPr>
            <w:tcW w:w="8600" w:type="dxa"/>
            <w:vAlign w:val="bottom"/>
          </w:tcPr>
          <w:p>
            <w:pPr>
              <w:ind w:left="100"/>
              <w:spacing w:after="0"/>
              <w:rPr>
                <w:sz w:val="20"/>
                <w:szCs w:val="20"/>
                <w:color w:val="auto"/>
              </w:rPr>
            </w:pPr>
            <w:r>
              <w:rPr>
                <w:rFonts w:ascii="Arial" w:cs="Arial" w:eastAsia="Arial" w:hAnsi="Arial"/>
                <w:sz w:val="19"/>
                <w:szCs w:val="19"/>
                <w:color w:val="auto"/>
              </w:rPr>
              <w:t>Loan Commitments</w:t>
            </w:r>
          </w:p>
        </w:tc>
        <w:tc>
          <w:tcPr>
            <w:tcW w:w="1600" w:type="dxa"/>
            <w:vAlign w:val="bottom"/>
          </w:tcPr>
          <w:p>
            <w:pPr>
              <w:ind w:left="1300"/>
              <w:spacing w:after="0"/>
              <w:rPr>
                <w:sz w:val="20"/>
                <w:szCs w:val="20"/>
                <w:color w:val="auto"/>
              </w:rPr>
            </w:pPr>
            <w:r>
              <w:rPr>
                <w:rFonts w:ascii="Arial" w:cs="Arial" w:eastAsia="Arial" w:hAnsi="Arial"/>
                <w:sz w:val="19"/>
                <w:szCs w:val="19"/>
                <w:color w:val="auto"/>
              </w:rPr>
              <w:t>66</w:t>
            </w:r>
          </w:p>
        </w:tc>
      </w:tr>
      <w:tr>
        <w:trPr>
          <w:trHeight w:val="275"/>
        </w:trPr>
        <w:tc>
          <w:tcPr>
            <w:tcW w:w="420" w:type="dxa"/>
            <w:vAlign w:val="bottom"/>
          </w:tcPr>
          <w:p>
            <w:pPr>
              <w:spacing w:after="0"/>
              <w:rPr>
                <w:sz w:val="20"/>
                <w:szCs w:val="20"/>
                <w:color w:val="auto"/>
              </w:rPr>
            </w:pPr>
            <w:r>
              <w:rPr>
                <w:rFonts w:ascii="Arial" w:cs="Arial" w:eastAsia="Arial" w:hAnsi="Arial"/>
                <w:sz w:val="19"/>
                <w:szCs w:val="19"/>
                <w:color w:val="auto"/>
              </w:rPr>
              <w:t>2.02</w:t>
            </w:r>
          </w:p>
        </w:tc>
        <w:tc>
          <w:tcPr>
            <w:tcW w:w="8600" w:type="dxa"/>
            <w:vAlign w:val="bottom"/>
          </w:tcPr>
          <w:p>
            <w:pPr>
              <w:ind w:left="100"/>
              <w:spacing w:after="0"/>
              <w:rPr>
                <w:sz w:val="20"/>
                <w:szCs w:val="20"/>
                <w:color w:val="auto"/>
              </w:rPr>
            </w:pPr>
            <w:r>
              <w:rPr>
                <w:rFonts w:ascii="Arial" w:cs="Arial" w:eastAsia="Arial" w:hAnsi="Arial"/>
                <w:sz w:val="19"/>
                <w:szCs w:val="19"/>
                <w:color w:val="auto"/>
              </w:rPr>
              <w:t>Borrowings, Conversions and Continuations of Loans</w:t>
            </w:r>
          </w:p>
        </w:tc>
        <w:tc>
          <w:tcPr>
            <w:tcW w:w="1600" w:type="dxa"/>
            <w:vAlign w:val="bottom"/>
          </w:tcPr>
          <w:p>
            <w:pPr>
              <w:ind w:left="1300"/>
              <w:spacing w:after="0"/>
              <w:rPr>
                <w:sz w:val="20"/>
                <w:szCs w:val="20"/>
                <w:color w:val="auto"/>
              </w:rPr>
            </w:pPr>
            <w:r>
              <w:rPr>
                <w:rFonts w:ascii="Arial" w:cs="Arial" w:eastAsia="Arial" w:hAnsi="Arial"/>
                <w:sz w:val="19"/>
                <w:szCs w:val="19"/>
                <w:color w:val="auto"/>
              </w:rPr>
              <w:t>69</w:t>
            </w:r>
          </w:p>
        </w:tc>
      </w:tr>
      <w:tr>
        <w:trPr>
          <w:trHeight w:val="275"/>
        </w:trPr>
        <w:tc>
          <w:tcPr>
            <w:tcW w:w="420" w:type="dxa"/>
            <w:vAlign w:val="bottom"/>
          </w:tcPr>
          <w:p>
            <w:pPr>
              <w:spacing w:after="0"/>
              <w:rPr>
                <w:sz w:val="20"/>
                <w:szCs w:val="20"/>
                <w:color w:val="auto"/>
              </w:rPr>
            </w:pPr>
            <w:r>
              <w:rPr>
                <w:rFonts w:ascii="Arial" w:cs="Arial" w:eastAsia="Arial" w:hAnsi="Arial"/>
                <w:sz w:val="19"/>
                <w:szCs w:val="19"/>
                <w:color w:val="auto"/>
              </w:rPr>
              <w:t>2.03</w:t>
            </w:r>
          </w:p>
        </w:tc>
        <w:tc>
          <w:tcPr>
            <w:tcW w:w="8600" w:type="dxa"/>
            <w:vAlign w:val="bottom"/>
          </w:tcPr>
          <w:p>
            <w:pPr>
              <w:ind w:left="100"/>
              <w:spacing w:after="0"/>
              <w:rPr>
                <w:sz w:val="20"/>
                <w:szCs w:val="20"/>
                <w:color w:val="auto"/>
              </w:rPr>
            </w:pPr>
            <w:r>
              <w:rPr>
                <w:rFonts w:ascii="Arial" w:cs="Arial" w:eastAsia="Arial" w:hAnsi="Arial"/>
                <w:sz w:val="19"/>
                <w:szCs w:val="19"/>
                <w:color w:val="auto"/>
              </w:rPr>
              <w:t>Letters of Credit.</w:t>
            </w:r>
          </w:p>
        </w:tc>
        <w:tc>
          <w:tcPr>
            <w:tcW w:w="1600" w:type="dxa"/>
            <w:vAlign w:val="bottom"/>
          </w:tcPr>
          <w:p>
            <w:pPr>
              <w:ind w:left="1300"/>
              <w:spacing w:after="0"/>
              <w:rPr>
                <w:sz w:val="20"/>
                <w:szCs w:val="20"/>
                <w:color w:val="auto"/>
              </w:rPr>
            </w:pPr>
            <w:r>
              <w:rPr>
                <w:rFonts w:ascii="Arial" w:cs="Arial" w:eastAsia="Arial" w:hAnsi="Arial"/>
                <w:sz w:val="19"/>
                <w:szCs w:val="19"/>
                <w:color w:val="auto"/>
              </w:rPr>
              <w:t>71</w:t>
            </w:r>
          </w:p>
        </w:tc>
      </w:tr>
      <w:tr>
        <w:trPr>
          <w:trHeight w:val="275"/>
        </w:trPr>
        <w:tc>
          <w:tcPr>
            <w:tcW w:w="420" w:type="dxa"/>
            <w:vAlign w:val="bottom"/>
          </w:tcPr>
          <w:p>
            <w:pPr>
              <w:spacing w:after="0"/>
              <w:rPr>
                <w:sz w:val="20"/>
                <w:szCs w:val="20"/>
                <w:color w:val="auto"/>
              </w:rPr>
            </w:pPr>
            <w:r>
              <w:rPr>
                <w:rFonts w:ascii="Arial" w:cs="Arial" w:eastAsia="Arial" w:hAnsi="Arial"/>
                <w:sz w:val="19"/>
                <w:szCs w:val="19"/>
                <w:color w:val="auto"/>
              </w:rPr>
              <w:t>2.04</w:t>
            </w:r>
          </w:p>
        </w:tc>
        <w:tc>
          <w:tcPr>
            <w:tcW w:w="8600" w:type="dxa"/>
            <w:vAlign w:val="bottom"/>
          </w:tcPr>
          <w:p>
            <w:pPr>
              <w:ind w:left="100"/>
              <w:spacing w:after="0"/>
              <w:rPr>
                <w:sz w:val="20"/>
                <w:szCs w:val="20"/>
                <w:color w:val="auto"/>
              </w:rPr>
            </w:pPr>
            <w:r>
              <w:rPr>
                <w:rFonts w:ascii="Arial" w:cs="Arial" w:eastAsia="Arial" w:hAnsi="Arial"/>
                <w:sz w:val="19"/>
                <w:szCs w:val="19"/>
                <w:color w:val="auto"/>
              </w:rPr>
              <w:t>Swing Line Loans</w:t>
            </w:r>
          </w:p>
        </w:tc>
        <w:tc>
          <w:tcPr>
            <w:tcW w:w="1600" w:type="dxa"/>
            <w:vAlign w:val="bottom"/>
          </w:tcPr>
          <w:p>
            <w:pPr>
              <w:ind w:left="1300"/>
              <w:spacing w:after="0"/>
              <w:rPr>
                <w:sz w:val="20"/>
                <w:szCs w:val="20"/>
                <w:color w:val="auto"/>
              </w:rPr>
            </w:pPr>
            <w:r>
              <w:rPr>
                <w:rFonts w:ascii="Arial" w:cs="Arial" w:eastAsia="Arial" w:hAnsi="Arial"/>
                <w:sz w:val="19"/>
                <w:szCs w:val="19"/>
                <w:color w:val="auto"/>
              </w:rPr>
              <w:t>78</w:t>
            </w:r>
          </w:p>
        </w:tc>
      </w:tr>
      <w:tr>
        <w:trPr>
          <w:trHeight w:val="275"/>
        </w:trPr>
        <w:tc>
          <w:tcPr>
            <w:tcW w:w="420" w:type="dxa"/>
            <w:vAlign w:val="bottom"/>
          </w:tcPr>
          <w:p>
            <w:pPr>
              <w:spacing w:after="0"/>
              <w:rPr>
                <w:sz w:val="20"/>
                <w:szCs w:val="20"/>
                <w:color w:val="auto"/>
              </w:rPr>
            </w:pPr>
            <w:r>
              <w:rPr>
                <w:rFonts w:ascii="Arial" w:cs="Arial" w:eastAsia="Arial" w:hAnsi="Arial"/>
                <w:sz w:val="19"/>
                <w:szCs w:val="19"/>
                <w:color w:val="auto"/>
              </w:rPr>
              <w:t>2.05</w:t>
            </w:r>
          </w:p>
        </w:tc>
        <w:tc>
          <w:tcPr>
            <w:tcW w:w="8600" w:type="dxa"/>
            <w:vAlign w:val="bottom"/>
          </w:tcPr>
          <w:p>
            <w:pPr>
              <w:ind w:left="100"/>
              <w:spacing w:after="0"/>
              <w:rPr>
                <w:sz w:val="20"/>
                <w:szCs w:val="20"/>
                <w:color w:val="auto"/>
              </w:rPr>
            </w:pPr>
            <w:r>
              <w:rPr>
                <w:rFonts w:ascii="Arial" w:cs="Arial" w:eastAsia="Arial" w:hAnsi="Arial"/>
                <w:sz w:val="19"/>
                <w:szCs w:val="19"/>
                <w:color w:val="auto"/>
              </w:rPr>
              <w:t>Repayment of Loans</w:t>
            </w:r>
          </w:p>
        </w:tc>
        <w:tc>
          <w:tcPr>
            <w:tcW w:w="1600" w:type="dxa"/>
            <w:vAlign w:val="bottom"/>
          </w:tcPr>
          <w:p>
            <w:pPr>
              <w:ind w:left="1300"/>
              <w:spacing w:after="0"/>
              <w:rPr>
                <w:sz w:val="20"/>
                <w:szCs w:val="20"/>
                <w:color w:val="auto"/>
              </w:rPr>
            </w:pPr>
            <w:r>
              <w:rPr>
                <w:rFonts w:ascii="Arial" w:cs="Arial" w:eastAsia="Arial" w:hAnsi="Arial"/>
                <w:sz w:val="19"/>
                <w:szCs w:val="19"/>
                <w:color w:val="auto"/>
              </w:rPr>
              <w:t>80</w:t>
            </w:r>
          </w:p>
        </w:tc>
      </w:tr>
      <w:tr>
        <w:trPr>
          <w:trHeight w:val="275"/>
        </w:trPr>
        <w:tc>
          <w:tcPr>
            <w:tcW w:w="420" w:type="dxa"/>
            <w:vAlign w:val="bottom"/>
          </w:tcPr>
          <w:p>
            <w:pPr>
              <w:spacing w:after="0"/>
              <w:rPr>
                <w:sz w:val="20"/>
                <w:szCs w:val="20"/>
                <w:color w:val="auto"/>
              </w:rPr>
            </w:pPr>
            <w:r>
              <w:rPr>
                <w:rFonts w:ascii="Arial" w:cs="Arial" w:eastAsia="Arial" w:hAnsi="Arial"/>
                <w:sz w:val="19"/>
                <w:szCs w:val="19"/>
                <w:color w:val="auto"/>
              </w:rPr>
              <w:t>2.06</w:t>
            </w:r>
          </w:p>
        </w:tc>
        <w:tc>
          <w:tcPr>
            <w:tcW w:w="8600" w:type="dxa"/>
            <w:vAlign w:val="bottom"/>
          </w:tcPr>
          <w:p>
            <w:pPr>
              <w:ind w:left="100"/>
              <w:spacing w:after="0"/>
              <w:rPr>
                <w:sz w:val="20"/>
                <w:szCs w:val="20"/>
                <w:color w:val="auto"/>
              </w:rPr>
            </w:pPr>
            <w:r>
              <w:rPr>
                <w:rFonts w:ascii="Arial" w:cs="Arial" w:eastAsia="Arial" w:hAnsi="Arial"/>
                <w:sz w:val="19"/>
                <w:szCs w:val="19"/>
                <w:color w:val="auto"/>
              </w:rPr>
              <w:t>Prepayments</w:t>
            </w:r>
          </w:p>
        </w:tc>
        <w:tc>
          <w:tcPr>
            <w:tcW w:w="1600" w:type="dxa"/>
            <w:vAlign w:val="bottom"/>
          </w:tcPr>
          <w:p>
            <w:pPr>
              <w:ind w:left="1300"/>
              <w:spacing w:after="0"/>
              <w:rPr>
                <w:sz w:val="20"/>
                <w:szCs w:val="20"/>
                <w:color w:val="auto"/>
              </w:rPr>
            </w:pPr>
            <w:r>
              <w:rPr>
                <w:rFonts w:ascii="Arial" w:cs="Arial" w:eastAsia="Arial" w:hAnsi="Arial"/>
                <w:sz w:val="19"/>
                <w:szCs w:val="19"/>
                <w:color w:val="auto"/>
              </w:rPr>
              <w:t>81</w:t>
            </w:r>
          </w:p>
        </w:tc>
      </w:tr>
      <w:tr>
        <w:trPr>
          <w:trHeight w:val="275"/>
        </w:trPr>
        <w:tc>
          <w:tcPr>
            <w:tcW w:w="420" w:type="dxa"/>
            <w:vAlign w:val="bottom"/>
          </w:tcPr>
          <w:p>
            <w:pPr>
              <w:spacing w:after="0"/>
              <w:rPr>
                <w:sz w:val="20"/>
                <w:szCs w:val="20"/>
                <w:color w:val="auto"/>
              </w:rPr>
            </w:pPr>
            <w:r>
              <w:rPr>
                <w:rFonts w:ascii="Arial" w:cs="Arial" w:eastAsia="Arial" w:hAnsi="Arial"/>
                <w:sz w:val="19"/>
                <w:szCs w:val="19"/>
                <w:color w:val="auto"/>
              </w:rPr>
              <w:t>2.07</w:t>
            </w:r>
          </w:p>
        </w:tc>
        <w:tc>
          <w:tcPr>
            <w:tcW w:w="8600" w:type="dxa"/>
            <w:vAlign w:val="bottom"/>
          </w:tcPr>
          <w:p>
            <w:pPr>
              <w:ind w:left="100"/>
              <w:spacing w:after="0"/>
              <w:rPr>
                <w:sz w:val="20"/>
                <w:szCs w:val="20"/>
                <w:color w:val="auto"/>
              </w:rPr>
            </w:pPr>
            <w:r>
              <w:rPr>
                <w:rFonts w:ascii="Arial" w:cs="Arial" w:eastAsia="Arial" w:hAnsi="Arial"/>
                <w:sz w:val="19"/>
                <w:szCs w:val="19"/>
                <w:color w:val="auto"/>
              </w:rPr>
              <w:t>Termination or Reduction of Commitments</w:t>
            </w:r>
          </w:p>
        </w:tc>
        <w:tc>
          <w:tcPr>
            <w:tcW w:w="1600" w:type="dxa"/>
            <w:vAlign w:val="bottom"/>
          </w:tcPr>
          <w:p>
            <w:pPr>
              <w:ind w:left="1300"/>
              <w:spacing w:after="0"/>
              <w:rPr>
                <w:sz w:val="20"/>
                <w:szCs w:val="20"/>
                <w:color w:val="auto"/>
              </w:rPr>
            </w:pPr>
            <w:r>
              <w:rPr>
                <w:rFonts w:ascii="Arial" w:cs="Arial" w:eastAsia="Arial" w:hAnsi="Arial"/>
                <w:sz w:val="19"/>
                <w:szCs w:val="19"/>
                <w:color w:val="auto"/>
              </w:rPr>
              <w:t>83</w:t>
            </w:r>
          </w:p>
        </w:tc>
      </w:tr>
      <w:tr>
        <w:trPr>
          <w:trHeight w:val="275"/>
        </w:trPr>
        <w:tc>
          <w:tcPr>
            <w:tcW w:w="420" w:type="dxa"/>
            <w:vAlign w:val="bottom"/>
          </w:tcPr>
          <w:p>
            <w:pPr>
              <w:spacing w:after="0"/>
              <w:rPr>
                <w:sz w:val="20"/>
                <w:szCs w:val="20"/>
                <w:color w:val="auto"/>
              </w:rPr>
            </w:pPr>
            <w:r>
              <w:rPr>
                <w:rFonts w:ascii="Arial" w:cs="Arial" w:eastAsia="Arial" w:hAnsi="Arial"/>
                <w:sz w:val="19"/>
                <w:szCs w:val="19"/>
                <w:color w:val="auto"/>
              </w:rPr>
              <w:t>2.08</w:t>
            </w:r>
          </w:p>
        </w:tc>
        <w:tc>
          <w:tcPr>
            <w:tcW w:w="8600" w:type="dxa"/>
            <w:vAlign w:val="bottom"/>
          </w:tcPr>
          <w:p>
            <w:pPr>
              <w:ind w:left="100"/>
              <w:spacing w:after="0"/>
              <w:rPr>
                <w:sz w:val="20"/>
                <w:szCs w:val="20"/>
                <w:color w:val="auto"/>
              </w:rPr>
            </w:pPr>
            <w:r>
              <w:rPr>
                <w:rFonts w:ascii="Arial" w:cs="Arial" w:eastAsia="Arial" w:hAnsi="Arial"/>
                <w:sz w:val="19"/>
                <w:szCs w:val="19"/>
                <w:color w:val="auto"/>
              </w:rPr>
              <w:t>Interest.</w:t>
            </w:r>
          </w:p>
        </w:tc>
        <w:tc>
          <w:tcPr>
            <w:tcW w:w="1600" w:type="dxa"/>
            <w:vAlign w:val="bottom"/>
          </w:tcPr>
          <w:p>
            <w:pPr>
              <w:ind w:left="1300"/>
              <w:spacing w:after="0"/>
              <w:rPr>
                <w:sz w:val="20"/>
                <w:szCs w:val="20"/>
                <w:color w:val="auto"/>
              </w:rPr>
            </w:pPr>
            <w:r>
              <w:rPr>
                <w:rFonts w:ascii="Arial" w:cs="Arial" w:eastAsia="Arial" w:hAnsi="Arial"/>
                <w:sz w:val="19"/>
                <w:szCs w:val="19"/>
                <w:color w:val="auto"/>
              </w:rPr>
              <w:t>84</w:t>
            </w:r>
          </w:p>
        </w:tc>
      </w:tr>
      <w:tr>
        <w:trPr>
          <w:trHeight w:val="275"/>
        </w:trPr>
        <w:tc>
          <w:tcPr>
            <w:tcW w:w="420" w:type="dxa"/>
            <w:vAlign w:val="bottom"/>
          </w:tcPr>
          <w:p>
            <w:pPr>
              <w:spacing w:after="0"/>
              <w:rPr>
                <w:sz w:val="20"/>
                <w:szCs w:val="20"/>
                <w:color w:val="auto"/>
              </w:rPr>
            </w:pPr>
            <w:r>
              <w:rPr>
                <w:rFonts w:ascii="Arial" w:cs="Arial" w:eastAsia="Arial" w:hAnsi="Arial"/>
                <w:sz w:val="19"/>
                <w:szCs w:val="19"/>
                <w:color w:val="auto"/>
              </w:rPr>
              <w:t>2.09</w:t>
            </w:r>
          </w:p>
        </w:tc>
        <w:tc>
          <w:tcPr>
            <w:tcW w:w="8600" w:type="dxa"/>
            <w:vAlign w:val="bottom"/>
          </w:tcPr>
          <w:p>
            <w:pPr>
              <w:ind w:left="100"/>
              <w:spacing w:after="0"/>
              <w:rPr>
                <w:sz w:val="20"/>
                <w:szCs w:val="20"/>
                <w:color w:val="auto"/>
              </w:rPr>
            </w:pPr>
            <w:r>
              <w:rPr>
                <w:rFonts w:ascii="Arial" w:cs="Arial" w:eastAsia="Arial" w:hAnsi="Arial"/>
                <w:sz w:val="19"/>
                <w:szCs w:val="19"/>
                <w:color w:val="auto"/>
              </w:rPr>
              <w:t>Fees.</w:t>
            </w:r>
          </w:p>
        </w:tc>
        <w:tc>
          <w:tcPr>
            <w:tcW w:w="1600" w:type="dxa"/>
            <w:vAlign w:val="bottom"/>
          </w:tcPr>
          <w:p>
            <w:pPr>
              <w:ind w:left="1300"/>
              <w:spacing w:after="0"/>
              <w:rPr>
                <w:sz w:val="20"/>
                <w:szCs w:val="20"/>
                <w:color w:val="auto"/>
              </w:rPr>
            </w:pPr>
            <w:r>
              <w:rPr>
                <w:rFonts w:ascii="Arial" w:cs="Arial" w:eastAsia="Arial" w:hAnsi="Arial"/>
                <w:sz w:val="19"/>
                <w:szCs w:val="19"/>
                <w:color w:val="auto"/>
              </w:rPr>
              <w:t>85</w:t>
            </w:r>
          </w:p>
        </w:tc>
      </w:tr>
      <w:tr>
        <w:trPr>
          <w:trHeight w:val="275"/>
        </w:trPr>
        <w:tc>
          <w:tcPr>
            <w:tcW w:w="420" w:type="dxa"/>
            <w:vAlign w:val="bottom"/>
          </w:tcPr>
          <w:p>
            <w:pPr>
              <w:spacing w:after="0"/>
              <w:rPr>
                <w:sz w:val="20"/>
                <w:szCs w:val="20"/>
                <w:color w:val="auto"/>
              </w:rPr>
            </w:pPr>
            <w:r>
              <w:rPr>
                <w:rFonts w:ascii="Arial" w:cs="Arial" w:eastAsia="Arial" w:hAnsi="Arial"/>
                <w:sz w:val="19"/>
                <w:szCs w:val="19"/>
                <w:color w:val="auto"/>
              </w:rPr>
              <w:t>2.10</w:t>
            </w:r>
          </w:p>
        </w:tc>
        <w:tc>
          <w:tcPr>
            <w:tcW w:w="8600" w:type="dxa"/>
            <w:vAlign w:val="bottom"/>
          </w:tcPr>
          <w:p>
            <w:pPr>
              <w:ind w:left="100"/>
              <w:spacing w:after="0"/>
              <w:rPr>
                <w:sz w:val="20"/>
                <w:szCs w:val="20"/>
                <w:color w:val="auto"/>
              </w:rPr>
            </w:pPr>
            <w:r>
              <w:rPr>
                <w:rFonts w:ascii="Arial" w:cs="Arial" w:eastAsia="Arial" w:hAnsi="Arial"/>
                <w:sz w:val="19"/>
                <w:szCs w:val="19"/>
                <w:color w:val="auto"/>
              </w:rPr>
              <w:t>Computation of Interest and Fees</w:t>
            </w:r>
          </w:p>
        </w:tc>
        <w:tc>
          <w:tcPr>
            <w:tcW w:w="1600" w:type="dxa"/>
            <w:vAlign w:val="bottom"/>
          </w:tcPr>
          <w:p>
            <w:pPr>
              <w:ind w:left="1300"/>
              <w:spacing w:after="0"/>
              <w:rPr>
                <w:sz w:val="20"/>
                <w:szCs w:val="20"/>
                <w:color w:val="auto"/>
              </w:rPr>
            </w:pPr>
            <w:r>
              <w:rPr>
                <w:rFonts w:ascii="Arial" w:cs="Arial" w:eastAsia="Arial" w:hAnsi="Arial"/>
                <w:sz w:val="19"/>
                <w:szCs w:val="19"/>
                <w:color w:val="auto"/>
              </w:rPr>
              <w:t>86</w:t>
            </w:r>
          </w:p>
        </w:tc>
      </w:tr>
      <w:tr>
        <w:trPr>
          <w:trHeight w:val="275"/>
        </w:trPr>
        <w:tc>
          <w:tcPr>
            <w:tcW w:w="420" w:type="dxa"/>
            <w:vAlign w:val="bottom"/>
          </w:tcPr>
          <w:p>
            <w:pPr>
              <w:spacing w:after="0"/>
              <w:rPr>
                <w:sz w:val="20"/>
                <w:szCs w:val="20"/>
                <w:color w:val="auto"/>
              </w:rPr>
            </w:pPr>
            <w:r>
              <w:rPr>
                <w:rFonts w:ascii="Arial" w:cs="Arial" w:eastAsia="Arial" w:hAnsi="Arial"/>
                <w:sz w:val="19"/>
                <w:szCs w:val="19"/>
                <w:color w:val="auto"/>
              </w:rPr>
              <w:t>2.11</w:t>
            </w:r>
          </w:p>
        </w:tc>
        <w:tc>
          <w:tcPr>
            <w:tcW w:w="8600" w:type="dxa"/>
            <w:vAlign w:val="bottom"/>
          </w:tcPr>
          <w:p>
            <w:pPr>
              <w:ind w:left="100"/>
              <w:spacing w:after="0"/>
              <w:rPr>
                <w:sz w:val="20"/>
                <w:szCs w:val="20"/>
                <w:color w:val="auto"/>
              </w:rPr>
            </w:pPr>
            <w:r>
              <w:rPr>
                <w:rFonts w:ascii="Arial" w:cs="Arial" w:eastAsia="Arial" w:hAnsi="Arial"/>
                <w:sz w:val="19"/>
                <w:szCs w:val="19"/>
                <w:color w:val="auto"/>
              </w:rPr>
              <w:t>Evidence of Debt.</w:t>
            </w:r>
          </w:p>
        </w:tc>
        <w:tc>
          <w:tcPr>
            <w:tcW w:w="1600" w:type="dxa"/>
            <w:vAlign w:val="bottom"/>
          </w:tcPr>
          <w:p>
            <w:pPr>
              <w:ind w:left="1300"/>
              <w:spacing w:after="0"/>
              <w:rPr>
                <w:sz w:val="20"/>
                <w:szCs w:val="20"/>
                <w:color w:val="auto"/>
              </w:rPr>
            </w:pPr>
            <w:r>
              <w:rPr>
                <w:rFonts w:ascii="Arial" w:cs="Arial" w:eastAsia="Arial" w:hAnsi="Arial"/>
                <w:sz w:val="19"/>
                <w:szCs w:val="19"/>
                <w:color w:val="auto"/>
              </w:rPr>
              <w:t>86</w:t>
            </w:r>
          </w:p>
        </w:tc>
      </w:tr>
      <w:tr>
        <w:trPr>
          <w:trHeight w:val="275"/>
        </w:trPr>
        <w:tc>
          <w:tcPr>
            <w:tcW w:w="420" w:type="dxa"/>
            <w:vAlign w:val="bottom"/>
          </w:tcPr>
          <w:p>
            <w:pPr>
              <w:spacing w:after="0"/>
              <w:rPr>
                <w:sz w:val="20"/>
                <w:szCs w:val="20"/>
                <w:color w:val="auto"/>
              </w:rPr>
            </w:pPr>
            <w:r>
              <w:rPr>
                <w:rFonts w:ascii="Arial" w:cs="Arial" w:eastAsia="Arial" w:hAnsi="Arial"/>
                <w:sz w:val="19"/>
                <w:szCs w:val="19"/>
                <w:color w:val="auto"/>
              </w:rPr>
              <w:t>2.12</w:t>
            </w:r>
          </w:p>
        </w:tc>
        <w:tc>
          <w:tcPr>
            <w:tcW w:w="8600" w:type="dxa"/>
            <w:vAlign w:val="bottom"/>
          </w:tcPr>
          <w:p>
            <w:pPr>
              <w:ind w:left="100"/>
              <w:spacing w:after="0"/>
              <w:rPr>
                <w:sz w:val="20"/>
                <w:szCs w:val="20"/>
                <w:color w:val="auto"/>
              </w:rPr>
            </w:pPr>
            <w:r>
              <w:rPr>
                <w:rFonts w:ascii="Arial" w:cs="Arial" w:eastAsia="Arial" w:hAnsi="Arial"/>
                <w:sz w:val="19"/>
                <w:szCs w:val="19"/>
                <w:color w:val="auto"/>
              </w:rPr>
              <w:t>Payments Generally; the Administrative Agent’s Clawback</w:t>
            </w:r>
          </w:p>
        </w:tc>
        <w:tc>
          <w:tcPr>
            <w:tcW w:w="1600" w:type="dxa"/>
            <w:vAlign w:val="bottom"/>
          </w:tcPr>
          <w:p>
            <w:pPr>
              <w:ind w:left="1300"/>
              <w:spacing w:after="0"/>
              <w:rPr>
                <w:sz w:val="20"/>
                <w:szCs w:val="20"/>
                <w:color w:val="auto"/>
              </w:rPr>
            </w:pPr>
            <w:r>
              <w:rPr>
                <w:rFonts w:ascii="Arial" w:cs="Arial" w:eastAsia="Arial" w:hAnsi="Arial"/>
                <w:sz w:val="19"/>
                <w:szCs w:val="19"/>
                <w:color w:val="auto"/>
              </w:rPr>
              <w:t>87</w:t>
            </w:r>
          </w:p>
        </w:tc>
      </w:tr>
      <w:tr>
        <w:trPr>
          <w:trHeight w:val="275"/>
        </w:trPr>
        <w:tc>
          <w:tcPr>
            <w:tcW w:w="420" w:type="dxa"/>
            <w:vAlign w:val="bottom"/>
          </w:tcPr>
          <w:p>
            <w:pPr>
              <w:spacing w:after="0"/>
              <w:rPr>
                <w:sz w:val="20"/>
                <w:szCs w:val="20"/>
                <w:color w:val="auto"/>
              </w:rPr>
            </w:pPr>
            <w:r>
              <w:rPr>
                <w:rFonts w:ascii="Arial" w:cs="Arial" w:eastAsia="Arial" w:hAnsi="Arial"/>
                <w:sz w:val="19"/>
                <w:szCs w:val="19"/>
                <w:color w:val="auto"/>
              </w:rPr>
              <w:t>2.13</w:t>
            </w:r>
          </w:p>
        </w:tc>
        <w:tc>
          <w:tcPr>
            <w:tcW w:w="8600" w:type="dxa"/>
            <w:vAlign w:val="bottom"/>
          </w:tcPr>
          <w:p>
            <w:pPr>
              <w:ind w:left="100"/>
              <w:spacing w:after="0"/>
              <w:rPr>
                <w:sz w:val="20"/>
                <w:szCs w:val="20"/>
                <w:color w:val="auto"/>
              </w:rPr>
            </w:pPr>
            <w:r>
              <w:rPr>
                <w:rFonts w:ascii="Arial" w:cs="Arial" w:eastAsia="Arial" w:hAnsi="Arial"/>
                <w:sz w:val="19"/>
                <w:szCs w:val="19"/>
                <w:color w:val="auto"/>
              </w:rPr>
              <w:t>Sharing of Payments by Lenders</w:t>
            </w:r>
          </w:p>
        </w:tc>
        <w:tc>
          <w:tcPr>
            <w:tcW w:w="1600" w:type="dxa"/>
            <w:vAlign w:val="bottom"/>
          </w:tcPr>
          <w:p>
            <w:pPr>
              <w:ind w:left="1300"/>
              <w:spacing w:after="0"/>
              <w:rPr>
                <w:sz w:val="20"/>
                <w:szCs w:val="20"/>
                <w:color w:val="auto"/>
              </w:rPr>
            </w:pPr>
            <w:r>
              <w:rPr>
                <w:rFonts w:ascii="Arial" w:cs="Arial" w:eastAsia="Arial" w:hAnsi="Arial"/>
                <w:sz w:val="19"/>
                <w:szCs w:val="19"/>
                <w:color w:val="auto"/>
              </w:rPr>
              <w:t>89</w:t>
            </w:r>
          </w:p>
        </w:tc>
      </w:tr>
      <w:tr>
        <w:trPr>
          <w:trHeight w:val="275"/>
        </w:trPr>
        <w:tc>
          <w:tcPr>
            <w:tcW w:w="420" w:type="dxa"/>
            <w:vAlign w:val="bottom"/>
          </w:tcPr>
          <w:p>
            <w:pPr>
              <w:spacing w:after="0"/>
              <w:rPr>
                <w:sz w:val="20"/>
                <w:szCs w:val="20"/>
                <w:color w:val="auto"/>
              </w:rPr>
            </w:pPr>
            <w:r>
              <w:rPr>
                <w:rFonts w:ascii="Arial" w:cs="Arial" w:eastAsia="Arial" w:hAnsi="Arial"/>
                <w:sz w:val="19"/>
                <w:szCs w:val="19"/>
                <w:color w:val="auto"/>
              </w:rPr>
              <w:t>2.14</w:t>
            </w:r>
          </w:p>
        </w:tc>
        <w:tc>
          <w:tcPr>
            <w:tcW w:w="8600" w:type="dxa"/>
            <w:vAlign w:val="bottom"/>
          </w:tcPr>
          <w:p>
            <w:pPr>
              <w:ind w:left="100"/>
              <w:spacing w:after="0"/>
              <w:rPr>
                <w:sz w:val="20"/>
                <w:szCs w:val="20"/>
                <w:color w:val="auto"/>
              </w:rPr>
            </w:pPr>
            <w:r>
              <w:rPr>
                <w:rFonts w:ascii="Arial" w:cs="Arial" w:eastAsia="Arial" w:hAnsi="Arial"/>
                <w:sz w:val="19"/>
                <w:szCs w:val="19"/>
                <w:color w:val="auto"/>
              </w:rPr>
              <w:t>Settlement Among Lenders</w:t>
            </w:r>
          </w:p>
        </w:tc>
        <w:tc>
          <w:tcPr>
            <w:tcW w:w="1600" w:type="dxa"/>
            <w:vAlign w:val="bottom"/>
          </w:tcPr>
          <w:p>
            <w:pPr>
              <w:ind w:left="1300"/>
              <w:spacing w:after="0"/>
              <w:rPr>
                <w:sz w:val="20"/>
                <w:szCs w:val="20"/>
                <w:color w:val="auto"/>
              </w:rPr>
            </w:pPr>
            <w:r>
              <w:rPr>
                <w:rFonts w:ascii="Arial" w:cs="Arial" w:eastAsia="Arial" w:hAnsi="Arial"/>
                <w:sz w:val="19"/>
                <w:szCs w:val="19"/>
                <w:color w:val="auto"/>
              </w:rPr>
              <w:t>90</w:t>
            </w:r>
          </w:p>
        </w:tc>
      </w:tr>
      <w:tr>
        <w:trPr>
          <w:trHeight w:val="275"/>
        </w:trPr>
        <w:tc>
          <w:tcPr>
            <w:tcW w:w="420" w:type="dxa"/>
            <w:vAlign w:val="bottom"/>
          </w:tcPr>
          <w:p>
            <w:pPr>
              <w:spacing w:after="0"/>
              <w:rPr>
                <w:sz w:val="20"/>
                <w:szCs w:val="20"/>
                <w:color w:val="auto"/>
              </w:rPr>
            </w:pPr>
            <w:r>
              <w:rPr>
                <w:rFonts w:ascii="Arial" w:cs="Arial" w:eastAsia="Arial" w:hAnsi="Arial"/>
                <w:sz w:val="19"/>
                <w:szCs w:val="19"/>
                <w:color w:val="auto"/>
              </w:rPr>
              <w:t>2.15</w:t>
            </w:r>
          </w:p>
        </w:tc>
        <w:tc>
          <w:tcPr>
            <w:tcW w:w="8600" w:type="dxa"/>
            <w:vAlign w:val="bottom"/>
          </w:tcPr>
          <w:p>
            <w:pPr>
              <w:ind w:left="100"/>
              <w:spacing w:after="0"/>
              <w:rPr>
                <w:sz w:val="20"/>
                <w:szCs w:val="20"/>
                <w:color w:val="auto"/>
              </w:rPr>
            </w:pPr>
            <w:r>
              <w:rPr>
                <w:rFonts w:ascii="Arial" w:cs="Arial" w:eastAsia="Arial" w:hAnsi="Arial"/>
                <w:sz w:val="19"/>
                <w:szCs w:val="19"/>
                <w:color w:val="auto"/>
              </w:rPr>
              <w:t>Nature and Extent of Each Borrower’s Liability</w:t>
            </w:r>
          </w:p>
        </w:tc>
        <w:tc>
          <w:tcPr>
            <w:tcW w:w="1600" w:type="dxa"/>
            <w:vAlign w:val="bottom"/>
          </w:tcPr>
          <w:p>
            <w:pPr>
              <w:ind w:left="1300"/>
              <w:spacing w:after="0"/>
              <w:rPr>
                <w:sz w:val="20"/>
                <w:szCs w:val="20"/>
                <w:color w:val="auto"/>
              </w:rPr>
            </w:pPr>
            <w:r>
              <w:rPr>
                <w:rFonts w:ascii="Arial" w:cs="Arial" w:eastAsia="Arial" w:hAnsi="Arial"/>
                <w:sz w:val="19"/>
                <w:szCs w:val="19"/>
                <w:color w:val="auto"/>
              </w:rPr>
              <w:t>90</w:t>
            </w:r>
          </w:p>
        </w:tc>
      </w:tr>
      <w:tr>
        <w:trPr>
          <w:trHeight w:val="275"/>
        </w:trPr>
        <w:tc>
          <w:tcPr>
            <w:tcW w:w="420" w:type="dxa"/>
            <w:vAlign w:val="bottom"/>
          </w:tcPr>
          <w:p>
            <w:pPr>
              <w:spacing w:after="0"/>
              <w:rPr>
                <w:sz w:val="20"/>
                <w:szCs w:val="20"/>
                <w:color w:val="auto"/>
              </w:rPr>
            </w:pPr>
            <w:r>
              <w:rPr>
                <w:rFonts w:ascii="Arial" w:cs="Arial" w:eastAsia="Arial" w:hAnsi="Arial"/>
                <w:sz w:val="19"/>
                <w:szCs w:val="19"/>
                <w:color w:val="auto"/>
              </w:rPr>
              <w:t>2.16</w:t>
            </w:r>
          </w:p>
        </w:tc>
        <w:tc>
          <w:tcPr>
            <w:tcW w:w="8600" w:type="dxa"/>
            <w:vAlign w:val="bottom"/>
          </w:tcPr>
          <w:p>
            <w:pPr>
              <w:ind w:left="100"/>
              <w:spacing w:after="0"/>
              <w:rPr>
                <w:sz w:val="20"/>
                <w:szCs w:val="20"/>
                <w:color w:val="auto"/>
              </w:rPr>
            </w:pPr>
            <w:r>
              <w:rPr>
                <w:rFonts w:ascii="Arial" w:cs="Arial" w:eastAsia="Arial" w:hAnsi="Arial"/>
                <w:sz w:val="19"/>
                <w:szCs w:val="19"/>
                <w:color w:val="auto"/>
              </w:rPr>
              <w:t>Cash Collateral</w:t>
            </w:r>
          </w:p>
        </w:tc>
        <w:tc>
          <w:tcPr>
            <w:tcW w:w="1600" w:type="dxa"/>
            <w:vAlign w:val="bottom"/>
          </w:tcPr>
          <w:p>
            <w:pPr>
              <w:ind w:left="1300"/>
              <w:spacing w:after="0"/>
              <w:rPr>
                <w:sz w:val="20"/>
                <w:szCs w:val="20"/>
                <w:color w:val="auto"/>
              </w:rPr>
            </w:pPr>
            <w:r>
              <w:rPr>
                <w:rFonts w:ascii="Arial" w:cs="Arial" w:eastAsia="Arial" w:hAnsi="Arial"/>
                <w:sz w:val="19"/>
                <w:szCs w:val="19"/>
                <w:color w:val="auto"/>
              </w:rPr>
              <w:t>94</w:t>
            </w:r>
          </w:p>
        </w:tc>
      </w:tr>
      <w:tr>
        <w:trPr>
          <w:trHeight w:val="275"/>
        </w:trPr>
        <w:tc>
          <w:tcPr>
            <w:tcW w:w="420" w:type="dxa"/>
            <w:vAlign w:val="bottom"/>
          </w:tcPr>
          <w:p>
            <w:pPr>
              <w:spacing w:after="0"/>
              <w:rPr>
                <w:sz w:val="20"/>
                <w:szCs w:val="20"/>
                <w:color w:val="auto"/>
              </w:rPr>
            </w:pPr>
            <w:r>
              <w:rPr>
                <w:rFonts w:ascii="Arial" w:cs="Arial" w:eastAsia="Arial" w:hAnsi="Arial"/>
                <w:sz w:val="19"/>
                <w:szCs w:val="19"/>
                <w:color w:val="auto"/>
              </w:rPr>
              <w:t>2.17</w:t>
            </w:r>
          </w:p>
        </w:tc>
        <w:tc>
          <w:tcPr>
            <w:tcW w:w="8600" w:type="dxa"/>
            <w:vAlign w:val="bottom"/>
          </w:tcPr>
          <w:p>
            <w:pPr>
              <w:ind w:left="100"/>
              <w:spacing w:after="0"/>
              <w:rPr>
                <w:sz w:val="20"/>
                <w:szCs w:val="20"/>
                <w:color w:val="auto"/>
              </w:rPr>
            </w:pPr>
            <w:r>
              <w:rPr>
                <w:rFonts w:ascii="Arial" w:cs="Arial" w:eastAsia="Arial" w:hAnsi="Arial"/>
                <w:sz w:val="19"/>
                <w:szCs w:val="19"/>
                <w:color w:val="auto"/>
              </w:rPr>
              <w:t>Defaulting Lenders</w:t>
            </w:r>
          </w:p>
        </w:tc>
        <w:tc>
          <w:tcPr>
            <w:tcW w:w="1600" w:type="dxa"/>
            <w:vAlign w:val="bottom"/>
          </w:tcPr>
          <w:p>
            <w:pPr>
              <w:ind w:left="1300"/>
              <w:spacing w:after="0"/>
              <w:rPr>
                <w:sz w:val="20"/>
                <w:szCs w:val="20"/>
                <w:color w:val="auto"/>
              </w:rPr>
            </w:pPr>
            <w:r>
              <w:rPr>
                <w:rFonts w:ascii="Arial" w:cs="Arial" w:eastAsia="Arial" w:hAnsi="Arial"/>
                <w:sz w:val="19"/>
                <w:szCs w:val="19"/>
                <w:color w:val="auto"/>
              </w:rPr>
              <w:t>95</w:t>
            </w:r>
          </w:p>
        </w:tc>
      </w:tr>
      <w:tr>
        <w:trPr>
          <w:trHeight w:val="275"/>
        </w:trPr>
        <w:tc>
          <w:tcPr>
            <w:tcW w:w="420" w:type="dxa"/>
            <w:vAlign w:val="bottom"/>
          </w:tcPr>
          <w:p>
            <w:pPr>
              <w:spacing w:after="0"/>
              <w:rPr>
                <w:sz w:val="20"/>
                <w:szCs w:val="20"/>
                <w:color w:val="auto"/>
              </w:rPr>
            </w:pPr>
            <w:r>
              <w:rPr>
                <w:rFonts w:ascii="Arial" w:cs="Arial" w:eastAsia="Arial" w:hAnsi="Arial"/>
                <w:sz w:val="19"/>
                <w:szCs w:val="19"/>
                <w:color w:val="auto"/>
              </w:rPr>
              <w:t>2.18</w:t>
            </w:r>
          </w:p>
        </w:tc>
        <w:tc>
          <w:tcPr>
            <w:tcW w:w="8600" w:type="dxa"/>
            <w:vAlign w:val="bottom"/>
          </w:tcPr>
          <w:p>
            <w:pPr>
              <w:ind w:left="100"/>
              <w:spacing w:after="0"/>
              <w:rPr>
                <w:sz w:val="20"/>
                <w:szCs w:val="20"/>
                <w:color w:val="auto"/>
              </w:rPr>
            </w:pPr>
            <w:r>
              <w:rPr>
                <w:rFonts w:ascii="Arial" w:cs="Arial" w:eastAsia="Arial" w:hAnsi="Arial"/>
                <w:sz w:val="19"/>
                <w:szCs w:val="19"/>
                <w:color w:val="auto"/>
              </w:rPr>
              <w:t>Uncommitted Increase in Revolving Credit Commitments</w:t>
            </w:r>
          </w:p>
        </w:tc>
        <w:tc>
          <w:tcPr>
            <w:tcW w:w="1600" w:type="dxa"/>
            <w:vAlign w:val="bottom"/>
          </w:tcPr>
          <w:p>
            <w:pPr>
              <w:ind w:left="1300"/>
              <w:spacing w:after="0"/>
              <w:rPr>
                <w:sz w:val="20"/>
                <w:szCs w:val="20"/>
                <w:color w:val="auto"/>
              </w:rPr>
            </w:pPr>
            <w:r>
              <w:rPr>
                <w:rFonts w:ascii="Arial" w:cs="Arial" w:eastAsia="Arial" w:hAnsi="Arial"/>
                <w:sz w:val="19"/>
                <w:szCs w:val="19"/>
                <w:color w:val="auto"/>
              </w:rPr>
              <w:t>97</w:t>
            </w:r>
          </w:p>
        </w:tc>
      </w:tr>
      <w:tr>
        <w:trPr>
          <w:trHeight w:val="275"/>
        </w:trPr>
        <w:tc>
          <w:tcPr>
            <w:tcW w:w="420" w:type="dxa"/>
            <w:vAlign w:val="bottom"/>
          </w:tcPr>
          <w:p>
            <w:pPr>
              <w:spacing w:after="0"/>
              <w:rPr>
                <w:sz w:val="20"/>
                <w:szCs w:val="20"/>
                <w:color w:val="auto"/>
              </w:rPr>
            </w:pPr>
            <w:r>
              <w:rPr>
                <w:rFonts w:ascii="Arial" w:cs="Arial" w:eastAsia="Arial" w:hAnsi="Arial"/>
                <w:sz w:val="19"/>
                <w:szCs w:val="19"/>
                <w:color w:val="auto"/>
              </w:rPr>
              <w:t>2.19</w:t>
            </w:r>
          </w:p>
        </w:tc>
        <w:tc>
          <w:tcPr>
            <w:tcW w:w="8600" w:type="dxa"/>
            <w:vAlign w:val="bottom"/>
          </w:tcPr>
          <w:p>
            <w:pPr>
              <w:ind w:left="100"/>
              <w:spacing w:after="0"/>
              <w:rPr>
                <w:sz w:val="20"/>
                <w:szCs w:val="20"/>
                <w:color w:val="auto"/>
              </w:rPr>
            </w:pPr>
            <w:r>
              <w:rPr>
                <w:rFonts w:ascii="Arial" w:cs="Arial" w:eastAsia="Arial" w:hAnsi="Arial"/>
                <w:sz w:val="19"/>
                <w:szCs w:val="19"/>
                <w:color w:val="auto"/>
              </w:rPr>
              <w:t>Designation of Subsidiaries as Unrestricted Subsidiaries</w:t>
            </w:r>
          </w:p>
        </w:tc>
        <w:tc>
          <w:tcPr>
            <w:tcW w:w="1600" w:type="dxa"/>
            <w:vAlign w:val="bottom"/>
          </w:tcPr>
          <w:p>
            <w:pPr>
              <w:ind w:left="1300"/>
              <w:spacing w:after="0"/>
              <w:rPr>
                <w:sz w:val="20"/>
                <w:szCs w:val="20"/>
                <w:color w:val="auto"/>
              </w:rPr>
            </w:pPr>
            <w:r>
              <w:rPr>
                <w:rFonts w:ascii="Arial" w:cs="Arial" w:eastAsia="Arial" w:hAnsi="Arial"/>
                <w:sz w:val="19"/>
                <w:szCs w:val="19"/>
                <w:color w:val="auto"/>
              </w:rPr>
              <w:t>98</w:t>
            </w:r>
          </w:p>
        </w:tc>
      </w:tr>
      <w:tr>
        <w:trPr>
          <w:trHeight w:val="253"/>
        </w:trPr>
        <w:tc>
          <w:tcPr>
            <w:tcW w:w="420" w:type="dxa"/>
            <w:vAlign w:val="bottom"/>
          </w:tcPr>
          <w:p>
            <w:pPr>
              <w:spacing w:after="0"/>
              <w:rPr>
                <w:sz w:val="22"/>
                <w:szCs w:val="22"/>
                <w:color w:val="auto"/>
              </w:rPr>
            </w:pPr>
          </w:p>
        </w:tc>
        <w:tc>
          <w:tcPr>
            <w:tcW w:w="8600" w:type="dxa"/>
            <w:vAlign w:val="bottom"/>
          </w:tcPr>
          <w:p>
            <w:pPr>
              <w:jc w:val="center"/>
              <w:ind w:left="1544"/>
              <w:spacing w:after="0"/>
              <w:rPr>
                <w:sz w:val="20"/>
                <w:szCs w:val="20"/>
                <w:color w:val="auto"/>
              </w:rPr>
            </w:pPr>
            <w:r>
              <w:rPr>
                <w:rFonts w:ascii="Arial" w:cs="Arial" w:eastAsia="Arial" w:hAnsi="Arial"/>
                <w:sz w:val="19"/>
                <w:szCs w:val="19"/>
                <w:color w:val="auto"/>
              </w:rPr>
              <w:t>ARTICLE III</w:t>
            </w:r>
          </w:p>
        </w:tc>
        <w:tc>
          <w:tcPr>
            <w:tcW w:w="1600" w:type="dxa"/>
            <w:vAlign w:val="bottom"/>
          </w:tcPr>
          <w:p>
            <w:pPr>
              <w:spacing w:after="0"/>
              <w:rPr>
                <w:sz w:val="22"/>
                <w:szCs w:val="22"/>
                <w:color w:val="auto"/>
              </w:rPr>
            </w:pPr>
          </w:p>
        </w:tc>
      </w:tr>
      <w:tr>
        <w:trPr>
          <w:trHeight w:val="245"/>
        </w:trPr>
        <w:tc>
          <w:tcPr>
            <w:tcW w:w="420" w:type="dxa"/>
            <w:vAlign w:val="bottom"/>
          </w:tcPr>
          <w:p>
            <w:pPr>
              <w:spacing w:after="0"/>
              <w:rPr>
                <w:sz w:val="21"/>
                <w:szCs w:val="21"/>
                <w:color w:val="auto"/>
              </w:rPr>
            </w:pPr>
          </w:p>
        </w:tc>
        <w:tc>
          <w:tcPr>
            <w:tcW w:w="8600" w:type="dxa"/>
            <w:vAlign w:val="bottom"/>
          </w:tcPr>
          <w:p>
            <w:pPr>
              <w:jc w:val="center"/>
              <w:ind w:left="1544"/>
              <w:spacing w:after="0"/>
              <w:rPr>
                <w:sz w:val="20"/>
                <w:szCs w:val="20"/>
                <w:color w:val="auto"/>
              </w:rPr>
            </w:pPr>
            <w:r>
              <w:rPr>
                <w:rFonts w:ascii="Arial" w:cs="Arial" w:eastAsia="Arial" w:hAnsi="Arial"/>
                <w:sz w:val="19"/>
                <w:szCs w:val="19"/>
                <w:color w:val="auto"/>
              </w:rPr>
              <w:t>TAXES, YIELD PROTECTION AND ILLEGALITY</w:t>
            </w:r>
          </w:p>
        </w:tc>
        <w:tc>
          <w:tcPr>
            <w:tcW w:w="1600" w:type="dxa"/>
            <w:vAlign w:val="bottom"/>
          </w:tcPr>
          <w:p>
            <w:pPr>
              <w:spacing w:after="0"/>
              <w:rPr>
                <w:sz w:val="21"/>
                <w:szCs w:val="21"/>
                <w:color w:val="auto"/>
              </w:rPr>
            </w:pPr>
          </w:p>
        </w:tc>
      </w:tr>
      <w:tr>
        <w:trPr>
          <w:trHeight w:val="275"/>
        </w:trPr>
        <w:tc>
          <w:tcPr>
            <w:tcW w:w="420" w:type="dxa"/>
            <w:vAlign w:val="bottom"/>
          </w:tcPr>
          <w:p>
            <w:pPr>
              <w:spacing w:after="0"/>
              <w:rPr>
                <w:sz w:val="20"/>
                <w:szCs w:val="20"/>
                <w:color w:val="auto"/>
              </w:rPr>
            </w:pPr>
            <w:r>
              <w:rPr>
                <w:rFonts w:ascii="Arial" w:cs="Arial" w:eastAsia="Arial" w:hAnsi="Arial"/>
                <w:sz w:val="19"/>
                <w:szCs w:val="19"/>
                <w:color w:val="auto"/>
              </w:rPr>
              <w:t>3.01</w:t>
            </w:r>
          </w:p>
        </w:tc>
        <w:tc>
          <w:tcPr>
            <w:tcW w:w="8600" w:type="dxa"/>
            <w:vAlign w:val="bottom"/>
          </w:tcPr>
          <w:p>
            <w:pPr>
              <w:ind w:left="100"/>
              <w:spacing w:after="0"/>
              <w:rPr>
                <w:sz w:val="20"/>
                <w:szCs w:val="20"/>
                <w:color w:val="auto"/>
              </w:rPr>
            </w:pPr>
            <w:r>
              <w:rPr>
                <w:rFonts w:ascii="Arial" w:cs="Arial" w:eastAsia="Arial" w:hAnsi="Arial"/>
                <w:sz w:val="19"/>
                <w:szCs w:val="19"/>
                <w:color w:val="auto"/>
              </w:rPr>
              <w:t>Taxes.</w:t>
            </w:r>
          </w:p>
        </w:tc>
        <w:tc>
          <w:tcPr>
            <w:tcW w:w="1600" w:type="dxa"/>
            <w:vAlign w:val="bottom"/>
          </w:tcPr>
          <w:p>
            <w:pPr>
              <w:ind w:left="1300"/>
              <w:spacing w:after="0"/>
              <w:rPr>
                <w:sz w:val="20"/>
                <w:szCs w:val="20"/>
                <w:color w:val="auto"/>
              </w:rPr>
            </w:pPr>
            <w:r>
              <w:rPr>
                <w:rFonts w:ascii="Arial" w:cs="Arial" w:eastAsia="Arial" w:hAnsi="Arial"/>
                <w:sz w:val="19"/>
                <w:szCs w:val="19"/>
                <w:color w:val="auto"/>
              </w:rPr>
              <w:t>99</w:t>
            </w:r>
          </w:p>
        </w:tc>
      </w:tr>
      <w:tr>
        <w:trPr>
          <w:trHeight w:val="275"/>
        </w:trPr>
        <w:tc>
          <w:tcPr>
            <w:tcW w:w="420" w:type="dxa"/>
            <w:vAlign w:val="bottom"/>
          </w:tcPr>
          <w:p>
            <w:pPr>
              <w:spacing w:after="0"/>
              <w:rPr>
                <w:sz w:val="20"/>
                <w:szCs w:val="20"/>
                <w:color w:val="auto"/>
              </w:rPr>
            </w:pPr>
            <w:r>
              <w:rPr>
                <w:rFonts w:ascii="Arial" w:cs="Arial" w:eastAsia="Arial" w:hAnsi="Arial"/>
                <w:sz w:val="19"/>
                <w:szCs w:val="19"/>
                <w:color w:val="auto"/>
              </w:rPr>
              <w:t>3.02</w:t>
            </w:r>
          </w:p>
        </w:tc>
        <w:tc>
          <w:tcPr>
            <w:tcW w:w="8600" w:type="dxa"/>
            <w:vAlign w:val="bottom"/>
          </w:tcPr>
          <w:p>
            <w:pPr>
              <w:ind w:left="100"/>
              <w:spacing w:after="0"/>
              <w:rPr>
                <w:sz w:val="20"/>
                <w:szCs w:val="20"/>
                <w:color w:val="auto"/>
              </w:rPr>
            </w:pPr>
            <w:r>
              <w:rPr>
                <w:rFonts w:ascii="Arial" w:cs="Arial" w:eastAsia="Arial" w:hAnsi="Arial"/>
                <w:sz w:val="19"/>
                <w:szCs w:val="19"/>
                <w:color w:val="auto"/>
              </w:rPr>
              <w:t>Illegality</w:t>
            </w:r>
          </w:p>
        </w:tc>
        <w:tc>
          <w:tcPr>
            <w:tcW w:w="1600" w:type="dxa"/>
            <w:vAlign w:val="bottom"/>
          </w:tcPr>
          <w:p>
            <w:pPr>
              <w:ind w:left="1300"/>
              <w:spacing w:after="0"/>
              <w:rPr>
                <w:sz w:val="20"/>
                <w:szCs w:val="20"/>
                <w:color w:val="auto"/>
              </w:rPr>
            </w:pPr>
            <w:r>
              <w:rPr>
                <w:rFonts w:ascii="Arial" w:cs="Arial" w:eastAsia="Arial" w:hAnsi="Arial"/>
                <w:sz w:val="19"/>
                <w:szCs w:val="19"/>
                <w:color w:val="auto"/>
                <w:w w:val="88"/>
              </w:rPr>
              <w:t>103</w:t>
            </w:r>
          </w:p>
        </w:tc>
      </w:tr>
      <w:tr>
        <w:trPr>
          <w:trHeight w:val="275"/>
        </w:trPr>
        <w:tc>
          <w:tcPr>
            <w:tcW w:w="420" w:type="dxa"/>
            <w:vAlign w:val="bottom"/>
          </w:tcPr>
          <w:p>
            <w:pPr>
              <w:spacing w:after="0"/>
              <w:rPr>
                <w:sz w:val="20"/>
                <w:szCs w:val="20"/>
                <w:color w:val="auto"/>
              </w:rPr>
            </w:pPr>
            <w:r>
              <w:rPr>
                <w:rFonts w:ascii="Arial" w:cs="Arial" w:eastAsia="Arial" w:hAnsi="Arial"/>
                <w:sz w:val="19"/>
                <w:szCs w:val="19"/>
                <w:color w:val="auto"/>
              </w:rPr>
              <w:t>3.03</w:t>
            </w:r>
          </w:p>
        </w:tc>
        <w:tc>
          <w:tcPr>
            <w:tcW w:w="8600" w:type="dxa"/>
            <w:vAlign w:val="bottom"/>
          </w:tcPr>
          <w:p>
            <w:pPr>
              <w:ind w:left="100"/>
              <w:spacing w:after="0"/>
              <w:rPr>
                <w:sz w:val="20"/>
                <w:szCs w:val="20"/>
                <w:color w:val="auto"/>
              </w:rPr>
            </w:pPr>
            <w:r>
              <w:rPr>
                <w:rFonts w:ascii="Arial" w:cs="Arial" w:eastAsia="Arial" w:hAnsi="Arial"/>
                <w:sz w:val="19"/>
                <w:szCs w:val="19"/>
                <w:color w:val="auto"/>
              </w:rPr>
              <w:t>Inability to Determine Rates; Effect of Benchmark Transition Event</w:t>
            </w:r>
          </w:p>
        </w:tc>
        <w:tc>
          <w:tcPr>
            <w:tcW w:w="1600" w:type="dxa"/>
            <w:vAlign w:val="bottom"/>
          </w:tcPr>
          <w:p>
            <w:pPr>
              <w:ind w:left="1300"/>
              <w:spacing w:after="0"/>
              <w:rPr>
                <w:sz w:val="20"/>
                <w:szCs w:val="20"/>
                <w:color w:val="auto"/>
              </w:rPr>
            </w:pPr>
            <w:r>
              <w:rPr>
                <w:rFonts w:ascii="Arial" w:cs="Arial" w:eastAsia="Arial" w:hAnsi="Arial"/>
                <w:sz w:val="19"/>
                <w:szCs w:val="19"/>
                <w:color w:val="auto"/>
                <w:w w:val="88"/>
              </w:rPr>
              <w:t>104</w:t>
            </w:r>
          </w:p>
        </w:tc>
      </w:tr>
      <w:tr>
        <w:trPr>
          <w:trHeight w:val="275"/>
        </w:trPr>
        <w:tc>
          <w:tcPr>
            <w:tcW w:w="420" w:type="dxa"/>
            <w:vAlign w:val="bottom"/>
          </w:tcPr>
          <w:p>
            <w:pPr>
              <w:spacing w:after="0"/>
              <w:rPr>
                <w:sz w:val="20"/>
                <w:szCs w:val="20"/>
                <w:color w:val="auto"/>
              </w:rPr>
            </w:pPr>
            <w:r>
              <w:rPr>
                <w:rFonts w:ascii="Arial" w:cs="Arial" w:eastAsia="Arial" w:hAnsi="Arial"/>
                <w:sz w:val="19"/>
                <w:szCs w:val="19"/>
                <w:color w:val="auto"/>
              </w:rPr>
              <w:t>3.04</w:t>
            </w:r>
          </w:p>
        </w:tc>
        <w:tc>
          <w:tcPr>
            <w:tcW w:w="8600" w:type="dxa"/>
            <w:vAlign w:val="bottom"/>
          </w:tcPr>
          <w:p>
            <w:pPr>
              <w:ind w:left="100"/>
              <w:spacing w:after="0"/>
              <w:rPr>
                <w:sz w:val="20"/>
                <w:szCs w:val="20"/>
                <w:color w:val="auto"/>
              </w:rPr>
            </w:pPr>
            <w:r>
              <w:rPr>
                <w:rFonts w:ascii="Arial" w:cs="Arial" w:eastAsia="Arial" w:hAnsi="Arial"/>
                <w:sz w:val="19"/>
                <w:szCs w:val="19"/>
                <w:color w:val="auto"/>
              </w:rPr>
              <w:t>Increased Costs; Reserves on Eurocurrency Rate Loans</w:t>
            </w:r>
          </w:p>
        </w:tc>
        <w:tc>
          <w:tcPr>
            <w:tcW w:w="1600" w:type="dxa"/>
            <w:vAlign w:val="bottom"/>
          </w:tcPr>
          <w:p>
            <w:pPr>
              <w:ind w:left="1300"/>
              <w:spacing w:after="0"/>
              <w:rPr>
                <w:sz w:val="20"/>
                <w:szCs w:val="20"/>
                <w:color w:val="auto"/>
              </w:rPr>
            </w:pPr>
            <w:r>
              <w:rPr>
                <w:rFonts w:ascii="Arial" w:cs="Arial" w:eastAsia="Arial" w:hAnsi="Arial"/>
                <w:sz w:val="19"/>
                <w:szCs w:val="19"/>
                <w:color w:val="auto"/>
                <w:w w:val="88"/>
              </w:rPr>
              <w:t>106</w:t>
            </w:r>
          </w:p>
        </w:tc>
      </w:tr>
      <w:tr>
        <w:trPr>
          <w:trHeight w:val="275"/>
        </w:trPr>
        <w:tc>
          <w:tcPr>
            <w:tcW w:w="420" w:type="dxa"/>
            <w:vAlign w:val="bottom"/>
          </w:tcPr>
          <w:p>
            <w:pPr>
              <w:spacing w:after="0"/>
              <w:rPr>
                <w:sz w:val="20"/>
                <w:szCs w:val="20"/>
                <w:color w:val="auto"/>
              </w:rPr>
            </w:pPr>
            <w:r>
              <w:rPr>
                <w:rFonts w:ascii="Arial" w:cs="Arial" w:eastAsia="Arial" w:hAnsi="Arial"/>
                <w:sz w:val="19"/>
                <w:szCs w:val="19"/>
                <w:color w:val="auto"/>
              </w:rPr>
              <w:t>3.05</w:t>
            </w:r>
          </w:p>
        </w:tc>
        <w:tc>
          <w:tcPr>
            <w:tcW w:w="8600" w:type="dxa"/>
            <w:vAlign w:val="bottom"/>
          </w:tcPr>
          <w:p>
            <w:pPr>
              <w:ind w:left="100"/>
              <w:spacing w:after="0"/>
              <w:rPr>
                <w:sz w:val="20"/>
                <w:szCs w:val="20"/>
                <w:color w:val="auto"/>
              </w:rPr>
            </w:pPr>
            <w:r>
              <w:rPr>
                <w:rFonts w:ascii="Arial" w:cs="Arial" w:eastAsia="Arial" w:hAnsi="Arial"/>
                <w:sz w:val="19"/>
                <w:szCs w:val="19"/>
                <w:color w:val="auto"/>
              </w:rPr>
              <w:t>Compensation for Losses</w:t>
            </w:r>
          </w:p>
        </w:tc>
        <w:tc>
          <w:tcPr>
            <w:tcW w:w="1600" w:type="dxa"/>
            <w:vAlign w:val="bottom"/>
          </w:tcPr>
          <w:p>
            <w:pPr>
              <w:ind w:left="1300"/>
              <w:spacing w:after="0"/>
              <w:rPr>
                <w:sz w:val="20"/>
                <w:szCs w:val="20"/>
                <w:color w:val="auto"/>
              </w:rPr>
            </w:pPr>
            <w:r>
              <w:rPr>
                <w:rFonts w:ascii="Arial" w:cs="Arial" w:eastAsia="Arial" w:hAnsi="Arial"/>
                <w:sz w:val="19"/>
                <w:szCs w:val="19"/>
                <w:color w:val="auto"/>
                <w:w w:val="88"/>
              </w:rPr>
              <w:t>107</w:t>
            </w:r>
          </w:p>
        </w:tc>
      </w:tr>
      <w:tr>
        <w:trPr>
          <w:trHeight w:val="275"/>
        </w:trPr>
        <w:tc>
          <w:tcPr>
            <w:tcW w:w="420" w:type="dxa"/>
            <w:vAlign w:val="bottom"/>
          </w:tcPr>
          <w:p>
            <w:pPr>
              <w:spacing w:after="0"/>
              <w:rPr>
                <w:sz w:val="20"/>
                <w:szCs w:val="20"/>
                <w:color w:val="auto"/>
              </w:rPr>
            </w:pPr>
            <w:r>
              <w:rPr>
                <w:rFonts w:ascii="Arial" w:cs="Arial" w:eastAsia="Arial" w:hAnsi="Arial"/>
                <w:sz w:val="19"/>
                <w:szCs w:val="19"/>
                <w:color w:val="auto"/>
              </w:rPr>
              <w:t>3.06</w:t>
            </w:r>
          </w:p>
        </w:tc>
        <w:tc>
          <w:tcPr>
            <w:tcW w:w="8600" w:type="dxa"/>
            <w:vAlign w:val="bottom"/>
          </w:tcPr>
          <w:p>
            <w:pPr>
              <w:ind w:left="100"/>
              <w:spacing w:after="0"/>
              <w:rPr>
                <w:sz w:val="20"/>
                <w:szCs w:val="20"/>
                <w:color w:val="auto"/>
              </w:rPr>
            </w:pPr>
            <w:r>
              <w:rPr>
                <w:rFonts w:ascii="Arial" w:cs="Arial" w:eastAsia="Arial" w:hAnsi="Arial"/>
                <w:sz w:val="19"/>
                <w:szCs w:val="19"/>
                <w:color w:val="auto"/>
              </w:rPr>
              <w:t>Mitigation Obligations; Replacement of Lenders.</w:t>
            </w:r>
          </w:p>
        </w:tc>
        <w:tc>
          <w:tcPr>
            <w:tcW w:w="1600" w:type="dxa"/>
            <w:vAlign w:val="bottom"/>
          </w:tcPr>
          <w:p>
            <w:pPr>
              <w:ind w:left="1300"/>
              <w:spacing w:after="0"/>
              <w:rPr>
                <w:sz w:val="20"/>
                <w:szCs w:val="20"/>
                <w:color w:val="auto"/>
              </w:rPr>
            </w:pPr>
            <w:r>
              <w:rPr>
                <w:rFonts w:ascii="Arial" w:cs="Arial" w:eastAsia="Arial" w:hAnsi="Arial"/>
                <w:sz w:val="19"/>
                <w:szCs w:val="19"/>
                <w:color w:val="auto"/>
                <w:w w:val="88"/>
              </w:rPr>
              <w:t>108</w:t>
            </w:r>
          </w:p>
        </w:tc>
      </w:tr>
      <w:tr>
        <w:trPr>
          <w:trHeight w:val="275"/>
        </w:trPr>
        <w:tc>
          <w:tcPr>
            <w:tcW w:w="420" w:type="dxa"/>
            <w:vAlign w:val="bottom"/>
          </w:tcPr>
          <w:p>
            <w:pPr>
              <w:spacing w:after="0"/>
              <w:rPr>
                <w:sz w:val="20"/>
                <w:szCs w:val="20"/>
                <w:color w:val="auto"/>
              </w:rPr>
            </w:pPr>
            <w:r>
              <w:rPr>
                <w:rFonts w:ascii="Arial" w:cs="Arial" w:eastAsia="Arial" w:hAnsi="Arial"/>
                <w:sz w:val="19"/>
                <w:szCs w:val="19"/>
                <w:color w:val="auto"/>
              </w:rPr>
              <w:t>3.07</w:t>
            </w:r>
          </w:p>
        </w:tc>
        <w:tc>
          <w:tcPr>
            <w:tcW w:w="8600" w:type="dxa"/>
            <w:vAlign w:val="bottom"/>
          </w:tcPr>
          <w:p>
            <w:pPr>
              <w:ind w:left="100"/>
              <w:spacing w:after="0"/>
              <w:rPr>
                <w:sz w:val="20"/>
                <w:szCs w:val="20"/>
                <w:color w:val="auto"/>
              </w:rPr>
            </w:pPr>
            <w:r>
              <w:rPr>
                <w:rFonts w:ascii="Arial" w:cs="Arial" w:eastAsia="Arial" w:hAnsi="Arial"/>
                <w:sz w:val="19"/>
                <w:szCs w:val="19"/>
                <w:color w:val="auto"/>
              </w:rPr>
              <w:t>Survival</w:t>
            </w:r>
          </w:p>
        </w:tc>
        <w:tc>
          <w:tcPr>
            <w:tcW w:w="1600" w:type="dxa"/>
            <w:vAlign w:val="bottom"/>
          </w:tcPr>
          <w:p>
            <w:pPr>
              <w:ind w:left="1300"/>
              <w:spacing w:after="0"/>
              <w:rPr>
                <w:sz w:val="20"/>
                <w:szCs w:val="20"/>
                <w:color w:val="auto"/>
              </w:rPr>
            </w:pPr>
            <w:r>
              <w:rPr>
                <w:rFonts w:ascii="Arial" w:cs="Arial" w:eastAsia="Arial" w:hAnsi="Arial"/>
                <w:sz w:val="19"/>
                <w:szCs w:val="19"/>
                <w:color w:val="auto"/>
                <w:w w:val="88"/>
              </w:rPr>
              <w:t>108</w:t>
            </w:r>
          </w:p>
        </w:tc>
      </w:tr>
    </w:tbl>
    <w:p>
      <w:pPr>
        <w:spacing w:after="0" w:line="200" w:lineRule="exact"/>
        <w:rPr>
          <w:sz w:val="20"/>
          <w:szCs w:val="20"/>
          <w:color w:val="auto"/>
        </w:rPr>
      </w:pPr>
    </w:p>
    <w:p>
      <w:pPr>
        <w:sectPr>
          <w:pgSz w:w="11900" w:h="16838" w:orient="portrait"/>
          <w:cols w:equalWidth="0" w:num="1">
            <w:col w:w="11060"/>
          </w:cols>
          <w:pgMar w:left="400" w:top="118" w:right="439" w:bottom="1440" w:gutter="0" w:footer="0" w:header="0"/>
        </w:sect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-i-</w:t>
      </w:r>
    </w:p>
    <w:p>
      <w:pPr>
        <w:sectPr>
          <w:pgSz w:w="11900" w:h="16838" w:orient="portrait"/>
          <w:cols w:equalWidth="0" w:num="1">
            <w:col w:w="11060"/>
          </w:cols>
          <w:pgMar w:left="400" w:top="118" w:right="439" w:bottom="1440" w:gutter="0" w:footer="0" w:header="0"/>
          <w:type w:val="continuous"/>
        </w:sectPr>
      </w:pPr>
    </w:p>
    <w:bookmarkStart w:id="114" w:name="page115"/>
    <w:bookmarkEnd w:id="114"/>
    <w:p>
      <w:pPr>
        <w:jc w:val="center"/>
        <w:ind w:right="-19"/>
        <w:spacing w:after="0"/>
        <w:rPr>
          <w:sz w:val="20"/>
          <w:szCs w:val="20"/>
          <w:color w:val="auto"/>
        </w:rPr>
      </w:pPr>
      <w:r>
        <w:rPr>
          <w:rFonts w:ascii="Arial" w:cs="Arial" w:eastAsia="Arial" w:hAnsi="Arial"/>
          <w:sz w:val="19"/>
          <w:szCs w:val="19"/>
          <w:b w:val="1"/>
          <w:bCs w:val="1"/>
          <w:color w:val="auto"/>
        </w:rPr>
        <w:t>TABLE OF CONTENTS</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(continued)</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ARTICLE IV</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SECURITY AND ADMINISTRATION OF COLLATERAL</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20" w:type="dxa"/>
            <w:vAlign w:val="bottom"/>
          </w:tcPr>
          <w:p>
            <w:pPr>
              <w:spacing w:after="0"/>
              <w:rPr>
                <w:sz w:val="20"/>
                <w:szCs w:val="20"/>
                <w:color w:val="auto"/>
              </w:rPr>
            </w:pPr>
            <w:r>
              <w:rPr>
                <w:rFonts w:ascii="Arial" w:cs="Arial" w:eastAsia="Arial" w:hAnsi="Arial"/>
                <w:sz w:val="19"/>
                <w:szCs w:val="19"/>
                <w:color w:val="auto"/>
              </w:rPr>
              <w:t>4.01</w:t>
            </w:r>
          </w:p>
        </w:tc>
        <w:tc>
          <w:tcPr>
            <w:tcW w:w="8660" w:type="dxa"/>
            <w:vAlign w:val="bottom"/>
          </w:tcPr>
          <w:p>
            <w:pPr>
              <w:ind w:left="100"/>
              <w:spacing w:after="0"/>
              <w:rPr>
                <w:sz w:val="20"/>
                <w:szCs w:val="20"/>
                <w:color w:val="auto"/>
              </w:rPr>
            </w:pPr>
            <w:r>
              <w:rPr>
                <w:rFonts w:ascii="Arial" w:cs="Arial" w:eastAsia="Arial" w:hAnsi="Arial"/>
                <w:sz w:val="19"/>
                <w:szCs w:val="19"/>
                <w:color w:val="auto"/>
              </w:rPr>
              <w:t>Security</w:t>
            </w:r>
          </w:p>
        </w:tc>
        <w:tc>
          <w:tcPr>
            <w:tcW w:w="1540" w:type="dxa"/>
            <w:vAlign w:val="bottom"/>
          </w:tcPr>
          <w:p>
            <w:pPr>
              <w:ind w:left="1240"/>
              <w:spacing w:after="0"/>
              <w:rPr>
                <w:sz w:val="20"/>
                <w:szCs w:val="20"/>
                <w:color w:val="auto"/>
              </w:rPr>
            </w:pPr>
            <w:r>
              <w:rPr>
                <w:rFonts w:ascii="Arial" w:cs="Arial" w:eastAsia="Arial" w:hAnsi="Arial"/>
                <w:sz w:val="19"/>
                <w:szCs w:val="19"/>
                <w:color w:val="auto"/>
                <w:w w:val="88"/>
              </w:rPr>
              <w:t>109</w:t>
            </w:r>
          </w:p>
        </w:tc>
      </w:tr>
      <w:tr>
        <w:trPr>
          <w:trHeight w:val="275"/>
        </w:trPr>
        <w:tc>
          <w:tcPr>
            <w:tcW w:w="420" w:type="dxa"/>
            <w:vAlign w:val="bottom"/>
          </w:tcPr>
          <w:p>
            <w:pPr>
              <w:spacing w:after="0"/>
              <w:rPr>
                <w:sz w:val="20"/>
                <w:szCs w:val="20"/>
                <w:color w:val="auto"/>
              </w:rPr>
            </w:pPr>
            <w:r>
              <w:rPr>
                <w:rFonts w:ascii="Arial" w:cs="Arial" w:eastAsia="Arial" w:hAnsi="Arial"/>
                <w:sz w:val="19"/>
                <w:szCs w:val="19"/>
                <w:color w:val="auto"/>
              </w:rPr>
              <w:t>4.02</w:t>
            </w:r>
          </w:p>
        </w:tc>
        <w:tc>
          <w:tcPr>
            <w:tcW w:w="8660" w:type="dxa"/>
            <w:vAlign w:val="bottom"/>
          </w:tcPr>
          <w:p>
            <w:pPr>
              <w:ind w:left="100"/>
              <w:spacing w:after="0"/>
              <w:rPr>
                <w:sz w:val="20"/>
                <w:szCs w:val="20"/>
                <w:color w:val="auto"/>
              </w:rPr>
            </w:pPr>
            <w:r>
              <w:rPr>
                <w:rFonts w:ascii="Arial" w:cs="Arial" w:eastAsia="Arial" w:hAnsi="Arial"/>
                <w:sz w:val="19"/>
                <w:szCs w:val="19"/>
                <w:color w:val="auto"/>
              </w:rPr>
              <w:t>Collateral Administration</w:t>
            </w:r>
          </w:p>
        </w:tc>
        <w:tc>
          <w:tcPr>
            <w:tcW w:w="1540" w:type="dxa"/>
            <w:vAlign w:val="bottom"/>
          </w:tcPr>
          <w:p>
            <w:pPr>
              <w:ind w:left="1240"/>
              <w:spacing w:after="0"/>
              <w:rPr>
                <w:sz w:val="20"/>
                <w:szCs w:val="20"/>
                <w:color w:val="auto"/>
              </w:rPr>
            </w:pPr>
            <w:r>
              <w:rPr>
                <w:rFonts w:ascii="Arial" w:cs="Arial" w:eastAsia="Arial" w:hAnsi="Arial"/>
                <w:sz w:val="19"/>
                <w:szCs w:val="19"/>
                <w:color w:val="auto"/>
                <w:w w:val="88"/>
              </w:rPr>
              <w:t>109</w:t>
            </w:r>
          </w:p>
        </w:tc>
      </w:tr>
      <w:tr>
        <w:trPr>
          <w:trHeight w:val="275"/>
        </w:trPr>
        <w:tc>
          <w:tcPr>
            <w:tcW w:w="420" w:type="dxa"/>
            <w:vAlign w:val="bottom"/>
          </w:tcPr>
          <w:p>
            <w:pPr>
              <w:spacing w:after="0"/>
              <w:rPr>
                <w:sz w:val="20"/>
                <w:szCs w:val="20"/>
                <w:color w:val="auto"/>
              </w:rPr>
            </w:pPr>
            <w:r>
              <w:rPr>
                <w:rFonts w:ascii="Arial" w:cs="Arial" w:eastAsia="Arial" w:hAnsi="Arial"/>
                <w:sz w:val="19"/>
                <w:szCs w:val="19"/>
                <w:color w:val="auto"/>
              </w:rPr>
              <w:t>4.03</w:t>
            </w:r>
          </w:p>
        </w:tc>
        <w:tc>
          <w:tcPr>
            <w:tcW w:w="8660" w:type="dxa"/>
            <w:vAlign w:val="bottom"/>
          </w:tcPr>
          <w:p>
            <w:pPr>
              <w:ind w:left="80"/>
              <w:spacing w:after="0"/>
              <w:rPr>
                <w:sz w:val="20"/>
                <w:szCs w:val="20"/>
                <w:color w:val="auto"/>
              </w:rPr>
            </w:pPr>
            <w:r>
              <w:rPr>
                <w:rFonts w:ascii="Arial" w:cs="Arial" w:eastAsia="Arial" w:hAnsi="Arial"/>
                <w:sz w:val="19"/>
                <w:szCs w:val="19"/>
                <w:color w:val="auto"/>
              </w:rPr>
              <w:t>After Acquired Property; Further Assurances</w:t>
            </w:r>
          </w:p>
        </w:tc>
        <w:tc>
          <w:tcPr>
            <w:tcW w:w="1540" w:type="dxa"/>
            <w:vAlign w:val="bottom"/>
          </w:tcPr>
          <w:p>
            <w:pPr>
              <w:ind w:left="1240"/>
              <w:spacing w:after="0"/>
              <w:rPr>
                <w:sz w:val="20"/>
                <w:szCs w:val="20"/>
                <w:color w:val="auto"/>
              </w:rPr>
            </w:pPr>
            <w:r>
              <w:rPr>
                <w:rFonts w:ascii="Arial" w:cs="Arial" w:eastAsia="Arial" w:hAnsi="Arial"/>
                <w:sz w:val="19"/>
                <w:szCs w:val="19"/>
                <w:color w:val="auto"/>
                <w:w w:val="88"/>
              </w:rPr>
              <w:t>111</w:t>
            </w:r>
          </w:p>
        </w:tc>
      </w:tr>
      <w:tr>
        <w:trPr>
          <w:trHeight w:val="275"/>
        </w:trPr>
        <w:tc>
          <w:tcPr>
            <w:tcW w:w="420" w:type="dxa"/>
            <w:vAlign w:val="bottom"/>
          </w:tcPr>
          <w:p>
            <w:pPr>
              <w:spacing w:after="0"/>
              <w:rPr>
                <w:sz w:val="20"/>
                <w:szCs w:val="20"/>
                <w:color w:val="auto"/>
              </w:rPr>
            </w:pPr>
            <w:r>
              <w:rPr>
                <w:rFonts w:ascii="Arial" w:cs="Arial" w:eastAsia="Arial" w:hAnsi="Arial"/>
                <w:sz w:val="19"/>
                <w:szCs w:val="19"/>
                <w:color w:val="auto"/>
              </w:rPr>
              <w:t>4.04</w:t>
            </w:r>
          </w:p>
        </w:tc>
        <w:tc>
          <w:tcPr>
            <w:tcW w:w="8660" w:type="dxa"/>
            <w:vAlign w:val="bottom"/>
          </w:tcPr>
          <w:p>
            <w:pPr>
              <w:ind w:left="100"/>
              <w:spacing w:after="0"/>
              <w:rPr>
                <w:sz w:val="20"/>
                <w:szCs w:val="20"/>
                <w:color w:val="auto"/>
              </w:rPr>
            </w:pPr>
            <w:r>
              <w:rPr>
                <w:rFonts w:ascii="Arial" w:cs="Arial" w:eastAsia="Arial" w:hAnsi="Arial"/>
                <w:sz w:val="19"/>
                <w:szCs w:val="19"/>
                <w:color w:val="auto"/>
              </w:rPr>
              <w:t>Cash Management.</w:t>
            </w:r>
          </w:p>
        </w:tc>
        <w:tc>
          <w:tcPr>
            <w:tcW w:w="1540" w:type="dxa"/>
            <w:vAlign w:val="bottom"/>
          </w:tcPr>
          <w:p>
            <w:pPr>
              <w:ind w:left="1240"/>
              <w:spacing w:after="0"/>
              <w:rPr>
                <w:sz w:val="20"/>
                <w:szCs w:val="20"/>
                <w:color w:val="auto"/>
              </w:rPr>
            </w:pPr>
            <w:r>
              <w:rPr>
                <w:rFonts w:ascii="Arial" w:cs="Arial" w:eastAsia="Arial" w:hAnsi="Arial"/>
                <w:sz w:val="19"/>
                <w:szCs w:val="19"/>
                <w:color w:val="auto"/>
                <w:w w:val="88"/>
              </w:rPr>
              <w:t>111</w:t>
            </w:r>
          </w:p>
        </w:tc>
      </w:tr>
      <w:tr>
        <w:trPr>
          <w:trHeight w:val="275"/>
        </w:trPr>
        <w:tc>
          <w:tcPr>
            <w:tcW w:w="420" w:type="dxa"/>
            <w:vAlign w:val="bottom"/>
          </w:tcPr>
          <w:p>
            <w:pPr>
              <w:spacing w:after="0"/>
              <w:rPr>
                <w:sz w:val="20"/>
                <w:szCs w:val="20"/>
                <w:color w:val="auto"/>
              </w:rPr>
            </w:pPr>
            <w:r>
              <w:rPr>
                <w:rFonts w:ascii="Arial" w:cs="Arial" w:eastAsia="Arial" w:hAnsi="Arial"/>
                <w:sz w:val="19"/>
                <w:szCs w:val="19"/>
                <w:color w:val="auto"/>
              </w:rPr>
              <w:t>4.05</w:t>
            </w:r>
          </w:p>
        </w:tc>
        <w:tc>
          <w:tcPr>
            <w:tcW w:w="8660" w:type="dxa"/>
            <w:vAlign w:val="bottom"/>
          </w:tcPr>
          <w:p>
            <w:pPr>
              <w:ind w:left="100"/>
              <w:spacing w:after="0"/>
              <w:rPr>
                <w:sz w:val="20"/>
                <w:szCs w:val="20"/>
                <w:color w:val="auto"/>
              </w:rPr>
            </w:pPr>
            <w:r>
              <w:rPr>
                <w:rFonts w:ascii="Arial" w:cs="Arial" w:eastAsia="Arial" w:hAnsi="Arial"/>
                <w:sz w:val="19"/>
                <w:szCs w:val="19"/>
                <w:color w:val="auto"/>
              </w:rPr>
              <w:t>Information Regarding Collateral</w:t>
            </w:r>
          </w:p>
        </w:tc>
        <w:tc>
          <w:tcPr>
            <w:tcW w:w="1540" w:type="dxa"/>
            <w:vAlign w:val="bottom"/>
          </w:tcPr>
          <w:p>
            <w:pPr>
              <w:ind w:left="1240"/>
              <w:spacing w:after="0"/>
              <w:rPr>
                <w:sz w:val="20"/>
                <w:szCs w:val="20"/>
                <w:color w:val="auto"/>
              </w:rPr>
            </w:pPr>
            <w:r>
              <w:rPr>
                <w:rFonts w:ascii="Arial" w:cs="Arial" w:eastAsia="Arial" w:hAnsi="Arial"/>
                <w:sz w:val="19"/>
                <w:szCs w:val="19"/>
                <w:color w:val="auto"/>
                <w:w w:val="88"/>
              </w:rPr>
              <w:t>114</w:t>
            </w:r>
          </w:p>
        </w:tc>
      </w:tr>
      <w:tr>
        <w:trPr>
          <w:trHeight w:val="253"/>
        </w:trPr>
        <w:tc>
          <w:tcPr>
            <w:tcW w:w="420" w:type="dxa"/>
            <w:vAlign w:val="bottom"/>
          </w:tcPr>
          <w:p>
            <w:pPr>
              <w:spacing w:after="0"/>
              <w:rPr>
                <w:sz w:val="22"/>
                <w:szCs w:val="22"/>
                <w:color w:val="auto"/>
              </w:rPr>
            </w:pPr>
          </w:p>
        </w:tc>
        <w:tc>
          <w:tcPr>
            <w:tcW w:w="8660" w:type="dxa"/>
            <w:vAlign w:val="bottom"/>
          </w:tcPr>
          <w:p>
            <w:pPr>
              <w:jc w:val="center"/>
              <w:ind w:left="1504"/>
              <w:spacing w:after="0"/>
              <w:rPr>
                <w:sz w:val="20"/>
                <w:szCs w:val="20"/>
                <w:color w:val="auto"/>
              </w:rPr>
            </w:pPr>
            <w:r>
              <w:rPr>
                <w:rFonts w:ascii="Arial" w:cs="Arial" w:eastAsia="Arial" w:hAnsi="Arial"/>
                <w:sz w:val="19"/>
                <w:szCs w:val="19"/>
                <w:color w:val="auto"/>
                <w:w w:val="99"/>
              </w:rPr>
              <w:t>ARTICLE V</w:t>
            </w:r>
          </w:p>
        </w:tc>
        <w:tc>
          <w:tcPr>
            <w:tcW w:w="1540" w:type="dxa"/>
            <w:vAlign w:val="bottom"/>
          </w:tcPr>
          <w:p>
            <w:pPr>
              <w:spacing w:after="0"/>
              <w:rPr>
                <w:sz w:val="22"/>
                <w:szCs w:val="22"/>
                <w:color w:val="auto"/>
              </w:rPr>
            </w:pPr>
          </w:p>
        </w:tc>
      </w:tr>
      <w:tr>
        <w:trPr>
          <w:trHeight w:val="245"/>
        </w:trPr>
        <w:tc>
          <w:tcPr>
            <w:tcW w:w="420" w:type="dxa"/>
            <w:vAlign w:val="bottom"/>
          </w:tcPr>
          <w:p>
            <w:pPr>
              <w:spacing w:after="0"/>
              <w:rPr>
                <w:sz w:val="21"/>
                <w:szCs w:val="21"/>
                <w:color w:val="auto"/>
              </w:rPr>
            </w:pPr>
          </w:p>
        </w:tc>
        <w:tc>
          <w:tcPr>
            <w:tcW w:w="8660" w:type="dxa"/>
            <w:vAlign w:val="bottom"/>
          </w:tcPr>
          <w:p>
            <w:pPr>
              <w:jc w:val="center"/>
              <w:ind w:left="1484"/>
              <w:spacing w:after="0"/>
              <w:rPr>
                <w:sz w:val="20"/>
                <w:szCs w:val="20"/>
                <w:color w:val="auto"/>
              </w:rPr>
            </w:pPr>
            <w:r>
              <w:rPr>
                <w:rFonts w:ascii="Arial" w:cs="Arial" w:eastAsia="Arial" w:hAnsi="Arial"/>
                <w:sz w:val="19"/>
                <w:szCs w:val="19"/>
                <w:color w:val="auto"/>
                <w:w w:val="96"/>
              </w:rPr>
              <w:t>CONDITIONS PRECEDENT TO CREDIT EXTENSIONS</w:t>
            </w:r>
          </w:p>
        </w:tc>
        <w:tc>
          <w:tcPr>
            <w:tcW w:w="1540" w:type="dxa"/>
            <w:vAlign w:val="bottom"/>
          </w:tcPr>
          <w:p>
            <w:pPr>
              <w:spacing w:after="0"/>
              <w:rPr>
                <w:sz w:val="21"/>
                <w:szCs w:val="21"/>
                <w:color w:val="auto"/>
              </w:rPr>
            </w:pPr>
          </w:p>
        </w:tc>
      </w:tr>
      <w:tr>
        <w:trPr>
          <w:trHeight w:val="275"/>
        </w:trPr>
        <w:tc>
          <w:tcPr>
            <w:tcW w:w="420" w:type="dxa"/>
            <w:vAlign w:val="bottom"/>
          </w:tcPr>
          <w:p>
            <w:pPr>
              <w:spacing w:after="0"/>
              <w:rPr>
                <w:sz w:val="20"/>
                <w:szCs w:val="20"/>
                <w:color w:val="auto"/>
              </w:rPr>
            </w:pPr>
            <w:r>
              <w:rPr>
                <w:rFonts w:ascii="Arial" w:cs="Arial" w:eastAsia="Arial" w:hAnsi="Arial"/>
                <w:sz w:val="19"/>
                <w:szCs w:val="19"/>
                <w:color w:val="auto"/>
              </w:rPr>
              <w:t>5.01</w:t>
            </w:r>
          </w:p>
        </w:tc>
        <w:tc>
          <w:tcPr>
            <w:tcW w:w="8660" w:type="dxa"/>
            <w:vAlign w:val="bottom"/>
          </w:tcPr>
          <w:p>
            <w:pPr>
              <w:ind w:left="100"/>
              <w:spacing w:after="0"/>
              <w:rPr>
                <w:sz w:val="20"/>
                <w:szCs w:val="20"/>
                <w:color w:val="auto"/>
              </w:rPr>
            </w:pPr>
            <w:r>
              <w:rPr>
                <w:rFonts w:ascii="Arial" w:cs="Arial" w:eastAsia="Arial" w:hAnsi="Arial"/>
                <w:sz w:val="19"/>
                <w:szCs w:val="19"/>
                <w:color w:val="auto"/>
              </w:rPr>
              <w:t>Conditions of Initial Credit Extension</w:t>
            </w:r>
          </w:p>
        </w:tc>
        <w:tc>
          <w:tcPr>
            <w:tcW w:w="1540" w:type="dxa"/>
            <w:vAlign w:val="bottom"/>
          </w:tcPr>
          <w:p>
            <w:pPr>
              <w:ind w:left="1240"/>
              <w:spacing w:after="0"/>
              <w:rPr>
                <w:sz w:val="20"/>
                <w:szCs w:val="20"/>
                <w:color w:val="auto"/>
              </w:rPr>
            </w:pPr>
            <w:r>
              <w:rPr>
                <w:rFonts w:ascii="Arial" w:cs="Arial" w:eastAsia="Arial" w:hAnsi="Arial"/>
                <w:sz w:val="19"/>
                <w:szCs w:val="19"/>
                <w:color w:val="auto"/>
                <w:w w:val="88"/>
              </w:rPr>
              <w:t>114</w:t>
            </w:r>
          </w:p>
        </w:tc>
      </w:tr>
      <w:tr>
        <w:trPr>
          <w:trHeight w:val="275"/>
        </w:trPr>
        <w:tc>
          <w:tcPr>
            <w:tcW w:w="420" w:type="dxa"/>
            <w:vAlign w:val="bottom"/>
          </w:tcPr>
          <w:p>
            <w:pPr>
              <w:spacing w:after="0"/>
              <w:rPr>
                <w:sz w:val="20"/>
                <w:szCs w:val="20"/>
                <w:color w:val="auto"/>
              </w:rPr>
            </w:pPr>
            <w:r>
              <w:rPr>
                <w:rFonts w:ascii="Arial" w:cs="Arial" w:eastAsia="Arial" w:hAnsi="Arial"/>
                <w:sz w:val="19"/>
                <w:szCs w:val="19"/>
                <w:color w:val="auto"/>
              </w:rPr>
              <w:t>5.02</w:t>
            </w:r>
          </w:p>
        </w:tc>
        <w:tc>
          <w:tcPr>
            <w:tcW w:w="8660" w:type="dxa"/>
            <w:vAlign w:val="bottom"/>
          </w:tcPr>
          <w:p>
            <w:pPr>
              <w:ind w:left="100"/>
              <w:spacing w:after="0"/>
              <w:rPr>
                <w:sz w:val="20"/>
                <w:szCs w:val="20"/>
                <w:color w:val="auto"/>
              </w:rPr>
            </w:pPr>
            <w:r>
              <w:rPr>
                <w:rFonts w:ascii="Arial" w:cs="Arial" w:eastAsia="Arial" w:hAnsi="Arial"/>
                <w:sz w:val="19"/>
                <w:szCs w:val="19"/>
                <w:color w:val="auto"/>
              </w:rPr>
              <w:t>Conditions to all Credit Extensions</w:t>
            </w:r>
          </w:p>
        </w:tc>
        <w:tc>
          <w:tcPr>
            <w:tcW w:w="1540" w:type="dxa"/>
            <w:vAlign w:val="bottom"/>
          </w:tcPr>
          <w:p>
            <w:pPr>
              <w:ind w:left="1240"/>
              <w:spacing w:after="0"/>
              <w:rPr>
                <w:sz w:val="20"/>
                <w:szCs w:val="20"/>
                <w:color w:val="auto"/>
              </w:rPr>
            </w:pPr>
            <w:r>
              <w:rPr>
                <w:rFonts w:ascii="Arial" w:cs="Arial" w:eastAsia="Arial" w:hAnsi="Arial"/>
                <w:sz w:val="19"/>
                <w:szCs w:val="19"/>
                <w:color w:val="auto"/>
                <w:w w:val="88"/>
              </w:rPr>
              <w:t>117</w:t>
            </w:r>
          </w:p>
        </w:tc>
      </w:tr>
      <w:tr>
        <w:trPr>
          <w:trHeight w:val="253"/>
        </w:trPr>
        <w:tc>
          <w:tcPr>
            <w:tcW w:w="420" w:type="dxa"/>
            <w:vAlign w:val="bottom"/>
          </w:tcPr>
          <w:p>
            <w:pPr>
              <w:spacing w:after="0"/>
              <w:rPr>
                <w:sz w:val="22"/>
                <w:szCs w:val="22"/>
                <w:color w:val="auto"/>
              </w:rPr>
            </w:pPr>
          </w:p>
        </w:tc>
        <w:tc>
          <w:tcPr>
            <w:tcW w:w="8660" w:type="dxa"/>
            <w:vAlign w:val="bottom"/>
          </w:tcPr>
          <w:p>
            <w:pPr>
              <w:jc w:val="center"/>
              <w:ind w:left="1484"/>
              <w:spacing w:after="0"/>
              <w:rPr>
                <w:sz w:val="20"/>
                <w:szCs w:val="20"/>
                <w:color w:val="auto"/>
              </w:rPr>
            </w:pPr>
            <w:r>
              <w:rPr>
                <w:rFonts w:ascii="Arial" w:cs="Arial" w:eastAsia="Arial" w:hAnsi="Arial"/>
                <w:sz w:val="19"/>
                <w:szCs w:val="19"/>
                <w:color w:val="auto"/>
              </w:rPr>
              <w:t>ARTICLE VI</w:t>
            </w:r>
          </w:p>
        </w:tc>
        <w:tc>
          <w:tcPr>
            <w:tcW w:w="1540" w:type="dxa"/>
            <w:vAlign w:val="bottom"/>
          </w:tcPr>
          <w:p>
            <w:pPr>
              <w:spacing w:after="0"/>
              <w:rPr>
                <w:sz w:val="22"/>
                <w:szCs w:val="22"/>
                <w:color w:val="auto"/>
              </w:rPr>
            </w:pPr>
          </w:p>
        </w:tc>
      </w:tr>
      <w:tr>
        <w:trPr>
          <w:trHeight w:val="245"/>
        </w:trPr>
        <w:tc>
          <w:tcPr>
            <w:tcW w:w="420" w:type="dxa"/>
            <w:vAlign w:val="bottom"/>
          </w:tcPr>
          <w:p>
            <w:pPr>
              <w:spacing w:after="0"/>
              <w:rPr>
                <w:sz w:val="21"/>
                <w:szCs w:val="21"/>
                <w:color w:val="auto"/>
              </w:rPr>
            </w:pPr>
          </w:p>
        </w:tc>
        <w:tc>
          <w:tcPr>
            <w:tcW w:w="8660" w:type="dxa"/>
            <w:vAlign w:val="bottom"/>
          </w:tcPr>
          <w:p>
            <w:pPr>
              <w:jc w:val="center"/>
              <w:ind w:left="1504"/>
              <w:spacing w:after="0"/>
              <w:rPr>
                <w:sz w:val="20"/>
                <w:szCs w:val="20"/>
                <w:color w:val="auto"/>
              </w:rPr>
            </w:pPr>
            <w:r>
              <w:rPr>
                <w:rFonts w:ascii="Arial" w:cs="Arial" w:eastAsia="Arial" w:hAnsi="Arial"/>
                <w:sz w:val="19"/>
                <w:szCs w:val="19"/>
                <w:color w:val="auto"/>
                <w:w w:val="96"/>
              </w:rPr>
              <w:t>REPRESENTATIONS AND WARRANTIES</w:t>
            </w:r>
          </w:p>
        </w:tc>
        <w:tc>
          <w:tcPr>
            <w:tcW w:w="1540" w:type="dxa"/>
            <w:vAlign w:val="bottom"/>
          </w:tcPr>
          <w:p>
            <w:pPr>
              <w:spacing w:after="0"/>
              <w:rPr>
                <w:sz w:val="21"/>
                <w:szCs w:val="21"/>
                <w:color w:val="auto"/>
              </w:rPr>
            </w:pPr>
          </w:p>
        </w:tc>
      </w:tr>
      <w:tr>
        <w:trPr>
          <w:trHeight w:val="275"/>
        </w:trPr>
        <w:tc>
          <w:tcPr>
            <w:tcW w:w="420" w:type="dxa"/>
            <w:vAlign w:val="bottom"/>
          </w:tcPr>
          <w:p>
            <w:pPr>
              <w:spacing w:after="0"/>
              <w:rPr>
                <w:sz w:val="20"/>
                <w:szCs w:val="20"/>
                <w:color w:val="auto"/>
              </w:rPr>
            </w:pPr>
            <w:r>
              <w:rPr>
                <w:rFonts w:ascii="Arial" w:cs="Arial" w:eastAsia="Arial" w:hAnsi="Arial"/>
                <w:sz w:val="19"/>
                <w:szCs w:val="19"/>
                <w:color w:val="auto"/>
              </w:rPr>
              <w:t>6.01</w:t>
            </w:r>
          </w:p>
        </w:tc>
        <w:tc>
          <w:tcPr>
            <w:tcW w:w="8660" w:type="dxa"/>
            <w:vAlign w:val="bottom"/>
          </w:tcPr>
          <w:p>
            <w:pPr>
              <w:ind w:left="100"/>
              <w:spacing w:after="0"/>
              <w:rPr>
                <w:sz w:val="20"/>
                <w:szCs w:val="20"/>
                <w:color w:val="auto"/>
              </w:rPr>
            </w:pPr>
            <w:r>
              <w:rPr>
                <w:rFonts w:ascii="Arial" w:cs="Arial" w:eastAsia="Arial" w:hAnsi="Arial"/>
                <w:sz w:val="19"/>
                <w:szCs w:val="19"/>
                <w:color w:val="auto"/>
              </w:rPr>
              <w:t>Existence, Qualification and Power</w:t>
            </w:r>
          </w:p>
        </w:tc>
        <w:tc>
          <w:tcPr>
            <w:tcW w:w="1540" w:type="dxa"/>
            <w:vAlign w:val="bottom"/>
          </w:tcPr>
          <w:p>
            <w:pPr>
              <w:ind w:left="1240"/>
              <w:spacing w:after="0"/>
              <w:rPr>
                <w:sz w:val="20"/>
                <w:szCs w:val="20"/>
                <w:color w:val="auto"/>
              </w:rPr>
            </w:pPr>
            <w:r>
              <w:rPr>
                <w:rFonts w:ascii="Arial" w:cs="Arial" w:eastAsia="Arial" w:hAnsi="Arial"/>
                <w:sz w:val="19"/>
                <w:szCs w:val="19"/>
                <w:color w:val="auto"/>
                <w:w w:val="88"/>
              </w:rPr>
              <w:t>118</w:t>
            </w:r>
          </w:p>
        </w:tc>
      </w:tr>
      <w:tr>
        <w:trPr>
          <w:trHeight w:val="275"/>
        </w:trPr>
        <w:tc>
          <w:tcPr>
            <w:tcW w:w="420" w:type="dxa"/>
            <w:vAlign w:val="bottom"/>
          </w:tcPr>
          <w:p>
            <w:pPr>
              <w:spacing w:after="0"/>
              <w:rPr>
                <w:sz w:val="20"/>
                <w:szCs w:val="20"/>
                <w:color w:val="auto"/>
              </w:rPr>
            </w:pPr>
            <w:r>
              <w:rPr>
                <w:rFonts w:ascii="Arial" w:cs="Arial" w:eastAsia="Arial" w:hAnsi="Arial"/>
                <w:sz w:val="19"/>
                <w:szCs w:val="19"/>
                <w:color w:val="auto"/>
              </w:rPr>
              <w:t>6.02</w:t>
            </w:r>
          </w:p>
        </w:tc>
        <w:tc>
          <w:tcPr>
            <w:tcW w:w="8660" w:type="dxa"/>
            <w:vAlign w:val="bottom"/>
          </w:tcPr>
          <w:p>
            <w:pPr>
              <w:ind w:left="80"/>
              <w:spacing w:after="0"/>
              <w:rPr>
                <w:sz w:val="20"/>
                <w:szCs w:val="20"/>
                <w:color w:val="auto"/>
              </w:rPr>
            </w:pPr>
            <w:r>
              <w:rPr>
                <w:rFonts w:ascii="Arial" w:cs="Arial" w:eastAsia="Arial" w:hAnsi="Arial"/>
                <w:sz w:val="19"/>
                <w:szCs w:val="19"/>
                <w:color w:val="auto"/>
              </w:rPr>
              <w:t>Authorization; No Contravention</w:t>
            </w:r>
          </w:p>
        </w:tc>
        <w:tc>
          <w:tcPr>
            <w:tcW w:w="1540" w:type="dxa"/>
            <w:vAlign w:val="bottom"/>
          </w:tcPr>
          <w:p>
            <w:pPr>
              <w:ind w:left="1240"/>
              <w:spacing w:after="0"/>
              <w:rPr>
                <w:sz w:val="20"/>
                <w:szCs w:val="20"/>
                <w:color w:val="auto"/>
              </w:rPr>
            </w:pPr>
            <w:r>
              <w:rPr>
                <w:rFonts w:ascii="Arial" w:cs="Arial" w:eastAsia="Arial" w:hAnsi="Arial"/>
                <w:sz w:val="19"/>
                <w:szCs w:val="19"/>
                <w:color w:val="auto"/>
                <w:w w:val="88"/>
              </w:rPr>
              <w:t>118</w:t>
            </w:r>
          </w:p>
        </w:tc>
      </w:tr>
      <w:tr>
        <w:trPr>
          <w:trHeight w:val="275"/>
        </w:trPr>
        <w:tc>
          <w:tcPr>
            <w:tcW w:w="420" w:type="dxa"/>
            <w:vAlign w:val="bottom"/>
          </w:tcPr>
          <w:p>
            <w:pPr>
              <w:spacing w:after="0"/>
              <w:rPr>
                <w:sz w:val="20"/>
                <w:szCs w:val="20"/>
                <w:color w:val="auto"/>
              </w:rPr>
            </w:pPr>
            <w:r>
              <w:rPr>
                <w:rFonts w:ascii="Arial" w:cs="Arial" w:eastAsia="Arial" w:hAnsi="Arial"/>
                <w:sz w:val="19"/>
                <w:szCs w:val="19"/>
                <w:color w:val="auto"/>
              </w:rPr>
              <w:t>6.03</w:t>
            </w:r>
          </w:p>
        </w:tc>
        <w:tc>
          <w:tcPr>
            <w:tcW w:w="8660" w:type="dxa"/>
            <w:vAlign w:val="bottom"/>
          </w:tcPr>
          <w:p>
            <w:pPr>
              <w:ind w:left="100"/>
              <w:spacing w:after="0"/>
              <w:rPr>
                <w:sz w:val="20"/>
                <w:szCs w:val="20"/>
                <w:color w:val="auto"/>
              </w:rPr>
            </w:pPr>
            <w:r>
              <w:rPr>
                <w:rFonts w:ascii="Arial" w:cs="Arial" w:eastAsia="Arial" w:hAnsi="Arial"/>
                <w:sz w:val="19"/>
                <w:szCs w:val="19"/>
                <w:color w:val="auto"/>
              </w:rPr>
              <w:t>Governmental Authorization; Other Consents</w:t>
            </w:r>
          </w:p>
        </w:tc>
        <w:tc>
          <w:tcPr>
            <w:tcW w:w="1540" w:type="dxa"/>
            <w:vAlign w:val="bottom"/>
          </w:tcPr>
          <w:p>
            <w:pPr>
              <w:ind w:left="1240"/>
              <w:spacing w:after="0"/>
              <w:rPr>
                <w:sz w:val="20"/>
                <w:szCs w:val="20"/>
                <w:color w:val="auto"/>
              </w:rPr>
            </w:pPr>
            <w:r>
              <w:rPr>
                <w:rFonts w:ascii="Arial" w:cs="Arial" w:eastAsia="Arial" w:hAnsi="Arial"/>
                <w:sz w:val="19"/>
                <w:szCs w:val="19"/>
                <w:color w:val="auto"/>
                <w:w w:val="88"/>
              </w:rPr>
              <w:t>118</w:t>
            </w:r>
          </w:p>
        </w:tc>
      </w:tr>
      <w:tr>
        <w:trPr>
          <w:trHeight w:val="275"/>
        </w:trPr>
        <w:tc>
          <w:tcPr>
            <w:tcW w:w="420" w:type="dxa"/>
            <w:vAlign w:val="bottom"/>
          </w:tcPr>
          <w:p>
            <w:pPr>
              <w:spacing w:after="0"/>
              <w:rPr>
                <w:sz w:val="20"/>
                <w:szCs w:val="20"/>
                <w:color w:val="auto"/>
              </w:rPr>
            </w:pPr>
            <w:r>
              <w:rPr>
                <w:rFonts w:ascii="Arial" w:cs="Arial" w:eastAsia="Arial" w:hAnsi="Arial"/>
                <w:sz w:val="19"/>
                <w:szCs w:val="19"/>
                <w:color w:val="auto"/>
              </w:rPr>
              <w:t>6.04</w:t>
            </w:r>
          </w:p>
        </w:tc>
        <w:tc>
          <w:tcPr>
            <w:tcW w:w="8660" w:type="dxa"/>
            <w:vAlign w:val="bottom"/>
          </w:tcPr>
          <w:p>
            <w:pPr>
              <w:ind w:left="100"/>
              <w:spacing w:after="0"/>
              <w:rPr>
                <w:sz w:val="20"/>
                <w:szCs w:val="20"/>
                <w:color w:val="auto"/>
              </w:rPr>
            </w:pPr>
            <w:r>
              <w:rPr>
                <w:rFonts w:ascii="Arial" w:cs="Arial" w:eastAsia="Arial" w:hAnsi="Arial"/>
                <w:sz w:val="19"/>
                <w:szCs w:val="19"/>
                <w:color w:val="auto"/>
              </w:rPr>
              <w:t>Binding Effect</w:t>
            </w:r>
          </w:p>
        </w:tc>
        <w:tc>
          <w:tcPr>
            <w:tcW w:w="1540" w:type="dxa"/>
            <w:vAlign w:val="bottom"/>
          </w:tcPr>
          <w:p>
            <w:pPr>
              <w:ind w:left="1240"/>
              <w:spacing w:after="0"/>
              <w:rPr>
                <w:sz w:val="20"/>
                <w:szCs w:val="20"/>
                <w:color w:val="auto"/>
              </w:rPr>
            </w:pPr>
            <w:r>
              <w:rPr>
                <w:rFonts w:ascii="Arial" w:cs="Arial" w:eastAsia="Arial" w:hAnsi="Arial"/>
                <w:sz w:val="19"/>
                <w:szCs w:val="19"/>
                <w:color w:val="auto"/>
                <w:w w:val="88"/>
              </w:rPr>
              <w:t>118</w:t>
            </w:r>
          </w:p>
        </w:tc>
      </w:tr>
      <w:tr>
        <w:trPr>
          <w:trHeight w:val="275"/>
        </w:trPr>
        <w:tc>
          <w:tcPr>
            <w:tcW w:w="420" w:type="dxa"/>
            <w:vAlign w:val="bottom"/>
          </w:tcPr>
          <w:p>
            <w:pPr>
              <w:spacing w:after="0"/>
              <w:rPr>
                <w:sz w:val="20"/>
                <w:szCs w:val="20"/>
                <w:color w:val="auto"/>
              </w:rPr>
            </w:pPr>
            <w:r>
              <w:rPr>
                <w:rFonts w:ascii="Arial" w:cs="Arial" w:eastAsia="Arial" w:hAnsi="Arial"/>
                <w:sz w:val="19"/>
                <w:szCs w:val="19"/>
                <w:color w:val="auto"/>
              </w:rPr>
              <w:t>6.05</w:t>
            </w:r>
          </w:p>
        </w:tc>
        <w:tc>
          <w:tcPr>
            <w:tcW w:w="8660" w:type="dxa"/>
            <w:vAlign w:val="bottom"/>
          </w:tcPr>
          <w:p>
            <w:pPr>
              <w:ind w:left="100"/>
              <w:spacing w:after="0"/>
              <w:rPr>
                <w:sz w:val="20"/>
                <w:szCs w:val="20"/>
                <w:color w:val="auto"/>
              </w:rPr>
            </w:pPr>
            <w:r>
              <w:rPr>
                <w:rFonts w:ascii="Arial" w:cs="Arial" w:eastAsia="Arial" w:hAnsi="Arial"/>
                <w:sz w:val="19"/>
                <w:szCs w:val="19"/>
                <w:color w:val="auto"/>
              </w:rPr>
              <w:t>Financial Statements; No Material Adverse Effect</w:t>
            </w:r>
          </w:p>
        </w:tc>
        <w:tc>
          <w:tcPr>
            <w:tcW w:w="1540" w:type="dxa"/>
            <w:vAlign w:val="bottom"/>
          </w:tcPr>
          <w:p>
            <w:pPr>
              <w:ind w:left="1240"/>
              <w:spacing w:after="0"/>
              <w:rPr>
                <w:sz w:val="20"/>
                <w:szCs w:val="20"/>
                <w:color w:val="auto"/>
              </w:rPr>
            </w:pPr>
            <w:r>
              <w:rPr>
                <w:rFonts w:ascii="Arial" w:cs="Arial" w:eastAsia="Arial" w:hAnsi="Arial"/>
                <w:sz w:val="19"/>
                <w:szCs w:val="19"/>
                <w:color w:val="auto"/>
                <w:w w:val="88"/>
              </w:rPr>
              <w:t>118</w:t>
            </w:r>
          </w:p>
        </w:tc>
      </w:tr>
      <w:tr>
        <w:trPr>
          <w:trHeight w:val="275"/>
        </w:trPr>
        <w:tc>
          <w:tcPr>
            <w:tcW w:w="420" w:type="dxa"/>
            <w:vAlign w:val="bottom"/>
          </w:tcPr>
          <w:p>
            <w:pPr>
              <w:spacing w:after="0"/>
              <w:rPr>
                <w:sz w:val="20"/>
                <w:szCs w:val="20"/>
                <w:color w:val="auto"/>
              </w:rPr>
            </w:pPr>
            <w:r>
              <w:rPr>
                <w:rFonts w:ascii="Arial" w:cs="Arial" w:eastAsia="Arial" w:hAnsi="Arial"/>
                <w:sz w:val="19"/>
                <w:szCs w:val="19"/>
                <w:color w:val="auto"/>
              </w:rPr>
              <w:t>6.06</w:t>
            </w:r>
          </w:p>
        </w:tc>
        <w:tc>
          <w:tcPr>
            <w:tcW w:w="8660" w:type="dxa"/>
            <w:vAlign w:val="bottom"/>
          </w:tcPr>
          <w:p>
            <w:pPr>
              <w:ind w:left="100"/>
              <w:spacing w:after="0"/>
              <w:rPr>
                <w:sz w:val="20"/>
                <w:szCs w:val="20"/>
                <w:color w:val="auto"/>
              </w:rPr>
            </w:pPr>
            <w:r>
              <w:rPr>
                <w:rFonts w:ascii="Arial" w:cs="Arial" w:eastAsia="Arial" w:hAnsi="Arial"/>
                <w:sz w:val="19"/>
                <w:szCs w:val="19"/>
                <w:color w:val="auto"/>
              </w:rPr>
              <w:t>Litigation</w:t>
            </w:r>
          </w:p>
        </w:tc>
        <w:tc>
          <w:tcPr>
            <w:tcW w:w="1540" w:type="dxa"/>
            <w:vAlign w:val="bottom"/>
          </w:tcPr>
          <w:p>
            <w:pPr>
              <w:ind w:left="1240"/>
              <w:spacing w:after="0"/>
              <w:rPr>
                <w:sz w:val="20"/>
                <w:szCs w:val="20"/>
                <w:color w:val="auto"/>
              </w:rPr>
            </w:pPr>
            <w:r>
              <w:rPr>
                <w:rFonts w:ascii="Arial" w:cs="Arial" w:eastAsia="Arial" w:hAnsi="Arial"/>
                <w:sz w:val="19"/>
                <w:szCs w:val="19"/>
                <w:color w:val="auto"/>
                <w:w w:val="88"/>
              </w:rPr>
              <w:t>119</w:t>
            </w:r>
          </w:p>
        </w:tc>
      </w:tr>
      <w:tr>
        <w:trPr>
          <w:trHeight w:val="275"/>
        </w:trPr>
        <w:tc>
          <w:tcPr>
            <w:tcW w:w="420" w:type="dxa"/>
            <w:vAlign w:val="bottom"/>
          </w:tcPr>
          <w:p>
            <w:pPr>
              <w:spacing w:after="0"/>
              <w:rPr>
                <w:sz w:val="20"/>
                <w:szCs w:val="20"/>
                <w:color w:val="auto"/>
              </w:rPr>
            </w:pPr>
            <w:r>
              <w:rPr>
                <w:rFonts w:ascii="Arial" w:cs="Arial" w:eastAsia="Arial" w:hAnsi="Arial"/>
                <w:sz w:val="19"/>
                <w:szCs w:val="19"/>
                <w:color w:val="auto"/>
              </w:rPr>
              <w:t>6.07</w:t>
            </w:r>
          </w:p>
        </w:tc>
        <w:tc>
          <w:tcPr>
            <w:tcW w:w="8660" w:type="dxa"/>
            <w:vAlign w:val="bottom"/>
          </w:tcPr>
          <w:p>
            <w:pPr>
              <w:ind w:left="100"/>
              <w:spacing w:after="0"/>
              <w:rPr>
                <w:sz w:val="20"/>
                <w:szCs w:val="20"/>
                <w:color w:val="auto"/>
              </w:rPr>
            </w:pPr>
            <w:r>
              <w:rPr>
                <w:rFonts w:ascii="Arial" w:cs="Arial" w:eastAsia="Arial" w:hAnsi="Arial"/>
                <w:sz w:val="19"/>
                <w:szCs w:val="19"/>
                <w:color w:val="auto"/>
              </w:rPr>
              <w:t>No Default</w:t>
            </w:r>
          </w:p>
        </w:tc>
        <w:tc>
          <w:tcPr>
            <w:tcW w:w="1540" w:type="dxa"/>
            <w:vAlign w:val="bottom"/>
          </w:tcPr>
          <w:p>
            <w:pPr>
              <w:ind w:left="1240"/>
              <w:spacing w:after="0"/>
              <w:rPr>
                <w:sz w:val="20"/>
                <w:szCs w:val="20"/>
                <w:color w:val="auto"/>
              </w:rPr>
            </w:pPr>
            <w:r>
              <w:rPr>
                <w:rFonts w:ascii="Arial" w:cs="Arial" w:eastAsia="Arial" w:hAnsi="Arial"/>
                <w:sz w:val="19"/>
                <w:szCs w:val="19"/>
                <w:color w:val="auto"/>
                <w:w w:val="88"/>
              </w:rPr>
              <w:t>119</w:t>
            </w:r>
          </w:p>
        </w:tc>
      </w:tr>
      <w:tr>
        <w:trPr>
          <w:trHeight w:val="275"/>
        </w:trPr>
        <w:tc>
          <w:tcPr>
            <w:tcW w:w="420" w:type="dxa"/>
            <w:vAlign w:val="bottom"/>
          </w:tcPr>
          <w:p>
            <w:pPr>
              <w:spacing w:after="0"/>
              <w:rPr>
                <w:sz w:val="20"/>
                <w:szCs w:val="20"/>
                <w:color w:val="auto"/>
              </w:rPr>
            </w:pPr>
            <w:r>
              <w:rPr>
                <w:rFonts w:ascii="Arial" w:cs="Arial" w:eastAsia="Arial" w:hAnsi="Arial"/>
                <w:sz w:val="19"/>
                <w:szCs w:val="19"/>
                <w:color w:val="auto"/>
              </w:rPr>
              <w:t>6.08</w:t>
            </w:r>
          </w:p>
        </w:tc>
        <w:tc>
          <w:tcPr>
            <w:tcW w:w="8660" w:type="dxa"/>
            <w:vAlign w:val="bottom"/>
          </w:tcPr>
          <w:p>
            <w:pPr>
              <w:ind w:left="100"/>
              <w:spacing w:after="0"/>
              <w:rPr>
                <w:sz w:val="20"/>
                <w:szCs w:val="20"/>
                <w:color w:val="auto"/>
              </w:rPr>
            </w:pPr>
            <w:r>
              <w:rPr>
                <w:rFonts w:ascii="Arial" w:cs="Arial" w:eastAsia="Arial" w:hAnsi="Arial"/>
                <w:sz w:val="19"/>
                <w:szCs w:val="19"/>
                <w:color w:val="auto"/>
              </w:rPr>
              <w:t>Ownership of Property; Liens.</w:t>
            </w:r>
          </w:p>
        </w:tc>
        <w:tc>
          <w:tcPr>
            <w:tcW w:w="1540" w:type="dxa"/>
            <w:vAlign w:val="bottom"/>
          </w:tcPr>
          <w:p>
            <w:pPr>
              <w:ind w:left="1240"/>
              <w:spacing w:after="0"/>
              <w:rPr>
                <w:sz w:val="20"/>
                <w:szCs w:val="20"/>
                <w:color w:val="auto"/>
              </w:rPr>
            </w:pPr>
            <w:r>
              <w:rPr>
                <w:rFonts w:ascii="Arial" w:cs="Arial" w:eastAsia="Arial" w:hAnsi="Arial"/>
                <w:sz w:val="19"/>
                <w:szCs w:val="19"/>
                <w:color w:val="auto"/>
                <w:w w:val="88"/>
              </w:rPr>
              <w:t>119</w:t>
            </w:r>
          </w:p>
        </w:tc>
      </w:tr>
      <w:tr>
        <w:trPr>
          <w:trHeight w:val="275"/>
        </w:trPr>
        <w:tc>
          <w:tcPr>
            <w:tcW w:w="420" w:type="dxa"/>
            <w:vAlign w:val="bottom"/>
          </w:tcPr>
          <w:p>
            <w:pPr>
              <w:spacing w:after="0"/>
              <w:rPr>
                <w:sz w:val="20"/>
                <w:szCs w:val="20"/>
                <w:color w:val="auto"/>
              </w:rPr>
            </w:pPr>
            <w:r>
              <w:rPr>
                <w:rFonts w:ascii="Arial" w:cs="Arial" w:eastAsia="Arial" w:hAnsi="Arial"/>
                <w:sz w:val="19"/>
                <w:szCs w:val="19"/>
                <w:color w:val="auto"/>
              </w:rPr>
              <w:t>6.09</w:t>
            </w:r>
          </w:p>
        </w:tc>
        <w:tc>
          <w:tcPr>
            <w:tcW w:w="8660" w:type="dxa"/>
            <w:vAlign w:val="bottom"/>
          </w:tcPr>
          <w:p>
            <w:pPr>
              <w:ind w:left="100"/>
              <w:spacing w:after="0"/>
              <w:rPr>
                <w:sz w:val="20"/>
                <w:szCs w:val="20"/>
                <w:color w:val="auto"/>
              </w:rPr>
            </w:pPr>
            <w:r>
              <w:rPr>
                <w:rFonts w:ascii="Arial" w:cs="Arial" w:eastAsia="Arial" w:hAnsi="Arial"/>
                <w:sz w:val="19"/>
                <w:szCs w:val="19"/>
                <w:color w:val="auto"/>
              </w:rPr>
              <w:t>Environmental Compliance</w:t>
            </w:r>
          </w:p>
        </w:tc>
        <w:tc>
          <w:tcPr>
            <w:tcW w:w="1540" w:type="dxa"/>
            <w:vAlign w:val="bottom"/>
          </w:tcPr>
          <w:p>
            <w:pPr>
              <w:ind w:left="1240"/>
              <w:spacing w:after="0"/>
              <w:rPr>
                <w:sz w:val="20"/>
                <w:szCs w:val="20"/>
                <w:color w:val="auto"/>
              </w:rPr>
            </w:pPr>
            <w:r>
              <w:rPr>
                <w:rFonts w:ascii="Arial" w:cs="Arial" w:eastAsia="Arial" w:hAnsi="Arial"/>
                <w:sz w:val="19"/>
                <w:szCs w:val="19"/>
                <w:color w:val="auto"/>
                <w:w w:val="88"/>
              </w:rPr>
              <w:t>120</w:t>
            </w:r>
          </w:p>
        </w:tc>
      </w:tr>
      <w:tr>
        <w:trPr>
          <w:trHeight w:val="275"/>
        </w:trPr>
        <w:tc>
          <w:tcPr>
            <w:tcW w:w="420" w:type="dxa"/>
            <w:vAlign w:val="bottom"/>
          </w:tcPr>
          <w:p>
            <w:pPr>
              <w:spacing w:after="0"/>
              <w:rPr>
                <w:sz w:val="20"/>
                <w:szCs w:val="20"/>
                <w:color w:val="auto"/>
              </w:rPr>
            </w:pPr>
            <w:r>
              <w:rPr>
                <w:rFonts w:ascii="Arial" w:cs="Arial" w:eastAsia="Arial" w:hAnsi="Arial"/>
                <w:sz w:val="19"/>
                <w:szCs w:val="19"/>
                <w:color w:val="auto"/>
              </w:rPr>
              <w:t>6.10</w:t>
            </w:r>
          </w:p>
        </w:tc>
        <w:tc>
          <w:tcPr>
            <w:tcW w:w="8660" w:type="dxa"/>
            <w:vAlign w:val="bottom"/>
          </w:tcPr>
          <w:p>
            <w:pPr>
              <w:ind w:left="100"/>
              <w:spacing w:after="0"/>
              <w:rPr>
                <w:sz w:val="20"/>
                <w:szCs w:val="20"/>
                <w:color w:val="auto"/>
              </w:rPr>
            </w:pPr>
            <w:r>
              <w:rPr>
                <w:rFonts w:ascii="Arial" w:cs="Arial" w:eastAsia="Arial" w:hAnsi="Arial"/>
                <w:sz w:val="19"/>
                <w:szCs w:val="19"/>
                <w:color w:val="auto"/>
              </w:rPr>
              <w:t>Insurance</w:t>
            </w:r>
          </w:p>
        </w:tc>
        <w:tc>
          <w:tcPr>
            <w:tcW w:w="1540" w:type="dxa"/>
            <w:vAlign w:val="bottom"/>
          </w:tcPr>
          <w:p>
            <w:pPr>
              <w:ind w:left="1240"/>
              <w:spacing w:after="0"/>
              <w:rPr>
                <w:sz w:val="20"/>
                <w:szCs w:val="20"/>
                <w:color w:val="auto"/>
              </w:rPr>
            </w:pPr>
            <w:r>
              <w:rPr>
                <w:rFonts w:ascii="Arial" w:cs="Arial" w:eastAsia="Arial" w:hAnsi="Arial"/>
                <w:sz w:val="19"/>
                <w:szCs w:val="19"/>
                <w:color w:val="auto"/>
                <w:w w:val="88"/>
              </w:rPr>
              <w:t>121</w:t>
            </w:r>
          </w:p>
        </w:tc>
      </w:tr>
      <w:tr>
        <w:trPr>
          <w:trHeight w:val="275"/>
        </w:trPr>
        <w:tc>
          <w:tcPr>
            <w:tcW w:w="420" w:type="dxa"/>
            <w:vAlign w:val="bottom"/>
          </w:tcPr>
          <w:p>
            <w:pPr>
              <w:spacing w:after="0"/>
              <w:rPr>
                <w:sz w:val="20"/>
                <w:szCs w:val="20"/>
                <w:color w:val="auto"/>
              </w:rPr>
            </w:pPr>
            <w:r>
              <w:rPr>
                <w:rFonts w:ascii="Arial" w:cs="Arial" w:eastAsia="Arial" w:hAnsi="Arial"/>
                <w:sz w:val="19"/>
                <w:szCs w:val="19"/>
                <w:color w:val="auto"/>
              </w:rPr>
              <w:t>6.11</w:t>
            </w:r>
          </w:p>
        </w:tc>
        <w:tc>
          <w:tcPr>
            <w:tcW w:w="8660" w:type="dxa"/>
            <w:vAlign w:val="bottom"/>
          </w:tcPr>
          <w:p>
            <w:pPr>
              <w:ind w:left="80"/>
              <w:spacing w:after="0"/>
              <w:rPr>
                <w:sz w:val="20"/>
                <w:szCs w:val="20"/>
                <w:color w:val="auto"/>
              </w:rPr>
            </w:pPr>
            <w:r>
              <w:rPr>
                <w:rFonts w:ascii="Arial" w:cs="Arial" w:eastAsia="Arial" w:hAnsi="Arial"/>
                <w:sz w:val="19"/>
                <w:szCs w:val="19"/>
                <w:color w:val="auto"/>
              </w:rPr>
              <w:t>Taxes</w:t>
            </w:r>
          </w:p>
        </w:tc>
        <w:tc>
          <w:tcPr>
            <w:tcW w:w="1540" w:type="dxa"/>
            <w:vAlign w:val="bottom"/>
          </w:tcPr>
          <w:p>
            <w:pPr>
              <w:ind w:left="1240"/>
              <w:spacing w:after="0"/>
              <w:rPr>
                <w:sz w:val="20"/>
                <w:szCs w:val="20"/>
                <w:color w:val="auto"/>
              </w:rPr>
            </w:pPr>
            <w:r>
              <w:rPr>
                <w:rFonts w:ascii="Arial" w:cs="Arial" w:eastAsia="Arial" w:hAnsi="Arial"/>
                <w:sz w:val="19"/>
                <w:szCs w:val="19"/>
                <w:color w:val="auto"/>
                <w:w w:val="88"/>
              </w:rPr>
              <w:t>121</w:t>
            </w:r>
          </w:p>
        </w:tc>
      </w:tr>
      <w:tr>
        <w:trPr>
          <w:trHeight w:val="275"/>
        </w:trPr>
        <w:tc>
          <w:tcPr>
            <w:tcW w:w="420" w:type="dxa"/>
            <w:vAlign w:val="bottom"/>
          </w:tcPr>
          <w:p>
            <w:pPr>
              <w:spacing w:after="0"/>
              <w:rPr>
                <w:sz w:val="20"/>
                <w:szCs w:val="20"/>
                <w:color w:val="auto"/>
              </w:rPr>
            </w:pPr>
            <w:r>
              <w:rPr>
                <w:rFonts w:ascii="Arial" w:cs="Arial" w:eastAsia="Arial" w:hAnsi="Arial"/>
                <w:sz w:val="19"/>
                <w:szCs w:val="19"/>
                <w:color w:val="auto"/>
              </w:rPr>
              <w:t>6.12</w:t>
            </w:r>
          </w:p>
        </w:tc>
        <w:tc>
          <w:tcPr>
            <w:tcW w:w="8660" w:type="dxa"/>
            <w:vAlign w:val="bottom"/>
          </w:tcPr>
          <w:p>
            <w:pPr>
              <w:ind w:left="100"/>
              <w:spacing w:after="0"/>
              <w:rPr>
                <w:sz w:val="20"/>
                <w:szCs w:val="20"/>
                <w:color w:val="auto"/>
              </w:rPr>
            </w:pPr>
            <w:r>
              <w:rPr>
                <w:rFonts w:ascii="Arial" w:cs="Arial" w:eastAsia="Arial" w:hAnsi="Arial"/>
                <w:sz w:val="19"/>
                <w:szCs w:val="19"/>
                <w:color w:val="auto"/>
              </w:rPr>
              <w:t>ERISA Compliance</w:t>
            </w:r>
          </w:p>
        </w:tc>
        <w:tc>
          <w:tcPr>
            <w:tcW w:w="1540" w:type="dxa"/>
            <w:vAlign w:val="bottom"/>
          </w:tcPr>
          <w:p>
            <w:pPr>
              <w:ind w:left="1240"/>
              <w:spacing w:after="0"/>
              <w:rPr>
                <w:sz w:val="20"/>
                <w:szCs w:val="20"/>
                <w:color w:val="auto"/>
              </w:rPr>
            </w:pPr>
            <w:r>
              <w:rPr>
                <w:rFonts w:ascii="Arial" w:cs="Arial" w:eastAsia="Arial" w:hAnsi="Arial"/>
                <w:sz w:val="19"/>
                <w:szCs w:val="19"/>
                <w:color w:val="auto"/>
                <w:w w:val="88"/>
              </w:rPr>
              <w:t>121</w:t>
            </w:r>
          </w:p>
        </w:tc>
      </w:tr>
      <w:tr>
        <w:trPr>
          <w:trHeight w:val="275"/>
        </w:trPr>
        <w:tc>
          <w:tcPr>
            <w:tcW w:w="420" w:type="dxa"/>
            <w:vAlign w:val="bottom"/>
          </w:tcPr>
          <w:p>
            <w:pPr>
              <w:spacing w:after="0"/>
              <w:rPr>
                <w:sz w:val="20"/>
                <w:szCs w:val="20"/>
                <w:color w:val="auto"/>
              </w:rPr>
            </w:pPr>
            <w:r>
              <w:rPr>
                <w:rFonts w:ascii="Arial" w:cs="Arial" w:eastAsia="Arial" w:hAnsi="Arial"/>
                <w:sz w:val="19"/>
                <w:szCs w:val="19"/>
                <w:color w:val="auto"/>
              </w:rPr>
              <w:t>6.13</w:t>
            </w:r>
          </w:p>
        </w:tc>
        <w:tc>
          <w:tcPr>
            <w:tcW w:w="8660" w:type="dxa"/>
            <w:vAlign w:val="bottom"/>
          </w:tcPr>
          <w:p>
            <w:pPr>
              <w:ind w:left="100"/>
              <w:spacing w:after="0"/>
              <w:rPr>
                <w:sz w:val="20"/>
                <w:szCs w:val="20"/>
                <w:color w:val="auto"/>
              </w:rPr>
            </w:pPr>
            <w:r>
              <w:rPr>
                <w:rFonts w:ascii="Arial" w:cs="Arial" w:eastAsia="Arial" w:hAnsi="Arial"/>
                <w:sz w:val="19"/>
                <w:szCs w:val="19"/>
                <w:color w:val="auto"/>
              </w:rPr>
              <w:t>Subsidiaries and Equity Interests</w:t>
            </w:r>
          </w:p>
        </w:tc>
        <w:tc>
          <w:tcPr>
            <w:tcW w:w="1540" w:type="dxa"/>
            <w:vAlign w:val="bottom"/>
          </w:tcPr>
          <w:p>
            <w:pPr>
              <w:ind w:left="1240"/>
              <w:spacing w:after="0"/>
              <w:rPr>
                <w:sz w:val="20"/>
                <w:szCs w:val="20"/>
                <w:color w:val="auto"/>
              </w:rPr>
            </w:pPr>
            <w:r>
              <w:rPr>
                <w:rFonts w:ascii="Arial" w:cs="Arial" w:eastAsia="Arial" w:hAnsi="Arial"/>
                <w:sz w:val="19"/>
                <w:szCs w:val="19"/>
                <w:color w:val="auto"/>
                <w:w w:val="88"/>
              </w:rPr>
              <w:t>123</w:t>
            </w:r>
          </w:p>
        </w:tc>
      </w:tr>
      <w:tr>
        <w:trPr>
          <w:trHeight w:val="275"/>
        </w:trPr>
        <w:tc>
          <w:tcPr>
            <w:tcW w:w="420" w:type="dxa"/>
            <w:vAlign w:val="bottom"/>
          </w:tcPr>
          <w:p>
            <w:pPr>
              <w:spacing w:after="0"/>
              <w:rPr>
                <w:sz w:val="20"/>
                <w:szCs w:val="20"/>
                <w:color w:val="auto"/>
              </w:rPr>
            </w:pPr>
            <w:r>
              <w:rPr>
                <w:rFonts w:ascii="Arial" w:cs="Arial" w:eastAsia="Arial" w:hAnsi="Arial"/>
                <w:sz w:val="19"/>
                <w:szCs w:val="19"/>
                <w:color w:val="auto"/>
              </w:rPr>
              <w:t>6.14</w:t>
            </w:r>
          </w:p>
        </w:tc>
        <w:tc>
          <w:tcPr>
            <w:tcW w:w="8660" w:type="dxa"/>
            <w:vAlign w:val="bottom"/>
          </w:tcPr>
          <w:p>
            <w:pPr>
              <w:ind w:left="100"/>
              <w:spacing w:after="0"/>
              <w:rPr>
                <w:sz w:val="20"/>
                <w:szCs w:val="20"/>
                <w:color w:val="auto"/>
              </w:rPr>
            </w:pPr>
            <w:r>
              <w:rPr>
                <w:rFonts w:ascii="Arial" w:cs="Arial" w:eastAsia="Arial" w:hAnsi="Arial"/>
                <w:sz w:val="19"/>
                <w:szCs w:val="19"/>
                <w:color w:val="auto"/>
              </w:rPr>
              <w:t>Margin Regulations; Investment Company Act</w:t>
            </w:r>
          </w:p>
        </w:tc>
        <w:tc>
          <w:tcPr>
            <w:tcW w:w="1540" w:type="dxa"/>
            <w:vAlign w:val="bottom"/>
          </w:tcPr>
          <w:p>
            <w:pPr>
              <w:ind w:left="1240"/>
              <w:spacing w:after="0"/>
              <w:rPr>
                <w:sz w:val="20"/>
                <w:szCs w:val="20"/>
                <w:color w:val="auto"/>
              </w:rPr>
            </w:pPr>
            <w:r>
              <w:rPr>
                <w:rFonts w:ascii="Arial" w:cs="Arial" w:eastAsia="Arial" w:hAnsi="Arial"/>
                <w:sz w:val="19"/>
                <w:szCs w:val="19"/>
                <w:color w:val="auto"/>
                <w:w w:val="88"/>
              </w:rPr>
              <w:t>123</w:t>
            </w:r>
          </w:p>
        </w:tc>
      </w:tr>
      <w:tr>
        <w:trPr>
          <w:trHeight w:val="275"/>
        </w:trPr>
        <w:tc>
          <w:tcPr>
            <w:tcW w:w="420" w:type="dxa"/>
            <w:vAlign w:val="bottom"/>
          </w:tcPr>
          <w:p>
            <w:pPr>
              <w:spacing w:after="0"/>
              <w:rPr>
                <w:sz w:val="20"/>
                <w:szCs w:val="20"/>
                <w:color w:val="auto"/>
              </w:rPr>
            </w:pPr>
            <w:r>
              <w:rPr>
                <w:rFonts w:ascii="Arial" w:cs="Arial" w:eastAsia="Arial" w:hAnsi="Arial"/>
                <w:sz w:val="19"/>
                <w:szCs w:val="19"/>
                <w:color w:val="auto"/>
              </w:rPr>
              <w:t>6.15</w:t>
            </w:r>
          </w:p>
        </w:tc>
        <w:tc>
          <w:tcPr>
            <w:tcW w:w="8660" w:type="dxa"/>
            <w:vAlign w:val="bottom"/>
          </w:tcPr>
          <w:p>
            <w:pPr>
              <w:ind w:left="100"/>
              <w:spacing w:after="0"/>
              <w:rPr>
                <w:sz w:val="20"/>
                <w:szCs w:val="20"/>
                <w:color w:val="auto"/>
              </w:rPr>
            </w:pPr>
            <w:r>
              <w:rPr>
                <w:rFonts w:ascii="Arial" w:cs="Arial" w:eastAsia="Arial" w:hAnsi="Arial"/>
                <w:sz w:val="19"/>
                <w:szCs w:val="19"/>
                <w:color w:val="auto"/>
              </w:rPr>
              <w:t>Disclosure</w:t>
            </w:r>
          </w:p>
        </w:tc>
        <w:tc>
          <w:tcPr>
            <w:tcW w:w="1540" w:type="dxa"/>
            <w:vAlign w:val="bottom"/>
          </w:tcPr>
          <w:p>
            <w:pPr>
              <w:ind w:left="1240"/>
              <w:spacing w:after="0"/>
              <w:rPr>
                <w:sz w:val="20"/>
                <w:szCs w:val="20"/>
                <w:color w:val="auto"/>
              </w:rPr>
            </w:pPr>
            <w:r>
              <w:rPr>
                <w:rFonts w:ascii="Arial" w:cs="Arial" w:eastAsia="Arial" w:hAnsi="Arial"/>
                <w:sz w:val="19"/>
                <w:szCs w:val="19"/>
                <w:color w:val="auto"/>
                <w:w w:val="88"/>
              </w:rPr>
              <w:t>123</w:t>
            </w:r>
          </w:p>
        </w:tc>
      </w:tr>
      <w:tr>
        <w:trPr>
          <w:trHeight w:val="275"/>
        </w:trPr>
        <w:tc>
          <w:tcPr>
            <w:tcW w:w="420" w:type="dxa"/>
            <w:vAlign w:val="bottom"/>
          </w:tcPr>
          <w:p>
            <w:pPr>
              <w:spacing w:after="0"/>
              <w:rPr>
                <w:sz w:val="20"/>
                <w:szCs w:val="20"/>
                <w:color w:val="auto"/>
              </w:rPr>
            </w:pPr>
            <w:r>
              <w:rPr>
                <w:rFonts w:ascii="Arial" w:cs="Arial" w:eastAsia="Arial" w:hAnsi="Arial"/>
                <w:sz w:val="19"/>
                <w:szCs w:val="19"/>
                <w:color w:val="auto"/>
              </w:rPr>
              <w:t>6.16</w:t>
            </w:r>
          </w:p>
        </w:tc>
        <w:tc>
          <w:tcPr>
            <w:tcW w:w="8660" w:type="dxa"/>
            <w:vAlign w:val="bottom"/>
          </w:tcPr>
          <w:p>
            <w:pPr>
              <w:ind w:left="100"/>
              <w:spacing w:after="0"/>
              <w:rPr>
                <w:sz w:val="20"/>
                <w:szCs w:val="20"/>
                <w:color w:val="auto"/>
              </w:rPr>
            </w:pPr>
            <w:r>
              <w:rPr>
                <w:rFonts w:ascii="Arial" w:cs="Arial" w:eastAsia="Arial" w:hAnsi="Arial"/>
                <w:sz w:val="19"/>
                <w:szCs w:val="19"/>
                <w:color w:val="auto"/>
              </w:rPr>
              <w:t>Compliance with Laws</w:t>
            </w:r>
          </w:p>
        </w:tc>
        <w:tc>
          <w:tcPr>
            <w:tcW w:w="1540" w:type="dxa"/>
            <w:vAlign w:val="bottom"/>
          </w:tcPr>
          <w:p>
            <w:pPr>
              <w:ind w:left="1240"/>
              <w:spacing w:after="0"/>
              <w:rPr>
                <w:sz w:val="20"/>
                <w:szCs w:val="20"/>
                <w:color w:val="auto"/>
              </w:rPr>
            </w:pPr>
            <w:r>
              <w:rPr>
                <w:rFonts w:ascii="Arial" w:cs="Arial" w:eastAsia="Arial" w:hAnsi="Arial"/>
                <w:sz w:val="19"/>
                <w:szCs w:val="19"/>
                <w:color w:val="auto"/>
                <w:w w:val="88"/>
              </w:rPr>
              <w:t>124</w:t>
            </w:r>
          </w:p>
        </w:tc>
      </w:tr>
      <w:tr>
        <w:trPr>
          <w:trHeight w:val="275"/>
        </w:trPr>
        <w:tc>
          <w:tcPr>
            <w:tcW w:w="420" w:type="dxa"/>
            <w:vAlign w:val="bottom"/>
          </w:tcPr>
          <w:p>
            <w:pPr>
              <w:spacing w:after="0"/>
              <w:rPr>
                <w:sz w:val="20"/>
                <w:szCs w:val="20"/>
                <w:color w:val="auto"/>
              </w:rPr>
            </w:pPr>
            <w:r>
              <w:rPr>
                <w:rFonts w:ascii="Arial" w:cs="Arial" w:eastAsia="Arial" w:hAnsi="Arial"/>
                <w:sz w:val="19"/>
                <w:szCs w:val="19"/>
                <w:color w:val="auto"/>
              </w:rPr>
              <w:t>6.17</w:t>
            </w:r>
          </w:p>
        </w:tc>
        <w:tc>
          <w:tcPr>
            <w:tcW w:w="8660" w:type="dxa"/>
            <w:vAlign w:val="bottom"/>
          </w:tcPr>
          <w:p>
            <w:pPr>
              <w:ind w:left="100"/>
              <w:spacing w:after="0"/>
              <w:rPr>
                <w:sz w:val="20"/>
                <w:szCs w:val="20"/>
                <w:color w:val="auto"/>
              </w:rPr>
            </w:pPr>
            <w:r>
              <w:rPr>
                <w:rFonts w:ascii="Arial" w:cs="Arial" w:eastAsia="Arial" w:hAnsi="Arial"/>
                <w:sz w:val="19"/>
                <w:szCs w:val="19"/>
                <w:color w:val="auto"/>
              </w:rPr>
              <w:t>Intellectual Property; Licenses, Etc</w:t>
            </w:r>
          </w:p>
        </w:tc>
        <w:tc>
          <w:tcPr>
            <w:tcW w:w="1540" w:type="dxa"/>
            <w:vAlign w:val="bottom"/>
          </w:tcPr>
          <w:p>
            <w:pPr>
              <w:ind w:left="1240"/>
              <w:spacing w:after="0"/>
              <w:rPr>
                <w:sz w:val="20"/>
                <w:szCs w:val="20"/>
                <w:color w:val="auto"/>
              </w:rPr>
            </w:pPr>
            <w:r>
              <w:rPr>
                <w:rFonts w:ascii="Arial" w:cs="Arial" w:eastAsia="Arial" w:hAnsi="Arial"/>
                <w:sz w:val="19"/>
                <w:szCs w:val="19"/>
                <w:color w:val="auto"/>
                <w:w w:val="88"/>
              </w:rPr>
              <w:t>124</w:t>
            </w:r>
          </w:p>
        </w:tc>
      </w:tr>
      <w:tr>
        <w:trPr>
          <w:trHeight w:val="275"/>
        </w:trPr>
        <w:tc>
          <w:tcPr>
            <w:tcW w:w="420" w:type="dxa"/>
            <w:vAlign w:val="bottom"/>
          </w:tcPr>
          <w:p>
            <w:pPr>
              <w:spacing w:after="0"/>
              <w:rPr>
                <w:sz w:val="20"/>
                <w:szCs w:val="20"/>
                <w:color w:val="auto"/>
              </w:rPr>
            </w:pPr>
            <w:r>
              <w:rPr>
                <w:rFonts w:ascii="Arial" w:cs="Arial" w:eastAsia="Arial" w:hAnsi="Arial"/>
                <w:sz w:val="19"/>
                <w:szCs w:val="19"/>
                <w:color w:val="auto"/>
              </w:rPr>
              <w:t>6.18</w:t>
            </w:r>
          </w:p>
        </w:tc>
        <w:tc>
          <w:tcPr>
            <w:tcW w:w="8660" w:type="dxa"/>
            <w:vAlign w:val="bottom"/>
          </w:tcPr>
          <w:p>
            <w:pPr>
              <w:ind w:left="100"/>
              <w:spacing w:after="0"/>
              <w:rPr>
                <w:sz w:val="20"/>
                <w:szCs w:val="20"/>
                <w:color w:val="auto"/>
              </w:rPr>
            </w:pPr>
            <w:r>
              <w:rPr>
                <w:rFonts w:ascii="Arial" w:cs="Arial" w:eastAsia="Arial" w:hAnsi="Arial"/>
                <w:sz w:val="19"/>
                <w:szCs w:val="19"/>
                <w:color w:val="auto"/>
              </w:rPr>
              <w:t>Labor Matters</w:t>
            </w:r>
          </w:p>
        </w:tc>
        <w:tc>
          <w:tcPr>
            <w:tcW w:w="1540" w:type="dxa"/>
            <w:vAlign w:val="bottom"/>
          </w:tcPr>
          <w:p>
            <w:pPr>
              <w:ind w:left="1240"/>
              <w:spacing w:after="0"/>
              <w:rPr>
                <w:sz w:val="20"/>
                <w:szCs w:val="20"/>
                <w:color w:val="auto"/>
              </w:rPr>
            </w:pPr>
            <w:r>
              <w:rPr>
                <w:rFonts w:ascii="Arial" w:cs="Arial" w:eastAsia="Arial" w:hAnsi="Arial"/>
                <w:sz w:val="19"/>
                <w:szCs w:val="19"/>
                <w:color w:val="auto"/>
                <w:w w:val="88"/>
              </w:rPr>
              <w:t>124</w:t>
            </w:r>
          </w:p>
        </w:tc>
      </w:tr>
      <w:tr>
        <w:trPr>
          <w:trHeight w:val="275"/>
        </w:trPr>
        <w:tc>
          <w:tcPr>
            <w:tcW w:w="420" w:type="dxa"/>
            <w:vAlign w:val="bottom"/>
          </w:tcPr>
          <w:p>
            <w:pPr>
              <w:spacing w:after="0"/>
              <w:rPr>
                <w:sz w:val="20"/>
                <w:szCs w:val="20"/>
                <w:color w:val="auto"/>
              </w:rPr>
            </w:pPr>
            <w:r>
              <w:rPr>
                <w:rFonts w:ascii="Arial" w:cs="Arial" w:eastAsia="Arial" w:hAnsi="Arial"/>
                <w:sz w:val="19"/>
                <w:szCs w:val="19"/>
                <w:color w:val="auto"/>
              </w:rPr>
              <w:t>6.19</w:t>
            </w:r>
          </w:p>
        </w:tc>
        <w:tc>
          <w:tcPr>
            <w:tcW w:w="8660" w:type="dxa"/>
            <w:vAlign w:val="bottom"/>
          </w:tcPr>
          <w:p>
            <w:pPr>
              <w:ind w:left="100"/>
              <w:spacing w:after="0"/>
              <w:rPr>
                <w:sz w:val="20"/>
                <w:szCs w:val="20"/>
                <w:color w:val="auto"/>
              </w:rPr>
            </w:pPr>
            <w:r>
              <w:rPr>
                <w:rFonts w:ascii="Arial" w:cs="Arial" w:eastAsia="Arial" w:hAnsi="Arial"/>
                <w:sz w:val="19"/>
                <w:szCs w:val="19"/>
                <w:color w:val="auto"/>
              </w:rPr>
              <w:t>Deposit Accounts and Securities Accounts.</w:t>
            </w:r>
          </w:p>
        </w:tc>
        <w:tc>
          <w:tcPr>
            <w:tcW w:w="1540" w:type="dxa"/>
            <w:vAlign w:val="bottom"/>
          </w:tcPr>
          <w:p>
            <w:pPr>
              <w:ind w:left="1240"/>
              <w:spacing w:after="0"/>
              <w:rPr>
                <w:sz w:val="20"/>
                <w:szCs w:val="20"/>
                <w:color w:val="auto"/>
              </w:rPr>
            </w:pPr>
            <w:r>
              <w:rPr>
                <w:rFonts w:ascii="Arial" w:cs="Arial" w:eastAsia="Arial" w:hAnsi="Arial"/>
                <w:sz w:val="19"/>
                <w:szCs w:val="19"/>
                <w:color w:val="auto"/>
                <w:w w:val="88"/>
              </w:rPr>
              <w:t>125</w:t>
            </w:r>
          </w:p>
        </w:tc>
      </w:tr>
      <w:tr>
        <w:trPr>
          <w:trHeight w:val="275"/>
        </w:trPr>
        <w:tc>
          <w:tcPr>
            <w:tcW w:w="420" w:type="dxa"/>
            <w:vAlign w:val="bottom"/>
          </w:tcPr>
          <w:p>
            <w:pPr>
              <w:spacing w:after="0"/>
              <w:rPr>
                <w:sz w:val="20"/>
                <w:szCs w:val="20"/>
                <w:color w:val="auto"/>
              </w:rPr>
            </w:pPr>
            <w:r>
              <w:rPr>
                <w:rFonts w:ascii="Arial" w:cs="Arial" w:eastAsia="Arial" w:hAnsi="Arial"/>
                <w:sz w:val="19"/>
                <w:szCs w:val="19"/>
                <w:color w:val="auto"/>
              </w:rPr>
              <w:t>6.20</w:t>
            </w:r>
          </w:p>
        </w:tc>
        <w:tc>
          <w:tcPr>
            <w:tcW w:w="8660" w:type="dxa"/>
            <w:vAlign w:val="bottom"/>
          </w:tcPr>
          <w:p>
            <w:pPr>
              <w:ind w:left="80"/>
              <w:spacing w:after="0"/>
              <w:rPr>
                <w:sz w:val="20"/>
                <w:szCs w:val="20"/>
                <w:color w:val="auto"/>
              </w:rPr>
            </w:pPr>
            <w:r>
              <w:rPr>
                <w:rFonts w:ascii="Arial" w:cs="Arial" w:eastAsia="Arial" w:hAnsi="Arial"/>
                <w:sz w:val="19"/>
                <w:szCs w:val="19"/>
                <w:color w:val="auto"/>
              </w:rPr>
              <w:t>Accounts</w:t>
            </w:r>
          </w:p>
        </w:tc>
        <w:tc>
          <w:tcPr>
            <w:tcW w:w="1540" w:type="dxa"/>
            <w:vAlign w:val="bottom"/>
          </w:tcPr>
          <w:p>
            <w:pPr>
              <w:ind w:left="1240"/>
              <w:spacing w:after="0"/>
              <w:rPr>
                <w:sz w:val="20"/>
                <w:szCs w:val="20"/>
                <w:color w:val="auto"/>
              </w:rPr>
            </w:pPr>
            <w:r>
              <w:rPr>
                <w:rFonts w:ascii="Arial" w:cs="Arial" w:eastAsia="Arial" w:hAnsi="Arial"/>
                <w:sz w:val="19"/>
                <w:szCs w:val="19"/>
                <w:color w:val="auto"/>
                <w:w w:val="88"/>
              </w:rPr>
              <w:t>125</w:t>
            </w:r>
          </w:p>
        </w:tc>
      </w:tr>
      <w:tr>
        <w:trPr>
          <w:trHeight w:val="275"/>
        </w:trPr>
        <w:tc>
          <w:tcPr>
            <w:tcW w:w="420" w:type="dxa"/>
            <w:vAlign w:val="bottom"/>
          </w:tcPr>
          <w:p>
            <w:pPr>
              <w:spacing w:after="0"/>
              <w:rPr>
                <w:sz w:val="20"/>
                <w:szCs w:val="20"/>
                <w:color w:val="auto"/>
              </w:rPr>
            </w:pPr>
            <w:r>
              <w:rPr>
                <w:rFonts w:ascii="Arial" w:cs="Arial" w:eastAsia="Arial" w:hAnsi="Arial"/>
                <w:sz w:val="19"/>
                <w:szCs w:val="19"/>
                <w:color w:val="auto"/>
              </w:rPr>
              <w:t>6.21</w:t>
            </w:r>
          </w:p>
        </w:tc>
        <w:tc>
          <w:tcPr>
            <w:tcW w:w="8660" w:type="dxa"/>
            <w:vAlign w:val="bottom"/>
          </w:tcPr>
          <w:p>
            <w:pPr>
              <w:ind w:left="100"/>
              <w:spacing w:after="0"/>
              <w:rPr>
                <w:sz w:val="20"/>
                <w:szCs w:val="20"/>
                <w:color w:val="auto"/>
              </w:rPr>
            </w:pPr>
            <w:r>
              <w:rPr>
                <w:rFonts w:ascii="Arial" w:cs="Arial" w:eastAsia="Arial" w:hAnsi="Arial"/>
                <w:sz w:val="19"/>
                <w:szCs w:val="19"/>
                <w:color w:val="auto"/>
              </w:rPr>
              <w:t>Sanctions; Anti-Money Laundering Laws and Anti-Corruption Laws</w:t>
            </w:r>
          </w:p>
        </w:tc>
        <w:tc>
          <w:tcPr>
            <w:tcW w:w="1540" w:type="dxa"/>
            <w:vAlign w:val="bottom"/>
          </w:tcPr>
          <w:p>
            <w:pPr>
              <w:ind w:left="1240"/>
              <w:spacing w:after="0"/>
              <w:rPr>
                <w:sz w:val="20"/>
                <w:szCs w:val="20"/>
                <w:color w:val="auto"/>
              </w:rPr>
            </w:pPr>
            <w:r>
              <w:rPr>
                <w:rFonts w:ascii="Arial" w:cs="Arial" w:eastAsia="Arial" w:hAnsi="Arial"/>
                <w:sz w:val="19"/>
                <w:szCs w:val="19"/>
                <w:color w:val="auto"/>
                <w:w w:val="88"/>
              </w:rPr>
              <w:t>126</w:t>
            </w:r>
          </w:p>
        </w:tc>
      </w:tr>
      <w:tr>
        <w:trPr>
          <w:trHeight w:val="275"/>
        </w:trPr>
        <w:tc>
          <w:tcPr>
            <w:tcW w:w="420" w:type="dxa"/>
            <w:vAlign w:val="bottom"/>
          </w:tcPr>
          <w:p>
            <w:pPr>
              <w:spacing w:after="0"/>
              <w:rPr>
                <w:sz w:val="20"/>
                <w:szCs w:val="20"/>
                <w:color w:val="auto"/>
              </w:rPr>
            </w:pPr>
            <w:r>
              <w:rPr>
                <w:rFonts w:ascii="Arial" w:cs="Arial" w:eastAsia="Arial" w:hAnsi="Arial"/>
                <w:sz w:val="19"/>
                <w:szCs w:val="19"/>
                <w:color w:val="auto"/>
              </w:rPr>
              <w:t>6.22</w:t>
            </w:r>
          </w:p>
        </w:tc>
        <w:tc>
          <w:tcPr>
            <w:tcW w:w="8660" w:type="dxa"/>
            <w:vAlign w:val="bottom"/>
          </w:tcPr>
          <w:p>
            <w:pPr>
              <w:ind w:left="100"/>
              <w:spacing w:after="0"/>
              <w:rPr>
                <w:sz w:val="20"/>
                <w:szCs w:val="20"/>
                <w:color w:val="auto"/>
              </w:rPr>
            </w:pPr>
            <w:r>
              <w:rPr>
                <w:rFonts w:ascii="Arial" w:cs="Arial" w:eastAsia="Arial" w:hAnsi="Arial"/>
                <w:sz w:val="19"/>
                <w:szCs w:val="19"/>
                <w:color w:val="auto"/>
              </w:rPr>
              <w:t>Brokers</w:t>
            </w:r>
          </w:p>
        </w:tc>
        <w:tc>
          <w:tcPr>
            <w:tcW w:w="1540" w:type="dxa"/>
            <w:vAlign w:val="bottom"/>
          </w:tcPr>
          <w:p>
            <w:pPr>
              <w:ind w:left="1240"/>
              <w:spacing w:after="0"/>
              <w:rPr>
                <w:sz w:val="20"/>
                <w:szCs w:val="20"/>
                <w:color w:val="auto"/>
              </w:rPr>
            </w:pPr>
            <w:r>
              <w:rPr>
                <w:rFonts w:ascii="Arial" w:cs="Arial" w:eastAsia="Arial" w:hAnsi="Arial"/>
                <w:sz w:val="19"/>
                <w:szCs w:val="19"/>
                <w:color w:val="auto"/>
                <w:w w:val="88"/>
              </w:rPr>
              <w:t>126</w:t>
            </w:r>
          </w:p>
        </w:tc>
      </w:tr>
      <w:tr>
        <w:trPr>
          <w:trHeight w:val="275"/>
        </w:trPr>
        <w:tc>
          <w:tcPr>
            <w:tcW w:w="420" w:type="dxa"/>
            <w:vAlign w:val="bottom"/>
          </w:tcPr>
          <w:p>
            <w:pPr>
              <w:spacing w:after="0"/>
              <w:rPr>
                <w:sz w:val="20"/>
                <w:szCs w:val="20"/>
                <w:color w:val="auto"/>
              </w:rPr>
            </w:pPr>
            <w:r>
              <w:rPr>
                <w:rFonts w:ascii="Arial" w:cs="Arial" w:eastAsia="Arial" w:hAnsi="Arial"/>
                <w:sz w:val="19"/>
                <w:szCs w:val="19"/>
                <w:color w:val="auto"/>
              </w:rPr>
              <w:t>6.23</w:t>
            </w:r>
          </w:p>
        </w:tc>
        <w:tc>
          <w:tcPr>
            <w:tcW w:w="8660" w:type="dxa"/>
            <w:vAlign w:val="bottom"/>
          </w:tcPr>
          <w:p>
            <w:pPr>
              <w:ind w:left="100"/>
              <w:spacing w:after="0"/>
              <w:rPr>
                <w:sz w:val="20"/>
                <w:szCs w:val="20"/>
                <w:color w:val="auto"/>
              </w:rPr>
            </w:pPr>
            <w:r>
              <w:rPr>
                <w:rFonts w:ascii="Arial" w:cs="Arial" w:eastAsia="Arial" w:hAnsi="Arial"/>
                <w:sz w:val="19"/>
                <w:szCs w:val="19"/>
                <w:color w:val="auto"/>
              </w:rPr>
              <w:t>Customer and Trade Relations</w:t>
            </w:r>
          </w:p>
        </w:tc>
        <w:tc>
          <w:tcPr>
            <w:tcW w:w="1540" w:type="dxa"/>
            <w:vAlign w:val="bottom"/>
          </w:tcPr>
          <w:p>
            <w:pPr>
              <w:ind w:left="1240"/>
              <w:spacing w:after="0"/>
              <w:rPr>
                <w:sz w:val="20"/>
                <w:szCs w:val="20"/>
                <w:color w:val="auto"/>
              </w:rPr>
            </w:pPr>
            <w:r>
              <w:rPr>
                <w:rFonts w:ascii="Arial" w:cs="Arial" w:eastAsia="Arial" w:hAnsi="Arial"/>
                <w:sz w:val="19"/>
                <w:szCs w:val="19"/>
                <w:color w:val="auto"/>
                <w:w w:val="88"/>
              </w:rPr>
              <w:t>126</w:t>
            </w:r>
          </w:p>
        </w:tc>
      </w:tr>
      <w:tr>
        <w:trPr>
          <w:trHeight w:val="275"/>
        </w:trPr>
        <w:tc>
          <w:tcPr>
            <w:tcW w:w="420" w:type="dxa"/>
            <w:vAlign w:val="bottom"/>
          </w:tcPr>
          <w:p>
            <w:pPr>
              <w:spacing w:after="0"/>
              <w:rPr>
                <w:sz w:val="20"/>
                <w:szCs w:val="20"/>
                <w:color w:val="auto"/>
              </w:rPr>
            </w:pPr>
            <w:r>
              <w:rPr>
                <w:rFonts w:ascii="Arial" w:cs="Arial" w:eastAsia="Arial" w:hAnsi="Arial"/>
                <w:sz w:val="19"/>
                <w:szCs w:val="19"/>
                <w:color w:val="auto"/>
              </w:rPr>
              <w:t>6.24</w:t>
            </w:r>
          </w:p>
        </w:tc>
        <w:tc>
          <w:tcPr>
            <w:tcW w:w="8660" w:type="dxa"/>
            <w:vAlign w:val="bottom"/>
          </w:tcPr>
          <w:p>
            <w:pPr>
              <w:ind w:left="100"/>
              <w:spacing w:after="0"/>
              <w:rPr>
                <w:sz w:val="20"/>
                <w:szCs w:val="20"/>
                <w:color w:val="auto"/>
              </w:rPr>
            </w:pPr>
            <w:r>
              <w:rPr>
                <w:rFonts w:ascii="Arial" w:cs="Arial" w:eastAsia="Arial" w:hAnsi="Arial"/>
                <w:sz w:val="19"/>
                <w:szCs w:val="19"/>
                <w:color w:val="auto"/>
              </w:rPr>
              <w:t>Material Contracts</w:t>
            </w:r>
          </w:p>
        </w:tc>
        <w:tc>
          <w:tcPr>
            <w:tcW w:w="1540" w:type="dxa"/>
            <w:vAlign w:val="bottom"/>
          </w:tcPr>
          <w:p>
            <w:pPr>
              <w:ind w:left="1240"/>
              <w:spacing w:after="0"/>
              <w:rPr>
                <w:sz w:val="20"/>
                <w:szCs w:val="20"/>
                <w:color w:val="auto"/>
              </w:rPr>
            </w:pPr>
            <w:r>
              <w:rPr>
                <w:rFonts w:ascii="Arial" w:cs="Arial" w:eastAsia="Arial" w:hAnsi="Arial"/>
                <w:sz w:val="19"/>
                <w:szCs w:val="19"/>
                <w:color w:val="auto"/>
                <w:w w:val="88"/>
              </w:rPr>
              <w:t>126</w:t>
            </w:r>
          </w:p>
        </w:tc>
      </w:tr>
      <w:tr>
        <w:trPr>
          <w:trHeight w:val="275"/>
        </w:trPr>
        <w:tc>
          <w:tcPr>
            <w:tcW w:w="420" w:type="dxa"/>
            <w:vAlign w:val="bottom"/>
          </w:tcPr>
          <w:p>
            <w:pPr>
              <w:spacing w:after="0"/>
              <w:rPr>
                <w:sz w:val="20"/>
                <w:szCs w:val="20"/>
                <w:color w:val="auto"/>
              </w:rPr>
            </w:pPr>
            <w:r>
              <w:rPr>
                <w:rFonts w:ascii="Arial" w:cs="Arial" w:eastAsia="Arial" w:hAnsi="Arial"/>
                <w:sz w:val="19"/>
                <w:szCs w:val="19"/>
                <w:color w:val="auto"/>
              </w:rPr>
              <w:t>6.25</w:t>
            </w:r>
          </w:p>
        </w:tc>
        <w:tc>
          <w:tcPr>
            <w:tcW w:w="8660" w:type="dxa"/>
            <w:vAlign w:val="bottom"/>
          </w:tcPr>
          <w:p>
            <w:pPr>
              <w:ind w:left="100"/>
              <w:spacing w:after="0"/>
              <w:rPr>
                <w:sz w:val="20"/>
                <w:szCs w:val="20"/>
                <w:color w:val="auto"/>
              </w:rPr>
            </w:pPr>
            <w:r>
              <w:rPr>
                <w:rFonts w:ascii="Arial" w:cs="Arial" w:eastAsia="Arial" w:hAnsi="Arial"/>
                <w:sz w:val="19"/>
                <w:szCs w:val="19"/>
                <w:color w:val="auto"/>
              </w:rPr>
              <w:t>Casualty</w:t>
            </w:r>
          </w:p>
        </w:tc>
        <w:tc>
          <w:tcPr>
            <w:tcW w:w="1540" w:type="dxa"/>
            <w:vAlign w:val="bottom"/>
          </w:tcPr>
          <w:p>
            <w:pPr>
              <w:ind w:left="1240"/>
              <w:spacing w:after="0"/>
              <w:rPr>
                <w:sz w:val="20"/>
                <w:szCs w:val="20"/>
                <w:color w:val="auto"/>
              </w:rPr>
            </w:pPr>
            <w:r>
              <w:rPr>
                <w:rFonts w:ascii="Arial" w:cs="Arial" w:eastAsia="Arial" w:hAnsi="Arial"/>
                <w:sz w:val="19"/>
                <w:szCs w:val="19"/>
                <w:color w:val="auto"/>
                <w:w w:val="88"/>
              </w:rPr>
              <w:t>127</w:t>
            </w:r>
          </w:p>
        </w:tc>
      </w:tr>
      <w:tr>
        <w:trPr>
          <w:trHeight w:val="275"/>
        </w:trPr>
        <w:tc>
          <w:tcPr>
            <w:tcW w:w="420" w:type="dxa"/>
            <w:vAlign w:val="bottom"/>
          </w:tcPr>
          <w:p>
            <w:pPr>
              <w:spacing w:after="0"/>
              <w:rPr>
                <w:sz w:val="20"/>
                <w:szCs w:val="20"/>
                <w:color w:val="auto"/>
              </w:rPr>
            </w:pPr>
            <w:r>
              <w:rPr>
                <w:rFonts w:ascii="Arial" w:cs="Arial" w:eastAsia="Arial" w:hAnsi="Arial"/>
                <w:sz w:val="19"/>
                <w:szCs w:val="19"/>
                <w:color w:val="auto"/>
              </w:rPr>
              <w:t>6.26</w:t>
            </w:r>
          </w:p>
        </w:tc>
        <w:tc>
          <w:tcPr>
            <w:tcW w:w="8660" w:type="dxa"/>
            <w:vAlign w:val="bottom"/>
          </w:tcPr>
          <w:p>
            <w:pPr>
              <w:ind w:left="100"/>
              <w:spacing w:after="0"/>
              <w:rPr>
                <w:sz w:val="20"/>
                <w:szCs w:val="20"/>
                <w:color w:val="auto"/>
              </w:rPr>
            </w:pPr>
            <w:r>
              <w:rPr>
                <w:rFonts w:ascii="Arial" w:cs="Arial" w:eastAsia="Arial" w:hAnsi="Arial"/>
                <w:sz w:val="19"/>
                <w:szCs w:val="19"/>
                <w:color w:val="auto"/>
              </w:rPr>
              <w:t>Senior Indebtedness</w:t>
            </w:r>
          </w:p>
        </w:tc>
        <w:tc>
          <w:tcPr>
            <w:tcW w:w="1540" w:type="dxa"/>
            <w:vAlign w:val="bottom"/>
          </w:tcPr>
          <w:p>
            <w:pPr>
              <w:ind w:left="1240"/>
              <w:spacing w:after="0"/>
              <w:rPr>
                <w:sz w:val="20"/>
                <w:szCs w:val="20"/>
                <w:color w:val="auto"/>
              </w:rPr>
            </w:pPr>
            <w:r>
              <w:rPr>
                <w:rFonts w:ascii="Arial" w:cs="Arial" w:eastAsia="Arial" w:hAnsi="Arial"/>
                <w:sz w:val="19"/>
                <w:szCs w:val="19"/>
                <w:color w:val="auto"/>
                <w:w w:val="88"/>
              </w:rPr>
              <w:t>127</w:t>
            </w:r>
          </w:p>
        </w:tc>
      </w:tr>
      <w:tr>
        <w:trPr>
          <w:trHeight w:val="275"/>
        </w:trPr>
        <w:tc>
          <w:tcPr>
            <w:tcW w:w="420" w:type="dxa"/>
            <w:vAlign w:val="bottom"/>
          </w:tcPr>
          <w:p>
            <w:pPr>
              <w:spacing w:after="0"/>
              <w:rPr>
                <w:sz w:val="20"/>
                <w:szCs w:val="20"/>
                <w:color w:val="auto"/>
              </w:rPr>
            </w:pPr>
            <w:r>
              <w:rPr>
                <w:rFonts w:ascii="Arial" w:cs="Arial" w:eastAsia="Arial" w:hAnsi="Arial"/>
                <w:sz w:val="19"/>
                <w:szCs w:val="19"/>
                <w:color w:val="auto"/>
              </w:rPr>
              <w:t>6.27</w:t>
            </w:r>
          </w:p>
        </w:tc>
        <w:tc>
          <w:tcPr>
            <w:tcW w:w="8660" w:type="dxa"/>
            <w:vAlign w:val="bottom"/>
          </w:tcPr>
          <w:p>
            <w:pPr>
              <w:ind w:left="100"/>
              <w:spacing w:after="0"/>
              <w:rPr>
                <w:sz w:val="20"/>
                <w:szCs w:val="20"/>
                <w:color w:val="auto"/>
              </w:rPr>
            </w:pPr>
            <w:r>
              <w:rPr>
                <w:rFonts w:ascii="Arial" w:cs="Arial" w:eastAsia="Arial" w:hAnsi="Arial"/>
                <w:sz w:val="19"/>
                <w:szCs w:val="19"/>
                <w:color w:val="auto"/>
              </w:rPr>
              <w:t>Post-Retirement Benefits</w:t>
            </w:r>
          </w:p>
        </w:tc>
        <w:tc>
          <w:tcPr>
            <w:tcW w:w="1540" w:type="dxa"/>
            <w:vAlign w:val="bottom"/>
          </w:tcPr>
          <w:p>
            <w:pPr>
              <w:ind w:left="1240"/>
              <w:spacing w:after="0"/>
              <w:rPr>
                <w:sz w:val="20"/>
                <w:szCs w:val="20"/>
                <w:color w:val="auto"/>
              </w:rPr>
            </w:pPr>
            <w:r>
              <w:rPr>
                <w:rFonts w:ascii="Arial" w:cs="Arial" w:eastAsia="Arial" w:hAnsi="Arial"/>
                <w:sz w:val="19"/>
                <w:szCs w:val="19"/>
                <w:color w:val="auto"/>
                <w:w w:val="88"/>
              </w:rPr>
              <w:t>127</w:t>
            </w:r>
          </w:p>
        </w:tc>
      </w:tr>
      <w:tr>
        <w:trPr>
          <w:trHeight w:val="275"/>
        </w:trPr>
        <w:tc>
          <w:tcPr>
            <w:tcW w:w="420" w:type="dxa"/>
            <w:vAlign w:val="bottom"/>
          </w:tcPr>
          <w:p>
            <w:pPr>
              <w:spacing w:after="0"/>
              <w:rPr>
                <w:sz w:val="20"/>
                <w:szCs w:val="20"/>
                <w:color w:val="auto"/>
              </w:rPr>
            </w:pPr>
            <w:r>
              <w:rPr>
                <w:rFonts w:ascii="Arial" w:cs="Arial" w:eastAsia="Arial" w:hAnsi="Arial"/>
                <w:sz w:val="19"/>
                <w:szCs w:val="19"/>
                <w:color w:val="auto"/>
              </w:rPr>
              <w:t>6.28</w:t>
            </w:r>
          </w:p>
        </w:tc>
        <w:tc>
          <w:tcPr>
            <w:tcW w:w="8660" w:type="dxa"/>
            <w:vAlign w:val="bottom"/>
          </w:tcPr>
          <w:p>
            <w:pPr>
              <w:ind w:left="100"/>
              <w:spacing w:after="0"/>
              <w:rPr>
                <w:sz w:val="20"/>
                <w:szCs w:val="20"/>
                <w:color w:val="auto"/>
              </w:rPr>
            </w:pPr>
            <w:r>
              <w:rPr>
                <w:rFonts w:ascii="Arial" w:cs="Arial" w:eastAsia="Arial" w:hAnsi="Arial"/>
                <w:sz w:val="19"/>
                <w:szCs w:val="19"/>
                <w:color w:val="auto"/>
              </w:rPr>
              <w:t>Payment and Performance Bonds</w:t>
            </w:r>
          </w:p>
        </w:tc>
        <w:tc>
          <w:tcPr>
            <w:tcW w:w="1540" w:type="dxa"/>
            <w:vAlign w:val="bottom"/>
          </w:tcPr>
          <w:p>
            <w:pPr>
              <w:ind w:left="1240"/>
              <w:spacing w:after="0"/>
              <w:rPr>
                <w:sz w:val="20"/>
                <w:szCs w:val="20"/>
                <w:color w:val="auto"/>
              </w:rPr>
            </w:pPr>
            <w:r>
              <w:rPr>
                <w:rFonts w:ascii="Arial" w:cs="Arial" w:eastAsia="Arial" w:hAnsi="Arial"/>
                <w:sz w:val="19"/>
                <w:szCs w:val="19"/>
                <w:color w:val="auto"/>
                <w:w w:val="88"/>
              </w:rPr>
              <w:t>127</w:t>
            </w:r>
          </w:p>
        </w:tc>
      </w:tr>
    </w:tbl>
    <w:p>
      <w:pPr>
        <w:spacing w:after="0" w:line="200" w:lineRule="exact"/>
        <w:rPr>
          <w:sz w:val="20"/>
          <w:szCs w:val="20"/>
          <w:color w:val="auto"/>
        </w:rPr>
      </w:pPr>
    </w:p>
    <w:p>
      <w:pPr>
        <w:sectPr>
          <w:pgSz w:w="11900" w:h="16838" w:orient="portrait"/>
          <w:cols w:equalWidth="0" w:num="1">
            <w:col w:w="11060"/>
          </w:cols>
          <w:pgMar w:left="400" w:top="118" w:right="439" w:bottom="1440" w:gutter="0" w:footer="0" w:header="0"/>
        </w:sect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-ii-</w:t>
      </w:r>
    </w:p>
    <w:p>
      <w:pPr>
        <w:sectPr>
          <w:pgSz w:w="11900" w:h="16838" w:orient="portrait"/>
          <w:cols w:equalWidth="0" w:num="1">
            <w:col w:w="11060"/>
          </w:cols>
          <w:pgMar w:left="400" w:top="118" w:right="439" w:bottom="1440" w:gutter="0" w:footer="0" w:header="0"/>
          <w:type w:val="continuous"/>
        </w:sectPr>
      </w:pPr>
    </w:p>
    <w:bookmarkStart w:id="115" w:name="page116"/>
    <w:bookmarkEnd w:id="115"/>
    <w:p>
      <w:pPr>
        <w:jc w:val="center"/>
        <w:ind w:right="-19"/>
        <w:spacing w:after="0"/>
        <w:rPr>
          <w:sz w:val="20"/>
          <w:szCs w:val="20"/>
          <w:color w:val="auto"/>
        </w:rPr>
      </w:pPr>
      <w:r>
        <w:rPr>
          <w:rFonts w:ascii="Arial" w:cs="Arial" w:eastAsia="Arial" w:hAnsi="Arial"/>
          <w:sz w:val="19"/>
          <w:szCs w:val="19"/>
          <w:b w:val="1"/>
          <w:bCs w:val="1"/>
          <w:color w:val="auto"/>
        </w:rPr>
        <w:t>TABLE OF CONTENTS</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(continued)</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20" w:type="dxa"/>
            <w:vAlign w:val="bottom"/>
          </w:tcPr>
          <w:p>
            <w:pPr>
              <w:spacing w:after="0"/>
              <w:rPr>
                <w:sz w:val="19"/>
                <w:szCs w:val="19"/>
                <w:color w:val="auto"/>
              </w:rPr>
            </w:pPr>
          </w:p>
        </w:tc>
        <w:tc>
          <w:tcPr>
            <w:tcW w:w="8140" w:type="dxa"/>
            <w:vAlign w:val="bottom"/>
          </w:tcPr>
          <w:p>
            <w:pPr>
              <w:jc w:val="center"/>
              <w:ind w:left="2004"/>
              <w:spacing w:after="0"/>
              <w:rPr>
                <w:sz w:val="20"/>
                <w:szCs w:val="20"/>
                <w:color w:val="auto"/>
              </w:rPr>
            </w:pPr>
            <w:r>
              <w:rPr>
                <w:rFonts w:ascii="Arial" w:cs="Arial" w:eastAsia="Arial" w:hAnsi="Arial"/>
                <w:sz w:val="19"/>
                <w:szCs w:val="19"/>
                <w:color w:val="auto"/>
              </w:rPr>
              <w:t>ARTICLE VII</w:t>
            </w:r>
          </w:p>
        </w:tc>
        <w:tc>
          <w:tcPr>
            <w:tcW w:w="2060" w:type="dxa"/>
            <w:vAlign w:val="bottom"/>
          </w:tcPr>
          <w:p>
            <w:pPr>
              <w:spacing w:after="0"/>
              <w:rPr>
                <w:sz w:val="19"/>
                <w:szCs w:val="19"/>
                <w:color w:val="auto"/>
              </w:rPr>
            </w:pPr>
          </w:p>
        </w:tc>
      </w:tr>
      <w:tr>
        <w:trPr>
          <w:trHeight w:val="245"/>
        </w:trPr>
        <w:tc>
          <w:tcPr>
            <w:tcW w:w="420" w:type="dxa"/>
            <w:vAlign w:val="bottom"/>
          </w:tcPr>
          <w:p>
            <w:pPr>
              <w:spacing w:after="0"/>
              <w:rPr>
                <w:sz w:val="21"/>
                <w:szCs w:val="21"/>
                <w:color w:val="auto"/>
              </w:rPr>
            </w:pPr>
          </w:p>
        </w:tc>
        <w:tc>
          <w:tcPr>
            <w:tcW w:w="8140" w:type="dxa"/>
            <w:vAlign w:val="bottom"/>
          </w:tcPr>
          <w:p>
            <w:pPr>
              <w:jc w:val="center"/>
              <w:ind w:left="2004"/>
              <w:spacing w:after="0"/>
              <w:rPr>
                <w:sz w:val="20"/>
                <w:szCs w:val="20"/>
                <w:color w:val="auto"/>
              </w:rPr>
            </w:pPr>
            <w:r>
              <w:rPr>
                <w:rFonts w:ascii="Arial" w:cs="Arial" w:eastAsia="Arial" w:hAnsi="Arial"/>
                <w:sz w:val="19"/>
                <w:szCs w:val="19"/>
                <w:color w:val="auto"/>
                <w:w w:val="99"/>
              </w:rPr>
              <w:t>AFFIRMATIVE COVENANTS</w:t>
            </w:r>
          </w:p>
        </w:tc>
        <w:tc>
          <w:tcPr>
            <w:tcW w:w="2060" w:type="dxa"/>
            <w:vAlign w:val="bottom"/>
          </w:tcPr>
          <w:p>
            <w:pPr>
              <w:spacing w:after="0"/>
              <w:rPr>
                <w:sz w:val="21"/>
                <w:szCs w:val="21"/>
                <w:color w:val="auto"/>
              </w:rPr>
            </w:pPr>
          </w:p>
        </w:tc>
      </w:tr>
      <w:tr>
        <w:trPr>
          <w:trHeight w:val="275"/>
        </w:trPr>
        <w:tc>
          <w:tcPr>
            <w:tcW w:w="420" w:type="dxa"/>
            <w:vAlign w:val="bottom"/>
          </w:tcPr>
          <w:p>
            <w:pPr>
              <w:spacing w:after="0"/>
              <w:rPr>
                <w:sz w:val="20"/>
                <w:szCs w:val="20"/>
                <w:color w:val="auto"/>
              </w:rPr>
            </w:pPr>
            <w:r>
              <w:rPr>
                <w:rFonts w:ascii="Arial" w:cs="Arial" w:eastAsia="Arial" w:hAnsi="Arial"/>
                <w:sz w:val="19"/>
                <w:szCs w:val="19"/>
                <w:color w:val="auto"/>
              </w:rPr>
              <w:t>7.01</w:t>
            </w:r>
          </w:p>
        </w:tc>
        <w:tc>
          <w:tcPr>
            <w:tcW w:w="8140" w:type="dxa"/>
            <w:vAlign w:val="bottom"/>
          </w:tcPr>
          <w:p>
            <w:pPr>
              <w:ind w:left="100"/>
              <w:spacing w:after="0"/>
              <w:rPr>
                <w:sz w:val="20"/>
                <w:szCs w:val="20"/>
                <w:color w:val="auto"/>
              </w:rPr>
            </w:pPr>
            <w:r>
              <w:rPr>
                <w:rFonts w:ascii="Arial" w:cs="Arial" w:eastAsia="Arial" w:hAnsi="Arial"/>
                <w:sz w:val="19"/>
                <w:szCs w:val="19"/>
                <w:color w:val="auto"/>
              </w:rPr>
              <w:t>Financial Statements</w:t>
            </w:r>
          </w:p>
        </w:tc>
        <w:tc>
          <w:tcPr>
            <w:tcW w:w="2060" w:type="dxa"/>
            <w:vAlign w:val="bottom"/>
          </w:tcPr>
          <w:p>
            <w:pPr>
              <w:jc w:val="right"/>
              <w:spacing w:after="0"/>
              <w:rPr>
                <w:sz w:val="20"/>
                <w:szCs w:val="20"/>
                <w:color w:val="auto"/>
              </w:rPr>
            </w:pPr>
            <w:r>
              <w:rPr>
                <w:rFonts w:ascii="Arial" w:cs="Arial" w:eastAsia="Arial" w:hAnsi="Arial"/>
                <w:sz w:val="19"/>
                <w:szCs w:val="19"/>
                <w:color w:val="auto"/>
              </w:rPr>
              <w:t>127</w:t>
            </w:r>
          </w:p>
        </w:tc>
      </w:tr>
      <w:tr>
        <w:trPr>
          <w:trHeight w:val="275"/>
        </w:trPr>
        <w:tc>
          <w:tcPr>
            <w:tcW w:w="420" w:type="dxa"/>
            <w:vAlign w:val="bottom"/>
          </w:tcPr>
          <w:p>
            <w:pPr>
              <w:spacing w:after="0"/>
              <w:rPr>
                <w:sz w:val="20"/>
                <w:szCs w:val="20"/>
                <w:color w:val="auto"/>
              </w:rPr>
            </w:pPr>
            <w:r>
              <w:rPr>
                <w:rFonts w:ascii="Arial" w:cs="Arial" w:eastAsia="Arial" w:hAnsi="Arial"/>
                <w:sz w:val="19"/>
                <w:szCs w:val="19"/>
                <w:color w:val="auto"/>
              </w:rPr>
              <w:t>7.02</w:t>
            </w:r>
          </w:p>
        </w:tc>
        <w:tc>
          <w:tcPr>
            <w:tcW w:w="8140" w:type="dxa"/>
            <w:vAlign w:val="bottom"/>
          </w:tcPr>
          <w:p>
            <w:pPr>
              <w:ind w:left="100"/>
              <w:spacing w:after="0"/>
              <w:rPr>
                <w:sz w:val="20"/>
                <w:szCs w:val="20"/>
                <w:color w:val="auto"/>
              </w:rPr>
            </w:pPr>
            <w:r>
              <w:rPr>
                <w:rFonts w:ascii="Arial" w:cs="Arial" w:eastAsia="Arial" w:hAnsi="Arial"/>
                <w:sz w:val="19"/>
                <w:szCs w:val="19"/>
                <w:color w:val="auto"/>
              </w:rPr>
              <w:t>Borrowing Base Certificate; Other Information</w:t>
            </w:r>
          </w:p>
        </w:tc>
        <w:tc>
          <w:tcPr>
            <w:tcW w:w="2060" w:type="dxa"/>
            <w:vAlign w:val="bottom"/>
          </w:tcPr>
          <w:p>
            <w:pPr>
              <w:jc w:val="right"/>
              <w:spacing w:after="0"/>
              <w:rPr>
                <w:sz w:val="20"/>
                <w:szCs w:val="20"/>
                <w:color w:val="auto"/>
              </w:rPr>
            </w:pPr>
            <w:r>
              <w:rPr>
                <w:rFonts w:ascii="Arial" w:cs="Arial" w:eastAsia="Arial" w:hAnsi="Arial"/>
                <w:sz w:val="19"/>
                <w:szCs w:val="19"/>
                <w:color w:val="auto"/>
              </w:rPr>
              <w:t>128</w:t>
            </w:r>
          </w:p>
        </w:tc>
      </w:tr>
      <w:tr>
        <w:trPr>
          <w:trHeight w:val="275"/>
        </w:trPr>
        <w:tc>
          <w:tcPr>
            <w:tcW w:w="420" w:type="dxa"/>
            <w:vAlign w:val="bottom"/>
          </w:tcPr>
          <w:p>
            <w:pPr>
              <w:spacing w:after="0"/>
              <w:rPr>
                <w:sz w:val="20"/>
                <w:szCs w:val="20"/>
                <w:color w:val="auto"/>
              </w:rPr>
            </w:pPr>
            <w:r>
              <w:rPr>
                <w:rFonts w:ascii="Arial" w:cs="Arial" w:eastAsia="Arial" w:hAnsi="Arial"/>
                <w:sz w:val="19"/>
                <w:szCs w:val="19"/>
                <w:color w:val="auto"/>
              </w:rPr>
              <w:t>7.03</w:t>
            </w:r>
          </w:p>
        </w:tc>
        <w:tc>
          <w:tcPr>
            <w:tcW w:w="8140" w:type="dxa"/>
            <w:vAlign w:val="bottom"/>
          </w:tcPr>
          <w:p>
            <w:pPr>
              <w:ind w:left="100"/>
              <w:spacing w:after="0"/>
              <w:rPr>
                <w:sz w:val="20"/>
                <w:szCs w:val="20"/>
                <w:color w:val="auto"/>
              </w:rPr>
            </w:pPr>
            <w:r>
              <w:rPr>
                <w:rFonts w:ascii="Arial" w:cs="Arial" w:eastAsia="Arial" w:hAnsi="Arial"/>
                <w:sz w:val="19"/>
                <w:szCs w:val="19"/>
                <w:color w:val="auto"/>
              </w:rPr>
              <w:t>Notices</w:t>
            </w:r>
          </w:p>
        </w:tc>
        <w:tc>
          <w:tcPr>
            <w:tcW w:w="2060" w:type="dxa"/>
            <w:vAlign w:val="bottom"/>
          </w:tcPr>
          <w:p>
            <w:pPr>
              <w:jc w:val="right"/>
              <w:spacing w:after="0"/>
              <w:rPr>
                <w:sz w:val="20"/>
                <w:szCs w:val="20"/>
                <w:color w:val="auto"/>
              </w:rPr>
            </w:pPr>
            <w:r>
              <w:rPr>
                <w:rFonts w:ascii="Arial" w:cs="Arial" w:eastAsia="Arial" w:hAnsi="Arial"/>
                <w:sz w:val="19"/>
                <w:szCs w:val="19"/>
                <w:color w:val="auto"/>
              </w:rPr>
              <w:t>130</w:t>
            </w:r>
          </w:p>
        </w:tc>
      </w:tr>
      <w:tr>
        <w:trPr>
          <w:trHeight w:val="275"/>
        </w:trPr>
        <w:tc>
          <w:tcPr>
            <w:tcW w:w="420" w:type="dxa"/>
            <w:vAlign w:val="bottom"/>
          </w:tcPr>
          <w:p>
            <w:pPr>
              <w:spacing w:after="0"/>
              <w:rPr>
                <w:sz w:val="20"/>
                <w:szCs w:val="20"/>
                <w:color w:val="auto"/>
              </w:rPr>
            </w:pPr>
            <w:r>
              <w:rPr>
                <w:rFonts w:ascii="Arial" w:cs="Arial" w:eastAsia="Arial" w:hAnsi="Arial"/>
                <w:sz w:val="19"/>
                <w:szCs w:val="19"/>
                <w:color w:val="auto"/>
              </w:rPr>
              <w:t>7.04</w:t>
            </w:r>
          </w:p>
        </w:tc>
        <w:tc>
          <w:tcPr>
            <w:tcW w:w="8140" w:type="dxa"/>
            <w:vAlign w:val="bottom"/>
          </w:tcPr>
          <w:p>
            <w:pPr>
              <w:ind w:left="100"/>
              <w:spacing w:after="0"/>
              <w:rPr>
                <w:sz w:val="20"/>
                <w:szCs w:val="20"/>
                <w:color w:val="auto"/>
              </w:rPr>
            </w:pPr>
            <w:r>
              <w:rPr>
                <w:rFonts w:ascii="Arial" w:cs="Arial" w:eastAsia="Arial" w:hAnsi="Arial"/>
                <w:sz w:val="19"/>
                <w:szCs w:val="19"/>
                <w:color w:val="auto"/>
              </w:rPr>
              <w:t>Payment of Obligations</w:t>
            </w:r>
          </w:p>
        </w:tc>
        <w:tc>
          <w:tcPr>
            <w:tcW w:w="2060" w:type="dxa"/>
            <w:vAlign w:val="bottom"/>
          </w:tcPr>
          <w:p>
            <w:pPr>
              <w:jc w:val="right"/>
              <w:spacing w:after="0"/>
              <w:rPr>
                <w:sz w:val="20"/>
                <w:szCs w:val="20"/>
                <w:color w:val="auto"/>
              </w:rPr>
            </w:pPr>
            <w:r>
              <w:rPr>
                <w:rFonts w:ascii="Arial" w:cs="Arial" w:eastAsia="Arial" w:hAnsi="Arial"/>
                <w:sz w:val="19"/>
                <w:szCs w:val="19"/>
                <w:color w:val="auto"/>
              </w:rPr>
              <w:t>132</w:t>
            </w:r>
          </w:p>
        </w:tc>
      </w:tr>
      <w:tr>
        <w:trPr>
          <w:trHeight w:val="275"/>
        </w:trPr>
        <w:tc>
          <w:tcPr>
            <w:tcW w:w="420" w:type="dxa"/>
            <w:vAlign w:val="bottom"/>
          </w:tcPr>
          <w:p>
            <w:pPr>
              <w:spacing w:after="0"/>
              <w:rPr>
                <w:sz w:val="20"/>
                <w:szCs w:val="20"/>
                <w:color w:val="auto"/>
              </w:rPr>
            </w:pPr>
            <w:r>
              <w:rPr>
                <w:rFonts w:ascii="Arial" w:cs="Arial" w:eastAsia="Arial" w:hAnsi="Arial"/>
                <w:sz w:val="19"/>
                <w:szCs w:val="19"/>
                <w:color w:val="auto"/>
              </w:rPr>
              <w:t>7.05</w:t>
            </w:r>
          </w:p>
        </w:tc>
        <w:tc>
          <w:tcPr>
            <w:tcW w:w="8140" w:type="dxa"/>
            <w:vAlign w:val="bottom"/>
          </w:tcPr>
          <w:p>
            <w:pPr>
              <w:ind w:left="100"/>
              <w:spacing w:after="0"/>
              <w:rPr>
                <w:sz w:val="20"/>
                <w:szCs w:val="20"/>
                <w:color w:val="auto"/>
              </w:rPr>
            </w:pPr>
            <w:r>
              <w:rPr>
                <w:rFonts w:ascii="Arial" w:cs="Arial" w:eastAsia="Arial" w:hAnsi="Arial"/>
                <w:sz w:val="19"/>
                <w:szCs w:val="19"/>
                <w:color w:val="auto"/>
              </w:rPr>
              <w:t>Preservation of Existence, Etc</w:t>
            </w:r>
          </w:p>
        </w:tc>
        <w:tc>
          <w:tcPr>
            <w:tcW w:w="2060" w:type="dxa"/>
            <w:vAlign w:val="bottom"/>
          </w:tcPr>
          <w:p>
            <w:pPr>
              <w:jc w:val="right"/>
              <w:spacing w:after="0"/>
              <w:rPr>
                <w:sz w:val="20"/>
                <w:szCs w:val="20"/>
                <w:color w:val="auto"/>
              </w:rPr>
            </w:pPr>
            <w:r>
              <w:rPr>
                <w:rFonts w:ascii="Arial" w:cs="Arial" w:eastAsia="Arial" w:hAnsi="Arial"/>
                <w:sz w:val="19"/>
                <w:szCs w:val="19"/>
                <w:color w:val="auto"/>
              </w:rPr>
              <w:t>132</w:t>
            </w:r>
          </w:p>
        </w:tc>
      </w:tr>
      <w:tr>
        <w:trPr>
          <w:trHeight w:val="275"/>
        </w:trPr>
        <w:tc>
          <w:tcPr>
            <w:tcW w:w="420" w:type="dxa"/>
            <w:vAlign w:val="bottom"/>
          </w:tcPr>
          <w:p>
            <w:pPr>
              <w:spacing w:after="0"/>
              <w:rPr>
                <w:sz w:val="20"/>
                <w:szCs w:val="20"/>
                <w:color w:val="auto"/>
              </w:rPr>
            </w:pPr>
            <w:r>
              <w:rPr>
                <w:rFonts w:ascii="Arial" w:cs="Arial" w:eastAsia="Arial" w:hAnsi="Arial"/>
                <w:sz w:val="19"/>
                <w:szCs w:val="19"/>
                <w:color w:val="auto"/>
              </w:rPr>
              <w:t>7.06</w:t>
            </w:r>
          </w:p>
        </w:tc>
        <w:tc>
          <w:tcPr>
            <w:tcW w:w="8140" w:type="dxa"/>
            <w:vAlign w:val="bottom"/>
          </w:tcPr>
          <w:p>
            <w:pPr>
              <w:ind w:left="100"/>
              <w:spacing w:after="0"/>
              <w:rPr>
                <w:sz w:val="20"/>
                <w:szCs w:val="20"/>
                <w:color w:val="auto"/>
              </w:rPr>
            </w:pPr>
            <w:r>
              <w:rPr>
                <w:rFonts w:ascii="Arial" w:cs="Arial" w:eastAsia="Arial" w:hAnsi="Arial"/>
                <w:sz w:val="19"/>
                <w:szCs w:val="19"/>
                <w:color w:val="auto"/>
              </w:rPr>
              <w:t>Maintenance of Properties</w:t>
            </w:r>
          </w:p>
        </w:tc>
        <w:tc>
          <w:tcPr>
            <w:tcW w:w="2060" w:type="dxa"/>
            <w:vAlign w:val="bottom"/>
          </w:tcPr>
          <w:p>
            <w:pPr>
              <w:jc w:val="right"/>
              <w:spacing w:after="0"/>
              <w:rPr>
                <w:sz w:val="20"/>
                <w:szCs w:val="20"/>
                <w:color w:val="auto"/>
              </w:rPr>
            </w:pPr>
            <w:r>
              <w:rPr>
                <w:rFonts w:ascii="Arial" w:cs="Arial" w:eastAsia="Arial" w:hAnsi="Arial"/>
                <w:sz w:val="19"/>
                <w:szCs w:val="19"/>
                <w:color w:val="auto"/>
              </w:rPr>
              <w:t>132</w:t>
            </w:r>
          </w:p>
        </w:tc>
      </w:tr>
      <w:tr>
        <w:trPr>
          <w:trHeight w:val="275"/>
        </w:trPr>
        <w:tc>
          <w:tcPr>
            <w:tcW w:w="420" w:type="dxa"/>
            <w:vAlign w:val="bottom"/>
          </w:tcPr>
          <w:p>
            <w:pPr>
              <w:spacing w:after="0"/>
              <w:rPr>
                <w:sz w:val="20"/>
                <w:szCs w:val="20"/>
                <w:color w:val="auto"/>
              </w:rPr>
            </w:pPr>
            <w:r>
              <w:rPr>
                <w:rFonts w:ascii="Arial" w:cs="Arial" w:eastAsia="Arial" w:hAnsi="Arial"/>
                <w:sz w:val="19"/>
                <w:szCs w:val="19"/>
                <w:color w:val="auto"/>
              </w:rPr>
              <w:t>7.07</w:t>
            </w:r>
          </w:p>
        </w:tc>
        <w:tc>
          <w:tcPr>
            <w:tcW w:w="8140" w:type="dxa"/>
            <w:vAlign w:val="bottom"/>
          </w:tcPr>
          <w:p>
            <w:pPr>
              <w:ind w:left="100"/>
              <w:spacing w:after="0"/>
              <w:rPr>
                <w:sz w:val="20"/>
                <w:szCs w:val="20"/>
                <w:color w:val="auto"/>
              </w:rPr>
            </w:pPr>
            <w:r>
              <w:rPr>
                <w:rFonts w:ascii="Arial" w:cs="Arial" w:eastAsia="Arial" w:hAnsi="Arial"/>
                <w:sz w:val="19"/>
                <w:szCs w:val="19"/>
                <w:color w:val="auto"/>
              </w:rPr>
              <w:t>Maintenance of Insurance; Condemnation Proceeds</w:t>
            </w:r>
          </w:p>
        </w:tc>
        <w:tc>
          <w:tcPr>
            <w:tcW w:w="2060" w:type="dxa"/>
            <w:vAlign w:val="bottom"/>
          </w:tcPr>
          <w:p>
            <w:pPr>
              <w:jc w:val="right"/>
              <w:spacing w:after="0"/>
              <w:rPr>
                <w:sz w:val="20"/>
                <w:szCs w:val="20"/>
                <w:color w:val="auto"/>
              </w:rPr>
            </w:pPr>
            <w:r>
              <w:rPr>
                <w:rFonts w:ascii="Arial" w:cs="Arial" w:eastAsia="Arial" w:hAnsi="Arial"/>
                <w:sz w:val="19"/>
                <w:szCs w:val="19"/>
                <w:color w:val="auto"/>
              </w:rPr>
              <w:t>132</w:t>
            </w:r>
          </w:p>
        </w:tc>
      </w:tr>
      <w:tr>
        <w:trPr>
          <w:trHeight w:val="275"/>
        </w:trPr>
        <w:tc>
          <w:tcPr>
            <w:tcW w:w="420" w:type="dxa"/>
            <w:vAlign w:val="bottom"/>
          </w:tcPr>
          <w:p>
            <w:pPr>
              <w:spacing w:after="0"/>
              <w:rPr>
                <w:sz w:val="20"/>
                <w:szCs w:val="20"/>
                <w:color w:val="auto"/>
              </w:rPr>
            </w:pPr>
            <w:r>
              <w:rPr>
                <w:rFonts w:ascii="Arial" w:cs="Arial" w:eastAsia="Arial" w:hAnsi="Arial"/>
                <w:sz w:val="19"/>
                <w:szCs w:val="19"/>
                <w:color w:val="auto"/>
              </w:rPr>
              <w:t>7.08</w:t>
            </w:r>
          </w:p>
        </w:tc>
        <w:tc>
          <w:tcPr>
            <w:tcW w:w="8140" w:type="dxa"/>
            <w:vAlign w:val="bottom"/>
          </w:tcPr>
          <w:p>
            <w:pPr>
              <w:ind w:left="100"/>
              <w:spacing w:after="0"/>
              <w:rPr>
                <w:sz w:val="20"/>
                <w:szCs w:val="20"/>
                <w:color w:val="auto"/>
              </w:rPr>
            </w:pPr>
            <w:r>
              <w:rPr>
                <w:rFonts w:ascii="Arial" w:cs="Arial" w:eastAsia="Arial" w:hAnsi="Arial"/>
                <w:sz w:val="19"/>
                <w:szCs w:val="19"/>
                <w:color w:val="auto"/>
              </w:rPr>
              <w:t>Compliance with Laws</w:t>
            </w:r>
          </w:p>
        </w:tc>
        <w:tc>
          <w:tcPr>
            <w:tcW w:w="2060" w:type="dxa"/>
            <w:vAlign w:val="bottom"/>
          </w:tcPr>
          <w:p>
            <w:pPr>
              <w:jc w:val="right"/>
              <w:spacing w:after="0"/>
              <w:rPr>
                <w:sz w:val="20"/>
                <w:szCs w:val="20"/>
                <w:color w:val="auto"/>
              </w:rPr>
            </w:pPr>
            <w:r>
              <w:rPr>
                <w:rFonts w:ascii="Arial" w:cs="Arial" w:eastAsia="Arial" w:hAnsi="Arial"/>
                <w:sz w:val="19"/>
                <w:szCs w:val="19"/>
                <w:color w:val="auto"/>
              </w:rPr>
              <w:t>134</w:t>
            </w:r>
          </w:p>
        </w:tc>
      </w:tr>
      <w:tr>
        <w:trPr>
          <w:trHeight w:val="275"/>
        </w:trPr>
        <w:tc>
          <w:tcPr>
            <w:tcW w:w="420" w:type="dxa"/>
            <w:vAlign w:val="bottom"/>
          </w:tcPr>
          <w:p>
            <w:pPr>
              <w:spacing w:after="0"/>
              <w:rPr>
                <w:sz w:val="20"/>
                <w:szCs w:val="20"/>
                <w:color w:val="auto"/>
              </w:rPr>
            </w:pPr>
            <w:r>
              <w:rPr>
                <w:rFonts w:ascii="Arial" w:cs="Arial" w:eastAsia="Arial" w:hAnsi="Arial"/>
                <w:sz w:val="19"/>
                <w:szCs w:val="19"/>
                <w:color w:val="auto"/>
              </w:rPr>
              <w:t>7.09</w:t>
            </w:r>
          </w:p>
        </w:tc>
        <w:tc>
          <w:tcPr>
            <w:tcW w:w="8140" w:type="dxa"/>
            <w:vAlign w:val="bottom"/>
          </w:tcPr>
          <w:p>
            <w:pPr>
              <w:ind w:left="100"/>
              <w:spacing w:after="0"/>
              <w:rPr>
                <w:sz w:val="20"/>
                <w:szCs w:val="20"/>
                <w:color w:val="auto"/>
              </w:rPr>
            </w:pPr>
            <w:r>
              <w:rPr>
                <w:rFonts w:ascii="Arial" w:cs="Arial" w:eastAsia="Arial" w:hAnsi="Arial"/>
                <w:sz w:val="19"/>
                <w:szCs w:val="19"/>
                <w:color w:val="auto"/>
              </w:rPr>
              <w:t>Books and Records</w:t>
            </w:r>
          </w:p>
        </w:tc>
        <w:tc>
          <w:tcPr>
            <w:tcW w:w="2060" w:type="dxa"/>
            <w:vAlign w:val="bottom"/>
          </w:tcPr>
          <w:p>
            <w:pPr>
              <w:jc w:val="right"/>
              <w:spacing w:after="0"/>
              <w:rPr>
                <w:sz w:val="20"/>
                <w:szCs w:val="20"/>
                <w:color w:val="auto"/>
              </w:rPr>
            </w:pPr>
            <w:r>
              <w:rPr>
                <w:rFonts w:ascii="Arial" w:cs="Arial" w:eastAsia="Arial" w:hAnsi="Arial"/>
                <w:sz w:val="19"/>
                <w:szCs w:val="19"/>
                <w:color w:val="auto"/>
              </w:rPr>
              <w:t>134</w:t>
            </w:r>
          </w:p>
        </w:tc>
      </w:tr>
      <w:tr>
        <w:trPr>
          <w:trHeight w:val="275"/>
        </w:trPr>
        <w:tc>
          <w:tcPr>
            <w:tcW w:w="420" w:type="dxa"/>
            <w:vAlign w:val="bottom"/>
          </w:tcPr>
          <w:p>
            <w:pPr>
              <w:spacing w:after="0"/>
              <w:rPr>
                <w:sz w:val="20"/>
                <w:szCs w:val="20"/>
                <w:color w:val="auto"/>
              </w:rPr>
            </w:pPr>
            <w:r>
              <w:rPr>
                <w:rFonts w:ascii="Arial" w:cs="Arial" w:eastAsia="Arial" w:hAnsi="Arial"/>
                <w:sz w:val="19"/>
                <w:szCs w:val="19"/>
                <w:color w:val="auto"/>
              </w:rPr>
              <w:t>7.10</w:t>
            </w:r>
          </w:p>
        </w:tc>
        <w:tc>
          <w:tcPr>
            <w:tcW w:w="8140" w:type="dxa"/>
            <w:vAlign w:val="bottom"/>
          </w:tcPr>
          <w:p>
            <w:pPr>
              <w:ind w:left="100"/>
              <w:spacing w:after="0"/>
              <w:rPr>
                <w:sz w:val="20"/>
                <w:szCs w:val="20"/>
                <w:color w:val="auto"/>
              </w:rPr>
            </w:pPr>
            <w:r>
              <w:rPr>
                <w:rFonts w:ascii="Arial" w:cs="Arial" w:eastAsia="Arial" w:hAnsi="Arial"/>
                <w:sz w:val="19"/>
                <w:szCs w:val="19"/>
                <w:color w:val="auto"/>
              </w:rPr>
              <w:t>Inspection Rights and Appraisals; Meetings with the Administrative Agent.</w:t>
            </w:r>
          </w:p>
        </w:tc>
        <w:tc>
          <w:tcPr>
            <w:tcW w:w="2060" w:type="dxa"/>
            <w:vAlign w:val="bottom"/>
          </w:tcPr>
          <w:p>
            <w:pPr>
              <w:jc w:val="right"/>
              <w:spacing w:after="0"/>
              <w:rPr>
                <w:sz w:val="20"/>
                <w:szCs w:val="20"/>
                <w:color w:val="auto"/>
              </w:rPr>
            </w:pPr>
            <w:r>
              <w:rPr>
                <w:rFonts w:ascii="Arial" w:cs="Arial" w:eastAsia="Arial" w:hAnsi="Arial"/>
                <w:sz w:val="19"/>
                <w:szCs w:val="19"/>
                <w:color w:val="auto"/>
              </w:rPr>
              <w:t>134</w:t>
            </w:r>
          </w:p>
        </w:tc>
      </w:tr>
      <w:tr>
        <w:trPr>
          <w:trHeight w:val="275"/>
        </w:trPr>
        <w:tc>
          <w:tcPr>
            <w:tcW w:w="420" w:type="dxa"/>
            <w:vAlign w:val="bottom"/>
          </w:tcPr>
          <w:p>
            <w:pPr>
              <w:spacing w:after="0"/>
              <w:rPr>
                <w:sz w:val="20"/>
                <w:szCs w:val="20"/>
                <w:color w:val="auto"/>
              </w:rPr>
            </w:pPr>
            <w:r>
              <w:rPr>
                <w:rFonts w:ascii="Arial" w:cs="Arial" w:eastAsia="Arial" w:hAnsi="Arial"/>
                <w:sz w:val="19"/>
                <w:szCs w:val="19"/>
                <w:color w:val="auto"/>
              </w:rPr>
              <w:t>7.11</w:t>
            </w:r>
          </w:p>
        </w:tc>
        <w:tc>
          <w:tcPr>
            <w:tcW w:w="8140" w:type="dxa"/>
            <w:vAlign w:val="bottom"/>
          </w:tcPr>
          <w:p>
            <w:pPr>
              <w:ind w:left="100"/>
              <w:spacing w:after="0"/>
              <w:rPr>
                <w:sz w:val="20"/>
                <w:szCs w:val="20"/>
                <w:color w:val="auto"/>
              </w:rPr>
            </w:pPr>
            <w:r>
              <w:rPr>
                <w:rFonts w:ascii="Arial" w:cs="Arial" w:eastAsia="Arial" w:hAnsi="Arial"/>
                <w:sz w:val="19"/>
                <w:szCs w:val="19"/>
                <w:color w:val="auto"/>
              </w:rPr>
              <w:t>Use of Proceeds</w:t>
            </w:r>
          </w:p>
        </w:tc>
        <w:tc>
          <w:tcPr>
            <w:tcW w:w="2060" w:type="dxa"/>
            <w:vAlign w:val="bottom"/>
          </w:tcPr>
          <w:p>
            <w:pPr>
              <w:jc w:val="right"/>
              <w:spacing w:after="0"/>
              <w:rPr>
                <w:sz w:val="20"/>
                <w:szCs w:val="20"/>
                <w:color w:val="auto"/>
              </w:rPr>
            </w:pPr>
            <w:r>
              <w:rPr>
                <w:rFonts w:ascii="Arial" w:cs="Arial" w:eastAsia="Arial" w:hAnsi="Arial"/>
                <w:sz w:val="19"/>
                <w:szCs w:val="19"/>
                <w:color w:val="auto"/>
              </w:rPr>
              <w:t>135</w:t>
            </w:r>
          </w:p>
        </w:tc>
      </w:tr>
      <w:tr>
        <w:trPr>
          <w:trHeight w:val="275"/>
        </w:trPr>
        <w:tc>
          <w:tcPr>
            <w:tcW w:w="420" w:type="dxa"/>
            <w:vAlign w:val="bottom"/>
          </w:tcPr>
          <w:p>
            <w:pPr>
              <w:spacing w:after="0"/>
              <w:rPr>
                <w:sz w:val="20"/>
                <w:szCs w:val="20"/>
                <w:color w:val="auto"/>
              </w:rPr>
            </w:pPr>
            <w:r>
              <w:rPr>
                <w:rFonts w:ascii="Arial" w:cs="Arial" w:eastAsia="Arial" w:hAnsi="Arial"/>
                <w:sz w:val="19"/>
                <w:szCs w:val="19"/>
                <w:color w:val="auto"/>
              </w:rPr>
              <w:t>7.12</w:t>
            </w:r>
          </w:p>
        </w:tc>
        <w:tc>
          <w:tcPr>
            <w:tcW w:w="8140" w:type="dxa"/>
            <w:vAlign w:val="bottom"/>
          </w:tcPr>
          <w:p>
            <w:pPr>
              <w:ind w:left="100"/>
              <w:spacing w:after="0"/>
              <w:rPr>
                <w:sz w:val="20"/>
                <w:szCs w:val="20"/>
                <w:color w:val="auto"/>
              </w:rPr>
            </w:pPr>
            <w:r>
              <w:rPr>
                <w:rFonts w:ascii="Arial" w:cs="Arial" w:eastAsia="Arial" w:hAnsi="Arial"/>
                <w:sz w:val="19"/>
                <w:szCs w:val="19"/>
                <w:color w:val="auto"/>
              </w:rPr>
              <w:t>New Subsidiaries</w:t>
            </w:r>
          </w:p>
        </w:tc>
        <w:tc>
          <w:tcPr>
            <w:tcW w:w="2060" w:type="dxa"/>
            <w:vAlign w:val="bottom"/>
          </w:tcPr>
          <w:p>
            <w:pPr>
              <w:jc w:val="right"/>
              <w:spacing w:after="0"/>
              <w:rPr>
                <w:sz w:val="20"/>
                <w:szCs w:val="20"/>
                <w:color w:val="auto"/>
              </w:rPr>
            </w:pPr>
            <w:r>
              <w:rPr>
                <w:rFonts w:ascii="Arial" w:cs="Arial" w:eastAsia="Arial" w:hAnsi="Arial"/>
                <w:sz w:val="19"/>
                <w:szCs w:val="19"/>
                <w:color w:val="auto"/>
              </w:rPr>
              <w:t>135</w:t>
            </w:r>
          </w:p>
        </w:tc>
      </w:tr>
      <w:tr>
        <w:trPr>
          <w:trHeight w:val="275"/>
        </w:trPr>
        <w:tc>
          <w:tcPr>
            <w:tcW w:w="420" w:type="dxa"/>
            <w:vAlign w:val="bottom"/>
          </w:tcPr>
          <w:p>
            <w:pPr>
              <w:spacing w:after="0"/>
              <w:rPr>
                <w:sz w:val="20"/>
                <w:szCs w:val="20"/>
                <w:color w:val="auto"/>
              </w:rPr>
            </w:pPr>
            <w:r>
              <w:rPr>
                <w:rFonts w:ascii="Arial" w:cs="Arial" w:eastAsia="Arial" w:hAnsi="Arial"/>
                <w:sz w:val="19"/>
                <w:szCs w:val="19"/>
                <w:color w:val="auto"/>
              </w:rPr>
              <w:t>7.13</w:t>
            </w:r>
          </w:p>
        </w:tc>
        <w:tc>
          <w:tcPr>
            <w:tcW w:w="8140" w:type="dxa"/>
            <w:vAlign w:val="bottom"/>
          </w:tcPr>
          <w:p>
            <w:pPr>
              <w:ind w:left="100"/>
              <w:spacing w:after="0"/>
              <w:rPr>
                <w:sz w:val="20"/>
                <w:szCs w:val="20"/>
                <w:color w:val="auto"/>
              </w:rPr>
            </w:pPr>
            <w:r>
              <w:rPr>
                <w:rFonts w:ascii="Arial" w:cs="Arial" w:eastAsia="Arial" w:hAnsi="Arial"/>
                <w:sz w:val="19"/>
                <w:szCs w:val="19"/>
                <w:color w:val="auto"/>
              </w:rPr>
              <w:t>Compliance with ERISA and PBA</w:t>
            </w:r>
          </w:p>
        </w:tc>
        <w:tc>
          <w:tcPr>
            <w:tcW w:w="2060" w:type="dxa"/>
            <w:vAlign w:val="bottom"/>
          </w:tcPr>
          <w:p>
            <w:pPr>
              <w:jc w:val="right"/>
              <w:spacing w:after="0"/>
              <w:rPr>
                <w:sz w:val="20"/>
                <w:szCs w:val="20"/>
                <w:color w:val="auto"/>
              </w:rPr>
            </w:pPr>
            <w:r>
              <w:rPr>
                <w:rFonts w:ascii="Arial" w:cs="Arial" w:eastAsia="Arial" w:hAnsi="Arial"/>
                <w:sz w:val="19"/>
                <w:szCs w:val="19"/>
                <w:color w:val="auto"/>
              </w:rPr>
              <w:t>136</w:t>
            </w:r>
          </w:p>
        </w:tc>
      </w:tr>
      <w:tr>
        <w:trPr>
          <w:trHeight w:val="275"/>
        </w:trPr>
        <w:tc>
          <w:tcPr>
            <w:tcW w:w="420" w:type="dxa"/>
            <w:vAlign w:val="bottom"/>
          </w:tcPr>
          <w:p>
            <w:pPr>
              <w:spacing w:after="0"/>
              <w:rPr>
                <w:sz w:val="20"/>
                <w:szCs w:val="20"/>
                <w:color w:val="auto"/>
              </w:rPr>
            </w:pPr>
            <w:r>
              <w:rPr>
                <w:rFonts w:ascii="Arial" w:cs="Arial" w:eastAsia="Arial" w:hAnsi="Arial"/>
                <w:sz w:val="19"/>
                <w:szCs w:val="19"/>
                <w:color w:val="auto"/>
              </w:rPr>
              <w:t>7.14</w:t>
            </w:r>
          </w:p>
        </w:tc>
        <w:tc>
          <w:tcPr>
            <w:tcW w:w="8140" w:type="dxa"/>
            <w:vAlign w:val="bottom"/>
          </w:tcPr>
          <w:p>
            <w:pPr>
              <w:ind w:left="100"/>
              <w:spacing w:after="0"/>
              <w:rPr>
                <w:sz w:val="20"/>
                <w:szCs w:val="20"/>
                <w:color w:val="auto"/>
              </w:rPr>
            </w:pPr>
            <w:r>
              <w:rPr>
                <w:rFonts w:ascii="Arial" w:cs="Arial" w:eastAsia="Arial" w:hAnsi="Arial"/>
                <w:sz w:val="19"/>
                <w:szCs w:val="19"/>
                <w:color w:val="auto"/>
              </w:rPr>
              <w:t>Further Assurances</w:t>
            </w:r>
          </w:p>
        </w:tc>
        <w:tc>
          <w:tcPr>
            <w:tcW w:w="2060" w:type="dxa"/>
            <w:vAlign w:val="bottom"/>
          </w:tcPr>
          <w:p>
            <w:pPr>
              <w:jc w:val="right"/>
              <w:spacing w:after="0"/>
              <w:rPr>
                <w:sz w:val="20"/>
                <w:szCs w:val="20"/>
                <w:color w:val="auto"/>
              </w:rPr>
            </w:pPr>
            <w:r>
              <w:rPr>
                <w:rFonts w:ascii="Arial" w:cs="Arial" w:eastAsia="Arial" w:hAnsi="Arial"/>
                <w:sz w:val="19"/>
                <w:szCs w:val="19"/>
                <w:color w:val="auto"/>
              </w:rPr>
              <w:t>137</w:t>
            </w:r>
          </w:p>
        </w:tc>
      </w:tr>
      <w:tr>
        <w:trPr>
          <w:trHeight w:val="275"/>
        </w:trPr>
        <w:tc>
          <w:tcPr>
            <w:tcW w:w="420" w:type="dxa"/>
            <w:vAlign w:val="bottom"/>
          </w:tcPr>
          <w:p>
            <w:pPr>
              <w:spacing w:after="0"/>
              <w:rPr>
                <w:sz w:val="20"/>
                <w:szCs w:val="20"/>
                <w:color w:val="auto"/>
              </w:rPr>
            </w:pPr>
            <w:r>
              <w:rPr>
                <w:rFonts w:ascii="Arial" w:cs="Arial" w:eastAsia="Arial" w:hAnsi="Arial"/>
                <w:sz w:val="19"/>
                <w:szCs w:val="19"/>
                <w:color w:val="auto"/>
              </w:rPr>
              <w:t>7.15</w:t>
            </w:r>
          </w:p>
        </w:tc>
        <w:tc>
          <w:tcPr>
            <w:tcW w:w="8140" w:type="dxa"/>
            <w:vAlign w:val="bottom"/>
          </w:tcPr>
          <w:p>
            <w:pPr>
              <w:ind w:left="100"/>
              <w:spacing w:after="0"/>
              <w:rPr>
                <w:sz w:val="20"/>
                <w:szCs w:val="20"/>
                <w:color w:val="auto"/>
              </w:rPr>
            </w:pPr>
            <w:r>
              <w:rPr>
                <w:rFonts w:ascii="Arial" w:cs="Arial" w:eastAsia="Arial" w:hAnsi="Arial"/>
                <w:sz w:val="19"/>
                <w:szCs w:val="19"/>
                <w:color w:val="auto"/>
              </w:rPr>
              <w:t>Licenses</w:t>
            </w:r>
          </w:p>
        </w:tc>
        <w:tc>
          <w:tcPr>
            <w:tcW w:w="2060" w:type="dxa"/>
            <w:vAlign w:val="bottom"/>
          </w:tcPr>
          <w:p>
            <w:pPr>
              <w:jc w:val="right"/>
              <w:spacing w:after="0"/>
              <w:rPr>
                <w:sz w:val="20"/>
                <w:szCs w:val="20"/>
                <w:color w:val="auto"/>
              </w:rPr>
            </w:pPr>
            <w:r>
              <w:rPr>
                <w:rFonts w:ascii="Arial" w:cs="Arial" w:eastAsia="Arial" w:hAnsi="Arial"/>
                <w:sz w:val="19"/>
                <w:szCs w:val="19"/>
                <w:color w:val="auto"/>
              </w:rPr>
              <w:t>137</w:t>
            </w:r>
          </w:p>
        </w:tc>
      </w:tr>
      <w:tr>
        <w:trPr>
          <w:trHeight w:val="275"/>
        </w:trPr>
        <w:tc>
          <w:tcPr>
            <w:tcW w:w="420" w:type="dxa"/>
            <w:vAlign w:val="bottom"/>
          </w:tcPr>
          <w:p>
            <w:pPr>
              <w:spacing w:after="0"/>
              <w:rPr>
                <w:sz w:val="20"/>
                <w:szCs w:val="20"/>
                <w:color w:val="auto"/>
              </w:rPr>
            </w:pPr>
            <w:r>
              <w:rPr>
                <w:rFonts w:ascii="Arial" w:cs="Arial" w:eastAsia="Arial" w:hAnsi="Arial"/>
                <w:sz w:val="19"/>
                <w:szCs w:val="19"/>
                <w:color w:val="auto"/>
              </w:rPr>
              <w:t>7.16</w:t>
            </w:r>
          </w:p>
        </w:tc>
        <w:tc>
          <w:tcPr>
            <w:tcW w:w="8140" w:type="dxa"/>
            <w:vAlign w:val="bottom"/>
          </w:tcPr>
          <w:p>
            <w:pPr>
              <w:ind w:left="100"/>
              <w:spacing w:after="0"/>
              <w:rPr>
                <w:sz w:val="20"/>
                <w:szCs w:val="20"/>
                <w:color w:val="auto"/>
              </w:rPr>
            </w:pPr>
            <w:r>
              <w:rPr>
                <w:rFonts w:ascii="Arial" w:cs="Arial" w:eastAsia="Arial" w:hAnsi="Arial"/>
                <w:sz w:val="19"/>
                <w:szCs w:val="19"/>
                <w:color w:val="auto"/>
              </w:rPr>
              <w:t>Environmental Laws</w:t>
            </w:r>
          </w:p>
        </w:tc>
        <w:tc>
          <w:tcPr>
            <w:tcW w:w="2060" w:type="dxa"/>
            <w:vAlign w:val="bottom"/>
          </w:tcPr>
          <w:p>
            <w:pPr>
              <w:jc w:val="right"/>
              <w:spacing w:after="0"/>
              <w:rPr>
                <w:sz w:val="20"/>
                <w:szCs w:val="20"/>
                <w:color w:val="auto"/>
              </w:rPr>
            </w:pPr>
            <w:r>
              <w:rPr>
                <w:rFonts w:ascii="Arial" w:cs="Arial" w:eastAsia="Arial" w:hAnsi="Arial"/>
                <w:sz w:val="19"/>
                <w:szCs w:val="19"/>
                <w:color w:val="auto"/>
              </w:rPr>
              <w:t>137</w:t>
            </w:r>
          </w:p>
        </w:tc>
      </w:tr>
      <w:tr>
        <w:trPr>
          <w:trHeight w:val="275"/>
        </w:trPr>
        <w:tc>
          <w:tcPr>
            <w:tcW w:w="420" w:type="dxa"/>
            <w:vAlign w:val="bottom"/>
          </w:tcPr>
          <w:p>
            <w:pPr>
              <w:spacing w:after="0"/>
              <w:rPr>
                <w:sz w:val="20"/>
                <w:szCs w:val="20"/>
                <w:color w:val="auto"/>
              </w:rPr>
            </w:pPr>
            <w:r>
              <w:rPr>
                <w:rFonts w:ascii="Arial" w:cs="Arial" w:eastAsia="Arial" w:hAnsi="Arial"/>
                <w:sz w:val="19"/>
                <w:szCs w:val="19"/>
                <w:color w:val="auto"/>
              </w:rPr>
              <w:t>7.17</w:t>
            </w:r>
          </w:p>
        </w:tc>
        <w:tc>
          <w:tcPr>
            <w:tcW w:w="8140" w:type="dxa"/>
            <w:vAlign w:val="bottom"/>
          </w:tcPr>
          <w:p>
            <w:pPr>
              <w:ind w:left="100"/>
              <w:spacing w:after="0"/>
              <w:rPr>
                <w:sz w:val="20"/>
                <w:szCs w:val="20"/>
                <w:color w:val="auto"/>
              </w:rPr>
            </w:pPr>
            <w:r>
              <w:rPr>
                <w:rFonts w:ascii="Arial" w:cs="Arial" w:eastAsia="Arial" w:hAnsi="Arial"/>
                <w:sz w:val="19"/>
                <w:szCs w:val="19"/>
                <w:color w:val="auto"/>
              </w:rPr>
              <w:t>Leases, Mortgages and Third-Party Agreements</w:t>
            </w:r>
          </w:p>
        </w:tc>
        <w:tc>
          <w:tcPr>
            <w:tcW w:w="2060" w:type="dxa"/>
            <w:vAlign w:val="bottom"/>
          </w:tcPr>
          <w:p>
            <w:pPr>
              <w:jc w:val="right"/>
              <w:spacing w:after="0"/>
              <w:rPr>
                <w:sz w:val="20"/>
                <w:szCs w:val="20"/>
                <w:color w:val="auto"/>
              </w:rPr>
            </w:pPr>
            <w:r>
              <w:rPr>
                <w:rFonts w:ascii="Arial" w:cs="Arial" w:eastAsia="Arial" w:hAnsi="Arial"/>
                <w:sz w:val="19"/>
                <w:szCs w:val="19"/>
                <w:color w:val="auto"/>
              </w:rPr>
              <w:t>138</w:t>
            </w:r>
          </w:p>
        </w:tc>
      </w:tr>
      <w:tr>
        <w:trPr>
          <w:trHeight w:val="275"/>
        </w:trPr>
        <w:tc>
          <w:tcPr>
            <w:tcW w:w="420" w:type="dxa"/>
            <w:vAlign w:val="bottom"/>
          </w:tcPr>
          <w:p>
            <w:pPr>
              <w:spacing w:after="0"/>
              <w:rPr>
                <w:sz w:val="20"/>
                <w:szCs w:val="20"/>
                <w:color w:val="auto"/>
              </w:rPr>
            </w:pPr>
            <w:r>
              <w:rPr>
                <w:rFonts w:ascii="Arial" w:cs="Arial" w:eastAsia="Arial" w:hAnsi="Arial"/>
                <w:sz w:val="19"/>
                <w:szCs w:val="19"/>
                <w:color w:val="auto"/>
              </w:rPr>
              <w:t>7.18</w:t>
            </w:r>
          </w:p>
        </w:tc>
        <w:tc>
          <w:tcPr>
            <w:tcW w:w="8140" w:type="dxa"/>
            <w:vAlign w:val="bottom"/>
          </w:tcPr>
          <w:p>
            <w:pPr>
              <w:ind w:left="100"/>
              <w:spacing w:after="0"/>
              <w:rPr>
                <w:sz w:val="20"/>
                <w:szCs w:val="20"/>
                <w:color w:val="auto"/>
              </w:rPr>
            </w:pPr>
            <w:r>
              <w:rPr>
                <w:rFonts w:ascii="Arial" w:cs="Arial" w:eastAsia="Arial" w:hAnsi="Arial"/>
                <w:sz w:val="19"/>
                <w:szCs w:val="19"/>
                <w:color w:val="auto"/>
              </w:rPr>
              <w:t>Material Contracts</w:t>
            </w:r>
          </w:p>
        </w:tc>
        <w:tc>
          <w:tcPr>
            <w:tcW w:w="2060" w:type="dxa"/>
            <w:vAlign w:val="bottom"/>
          </w:tcPr>
          <w:p>
            <w:pPr>
              <w:jc w:val="right"/>
              <w:spacing w:after="0"/>
              <w:rPr>
                <w:sz w:val="20"/>
                <w:szCs w:val="20"/>
                <w:color w:val="auto"/>
              </w:rPr>
            </w:pPr>
            <w:r>
              <w:rPr>
                <w:rFonts w:ascii="Arial" w:cs="Arial" w:eastAsia="Arial" w:hAnsi="Arial"/>
                <w:sz w:val="19"/>
                <w:szCs w:val="19"/>
                <w:color w:val="auto"/>
              </w:rPr>
              <w:t>138</w:t>
            </w:r>
          </w:p>
        </w:tc>
      </w:tr>
      <w:tr>
        <w:trPr>
          <w:trHeight w:val="275"/>
        </w:trPr>
        <w:tc>
          <w:tcPr>
            <w:tcW w:w="420" w:type="dxa"/>
            <w:vAlign w:val="bottom"/>
          </w:tcPr>
          <w:p>
            <w:pPr>
              <w:spacing w:after="0"/>
              <w:rPr>
                <w:sz w:val="20"/>
                <w:szCs w:val="20"/>
                <w:color w:val="auto"/>
              </w:rPr>
            </w:pPr>
            <w:r>
              <w:rPr>
                <w:rFonts w:ascii="Arial" w:cs="Arial" w:eastAsia="Arial" w:hAnsi="Arial"/>
                <w:sz w:val="19"/>
                <w:szCs w:val="19"/>
                <w:color w:val="auto"/>
              </w:rPr>
              <w:t>7.19</w:t>
            </w:r>
          </w:p>
        </w:tc>
        <w:tc>
          <w:tcPr>
            <w:tcW w:w="8140" w:type="dxa"/>
            <w:vAlign w:val="bottom"/>
          </w:tcPr>
          <w:p>
            <w:pPr>
              <w:ind w:left="100"/>
              <w:spacing w:after="0"/>
              <w:rPr>
                <w:sz w:val="20"/>
                <w:szCs w:val="20"/>
                <w:color w:val="auto"/>
              </w:rPr>
            </w:pPr>
            <w:r>
              <w:rPr>
                <w:rFonts w:ascii="Arial" w:cs="Arial" w:eastAsia="Arial" w:hAnsi="Arial"/>
                <w:sz w:val="19"/>
                <w:szCs w:val="19"/>
                <w:color w:val="auto"/>
              </w:rPr>
              <w:t>Treasury Management Services</w:t>
            </w:r>
          </w:p>
        </w:tc>
        <w:tc>
          <w:tcPr>
            <w:tcW w:w="2060" w:type="dxa"/>
            <w:vAlign w:val="bottom"/>
          </w:tcPr>
          <w:p>
            <w:pPr>
              <w:jc w:val="right"/>
              <w:spacing w:after="0"/>
              <w:rPr>
                <w:sz w:val="20"/>
                <w:szCs w:val="20"/>
                <w:color w:val="auto"/>
              </w:rPr>
            </w:pPr>
            <w:r>
              <w:rPr>
                <w:rFonts w:ascii="Arial" w:cs="Arial" w:eastAsia="Arial" w:hAnsi="Arial"/>
                <w:sz w:val="19"/>
                <w:szCs w:val="19"/>
                <w:color w:val="auto"/>
              </w:rPr>
              <w:t>138</w:t>
            </w:r>
          </w:p>
        </w:tc>
      </w:tr>
      <w:tr>
        <w:trPr>
          <w:trHeight w:val="275"/>
        </w:trPr>
        <w:tc>
          <w:tcPr>
            <w:tcW w:w="420" w:type="dxa"/>
            <w:vAlign w:val="bottom"/>
          </w:tcPr>
          <w:p>
            <w:pPr>
              <w:spacing w:after="0"/>
              <w:rPr>
                <w:sz w:val="20"/>
                <w:szCs w:val="20"/>
                <w:color w:val="auto"/>
              </w:rPr>
            </w:pPr>
            <w:r>
              <w:rPr>
                <w:rFonts w:ascii="Arial" w:cs="Arial" w:eastAsia="Arial" w:hAnsi="Arial"/>
                <w:sz w:val="19"/>
                <w:szCs w:val="19"/>
                <w:color w:val="auto"/>
              </w:rPr>
              <w:t>7.20</w:t>
            </w:r>
          </w:p>
        </w:tc>
        <w:tc>
          <w:tcPr>
            <w:tcW w:w="8140" w:type="dxa"/>
            <w:vAlign w:val="bottom"/>
          </w:tcPr>
          <w:p>
            <w:pPr>
              <w:ind w:left="100"/>
              <w:spacing w:after="0"/>
              <w:rPr>
                <w:sz w:val="20"/>
                <w:szCs w:val="20"/>
                <w:color w:val="auto"/>
              </w:rPr>
            </w:pPr>
            <w:r>
              <w:rPr>
                <w:rFonts w:ascii="Arial" w:cs="Arial" w:eastAsia="Arial" w:hAnsi="Arial"/>
                <w:sz w:val="19"/>
                <w:szCs w:val="19"/>
                <w:color w:val="auto"/>
              </w:rPr>
              <w:t>No Cash Hoarding</w:t>
            </w:r>
          </w:p>
        </w:tc>
        <w:tc>
          <w:tcPr>
            <w:tcW w:w="2060" w:type="dxa"/>
            <w:vAlign w:val="bottom"/>
          </w:tcPr>
          <w:p>
            <w:pPr>
              <w:jc w:val="right"/>
              <w:spacing w:after="0"/>
              <w:rPr>
                <w:sz w:val="20"/>
                <w:szCs w:val="20"/>
                <w:color w:val="auto"/>
              </w:rPr>
            </w:pPr>
            <w:r>
              <w:rPr>
                <w:rFonts w:ascii="Arial" w:cs="Arial" w:eastAsia="Arial" w:hAnsi="Arial"/>
                <w:sz w:val="19"/>
                <w:szCs w:val="19"/>
                <w:color w:val="auto"/>
              </w:rPr>
              <w:t>138</w:t>
            </w:r>
          </w:p>
        </w:tc>
      </w:tr>
      <w:tr>
        <w:trPr>
          <w:trHeight w:val="253"/>
        </w:trPr>
        <w:tc>
          <w:tcPr>
            <w:tcW w:w="420" w:type="dxa"/>
            <w:vAlign w:val="bottom"/>
          </w:tcPr>
          <w:p>
            <w:pPr>
              <w:spacing w:after="0"/>
              <w:rPr>
                <w:sz w:val="22"/>
                <w:szCs w:val="22"/>
                <w:color w:val="auto"/>
              </w:rPr>
            </w:pPr>
          </w:p>
        </w:tc>
        <w:tc>
          <w:tcPr>
            <w:tcW w:w="8140" w:type="dxa"/>
            <w:vAlign w:val="bottom"/>
          </w:tcPr>
          <w:p>
            <w:pPr>
              <w:jc w:val="center"/>
              <w:ind w:left="2024"/>
              <w:spacing w:after="0"/>
              <w:rPr>
                <w:sz w:val="20"/>
                <w:szCs w:val="20"/>
                <w:color w:val="auto"/>
              </w:rPr>
            </w:pPr>
            <w:r>
              <w:rPr>
                <w:rFonts w:ascii="Arial" w:cs="Arial" w:eastAsia="Arial" w:hAnsi="Arial"/>
                <w:sz w:val="19"/>
                <w:szCs w:val="19"/>
                <w:color w:val="auto"/>
              </w:rPr>
              <w:t>ARTICLE VIII</w:t>
            </w:r>
          </w:p>
        </w:tc>
        <w:tc>
          <w:tcPr>
            <w:tcW w:w="2060" w:type="dxa"/>
            <w:vAlign w:val="bottom"/>
          </w:tcPr>
          <w:p>
            <w:pPr>
              <w:spacing w:after="0"/>
              <w:rPr>
                <w:sz w:val="22"/>
                <w:szCs w:val="22"/>
                <w:color w:val="auto"/>
              </w:rPr>
            </w:pPr>
          </w:p>
        </w:tc>
      </w:tr>
      <w:tr>
        <w:trPr>
          <w:trHeight w:val="245"/>
        </w:trPr>
        <w:tc>
          <w:tcPr>
            <w:tcW w:w="420" w:type="dxa"/>
            <w:vAlign w:val="bottom"/>
          </w:tcPr>
          <w:p>
            <w:pPr>
              <w:spacing w:after="0"/>
              <w:rPr>
                <w:sz w:val="21"/>
                <w:szCs w:val="21"/>
                <w:color w:val="auto"/>
              </w:rPr>
            </w:pPr>
          </w:p>
        </w:tc>
        <w:tc>
          <w:tcPr>
            <w:tcW w:w="8140" w:type="dxa"/>
            <w:vAlign w:val="bottom"/>
          </w:tcPr>
          <w:p>
            <w:pPr>
              <w:jc w:val="center"/>
              <w:ind w:left="2004"/>
              <w:spacing w:after="0"/>
              <w:rPr>
                <w:sz w:val="20"/>
                <w:szCs w:val="20"/>
                <w:color w:val="auto"/>
              </w:rPr>
            </w:pPr>
            <w:r>
              <w:rPr>
                <w:rFonts w:ascii="Arial" w:cs="Arial" w:eastAsia="Arial" w:hAnsi="Arial"/>
                <w:sz w:val="19"/>
                <w:szCs w:val="19"/>
                <w:color w:val="auto"/>
                <w:w w:val="98"/>
              </w:rPr>
              <w:t>NEGATIVE COVENANTS</w:t>
            </w:r>
          </w:p>
        </w:tc>
        <w:tc>
          <w:tcPr>
            <w:tcW w:w="2060" w:type="dxa"/>
            <w:vAlign w:val="bottom"/>
          </w:tcPr>
          <w:p>
            <w:pPr>
              <w:spacing w:after="0"/>
              <w:rPr>
                <w:sz w:val="21"/>
                <w:szCs w:val="21"/>
                <w:color w:val="auto"/>
              </w:rPr>
            </w:pPr>
          </w:p>
        </w:tc>
      </w:tr>
      <w:tr>
        <w:trPr>
          <w:trHeight w:val="275"/>
        </w:trPr>
        <w:tc>
          <w:tcPr>
            <w:tcW w:w="420" w:type="dxa"/>
            <w:vAlign w:val="bottom"/>
          </w:tcPr>
          <w:p>
            <w:pPr>
              <w:spacing w:after="0"/>
              <w:rPr>
                <w:sz w:val="20"/>
                <w:szCs w:val="20"/>
                <w:color w:val="auto"/>
              </w:rPr>
            </w:pPr>
            <w:r>
              <w:rPr>
                <w:rFonts w:ascii="Arial" w:cs="Arial" w:eastAsia="Arial" w:hAnsi="Arial"/>
                <w:sz w:val="19"/>
                <w:szCs w:val="19"/>
                <w:color w:val="auto"/>
              </w:rPr>
              <w:t>8.01</w:t>
            </w:r>
          </w:p>
        </w:tc>
        <w:tc>
          <w:tcPr>
            <w:tcW w:w="8140" w:type="dxa"/>
            <w:vAlign w:val="bottom"/>
          </w:tcPr>
          <w:p>
            <w:pPr>
              <w:ind w:left="100"/>
              <w:spacing w:after="0"/>
              <w:rPr>
                <w:sz w:val="20"/>
                <w:szCs w:val="20"/>
                <w:color w:val="auto"/>
              </w:rPr>
            </w:pPr>
            <w:r>
              <w:rPr>
                <w:rFonts w:ascii="Arial" w:cs="Arial" w:eastAsia="Arial" w:hAnsi="Arial"/>
                <w:sz w:val="19"/>
                <w:szCs w:val="19"/>
                <w:color w:val="auto"/>
              </w:rPr>
              <w:t>Indebtedness</w:t>
            </w:r>
          </w:p>
        </w:tc>
        <w:tc>
          <w:tcPr>
            <w:tcW w:w="2060" w:type="dxa"/>
            <w:vAlign w:val="bottom"/>
          </w:tcPr>
          <w:p>
            <w:pPr>
              <w:jc w:val="right"/>
              <w:spacing w:after="0"/>
              <w:rPr>
                <w:sz w:val="20"/>
                <w:szCs w:val="20"/>
                <w:color w:val="auto"/>
              </w:rPr>
            </w:pPr>
            <w:r>
              <w:rPr>
                <w:rFonts w:ascii="Arial" w:cs="Arial" w:eastAsia="Arial" w:hAnsi="Arial"/>
                <w:sz w:val="19"/>
                <w:szCs w:val="19"/>
                <w:color w:val="auto"/>
              </w:rPr>
              <w:t>139</w:t>
            </w:r>
          </w:p>
        </w:tc>
      </w:tr>
      <w:tr>
        <w:trPr>
          <w:trHeight w:val="275"/>
        </w:trPr>
        <w:tc>
          <w:tcPr>
            <w:tcW w:w="420" w:type="dxa"/>
            <w:vAlign w:val="bottom"/>
          </w:tcPr>
          <w:p>
            <w:pPr>
              <w:spacing w:after="0"/>
              <w:rPr>
                <w:sz w:val="20"/>
                <w:szCs w:val="20"/>
                <w:color w:val="auto"/>
              </w:rPr>
            </w:pPr>
            <w:r>
              <w:rPr>
                <w:rFonts w:ascii="Arial" w:cs="Arial" w:eastAsia="Arial" w:hAnsi="Arial"/>
                <w:sz w:val="19"/>
                <w:szCs w:val="19"/>
                <w:color w:val="auto"/>
              </w:rPr>
              <w:t>8.02</w:t>
            </w:r>
          </w:p>
        </w:tc>
        <w:tc>
          <w:tcPr>
            <w:tcW w:w="8140" w:type="dxa"/>
            <w:vAlign w:val="bottom"/>
          </w:tcPr>
          <w:p>
            <w:pPr>
              <w:ind w:left="100"/>
              <w:spacing w:after="0"/>
              <w:rPr>
                <w:sz w:val="20"/>
                <w:szCs w:val="20"/>
                <w:color w:val="auto"/>
              </w:rPr>
            </w:pPr>
            <w:r>
              <w:rPr>
                <w:rFonts w:ascii="Arial" w:cs="Arial" w:eastAsia="Arial" w:hAnsi="Arial"/>
                <w:sz w:val="19"/>
                <w:szCs w:val="19"/>
                <w:color w:val="auto"/>
              </w:rPr>
              <w:t>Liens</w:t>
            </w:r>
          </w:p>
        </w:tc>
        <w:tc>
          <w:tcPr>
            <w:tcW w:w="2060" w:type="dxa"/>
            <w:vAlign w:val="bottom"/>
          </w:tcPr>
          <w:p>
            <w:pPr>
              <w:jc w:val="right"/>
              <w:spacing w:after="0"/>
              <w:rPr>
                <w:sz w:val="20"/>
                <w:szCs w:val="20"/>
                <w:color w:val="auto"/>
              </w:rPr>
            </w:pPr>
            <w:r>
              <w:rPr>
                <w:rFonts w:ascii="Arial" w:cs="Arial" w:eastAsia="Arial" w:hAnsi="Arial"/>
                <w:sz w:val="19"/>
                <w:szCs w:val="19"/>
                <w:color w:val="auto"/>
              </w:rPr>
              <w:t>141</w:t>
            </w:r>
          </w:p>
        </w:tc>
      </w:tr>
      <w:tr>
        <w:trPr>
          <w:trHeight w:val="275"/>
        </w:trPr>
        <w:tc>
          <w:tcPr>
            <w:tcW w:w="420" w:type="dxa"/>
            <w:vAlign w:val="bottom"/>
          </w:tcPr>
          <w:p>
            <w:pPr>
              <w:spacing w:after="0"/>
              <w:rPr>
                <w:sz w:val="20"/>
                <w:szCs w:val="20"/>
                <w:color w:val="auto"/>
              </w:rPr>
            </w:pPr>
            <w:r>
              <w:rPr>
                <w:rFonts w:ascii="Arial" w:cs="Arial" w:eastAsia="Arial" w:hAnsi="Arial"/>
                <w:sz w:val="19"/>
                <w:szCs w:val="19"/>
                <w:color w:val="auto"/>
              </w:rPr>
              <w:t>8.03</w:t>
            </w:r>
          </w:p>
        </w:tc>
        <w:tc>
          <w:tcPr>
            <w:tcW w:w="8140" w:type="dxa"/>
            <w:vAlign w:val="bottom"/>
          </w:tcPr>
          <w:p>
            <w:pPr>
              <w:ind w:left="100"/>
              <w:spacing w:after="0"/>
              <w:rPr>
                <w:sz w:val="20"/>
                <w:szCs w:val="20"/>
                <w:color w:val="auto"/>
              </w:rPr>
            </w:pPr>
            <w:r>
              <w:rPr>
                <w:rFonts w:ascii="Arial" w:cs="Arial" w:eastAsia="Arial" w:hAnsi="Arial"/>
                <w:sz w:val="19"/>
                <w:szCs w:val="19"/>
                <w:color w:val="auto"/>
              </w:rPr>
              <w:t>Investments</w:t>
            </w:r>
          </w:p>
        </w:tc>
        <w:tc>
          <w:tcPr>
            <w:tcW w:w="2060" w:type="dxa"/>
            <w:vAlign w:val="bottom"/>
          </w:tcPr>
          <w:p>
            <w:pPr>
              <w:jc w:val="right"/>
              <w:spacing w:after="0"/>
              <w:rPr>
                <w:sz w:val="20"/>
                <w:szCs w:val="20"/>
                <w:color w:val="auto"/>
              </w:rPr>
            </w:pPr>
            <w:r>
              <w:rPr>
                <w:rFonts w:ascii="Arial" w:cs="Arial" w:eastAsia="Arial" w:hAnsi="Arial"/>
                <w:sz w:val="19"/>
                <w:szCs w:val="19"/>
                <w:color w:val="auto"/>
              </w:rPr>
              <w:t>143</w:t>
            </w:r>
          </w:p>
        </w:tc>
      </w:tr>
      <w:tr>
        <w:trPr>
          <w:trHeight w:val="275"/>
        </w:trPr>
        <w:tc>
          <w:tcPr>
            <w:tcW w:w="420" w:type="dxa"/>
            <w:vAlign w:val="bottom"/>
          </w:tcPr>
          <w:p>
            <w:pPr>
              <w:spacing w:after="0"/>
              <w:rPr>
                <w:sz w:val="20"/>
                <w:szCs w:val="20"/>
                <w:color w:val="auto"/>
              </w:rPr>
            </w:pPr>
            <w:r>
              <w:rPr>
                <w:rFonts w:ascii="Arial" w:cs="Arial" w:eastAsia="Arial" w:hAnsi="Arial"/>
                <w:sz w:val="19"/>
                <w:szCs w:val="19"/>
                <w:color w:val="auto"/>
              </w:rPr>
              <w:t>8.04</w:t>
            </w:r>
          </w:p>
        </w:tc>
        <w:tc>
          <w:tcPr>
            <w:tcW w:w="8140" w:type="dxa"/>
            <w:vAlign w:val="bottom"/>
          </w:tcPr>
          <w:p>
            <w:pPr>
              <w:ind w:left="100"/>
              <w:spacing w:after="0"/>
              <w:rPr>
                <w:sz w:val="20"/>
                <w:szCs w:val="20"/>
                <w:color w:val="auto"/>
              </w:rPr>
            </w:pPr>
            <w:r>
              <w:rPr>
                <w:rFonts w:ascii="Arial" w:cs="Arial" w:eastAsia="Arial" w:hAnsi="Arial"/>
                <w:sz w:val="19"/>
                <w:szCs w:val="19"/>
                <w:color w:val="auto"/>
              </w:rPr>
              <w:t>Fundamental Changes</w:t>
            </w:r>
          </w:p>
        </w:tc>
        <w:tc>
          <w:tcPr>
            <w:tcW w:w="2060" w:type="dxa"/>
            <w:vAlign w:val="bottom"/>
          </w:tcPr>
          <w:p>
            <w:pPr>
              <w:jc w:val="right"/>
              <w:spacing w:after="0"/>
              <w:rPr>
                <w:sz w:val="20"/>
                <w:szCs w:val="20"/>
                <w:color w:val="auto"/>
              </w:rPr>
            </w:pPr>
            <w:r>
              <w:rPr>
                <w:rFonts w:ascii="Arial" w:cs="Arial" w:eastAsia="Arial" w:hAnsi="Arial"/>
                <w:sz w:val="19"/>
                <w:szCs w:val="19"/>
                <w:color w:val="auto"/>
              </w:rPr>
              <w:t>144</w:t>
            </w:r>
          </w:p>
        </w:tc>
      </w:tr>
      <w:tr>
        <w:trPr>
          <w:trHeight w:val="275"/>
        </w:trPr>
        <w:tc>
          <w:tcPr>
            <w:tcW w:w="420" w:type="dxa"/>
            <w:vAlign w:val="bottom"/>
          </w:tcPr>
          <w:p>
            <w:pPr>
              <w:spacing w:after="0"/>
              <w:rPr>
                <w:sz w:val="20"/>
                <w:szCs w:val="20"/>
                <w:color w:val="auto"/>
              </w:rPr>
            </w:pPr>
            <w:r>
              <w:rPr>
                <w:rFonts w:ascii="Arial" w:cs="Arial" w:eastAsia="Arial" w:hAnsi="Arial"/>
                <w:sz w:val="19"/>
                <w:szCs w:val="19"/>
                <w:color w:val="auto"/>
              </w:rPr>
              <w:t>8.05</w:t>
            </w:r>
          </w:p>
        </w:tc>
        <w:tc>
          <w:tcPr>
            <w:tcW w:w="8140" w:type="dxa"/>
            <w:vAlign w:val="bottom"/>
          </w:tcPr>
          <w:p>
            <w:pPr>
              <w:ind w:left="100"/>
              <w:spacing w:after="0"/>
              <w:rPr>
                <w:sz w:val="20"/>
                <w:szCs w:val="20"/>
                <w:color w:val="auto"/>
              </w:rPr>
            </w:pPr>
            <w:r>
              <w:rPr>
                <w:rFonts w:ascii="Arial" w:cs="Arial" w:eastAsia="Arial" w:hAnsi="Arial"/>
                <w:sz w:val="19"/>
                <w:szCs w:val="19"/>
                <w:color w:val="auto"/>
              </w:rPr>
              <w:t>Dispositions</w:t>
            </w:r>
          </w:p>
        </w:tc>
        <w:tc>
          <w:tcPr>
            <w:tcW w:w="2060" w:type="dxa"/>
            <w:vAlign w:val="bottom"/>
          </w:tcPr>
          <w:p>
            <w:pPr>
              <w:jc w:val="right"/>
              <w:spacing w:after="0"/>
              <w:rPr>
                <w:sz w:val="20"/>
                <w:szCs w:val="20"/>
                <w:color w:val="auto"/>
              </w:rPr>
            </w:pPr>
            <w:r>
              <w:rPr>
                <w:rFonts w:ascii="Arial" w:cs="Arial" w:eastAsia="Arial" w:hAnsi="Arial"/>
                <w:sz w:val="19"/>
                <w:szCs w:val="19"/>
                <w:color w:val="auto"/>
              </w:rPr>
              <w:t>144</w:t>
            </w:r>
          </w:p>
        </w:tc>
      </w:tr>
      <w:tr>
        <w:trPr>
          <w:trHeight w:val="275"/>
        </w:trPr>
        <w:tc>
          <w:tcPr>
            <w:tcW w:w="420" w:type="dxa"/>
            <w:vAlign w:val="bottom"/>
          </w:tcPr>
          <w:p>
            <w:pPr>
              <w:spacing w:after="0"/>
              <w:rPr>
                <w:sz w:val="20"/>
                <w:szCs w:val="20"/>
                <w:color w:val="auto"/>
              </w:rPr>
            </w:pPr>
            <w:r>
              <w:rPr>
                <w:rFonts w:ascii="Arial" w:cs="Arial" w:eastAsia="Arial" w:hAnsi="Arial"/>
                <w:sz w:val="19"/>
                <w:szCs w:val="19"/>
                <w:color w:val="auto"/>
              </w:rPr>
              <w:t>8.06</w:t>
            </w:r>
          </w:p>
        </w:tc>
        <w:tc>
          <w:tcPr>
            <w:tcW w:w="8140" w:type="dxa"/>
            <w:vAlign w:val="bottom"/>
          </w:tcPr>
          <w:p>
            <w:pPr>
              <w:ind w:left="100"/>
              <w:spacing w:after="0"/>
              <w:rPr>
                <w:sz w:val="20"/>
                <w:szCs w:val="20"/>
                <w:color w:val="auto"/>
              </w:rPr>
            </w:pPr>
            <w:r>
              <w:rPr>
                <w:rFonts w:ascii="Arial" w:cs="Arial" w:eastAsia="Arial" w:hAnsi="Arial"/>
                <w:sz w:val="19"/>
                <w:szCs w:val="19"/>
                <w:color w:val="auto"/>
              </w:rPr>
              <w:t>Restricted Payments</w:t>
            </w:r>
          </w:p>
        </w:tc>
        <w:tc>
          <w:tcPr>
            <w:tcW w:w="2060" w:type="dxa"/>
            <w:vAlign w:val="bottom"/>
          </w:tcPr>
          <w:p>
            <w:pPr>
              <w:jc w:val="right"/>
              <w:spacing w:after="0"/>
              <w:rPr>
                <w:sz w:val="20"/>
                <w:szCs w:val="20"/>
                <w:color w:val="auto"/>
              </w:rPr>
            </w:pPr>
            <w:r>
              <w:rPr>
                <w:rFonts w:ascii="Arial" w:cs="Arial" w:eastAsia="Arial" w:hAnsi="Arial"/>
                <w:sz w:val="19"/>
                <w:szCs w:val="19"/>
                <w:color w:val="auto"/>
              </w:rPr>
              <w:t>145</w:t>
            </w:r>
          </w:p>
        </w:tc>
      </w:tr>
      <w:tr>
        <w:trPr>
          <w:trHeight w:val="275"/>
        </w:trPr>
        <w:tc>
          <w:tcPr>
            <w:tcW w:w="420" w:type="dxa"/>
            <w:vAlign w:val="bottom"/>
          </w:tcPr>
          <w:p>
            <w:pPr>
              <w:spacing w:after="0"/>
              <w:rPr>
                <w:sz w:val="20"/>
                <w:szCs w:val="20"/>
                <w:color w:val="auto"/>
              </w:rPr>
            </w:pPr>
            <w:r>
              <w:rPr>
                <w:rFonts w:ascii="Arial" w:cs="Arial" w:eastAsia="Arial" w:hAnsi="Arial"/>
                <w:sz w:val="19"/>
                <w:szCs w:val="19"/>
                <w:color w:val="auto"/>
              </w:rPr>
              <w:t>8.07</w:t>
            </w:r>
          </w:p>
        </w:tc>
        <w:tc>
          <w:tcPr>
            <w:tcW w:w="8140" w:type="dxa"/>
            <w:vAlign w:val="bottom"/>
          </w:tcPr>
          <w:p>
            <w:pPr>
              <w:ind w:left="100"/>
              <w:spacing w:after="0"/>
              <w:rPr>
                <w:sz w:val="20"/>
                <w:szCs w:val="20"/>
                <w:color w:val="auto"/>
              </w:rPr>
            </w:pPr>
            <w:r>
              <w:rPr>
                <w:rFonts w:ascii="Arial" w:cs="Arial" w:eastAsia="Arial" w:hAnsi="Arial"/>
                <w:sz w:val="19"/>
                <w:szCs w:val="19"/>
                <w:color w:val="auto"/>
              </w:rPr>
              <w:t>Change in Nature of Business</w:t>
            </w:r>
          </w:p>
        </w:tc>
        <w:tc>
          <w:tcPr>
            <w:tcW w:w="2060" w:type="dxa"/>
            <w:vAlign w:val="bottom"/>
          </w:tcPr>
          <w:p>
            <w:pPr>
              <w:jc w:val="right"/>
              <w:spacing w:after="0"/>
              <w:rPr>
                <w:sz w:val="20"/>
                <w:szCs w:val="20"/>
                <w:color w:val="auto"/>
              </w:rPr>
            </w:pPr>
            <w:r>
              <w:rPr>
                <w:rFonts w:ascii="Arial" w:cs="Arial" w:eastAsia="Arial" w:hAnsi="Arial"/>
                <w:sz w:val="19"/>
                <w:szCs w:val="19"/>
                <w:color w:val="auto"/>
              </w:rPr>
              <w:t>146</w:t>
            </w:r>
          </w:p>
        </w:tc>
      </w:tr>
      <w:tr>
        <w:trPr>
          <w:trHeight w:val="275"/>
        </w:trPr>
        <w:tc>
          <w:tcPr>
            <w:tcW w:w="420" w:type="dxa"/>
            <w:vAlign w:val="bottom"/>
          </w:tcPr>
          <w:p>
            <w:pPr>
              <w:spacing w:after="0"/>
              <w:rPr>
                <w:sz w:val="20"/>
                <w:szCs w:val="20"/>
                <w:color w:val="auto"/>
              </w:rPr>
            </w:pPr>
            <w:r>
              <w:rPr>
                <w:rFonts w:ascii="Arial" w:cs="Arial" w:eastAsia="Arial" w:hAnsi="Arial"/>
                <w:sz w:val="19"/>
                <w:szCs w:val="19"/>
                <w:color w:val="auto"/>
              </w:rPr>
              <w:t>8.08</w:t>
            </w:r>
          </w:p>
        </w:tc>
        <w:tc>
          <w:tcPr>
            <w:tcW w:w="8140" w:type="dxa"/>
            <w:vAlign w:val="bottom"/>
          </w:tcPr>
          <w:p>
            <w:pPr>
              <w:ind w:left="100"/>
              <w:spacing w:after="0"/>
              <w:rPr>
                <w:sz w:val="20"/>
                <w:szCs w:val="20"/>
                <w:color w:val="auto"/>
              </w:rPr>
            </w:pPr>
            <w:r>
              <w:rPr>
                <w:rFonts w:ascii="Arial" w:cs="Arial" w:eastAsia="Arial" w:hAnsi="Arial"/>
                <w:sz w:val="19"/>
                <w:szCs w:val="19"/>
                <w:color w:val="auto"/>
              </w:rPr>
              <w:t>Transactions with Affiliates</w:t>
            </w:r>
          </w:p>
        </w:tc>
        <w:tc>
          <w:tcPr>
            <w:tcW w:w="2060" w:type="dxa"/>
            <w:vAlign w:val="bottom"/>
          </w:tcPr>
          <w:p>
            <w:pPr>
              <w:jc w:val="right"/>
              <w:spacing w:after="0"/>
              <w:rPr>
                <w:sz w:val="20"/>
                <w:szCs w:val="20"/>
                <w:color w:val="auto"/>
              </w:rPr>
            </w:pPr>
            <w:r>
              <w:rPr>
                <w:rFonts w:ascii="Arial" w:cs="Arial" w:eastAsia="Arial" w:hAnsi="Arial"/>
                <w:sz w:val="19"/>
                <w:szCs w:val="19"/>
                <w:color w:val="auto"/>
              </w:rPr>
              <w:t>146</w:t>
            </w:r>
          </w:p>
        </w:tc>
      </w:tr>
      <w:tr>
        <w:trPr>
          <w:trHeight w:val="275"/>
        </w:trPr>
        <w:tc>
          <w:tcPr>
            <w:tcW w:w="420" w:type="dxa"/>
            <w:vAlign w:val="bottom"/>
          </w:tcPr>
          <w:p>
            <w:pPr>
              <w:spacing w:after="0"/>
              <w:rPr>
                <w:sz w:val="20"/>
                <w:szCs w:val="20"/>
                <w:color w:val="auto"/>
              </w:rPr>
            </w:pPr>
            <w:r>
              <w:rPr>
                <w:rFonts w:ascii="Arial" w:cs="Arial" w:eastAsia="Arial" w:hAnsi="Arial"/>
                <w:sz w:val="19"/>
                <w:szCs w:val="19"/>
                <w:color w:val="auto"/>
              </w:rPr>
              <w:t>8.09</w:t>
            </w:r>
          </w:p>
        </w:tc>
        <w:tc>
          <w:tcPr>
            <w:tcW w:w="8140" w:type="dxa"/>
            <w:vAlign w:val="bottom"/>
          </w:tcPr>
          <w:p>
            <w:pPr>
              <w:ind w:left="100"/>
              <w:spacing w:after="0"/>
              <w:rPr>
                <w:sz w:val="20"/>
                <w:szCs w:val="20"/>
                <w:color w:val="auto"/>
              </w:rPr>
            </w:pPr>
            <w:r>
              <w:rPr>
                <w:rFonts w:ascii="Arial" w:cs="Arial" w:eastAsia="Arial" w:hAnsi="Arial"/>
                <w:sz w:val="19"/>
                <w:szCs w:val="19"/>
                <w:color w:val="auto"/>
              </w:rPr>
              <w:t>Burdensome Agreements</w:t>
            </w:r>
          </w:p>
        </w:tc>
        <w:tc>
          <w:tcPr>
            <w:tcW w:w="2060" w:type="dxa"/>
            <w:vAlign w:val="bottom"/>
          </w:tcPr>
          <w:p>
            <w:pPr>
              <w:jc w:val="right"/>
              <w:spacing w:after="0"/>
              <w:rPr>
                <w:sz w:val="20"/>
                <w:szCs w:val="20"/>
                <w:color w:val="auto"/>
              </w:rPr>
            </w:pPr>
            <w:r>
              <w:rPr>
                <w:rFonts w:ascii="Arial" w:cs="Arial" w:eastAsia="Arial" w:hAnsi="Arial"/>
                <w:sz w:val="19"/>
                <w:szCs w:val="19"/>
                <w:color w:val="auto"/>
              </w:rPr>
              <w:t>146</w:t>
            </w:r>
          </w:p>
        </w:tc>
      </w:tr>
      <w:tr>
        <w:trPr>
          <w:trHeight w:val="275"/>
        </w:trPr>
        <w:tc>
          <w:tcPr>
            <w:tcW w:w="420" w:type="dxa"/>
            <w:vAlign w:val="bottom"/>
          </w:tcPr>
          <w:p>
            <w:pPr>
              <w:spacing w:after="0"/>
              <w:rPr>
                <w:sz w:val="20"/>
                <w:szCs w:val="20"/>
                <w:color w:val="auto"/>
              </w:rPr>
            </w:pPr>
            <w:r>
              <w:rPr>
                <w:rFonts w:ascii="Arial" w:cs="Arial" w:eastAsia="Arial" w:hAnsi="Arial"/>
                <w:sz w:val="19"/>
                <w:szCs w:val="19"/>
                <w:color w:val="auto"/>
              </w:rPr>
              <w:t>8.10</w:t>
            </w:r>
          </w:p>
        </w:tc>
        <w:tc>
          <w:tcPr>
            <w:tcW w:w="8140" w:type="dxa"/>
            <w:vAlign w:val="bottom"/>
          </w:tcPr>
          <w:p>
            <w:pPr>
              <w:ind w:left="100"/>
              <w:spacing w:after="0"/>
              <w:rPr>
                <w:sz w:val="20"/>
                <w:szCs w:val="20"/>
                <w:color w:val="auto"/>
              </w:rPr>
            </w:pPr>
            <w:r>
              <w:rPr>
                <w:rFonts w:ascii="Arial" w:cs="Arial" w:eastAsia="Arial" w:hAnsi="Arial"/>
                <w:sz w:val="19"/>
                <w:szCs w:val="19"/>
                <w:color w:val="auto"/>
              </w:rPr>
              <w:t>Use of Proceeds</w:t>
            </w:r>
          </w:p>
        </w:tc>
        <w:tc>
          <w:tcPr>
            <w:tcW w:w="2060" w:type="dxa"/>
            <w:vAlign w:val="bottom"/>
          </w:tcPr>
          <w:p>
            <w:pPr>
              <w:jc w:val="right"/>
              <w:spacing w:after="0"/>
              <w:rPr>
                <w:sz w:val="20"/>
                <w:szCs w:val="20"/>
                <w:color w:val="auto"/>
              </w:rPr>
            </w:pPr>
            <w:r>
              <w:rPr>
                <w:rFonts w:ascii="Arial" w:cs="Arial" w:eastAsia="Arial" w:hAnsi="Arial"/>
                <w:sz w:val="19"/>
                <w:szCs w:val="19"/>
                <w:color w:val="auto"/>
              </w:rPr>
              <w:t>147</w:t>
            </w:r>
          </w:p>
        </w:tc>
      </w:tr>
      <w:tr>
        <w:trPr>
          <w:trHeight w:val="275"/>
        </w:trPr>
        <w:tc>
          <w:tcPr>
            <w:tcW w:w="8560" w:type="dxa"/>
            <w:vAlign w:val="bottom"/>
            <w:gridSpan w:val="2"/>
          </w:tcPr>
          <w:p>
            <w:pPr>
              <w:spacing w:after="0"/>
              <w:rPr>
                <w:sz w:val="20"/>
                <w:szCs w:val="20"/>
                <w:color w:val="auto"/>
              </w:rPr>
            </w:pPr>
            <w:r>
              <w:rPr>
                <w:rFonts w:ascii="Arial" w:cs="Arial" w:eastAsia="Arial" w:hAnsi="Arial"/>
                <w:sz w:val="19"/>
                <w:szCs w:val="19"/>
                <w:color w:val="auto"/>
              </w:rPr>
              <w:t>8.11  Prepayment of Indebtedness; Amendment to Material Contracts.</w:t>
            </w:r>
          </w:p>
        </w:tc>
        <w:tc>
          <w:tcPr>
            <w:tcW w:w="2060" w:type="dxa"/>
            <w:vAlign w:val="bottom"/>
          </w:tcPr>
          <w:p>
            <w:pPr>
              <w:jc w:val="right"/>
              <w:spacing w:after="0"/>
              <w:rPr>
                <w:sz w:val="20"/>
                <w:szCs w:val="20"/>
                <w:color w:val="auto"/>
              </w:rPr>
            </w:pPr>
            <w:r>
              <w:rPr>
                <w:rFonts w:ascii="Arial" w:cs="Arial" w:eastAsia="Arial" w:hAnsi="Arial"/>
                <w:sz w:val="19"/>
                <w:szCs w:val="19"/>
                <w:color w:val="auto"/>
              </w:rPr>
              <w:t>147</w:t>
            </w:r>
          </w:p>
        </w:tc>
      </w:tr>
      <w:tr>
        <w:trPr>
          <w:trHeight w:val="275"/>
        </w:trPr>
        <w:tc>
          <w:tcPr>
            <w:tcW w:w="420" w:type="dxa"/>
            <w:vAlign w:val="bottom"/>
          </w:tcPr>
          <w:p>
            <w:pPr>
              <w:spacing w:after="0"/>
              <w:rPr>
                <w:sz w:val="20"/>
                <w:szCs w:val="20"/>
                <w:color w:val="auto"/>
              </w:rPr>
            </w:pPr>
            <w:r>
              <w:rPr>
                <w:rFonts w:ascii="Arial" w:cs="Arial" w:eastAsia="Arial" w:hAnsi="Arial"/>
                <w:sz w:val="19"/>
                <w:szCs w:val="19"/>
                <w:color w:val="auto"/>
              </w:rPr>
              <w:t>8.12</w:t>
            </w:r>
          </w:p>
        </w:tc>
        <w:tc>
          <w:tcPr>
            <w:tcW w:w="8140" w:type="dxa"/>
            <w:vAlign w:val="bottom"/>
          </w:tcPr>
          <w:p>
            <w:pPr>
              <w:ind w:left="100"/>
              <w:spacing w:after="0"/>
              <w:rPr>
                <w:sz w:val="20"/>
                <w:szCs w:val="20"/>
                <w:color w:val="auto"/>
              </w:rPr>
            </w:pPr>
            <w:r>
              <w:rPr>
                <w:rFonts w:ascii="Arial" w:cs="Arial" w:eastAsia="Arial" w:hAnsi="Arial"/>
                <w:sz w:val="19"/>
                <w:szCs w:val="19"/>
                <w:color w:val="auto"/>
              </w:rPr>
              <w:t>Financial Covenants</w:t>
            </w:r>
          </w:p>
        </w:tc>
        <w:tc>
          <w:tcPr>
            <w:tcW w:w="2060" w:type="dxa"/>
            <w:vAlign w:val="bottom"/>
          </w:tcPr>
          <w:p>
            <w:pPr>
              <w:jc w:val="right"/>
              <w:spacing w:after="0"/>
              <w:rPr>
                <w:sz w:val="20"/>
                <w:szCs w:val="20"/>
                <w:color w:val="auto"/>
              </w:rPr>
            </w:pPr>
            <w:r>
              <w:rPr>
                <w:rFonts w:ascii="Arial" w:cs="Arial" w:eastAsia="Arial" w:hAnsi="Arial"/>
                <w:sz w:val="19"/>
                <w:szCs w:val="19"/>
                <w:color w:val="auto"/>
              </w:rPr>
              <w:t>148</w:t>
            </w:r>
          </w:p>
        </w:tc>
      </w:tr>
      <w:tr>
        <w:trPr>
          <w:trHeight w:val="275"/>
        </w:trPr>
        <w:tc>
          <w:tcPr>
            <w:tcW w:w="420" w:type="dxa"/>
            <w:vAlign w:val="bottom"/>
          </w:tcPr>
          <w:p>
            <w:pPr>
              <w:spacing w:after="0"/>
              <w:rPr>
                <w:sz w:val="20"/>
                <w:szCs w:val="20"/>
                <w:color w:val="auto"/>
              </w:rPr>
            </w:pPr>
            <w:r>
              <w:rPr>
                <w:rFonts w:ascii="Arial" w:cs="Arial" w:eastAsia="Arial" w:hAnsi="Arial"/>
                <w:sz w:val="19"/>
                <w:szCs w:val="19"/>
                <w:color w:val="auto"/>
              </w:rPr>
              <w:t>8.13</w:t>
            </w:r>
          </w:p>
        </w:tc>
        <w:tc>
          <w:tcPr>
            <w:tcW w:w="8140" w:type="dxa"/>
            <w:vAlign w:val="bottom"/>
          </w:tcPr>
          <w:p>
            <w:pPr>
              <w:ind w:left="100"/>
              <w:spacing w:after="0"/>
              <w:rPr>
                <w:sz w:val="20"/>
                <w:szCs w:val="20"/>
                <w:color w:val="auto"/>
              </w:rPr>
            </w:pPr>
            <w:r>
              <w:rPr>
                <w:rFonts w:ascii="Arial" w:cs="Arial" w:eastAsia="Arial" w:hAnsi="Arial"/>
                <w:sz w:val="19"/>
                <w:szCs w:val="19"/>
                <w:color w:val="auto"/>
              </w:rPr>
              <w:t>Creation of New Subsidiaries</w:t>
            </w:r>
          </w:p>
        </w:tc>
        <w:tc>
          <w:tcPr>
            <w:tcW w:w="2060" w:type="dxa"/>
            <w:vAlign w:val="bottom"/>
          </w:tcPr>
          <w:p>
            <w:pPr>
              <w:jc w:val="right"/>
              <w:spacing w:after="0"/>
              <w:rPr>
                <w:sz w:val="20"/>
                <w:szCs w:val="20"/>
                <w:color w:val="auto"/>
              </w:rPr>
            </w:pPr>
            <w:r>
              <w:rPr>
                <w:rFonts w:ascii="Arial" w:cs="Arial" w:eastAsia="Arial" w:hAnsi="Arial"/>
                <w:sz w:val="19"/>
                <w:szCs w:val="19"/>
                <w:color w:val="auto"/>
              </w:rPr>
              <w:t>148</w:t>
            </w:r>
          </w:p>
        </w:tc>
      </w:tr>
      <w:tr>
        <w:trPr>
          <w:trHeight w:val="275"/>
        </w:trPr>
        <w:tc>
          <w:tcPr>
            <w:tcW w:w="420" w:type="dxa"/>
            <w:vAlign w:val="bottom"/>
          </w:tcPr>
          <w:p>
            <w:pPr>
              <w:spacing w:after="0"/>
              <w:rPr>
                <w:sz w:val="20"/>
                <w:szCs w:val="20"/>
                <w:color w:val="auto"/>
              </w:rPr>
            </w:pPr>
            <w:r>
              <w:rPr>
                <w:rFonts w:ascii="Arial" w:cs="Arial" w:eastAsia="Arial" w:hAnsi="Arial"/>
                <w:sz w:val="19"/>
                <w:szCs w:val="19"/>
                <w:color w:val="auto"/>
              </w:rPr>
              <w:t>8.14</w:t>
            </w:r>
          </w:p>
        </w:tc>
        <w:tc>
          <w:tcPr>
            <w:tcW w:w="8140" w:type="dxa"/>
            <w:vAlign w:val="bottom"/>
          </w:tcPr>
          <w:p>
            <w:pPr>
              <w:ind w:left="100"/>
              <w:spacing w:after="0"/>
              <w:rPr>
                <w:sz w:val="20"/>
                <w:szCs w:val="20"/>
                <w:color w:val="auto"/>
              </w:rPr>
            </w:pPr>
            <w:r>
              <w:rPr>
                <w:rFonts w:ascii="Arial" w:cs="Arial" w:eastAsia="Arial" w:hAnsi="Arial"/>
                <w:sz w:val="19"/>
                <w:szCs w:val="19"/>
                <w:color w:val="auto"/>
              </w:rPr>
              <w:t>Securities of Subsidiaries</w:t>
            </w:r>
          </w:p>
        </w:tc>
        <w:tc>
          <w:tcPr>
            <w:tcW w:w="2060" w:type="dxa"/>
            <w:vAlign w:val="bottom"/>
          </w:tcPr>
          <w:p>
            <w:pPr>
              <w:jc w:val="right"/>
              <w:spacing w:after="0"/>
              <w:rPr>
                <w:sz w:val="20"/>
                <w:szCs w:val="20"/>
                <w:color w:val="auto"/>
              </w:rPr>
            </w:pPr>
            <w:r>
              <w:rPr>
                <w:rFonts w:ascii="Arial" w:cs="Arial" w:eastAsia="Arial" w:hAnsi="Arial"/>
                <w:sz w:val="19"/>
                <w:szCs w:val="19"/>
                <w:color w:val="auto"/>
              </w:rPr>
              <w:t>148</w:t>
            </w:r>
          </w:p>
        </w:tc>
      </w:tr>
      <w:tr>
        <w:trPr>
          <w:trHeight w:val="275"/>
        </w:trPr>
        <w:tc>
          <w:tcPr>
            <w:tcW w:w="420" w:type="dxa"/>
            <w:vAlign w:val="bottom"/>
          </w:tcPr>
          <w:p>
            <w:pPr>
              <w:spacing w:after="0"/>
              <w:rPr>
                <w:sz w:val="20"/>
                <w:szCs w:val="20"/>
                <w:color w:val="auto"/>
              </w:rPr>
            </w:pPr>
            <w:r>
              <w:rPr>
                <w:rFonts w:ascii="Arial" w:cs="Arial" w:eastAsia="Arial" w:hAnsi="Arial"/>
                <w:sz w:val="19"/>
                <w:szCs w:val="19"/>
                <w:color w:val="auto"/>
              </w:rPr>
              <w:t>8.15</w:t>
            </w:r>
          </w:p>
        </w:tc>
        <w:tc>
          <w:tcPr>
            <w:tcW w:w="8140" w:type="dxa"/>
            <w:vAlign w:val="bottom"/>
          </w:tcPr>
          <w:p>
            <w:pPr>
              <w:ind w:left="100"/>
              <w:spacing w:after="0"/>
              <w:rPr>
                <w:sz w:val="20"/>
                <w:szCs w:val="20"/>
                <w:color w:val="auto"/>
              </w:rPr>
            </w:pPr>
            <w:r>
              <w:rPr>
                <w:rFonts w:ascii="Arial" w:cs="Arial" w:eastAsia="Arial" w:hAnsi="Arial"/>
                <w:sz w:val="19"/>
                <w:szCs w:val="19"/>
                <w:color w:val="auto"/>
              </w:rPr>
              <w:t>Sale and Leaseback</w:t>
            </w:r>
          </w:p>
        </w:tc>
        <w:tc>
          <w:tcPr>
            <w:tcW w:w="2060" w:type="dxa"/>
            <w:vAlign w:val="bottom"/>
          </w:tcPr>
          <w:p>
            <w:pPr>
              <w:jc w:val="right"/>
              <w:spacing w:after="0"/>
              <w:rPr>
                <w:sz w:val="20"/>
                <w:szCs w:val="20"/>
                <w:color w:val="auto"/>
              </w:rPr>
            </w:pPr>
            <w:r>
              <w:rPr>
                <w:rFonts w:ascii="Arial" w:cs="Arial" w:eastAsia="Arial" w:hAnsi="Arial"/>
                <w:sz w:val="19"/>
                <w:szCs w:val="19"/>
                <w:color w:val="auto"/>
              </w:rPr>
              <w:t>148</w:t>
            </w:r>
          </w:p>
        </w:tc>
      </w:tr>
      <w:tr>
        <w:trPr>
          <w:trHeight w:val="275"/>
        </w:trPr>
        <w:tc>
          <w:tcPr>
            <w:tcW w:w="420" w:type="dxa"/>
            <w:vAlign w:val="bottom"/>
          </w:tcPr>
          <w:p>
            <w:pPr>
              <w:spacing w:after="0"/>
              <w:rPr>
                <w:sz w:val="20"/>
                <w:szCs w:val="20"/>
                <w:color w:val="auto"/>
              </w:rPr>
            </w:pPr>
            <w:r>
              <w:rPr>
                <w:rFonts w:ascii="Arial" w:cs="Arial" w:eastAsia="Arial" w:hAnsi="Arial"/>
                <w:sz w:val="19"/>
                <w:szCs w:val="19"/>
                <w:color w:val="auto"/>
              </w:rPr>
              <w:t>8.16</w:t>
            </w:r>
          </w:p>
        </w:tc>
        <w:tc>
          <w:tcPr>
            <w:tcW w:w="8140" w:type="dxa"/>
            <w:vAlign w:val="bottom"/>
          </w:tcPr>
          <w:p>
            <w:pPr>
              <w:ind w:left="100"/>
              <w:spacing w:after="0"/>
              <w:rPr>
                <w:sz w:val="20"/>
                <w:szCs w:val="20"/>
                <w:color w:val="auto"/>
              </w:rPr>
            </w:pPr>
            <w:r>
              <w:rPr>
                <w:rFonts w:ascii="Arial" w:cs="Arial" w:eastAsia="Arial" w:hAnsi="Arial"/>
                <w:sz w:val="19"/>
                <w:szCs w:val="19"/>
                <w:color w:val="auto"/>
              </w:rPr>
              <w:t>Organizational Documents; Fiscal Year</w:t>
            </w:r>
          </w:p>
        </w:tc>
        <w:tc>
          <w:tcPr>
            <w:tcW w:w="2060" w:type="dxa"/>
            <w:vAlign w:val="bottom"/>
          </w:tcPr>
          <w:p>
            <w:pPr>
              <w:jc w:val="right"/>
              <w:spacing w:after="0"/>
              <w:rPr>
                <w:sz w:val="20"/>
                <w:szCs w:val="20"/>
                <w:color w:val="auto"/>
              </w:rPr>
            </w:pPr>
            <w:r>
              <w:rPr>
                <w:rFonts w:ascii="Arial" w:cs="Arial" w:eastAsia="Arial" w:hAnsi="Arial"/>
                <w:sz w:val="19"/>
                <w:szCs w:val="19"/>
                <w:color w:val="auto"/>
              </w:rPr>
              <w:t>148</w:t>
            </w:r>
          </w:p>
        </w:tc>
      </w:tr>
    </w:tbl>
    <w:p>
      <w:pPr>
        <w:spacing w:after="0" w:line="200" w:lineRule="exact"/>
        <w:rPr>
          <w:sz w:val="20"/>
          <w:szCs w:val="20"/>
          <w:color w:val="auto"/>
        </w:rPr>
      </w:pPr>
    </w:p>
    <w:p>
      <w:pPr>
        <w:sectPr>
          <w:pgSz w:w="11900" w:h="16838" w:orient="portrait"/>
          <w:cols w:equalWidth="0" w:num="1">
            <w:col w:w="11060"/>
          </w:cols>
          <w:pgMar w:left="400" w:top="118"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-iii-</w:t>
      </w:r>
    </w:p>
    <w:p>
      <w:pPr>
        <w:sectPr>
          <w:pgSz w:w="11900" w:h="16838" w:orient="portrait"/>
          <w:cols w:equalWidth="0" w:num="1">
            <w:col w:w="11060"/>
          </w:cols>
          <w:pgMar w:left="400" w:top="118" w:right="439" w:bottom="1440" w:gutter="0" w:footer="0" w:header="0"/>
          <w:type w:val="continuous"/>
        </w:sectPr>
      </w:pPr>
    </w:p>
    <w:bookmarkStart w:id="116" w:name="page117"/>
    <w:bookmarkEnd w:id="116"/>
    <w:p>
      <w:pPr>
        <w:jc w:val="center"/>
        <w:ind w:right="-19"/>
        <w:spacing w:after="0"/>
        <w:rPr>
          <w:sz w:val="20"/>
          <w:szCs w:val="20"/>
          <w:color w:val="auto"/>
        </w:rPr>
      </w:pPr>
      <w:r>
        <w:rPr>
          <w:rFonts w:ascii="Arial" w:cs="Arial" w:eastAsia="Arial" w:hAnsi="Arial"/>
          <w:sz w:val="19"/>
          <w:szCs w:val="19"/>
          <w:b w:val="1"/>
          <w:bCs w:val="1"/>
          <w:color w:val="auto"/>
        </w:rPr>
        <w:t>TABLE OF CONTENTS</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(continued)</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60" w:type="dxa"/>
            <w:vAlign w:val="bottom"/>
          </w:tcPr>
          <w:p>
            <w:pPr>
              <w:spacing w:after="0"/>
              <w:rPr>
                <w:sz w:val="19"/>
                <w:szCs w:val="19"/>
                <w:color w:val="auto"/>
              </w:rPr>
            </w:pPr>
          </w:p>
        </w:tc>
        <w:tc>
          <w:tcPr>
            <w:tcW w:w="8320" w:type="dxa"/>
            <w:vAlign w:val="bottom"/>
          </w:tcPr>
          <w:p>
            <w:pPr>
              <w:jc w:val="center"/>
              <w:ind w:left="1744"/>
              <w:spacing w:after="0"/>
              <w:rPr>
                <w:sz w:val="20"/>
                <w:szCs w:val="20"/>
                <w:color w:val="auto"/>
              </w:rPr>
            </w:pPr>
            <w:r>
              <w:rPr>
                <w:rFonts w:ascii="Arial" w:cs="Arial" w:eastAsia="Arial" w:hAnsi="Arial"/>
                <w:sz w:val="19"/>
                <w:szCs w:val="19"/>
                <w:color w:val="auto"/>
              </w:rPr>
              <w:t>ARTICLE IX</w:t>
            </w:r>
          </w:p>
        </w:tc>
        <w:tc>
          <w:tcPr>
            <w:tcW w:w="1840" w:type="dxa"/>
            <w:vAlign w:val="bottom"/>
          </w:tcPr>
          <w:p>
            <w:pPr>
              <w:spacing w:after="0"/>
              <w:rPr>
                <w:sz w:val="19"/>
                <w:szCs w:val="19"/>
                <w:color w:val="auto"/>
              </w:rPr>
            </w:pPr>
          </w:p>
        </w:tc>
      </w:tr>
      <w:tr>
        <w:trPr>
          <w:trHeight w:val="245"/>
        </w:trPr>
        <w:tc>
          <w:tcPr>
            <w:tcW w:w="460" w:type="dxa"/>
            <w:vAlign w:val="bottom"/>
          </w:tcPr>
          <w:p>
            <w:pPr>
              <w:spacing w:after="0"/>
              <w:rPr>
                <w:sz w:val="21"/>
                <w:szCs w:val="21"/>
                <w:color w:val="auto"/>
              </w:rPr>
            </w:pPr>
          </w:p>
        </w:tc>
        <w:tc>
          <w:tcPr>
            <w:tcW w:w="8320" w:type="dxa"/>
            <w:vAlign w:val="bottom"/>
          </w:tcPr>
          <w:p>
            <w:pPr>
              <w:jc w:val="center"/>
              <w:ind w:left="1744"/>
              <w:spacing w:after="0"/>
              <w:rPr>
                <w:sz w:val="20"/>
                <w:szCs w:val="20"/>
                <w:color w:val="auto"/>
              </w:rPr>
            </w:pPr>
            <w:r>
              <w:rPr>
                <w:rFonts w:ascii="Arial" w:cs="Arial" w:eastAsia="Arial" w:hAnsi="Arial"/>
                <w:sz w:val="19"/>
                <w:szCs w:val="19"/>
                <w:color w:val="auto"/>
                <w:w w:val="97"/>
              </w:rPr>
              <w:t>EVENTS OF DEFAULT AND REMEDIES</w:t>
            </w:r>
          </w:p>
        </w:tc>
        <w:tc>
          <w:tcPr>
            <w:tcW w:w="1840" w:type="dxa"/>
            <w:vAlign w:val="bottom"/>
          </w:tcPr>
          <w:p>
            <w:pPr>
              <w:spacing w:after="0"/>
              <w:rPr>
                <w:sz w:val="21"/>
                <w:szCs w:val="21"/>
                <w:color w:val="auto"/>
              </w:rPr>
            </w:pPr>
          </w:p>
        </w:tc>
      </w:tr>
      <w:tr>
        <w:trPr>
          <w:trHeight w:val="275"/>
        </w:trPr>
        <w:tc>
          <w:tcPr>
            <w:tcW w:w="460" w:type="dxa"/>
            <w:vAlign w:val="bottom"/>
          </w:tcPr>
          <w:p>
            <w:pPr>
              <w:spacing w:after="0"/>
              <w:rPr>
                <w:sz w:val="20"/>
                <w:szCs w:val="20"/>
                <w:color w:val="auto"/>
              </w:rPr>
            </w:pPr>
            <w:r>
              <w:rPr>
                <w:rFonts w:ascii="Arial" w:cs="Arial" w:eastAsia="Arial" w:hAnsi="Arial"/>
                <w:sz w:val="19"/>
                <w:szCs w:val="19"/>
                <w:color w:val="auto"/>
              </w:rPr>
              <w:t>9.01</w:t>
            </w:r>
          </w:p>
        </w:tc>
        <w:tc>
          <w:tcPr>
            <w:tcW w:w="8320" w:type="dxa"/>
            <w:vAlign w:val="bottom"/>
          </w:tcPr>
          <w:p>
            <w:pPr>
              <w:ind w:left="60"/>
              <w:spacing w:after="0"/>
              <w:rPr>
                <w:sz w:val="20"/>
                <w:szCs w:val="20"/>
                <w:color w:val="auto"/>
              </w:rPr>
            </w:pPr>
            <w:r>
              <w:rPr>
                <w:rFonts w:ascii="Arial" w:cs="Arial" w:eastAsia="Arial" w:hAnsi="Arial"/>
                <w:sz w:val="19"/>
                <w:szCs w:val="19"/>
                <w:color w:val="auto"/>
              </w:rPr>
              <w:t>Events of Default</w:t>
            </w:r>
          </w:p>
        </w:tc>
        <w:tc>
          <w:tcPr>
            <w:tcW w:w="1840" w:type="dxa"/>
            <w:vAlign w:val="bottom"/>
          </w:tcPr>
          <w:p>
            <w:pPr>
              <w:jc w:val="right"/>
              <w:spacing w:after="0"/>
              <w:rPr>
                <w:sz w:val="20"/>
                <w:szCs w:val="20"/>
                <w:color w:val="auto"/>
              </w:rPr>
            </w:pPr>
            <w:r>
              <w:rPr>
                <w:rFonts w:ascii="Arial" w:cs="Arial" w:eastAsia="Arial" w:hAnsi="Arial"/>
                <w:sz w:val="19"/>
                <w:szCs w:val="19"/>
                <w:color w:val="auto"/>
              </w:rPr>
              <w:t>148</w:t>
            </w:r>
          </w:p>
        </w:tc>
      </w:tr>
      <w:tr>
        <w:trPr>
          <w:trHeight w:val="275"/>
        </w:trPr>
        <w:tc>
          <w:tcPr>
            <w:tcW w:w="8780" w:type="dxa"/>
            <w:vAlign w:val="bottom"/>
            <w:gridSpan w:val="2"/>
          </w:tcPr>
          <w:p>
            <w:pPr>
              <w:spacing w:after="0"/>
              <w:rPr>
                <w:sz w:val="20"/>
                <w:szCs w:val="20"/>
                <w:color w:val="auto"/>
              </w:rPr>
            </w:pPr>
            <w:r>
              <w:rPr>
                <w:rFonts w:ascii="Arial" w:cs="Arial" w:eastAsia="Arial" w:hAnsi="Arial"/>
                <w:sz w:val="19"/>
                <w:szCs w:val="19"/>
                <w:color w:val="auto"/>
              </w:rPr>
              <w:t>9.02  Remedies upon Event of Default</w:t>
            </w:r>
          </w:p>
        </w:tc>
        <w:tc>
          <w:tcPr>
            <w:tcW w:w="1840" w:type="dxa"/>
            <w:vAlign w:val="bottom"/>
          </w:tcPr>
          <w:p>
            <w:pPr>
              <w:jc w:val="right"/>
              <w:spacing w:after="0"/>
              <w:rPr>
                <w:sz w:val="20"/>
                <w:szCs w:val="20"/>
                <w:color w:val="auto"/>
              </w:rPr>
            </w:pPr>
            <w:r>
              <w:rPr>
                <w:rFonts w:ascii="Arial" w:cs="Arial" w:eastAsia="Arial" w:hAnsi="Arial"/>
                <w:sz w:val="19"/>
                <w:szCs w:val="19"/>
                <w:color w:val="auto"/>
              </w:rPr>
              <w:t>151</w:t>
            </w:r>
          </w:p>
        </w:tc>
      </w:tr>
      <w:tr>
        <w:trPr>
          <w:trHeight w:val="275"/>
        </w:trPr>
        <w:tc>
          <w:tcPr>
            <w:tcW w:w="460" w:type="dxa"/>
            <w:vAlign w:val="bottom"/>
          </w:tcPr>
          <w:p>
            <w:pPr>
              <w:spacing w:after="0"/>
              <w:rPr>
                <w:sz w:val="20"/>
                <w:szCs w:val="20"/>
                <w:color w:val="auto"/>
              </w:rPr>
            </w:pPr>
            <w:r>
              <w:rPr>
                <w:rFonts w:ascii="Arial" w:cs="Arial" w:eastAsia="Arial" w:hAnsi="Arial"/>
                <w:sz w:val="19"/>
                <w:szCs w:val="19"/>
                <w:color w:val="auto"/>
              </w:rPr>
              <w:t>9.03</w:t>
            </w:r>
          </w:p>
        </w:tc>
        <w:tc>
          <w:tcPr>
            <w:tcW w:w="8320" w:type="dxa"/>
            <w:vAlign w:val="bottom"/>
          </w:tcPr>
          <w:p>
            <w:pPr>
              <w:ind w:left="40"/>
              <w:spacing w:after="0"/>
              <w:rPr>
                <w:sz w:val="20"/>
                <w:szCs w:val="20"/>
                <w:color w:val="auto"/>
              </w:rPr>
            </w:pPr>
            <w:r>
              <w:rPr>
                <w:rFonts w:ascii="Arial" w:cs="Arial" w:eastAsia="Arial" w:hAnsi="Arial"/>
                <w:sz w:val="19"/>
                <w:szCs w:val="19"/>
                <w:color w:val="auto"/>
              </w:rPr>
              <w:t>Application of Funds.</w:t>
            </w:r>
          </w:p>
        </w:tc>
        <w:tc>
          <w:tcPr>
            <w:tcW w:w="1840" w:type="dxa"/>
            <w:vAlign w:val="bottom"/>
          </w:tcPr>
          <w:p>
            <w:pPr>
              <w:jc w:val="right"/>
              <w:spacing w:after="0"/>
              <w:rPr>
                <w:sz w:val="20"/>
                <w:szCs w:val="20"/>
                <w:color w:val="auto"/>
              </w:rPr>
            </w:pPr>
            <w:r>
              <w:rPr>
                <w:rFonts w:ascii="Arial" w:cs="Arial" w:eastAsia="Arial" w:hAnsi="Arial"/>
                <w:sz w:val="19"/>
                <w:szCs w:val="19"/>
                <w:color w:val="auto"/>
              </w:rPr>
              <w:t>152</w:t>
            </w:r>
          </w:p>
        </w:tc>
      </w:tr>
      <w:tr>
        <w:trPr>
          <w:trHeight w:val="253"/>
        </w:trPr>
        <w:tc>
          <w:tcPr>
            <w:tcW w:w="460" w:type="dxa"/>
            <w:vAlign w:val="bottom"/>
          </w:tcPr>
          <w:p>
            <w:pPr>
              <w:spacing w:after="0"/>
              <w:rPr>
                <w:sz w:val="22"/>
                <w:szCs w:val="22"/>
                <w:color w:val="auto"/>
              </w:rPr>
            </w:pPr>
          </w:p>
        </w:tc>
        <w:tc>
          <w:tcPr>
            <w:tcW w:w="8320" w:type="dxa"/>
            <w:vAlign w:val="bottom"/>
          </w:tcPr>
          <w:p>
            <w:pPr>
              <w:jc w:val="center"/>
              <w:ind w:left="1764"/>
              <w:spacing w:after="0"/>
              <w:rPr>
                <w:sz w:val="20"/>
                <w:szCs w:val="20"/>
                <w:color w:val="auto"/>
              </w:rPr>
            </w:pPr>
            <w:r>
              <w:rPr>
                <w:rFonts w:ascii="Arial" w:cs="Arial" w:eastAsia="Arial" w:hAnsi="Arial"/>
                <w:sz w:val="19"/>
                <w:szCs w:val="19"/>
                <w:color w:val="auto"/>
                <w:w w:val="99"/>
              </w:rPr>
              <w:t>ARTICLE X</w:t>
            </w:r>
          </w:p>
        </w:tc>
        <w:tc>
          <w:tcPr>
            <w:tcW w:w="1840" w:type="dxa"/>
            <w:vAlign w:val="bottom"/>
          </w:tcPr>
          <w:p>
            <w:pPr>
              <w:spacing w:after="0"/>
              <w:rPr>
                <w:sz w:val="22"/>
                <w:szCs w:val="22"/>
                <w:color w:val="auto"/>
              </w:rPr>
            </w:pPr>
          </w:p>
        </w:tc>
      </w:tr>
      <w:tr>
        <w:trPr>
          <w:trHeight w:val="245"/>
        </w:trPr>
        <w:tc>
          <w:tcPr>
            <w:tcW w:w="460" w:type="dxa"/>
            <w:vAlign w:val="bottom"/>
          </w:tcPr>
          <w:p>
            <w:pPr>
              <w:spacing w:after="0"/>
              <w:rPr>
                <w:sz w:val="21"/>
                <w:szCs w:val="21"/>
                <w:color w:val="auto"/>
              </w:rPr>
            </w:pPr>
          </w:p>
        </w:tc>
        <w:tc>
          <w:tcPr>
            <w:tcW w:w="8320" w:type="dxa"/>
            <w:vAlign w:val="bottom"/>
          </w:tcPr>
          <w:p>
            <w:pPr>
              <w:jc w:val="center"/>
              <w:ind w:left="1744"/>
              <w:spacing w:after="0"/>
              <w:rPr>
                <w:sz w:val="20"/>
                <w:szCs w:val="20"/>
                <w:color w:val="auto"/>
              </w:rPr>
            </w:pPr>
            <w:r>
              <w:rPr>
                <w:rFonts w:ascii="Arial" w:cs="Arial" w:eastAsia="Arial" w:hAnsi="Arial"/>
                <w:sz w:val="19"/>
                <w:szCs w:val="19"/>
                <w:color w:val="auto"/>
              </w:rPr>
              <w:t>ADMINISTRATIVE AGENT</w:t>
            </w:r>
          </w:p>
        </w:tc>
        <w:tc>
          <w:tcPr>
            <w:tcW w:w="1840" w:type="dxa"/>
            <w:vAlign w:val="bottom"/>
          </w:tcPr>
          <w:p>
            <w:pPr>
              <w:spacing w:after="0"/>
              <w:rPr>
                <w:sz w:val="21"/>
                <w:szCs w:val="21"/>
                <w:color w:val="auto"/>
              </w:rPr>
            </w:pPr>
          </w:p>
        </w:tc>
      </w:tr>
      <w:tr>
        <w:trPr>
          <w:trHeight w:val="275"/>
        </w:trPr>
        <w:tc>
          <w:tcPr>
            <w:tcW w:w="460" w:type="dxa"/>
            <w:vAlign w:val="bottom"/>
          </w:tcPr>
          <w:p>
            <w:pPr>
              <w:spacing w:after="0"/>
              <w:rPr>
                <w:sz w:val="20"/>
                <w:szCs w:val="20"/>
                <w:color w:val="auto"/>
              </w:rPr>
            </w:pPr>
            <w:r>
              <w:rPr>
                <w:rFonts w:ascii="Arial" w:cs="Arial" w:eastAsia="Arial" w:hAnsi="Arial"/>
                <w:sz w:val="19"/>
                <w:szCs w:val="19"/>
                <w:color w:val="auto"/>
                <w:w w:val="92"/>
              </w:rPr>
              <w:t>10.01</w:t>
            </w:r>
          </w:p>
        </w:tc>
        <w:tc>
          <w:tcPr>
            <w:tcW w:w="8320" w:type="dxa"/>
            <w:vAlign w:val="bottom"/>
          </w:tcPr>
          <w:p>
            <w:pPr>
              <w:ind w:left="140"/>
              <w:spacing w:after="0"/>
              <w:rPr>
                <w:sz w:val="20"/>
                <w:szCs w:val="20"/>
                <w:color w:val="auto"/>
              </w:rPr>
            </w:pPr>
            <w:r>
              <w:rPr>
                <w:rFonts w:ascii="Arial" w:cs="Arial" w:eastAsia="Arial" w:hAnsi="Arial"/>
                <w:sz w:val="19"/>
                <w:szCs w:val="19"/>
                <w:color w:val="auto"/>
              </w:rPr>
              <w:t>Appointment and Authority</w:t>
            </w:r>
          </w:p>
        </w:tc>
        <w:tc>
          <w:tcPr>
            <w:tcW w:w="1840" w:type="dxa"/>
            <w:vAlign w:val="bottom"/>
          </w:tcPr>
          <w:p>
            <w:pPr>
              <w:jc w:val="right"/>
              <w:spacing w:after="0"/>
              <w:rPr>
                <w:sz w:val="20"/>
                <w:szCs w:val="20"/>
                <w:color w:val="auto"/>
              </w:rPr>
            </w:pPr>
            <w:r>
              <w:rPr>
                <w:rFonts w:ascii="Arial" w:cs="Arial" w:eastAsia="Arial" w:hAnsi="Arial"/>
                <w:sz w:val="19"/>
                <w:szCs w:val="19"/>
                <w:color w:val="auto"/>
              </w:rPr>
              <w:t>154</w:t>
            </w:r>
          </w:p>
        </w:tc>
      </w:tr>
      <w:tr>
        <w:trPr>
          <w:trHeight w:val="275"/>
        </w:trPr>
        <w:tc>
          <w:tcPr>
            <w:tcW w:w="8780" w:type="dxa"/>
            <w:vAlign w:val="bottom"/>
            <w:gridSpan w:val="2"/>
          </w:tcPr>
          <w:p>
            <w:pPr>
              <w:spacing w:after="0"/>
              <w:rPr>
                <w:sz w:val="20"/>
                <w:szCs w:val="20"/>
                <w:color w:val="auto"/>
              </w:rPr>
            </w:pPr>
            <w:r>
              <w:rPr>
                <w:rFonts w:ascii="Arial" w:cs="Arial" w:eastAsia="Arial" w:hAnsi="Arial"/>
                <w:sz w:val="19"/>
                <w:szCs w:val="19"/>
                <w:color w:val="auto"/>
              </w:rPr>
              <w:t>10.02  Rights as a Lender</w:t>
            </w:r>
          </w:p>
        </w:tc>
        <w:tc>
          <w:tcPr>
            <w:tcW w:w="1840" w:type="dxa"/>
            <w:vAlign w:val="bottom"/>
          </w:tcPr>
          <w:p>
            <w:pPr>
              <w:jc w:val="right"/>
              <w:spacing w:after="0"/>
              <w:rPr>
                <w:sz w:val="20"/>
                <w:szCs w:val="20"/>
                <w:color w:val="auto"/>
              </w:rPr>
            </w:pPr>
            <w:r>
              <w:rPr>
                <w:rFonts w:ascii="Arial" w:cs="Arial" w:eastAsia="Arial" w:hAnsi="Arial"/>
                <w:sz w:val="19"/>
                <w:szCs w:val="19"/>
                <w:color w:val="auto"/>
              </w:rPr>
              <w:t>154</w:t>
            </w:r>
          </w:p>
        </w:tc>
      </w:tr>
      <w:tr>
        <w:trPr>
          <w:trHeight w:val="275"/>
        </w:trPr>
        <w:tc>
          <w:tcPr>
            <w:tcW w:w="460" w:type="dxa"/>
            <w:vAlign w:val="bottom"/>
          </w:tcPr>
          <w:p>
            <w:pPr>
              <w:spacing w:after="0"/>
              <w:rPr>
                <w:sz w:val="20"/>
                <w:szCs w:val="20"/>
                <w:color w:val="auto"/>
              </w:rPr>
            </w:pPr>
            <w:r>
              <w:rPr>
                <w:rFonts w:ascii="Arial" w:cs="Arial" w:eastAsia="Arial" w:hAnsi="Arial"/>
                <w:sz w:val="19"/>
                <w:szCs w:val="19"/>
                <w:color w:val="auto"/>
                <w:w w:val="92"/>
              </w:rPr>
              <w:t>10.03</w:t>
            </w:r>
          </w:p>
        </w:tc>
        <w:tc>
          <w:tcPr>
            <w:tcW w:w="8320" w:type="dxa"/>
            <w:vAlign w:val="bottom"/>
          </w:tcPr>
          <w:p>
            <w:pPr>
              <w:ind w:left="160"/>
              <w:spacing w:after="0"/>
              <w:rPr>
                <w:sz w:val="20"/>
                <w:szCs w:val="20"/>
                <w:color w:val="auto"/>
              </w:rPr>
            </w:pPr>
            <w:r>
              <w:rPr>
                <w:rFonts w:ascii="Arial" w:cs="Arial" w:eastAsia="Arial" w:hAnsi="Arial"/>
                <w:sz w:val="19"/>
                <w:szCs w:val="19"/>
                <w:color w:val="auto"/>
              </w:rPr>
              <w:t>Exculpatory Provisions</w:t>
            </w:r>
          </w:p>
        </w:tc>
        <w:tc>
          <w:tcPr>
            <w:tcW w:w="1840" w:type="dxa"/>
            <w:vAlign w:val="bottom"/>
          </w:tcPr>
          <w:p>
            <w:pPr>
              <w:jc w:val="right"/>
              <w:spacing w:after="0"/>
              <w:rPr>
                <w:sz w:val="20"/>
                <w:szCs w:val="20"/>
                <w:color w:val="auto"/>
              </w:rPr>
            </w:pPr>
            <w:r>
              <w:rPr>
                <w:rFonts w:ascii="Arial" w:cs="Arial" w:eastAsia="Arial" w:hAnsi="Arial"/>
                <w:sz w:val="19"/>
                <w:szCs w:val="19"/>
                <w:color w:val="auto"/>
              </w:rPr>
              <w:t>154</w:t>
            </w:r>
          </w:p>
        </w:tc>
      </w:tr>
      <w:tr>
        <w:trPr>
          <w:trHeight w:val="275"/>
        </w:trPr>
        <w:tc>
          <w:tcPr>
            <w:tcW w:w="8780" w:type="dxa"/>
            <w:vAlign w:val="bottom"/>
            <w:gridSpan w:val="2"/>
          </w:tcPr>
          <w:p>
            <w:pPr>
              <w:spacing w:after="0"/>
              <w:rPr>
                <w:sz w:val="20"/>
                <w:szCs w:val="20"/>
                <w:color w:val="auto"/>
              </w:rPr>
            </w:pPr>
            <w:r>
              <w:rPr>
                <w:rFonts w:ascii="Arial" w:cs="Arial" w:eastAsia="Arial" w:hAnsi="Arial"/>
                <w:sz w:val="19"/>
                <w:szCs w:val="19"/>
                <w:color w:val="auto"/>
              </w:rPr>
              <w:t>10.04  Reliance by the Administrative Agent</w:t>
            </w:r>
          </w:p>
        </w:tc>
        <w:tc>
          <w:tcPr>
            <w:tcW w:w="1840" w:type="dxa"/>
            <w:vAlign w:val="bottom"/>
          </w:tcPr>
          <w:p>
            <w:pPr>
              <w:jc w:val="right"/>
              <w:spacing w:after="0"/>
              <w:rPr>
                <w:sz w:val="20"/>
                <w:szCs w:val="20"/>
                <w:color w:val="auto"/>
              </w:rPr>
            </w:pPr>
            <w:r>
              <w:rPr>
                <w:rFonts w:ascii="Arial" w:cs="Arial" w:eastAsia="Arial" w:hAnsi="Arial"/>
                <w:sz w:val="19"/>
                <w:szCs w:val="19"/>
                <w:color w:val="auto"/>
              </w:rPr>
              <w:t>155</w:t>
            </w:r>
          </w:p>
        </w:tc>
      </w:tr>
      <w:tr>
        <w:trPr>
          <w:trHeight w:val="275"/>
        </w:trPr>
        <w:tc>
          <w:tcPr>
            <w:tcW w:w="460" w:type="dxa"/>
            <w:vAlign w:val="bottom"/>
          </w:tcPr>
          <w:p>
            <w:pPr>
              <w:spacing w:after="0"/>
              <w:rPr>
                <w:sz w:val="20"/>
                <w:szCs w:val="20"/>
                <w:color w:val="auto"/>
              </w:rPr>
            </w:pPr>
            <w:r>
              <w:rPr>
                <w:rFonts w:ascii="Arial" w:cs="Arial" w:eastAsia="Arial" w:hAnsi="Arial"/>
                <w:sz w:val="19"/>
                <w:szCs w:val="19"/>
                <w:color w:val="auto"/>
                <w:w w:val="92"/>
              </w:rPr>
              <w:t>10.05</w:t>
            </w:r>
          </w:p>
        </w:tc>
        <w:tc>
          <w:tcPr>
            <w:tcW w:w="8320" w:type="dxa"/>
            <w:vAlign w:val="bottom"/>
          </w:tcPr>
          <w:p>
            <w:pPr>
              <w:ind w:left="160"/>
              <w:spacing w:after="0"/>
              <w:rPr>
                <w:sz w:val="20"/>
                <w:szCs w:val="20"/>
                <w:color w:val="auto"/>
              </w:rPr>
            </w:pPr>
            <w:r>
              <w:rPr>
                <w:rFonts w:ascii="Arial" w:cs="Arial" w:eastAsia="Arial" w:hAnsi="Arial"/>
                <w:sz w:val="19"/>
                <w:szCs w:val="19"/>
                <w:color w:val="auto"/>
              </w:rPr>
              <w:t>Delegation of Duties</w:t>
            </w:r>
          </w:p>
        </w:tc>
        <w:tc>
          <w:tcPr>
            <w:tcW w:w="1840" w:type="dxa"/>
            <w:vAlign w:val="bottom"/>
          </w:tcPr>
          <w:p>
            <w:pPr>
              <w:jc w:val="right"/>
              <w:spacing w:after="0"/>
              <w:rPr>
                <w:sz w:val="20"/>
                <w:szCs w:val="20"/>
                <w:color w:val="auto"/>
              </w:rPr>
            </w:pPr>
            <w:r>
              <w:rPr>
                <w:rFonts w:ascii="Arial" w:cs="Arial" w:eastAsia="Arial" w:hAnsi="Arial"/>
                <w:sz w:val="19"/>
                <w:szCs w:val="19"/>
                <w:color w:val="auto"/>
              </w:rPr>
              <w:t>155</w:t>
            </w:r>
          </w:p>
        </w:tc>
      </w:tr>
      <w:tr>
        <w:trPr>
          <w:trHeight w:val="275"/>
        </w:trPr>
        <w:tc>
          <w:tcPr>
            <w:tcW w:w="8780" w:type="dxa"/>
            <w:vAlign w:val="bottom"/>
            <w:gridSpan w:val="2"/>
          </w:tcPr>
          <w:p>
            <w:pPr>
              <w:spacing w:after="0"/>
              <w:rPr>
                <w:sz w:val="20"/>
                <w:szCs w:val="20"/>
                <w:color w:val="auto"/>
              </w:rPr>
            </w:pPr>
            <w:r>
              <w:rPr>
                <w:rFonts w:ascii="Arial" w:cs="Arial" w:eastAsia="Arial" w:hAnsi="Arial"/>
                <w:sz w:val="19"/>
                <w:szCs w:val="19"/>
                <w:color w:val="auto"/>
              </w:rPr>
              <w:t>10.06  Resignation of the Administrative Agent</w:t>
            </w:r>
          </w:p>
        </w:tc>
        <w:tc>
          <w:tcPr>
            <w:tcW w:w="1840" w:type="dxa"/>
            <w:vAlign w:val="bottom"/>
          </w:tcPr>
          <w:p>
            <w:pPr>
              <w:jc w:val="right"/>
              <w:spacing w:after="0"/>
              <w:rPr>
                <w:sz w:val="20"/>
                <w:szCs w:val="20"/>
                <w:color w:val="auto"/>
              </w:rPr>
            </w:pPr>
            <w:r>
              <w:rPr>
                <w:rFonts w:ascii="Arial" w:cs="Arial" w:eastAsia="Arial" w:hAnsi="Arial"/>
                <w:sz w:val="19"/>
                <w:szCs w:val="19"/>
                <w:color w:val="auto"/>
              </w:rPr>
              <w:t>156</w:t>
            </w:r>
          </w:p>
        </w:tc>
      </w:tr>
      <w:tr>
        <w:trPr>
          <w:trHeight w:val="275"/>
        </w:trPr>
        <w:tc>
          <w:tcPr>
            <w:tcW w:w="8780" w:type="dxa"/>
            <w:vAlign w:val="bottom"/>
            <w:gridSpan w:val="2"/>
          </w:tcPr>
          <w:p>
            <w:pPr>
              <w:spacing w:after="0"/>
              <w:rPr>
                <w:sz w:val="20"/>
                <w:szCs w:val="20"/>
                <w:color w:val="auto"/>
              </w:rPr>
            </w:pPr>
            <w:r>
              <w:rPr>
                <w:rFonts w:ascii="Arial" w:cs="Arial" w:eastAsia="Arial" w:hAnsi="Arial"/>
                <w:sz w:val="19"/>
                <w:szCs w:val="19"/>
                <w:color w:val="auto"/>
              </w:rPr>
              <w:t>10.07  Non-Reliance on the Administrative Agent and Other Lenders</w:t>
            </w:r>
          </w:p>
        </w:tc>
        <w:tc>
          <w:tcPr>
            <w:tcW w:w="1840" w:type="dxa"/>
            <w:vAlign w:val="bottom"/>
          </w:tcPr>
          <w:p>
            <w:pPr>
              <w:jc w:val="right"/>
              <w:spacing w:after="0"/>
              <w:rPr>
                <w:sz w:val="20"/>
                <w:szCs w:val="20"/>
                <w:color w:val="auto"/>
              </w:rPr>
            </w:pPr>
            <w:r>
              <w:rPr>
                <w:rFonts w:ascii="Arial" w:cs="Arial" w:eastAsia="Arial" w:hAnsi="Arial"/>
                <w:sz w:val="19"/>
                <w:szCs w:val="19"/>
                <w:color w:val="auto"/>
              </w:rPr>
              <w:t>156</w:t>
            </w:r>
          </w:p>
        </w:tc>
      </w:tr>
      <w:tr>
        <w:trPr>
          <w:trHeight w:val="275"/>
        </w:trPr>
        <w:tc>
          <w:tcPr>
            <w:tcW w:w="8780" w:type="dxa"/>
            <w:vAlign w:val="bottom"/>
            <w:gridSpan w:val="2"/>
          </w:tcPr>
          <w:p>
            <w:pPr>
              <w:spacing w:after="0"/>
              <w:rPr>
                <w:sz w:val="20"/>
                <w:szCs w:val="20"/>
                <w:color w:val="auto"/>
              </w:rPr>
            </w:pPr>
            <w:r>
              <w:rPr>
                <w:rFonts w:ascii="Arial" w:cs="Arial" w:eastAsia="Arial" w:hAnsi="Arial"/>
                <w:sz w:val="19"/>
                <w:szCs w:val="19"/>
                <w:color w:val="auto"/>
              </w:rPr>
              <w:t>10.08  No Other Duties, Etc</w:t>
            </w:r>
          </w:p>
        </w:tc>
        <w:tc>
          <w:tcPr>
            <w:tcW w:w="1840" w:type="dxa"/>
            <w:vAlign w:val="bottom"/>
          </w:tcPr>
          <w:p>
            <w:pPr>
              <w:jc w:val="right"/>
              <w:spacing w:after="0"/>
              <w:rPr>
                <w:sz w:val="20"/>
                <w:szCs w:val="20"/>
                <w:color w:val="auto"/>
              </w:rPr>
            </w:pPr>
            <w:r>
              <w:rPr>
                <w:rFonts w:ascii="Arial" w:cs="Arial" w:eastAsia="Arial" w:hAnsi="Arial"/>
                <w:sz w:val="19"/>
                <w:szCs w:val="19"/>
                <w:color w:val="auto"/>
              </w:rPr>
              <w:t>157</w:t>
            </w:r>
          </w:p>
        </w:tc>
      </w:tr>
      <w:tr>
        <w:trPr>
          <w:trHeight w:val="275"/>
        </w:trPr>
        <w:tc>
          <w:tcPr>
            <w:tcW w:w="8780" w:type="dxa"/>
            <w:vAlign w:val="bottom"/>
            <w:gridSpan w:val="2"/>
          </w:tcPr>
          <w:p>
            <w:pPr>
              <w:spacing w:after="0"/>
              <w:rPr>
                <w:sz w:val="20"/>
                <w:szCs w:val="20"/>
                <w:color w:val="auto"/>
              </w:rPr>
            </w:pPr>
            <w:r>
              <w:rPr>
                <w:rFonts w:ascii="Arial" w:cs="Arial" w:eastAsia="Arial" w:hAnsi="Arial"/>
                <w:sz w:val="19"/>
                <w:szCs w:val="19"/>
                <w:color w:val="auto"/>
              </w:rPr>
              <w:t>10.09  The Administrative Agent May File Proofs of Claim; Credit Bidding</w:t>
            </w:r>
          </w:p>
        </w:tc>
        <w:tc>
          <w:tcPr>
            <w:tcW w:w="1840" w:type="dxa"/>
            <w:vAlign w:val="bottom"/>
          </w:tcPr>
          <w:p>
            <w:pPr>
              <w:jc w:val="right"/>
              <w:spacing w:after="0"/>
              <w:rPr>
                <w:sz w:val="20"/>
                <w:szCs w:val="20"/>
                <w:color w:val="auto"/>
              </w:rPr>
            </w:pPr>
            <w:r>
              <w:rPr>
                <w:rFonts w:ascii="Arial" w:cs="Arial" w:eastAsia="Arial" w:hAnsi="Arial"/>
                <w:sz w:val="19"/>
                <w:szCs w:val="19"/>
                <w:color w:val="auto"/>
              </w:rPr>
              <w:t>157</w:t>
            </w:r>
          </w:p>
        </w:tc>
      </w:tr>
      <w:tr>
        <w:trPr>
          <w:trHeight w:val="275"/>
        </w:trPr>
        <w:tc>
          <w:tcPr>
            <w:tcW w:w="460" w:type="dxa"/>
            <w:vAlign w:val="bottom"/>
          </w:tcPr>
          <w:p>
            <w:pPr>
              <w:spacing w:after="0"/>
              <w:rPr>
                <w:sz w:val="20"/>
                <w:szCs w:val="20"/>
                <w:color w:val="auto"/>
              </w:rPr>
            </w:pPr>
            <w:r>
              <w:rPr>
                <w:rFonts w:ascii="Arial" w:cs="Arial" w:eastAsia="Arial" w:hAnsi="Arial"/>
                <w:sz w:val="19"/>
                <w:szCs w:val="19"/>
                <w:color w:val="auto"/>
                <w:w w:val="92"/>
              </w:rPr>
              <w:t>10.10</w:t>
            </w:r>
          </w:p>
        </w:tc>
        <w:tc>
          <w:tcPr>
            <w:tcW w:w="8320" w:type="dxa"/>
            <w:vAlign w:val="bottom"/>
          </w:tcPr>
          <w:p>
            <w:pPr>
              <w:ind w:left="160"/>
              <w:spacing w:after="0"/>
              <w:rPr>
                <w:sz w:val="20"/>
                <w:szCs w:val="20"/>
                <w:color w:val="auto"/>
              </w:rPr>
            </w:pPr>
            <w:r>
              <w:rPr>
                <w:rFonts w:ascii="Arial" w:cs="Arial" w:eastAsia="Arial" w:hAnsi="Arial"/>
                <w:sz w:val="19"/>
                <w:szCs w:val="19"/>
                <w:color w:val="auto"/>
              </w:rPr>
              <w:t>Collateral Matters</w:t>
            </w:r>
          </w:p>
        </w:tc>
        <w:tc>
          <w:tcPr>
            <w:tcW w:w="1840" w:type="dxa"/>
            <w:vAlign w:val="bottom"/>
          </w:tcPr>
          <w:p>
            <w:pPr>
              <w:jc w:val="right"/>
              <w:spacing w:after="0"/>
              <w:rPr>
                <w:sz w:val="20"/>
                <w:szCs w:val="20"/>
                <w:color w:val="auto"/>
              </w:rPr>
            </w:pPr>
            <w:r>
              <w:rPr>
                <w:rFonts w:ascii="Arial" w:cs="Arial" w:eastAsia="Arial" w:hAnsi="Arial"/>
                <w:sz w:val="19"/>
                <w:szCs w:val="19"/>
                <w:color w:val="auto"/>
              </w:rPr>
              <w:t>158</w:t>
            </w:r>
          </w:p>
        </w:tc>
      </w:tr>
      <w:tr>
        <w:trPr>
          <w:trHeight w:val="275"/>
        </w:trPr>
        <w:tc>
          <w:tcPr>
            <w:tcW w:w="460" w:type="dxa"/>
            <w:vAlign w:val="bottom"/>
          </w:tcPr>
          <w:p>
            <w:pPr>
              <w:spacing w:after="0"/>
              <w:rPr>
                <w:sz w:val="20"/>
                <w:szCs w:val="20"/>
                <w:color w:val="auto"/>
              </w:rPr>
            </w:pPr>
            <w:r>
              <w:rPr>
                <w:rFonts w:ascii="Arial" w:cs="Arial" w:eastAsia="Arial" w:hAnsi="Arial"/>
                <w:sz w:val="19"/>
                <w:szCs w:val="19"/>
                <w:color w:val="auto"/>
                <w:w w:val="92"/>
              </w:rPr>
              <w:t>10.11</w:t>
            </w:r>
          </w:p>
        </w:tc>
        <w:tc>
          <w:tcPr>
            <w:tcW w:w="8320" w:type="dxa"/>
            <w:vAlign w:val="bottom"/>
          </w:tcPr>
          <w:p>
            <w:pPr>
              <w:ind w:left="140"/>
              <w:spacing w:after="0"/>
              <w:rPr>
                <w:sz w:val="20"/>
                <w:szCs w:val="20"/>
                <w:color w:val="auto"/>
              </w:rPr>
            </w:pPr>
            <w:r>
              <w:rPr>
                <w:rFonts w:ascii="Arial" w:cs="Arial" w:eastAsia="Arial" w:hAnsi="Arial"/>
                <w:sz w:val="19"/>
                <w:szCs w:val="19"/>
                <w:color w:val="auto"/>
              </w:rPr>
              <w:t>Other Collateral Matters.</w:t>
            </w:r>
          </w:p>
        </w:tc>
        <w:tc>
          <w:tcPr>
            <w:tcW w:w="1840" w:type="dxa"/>
            <w:vAlign w:val="bottom"/>
          </w:tcPr>
          <w:p>
            <w:pPr>
              <w:jc w:val="right"/>
              <w:spacing w:after="0"/>
              <w:rPr>
                <w:sz w:val="20"/>
                <w:szCs w:val="20"/>
                <w:color w:val="auto"/>
              </w:rPr>
            </w:pPr>
            <w:r>
              <w:rPr>
                <w:rFonts w:ascii="Arial" w:cs="Arial" w:eastAsia="Arial" w:hAnsi="Arial"/>
                <w:sz w:val="19"/>
                <w:szCs w:val="19"/>
                <w:color w:val="auto"/>
              </w:rPr>
              <w:t>159</w:t>
            </w:r>
          </w:p>
        </w:tc>
      </w:tr>
      <w:tr>
        <w:trPr>
          <w:trHeight w:val="275"/>
        </w:trPr>
        <w:tc>
          <w:tcPr>
            <w:tcW w:w="8780" w:type="dxa"/>
            <w:vAlign w:val="bottom"/>
            <w:gridSpan w:val="2"/>
          </w:tcPr>
          <w:p>
            <w:pPr>
              <w:spacing w:after="0"/>
              <w:rPr>
                <w:sz w:val="20"/>
                <w:szCs w:val="20"/>
                <w:color w:val="auto"/>
              </w:rPr>
            </w:pPr>
            <w:r>
              <w:rPr>
                <w:rFonts w:ascii="Arial" w:cs="Arial" w:eastAsia="Arial" w:hAnsi="Arial"/>
                <w:sz w:val="19"/>
                <w:szCs w:val="19"/>
                <w:color w:val="auto"/>
              </w:rPr>
              <w:t>10.12  Credit Product Arrangement Provisions</w:t>
            </w:r>
          </w:p>
        </w:tc>
        <w:tc>
          <w:tcPr>
            <w:tcW w:w="1840" w:type="dxa"/>
            <w:vAlign w:val="bottom"/>
          </w:tcPr>
          <w:p>
            <w:pPr>
              <w:jc w:val="right"/>
              <w:spacing w:after="0"/>
              <w:rPr>
                <w:sz w:val="20"/>
                <w:szCs w:val="20"/>
                <w:color w:val="auto"/>
              </w:rPr>
            </w:pPr>
            <w:r>
              <w:rPr>
                <w:rFonts w:ascii="Arial" w:cs="Arial" w:eastAsia="Arial" w:hAnsi="Arial"/>
                <w:sz w:val="19"/>
                <w:szCs w:val="19"/>
                <w:color w:val="auto"/>
              </w:rPr>
              <w:t>159</w:t>
            </w:r>
          </w:p>
        </w:tc>
      </w:tr>
      <w:tr>
        <w:trPr>
          <w:trHeight w:val="275"/>
        </w:trPr>
        <w:tc>
          <w:tcPr>
            <w:tcW w:w="460" w:type="dxa"/>
            <w:vAlign w:val="bottom"/>
          </w:tcPr>
          <w:p>
            <w:pPr>
              <w:spacing w:after="0"/>
              <w:rPr>
                <w:sz w:val="20"/>
                <w:szCs w:val="20"/>
                <w:color w:val="auto"/>
              </w:rPr>
            </w:pPr>
            <w:r>
              <w:rPr>
                <w:rFonts w:ascii="Arial" w:cs="Arial" w:eastAsia="Arial" w:hAnsi="Arial"/>
                <w:sz w:val="19"/>
                <w:szCs w:val="19"/>
                <w:color w:val="auto"/>
                <w:w w:val="92"/>
              </w:rPr>
              <w:t>10.13</w:t>
            </w:r>
          </w:p>
        </w:tc>
        <w:tc>
          <w:tcPr>
            <w:tcW w:w="8320" w:type="dxa"/>
            <w:vAlign w:val="bottom"/>
          </w:tcPr>
          <w:p>
            <w:pPr>
              <w:ind w:left="160"/>
              <w:spacing w:after="0"/>
              <w:rPr>
                <w:sz w:val="20"/>
                <w:szCs w:val="20"/>
                <w:color w:val="auto"/>
              </w:rPr>
            </w:pPr>
            <w:r>
              <w:rPr>
                <w:rFonts w:ascii="Arial" w:cs="Arial" w:eastAsia="Arial" w:hAnsi="Arial"/>
                <w:sz w:val="19"/>
                <w:szCs w:val="19"/>
                <w:color w:val="auto"/>
              </w:rPr>
              <w:t>ERISA Related Provisions</w:t>
            </w:r>
          </w:p>
        </w:tc>
        <w:tc>
          <w:tcPr>
            <w:tcW w:w="1840" w:type="dxa"/>
            <w:vAlign w:val="bottom"/>
          </w:tcPr>
          <w:p>
            <w:pPr>
              <w:jc w:val="right"/>
              <w:spacing w:after="0"/>
              <w:rPr>
                <w:sz w:val="20"/>
                <w:szCs w:val="20"/>
                <w:color w:val="auto"/>
              </w:rPr>
            </w:pPr>
            <w:r>
              <w:rPr>
                <w:rFonts w:ascii="Arial" w:cs="Arial" w:eastAsia="Arial" w:hAnsi="Arial"/>
                <w:sz w:val="19"/>
                <w:szCs w:val="19"/>
                <w:color w:val="auto"/>
              </w:rPr>
              <w:t>160</w:t>
            </w:r>
          </w:p>
        </w:tc>
      </w:tr>
      <w:tr>
        <w:trPr>
          <w:trHeight w:val="275"/>
        </w:trPr>
        <w:tc>
          <w:tcPr>
            <w:tcW w:w="8780" w:type="dxa"/>
            <w:vAlign w:val="bottom"/>
            <w:gridSpan w:val="2"/>
          </w:tcPr>
          <w:p>
            <w:pPr>
              <w:spacing w:after="0"/>
              <w:rPr>
                <w:sz w:val="20"/>
                <w:szCs w:val="20"/>
                <w:color w:val="auto"/>
              </w:rPr>
            </w:pPr>
            <w:r>
              <w:rPr>
                <w:rFonts w:ascii="Arial" w:cs="Arial" w:eastAsia="Arial" w:hAnsi="Arial"/>
                <w:sz w:val="19"/>
                <w:szCs w:val="19"/>
                <w:color w:val="auto"/>
              </w:rPr>
              <w:t>10.14  Recovery of Erroneous Payments</w:t>
            </w:r>
          </w:p>
        </w:tc>
        <w:tc>
          <w:tcPr>
            <w:tcW w:w="1840" w:type="dxa"/>
            <w:vAlign w:val="bottom"/>
          </w:tcPr>
          <w:p>
            <w:pPr>
              <w:jc w:val="right"/>
              <w:spacing w:after="0"/>
              <w:rPr>
                <w:sz w:val="20"/>
                <w:szCs w:val="20"/>
                <w:color w:val="auto"/>
              </w:rPr>
            </w:pPr>
            <w:r>
              <w:rPr>
                <w:rFonts w:ascii="Arial" w:cs="Arial" w:eastAsia="Arial" w:hAnsi="Arial"/>
                <w:sz w:val="19"/>
                <w:szCs w:val="19"/>
                <w:color w:val="auto"/>
              </w:rPr>
              <w:t>162</w:t>
            </w:r>
          </w:p>
        </w:tc>
      </w:tr>
      <w:tr>
        <w:trPr>
          <w:trHeight w:val="253"/>
        </w:trPr>
        <w:tc>
          <w:tcPr>
            <w:tcW w:w="460" w:type="dxa"/>
            <w:vAlign w:val="bottom"/>
          </w:tcPr>
          <w:p>
            <w:pPr>
              <w:spacing w:after="0"/>
              <w:rPr>
                <w:sz w:val="22"/>
                <w:szCs w:val="22"/>
                <w:color w:val="auto"/>
              </w:rPr>
            </w:pPr>
          </w:p>
        </w:tc>
        <w:tc>
          <w:tcPr>
            <w:tcW w:w="8320" w:type="dxa"/>
            <w:vAlign w:val="bottom"/>
          </w:tcPr>
          <w:p>
            <w:pPr>
              <w:jc w:val="center"/>
              <w:ind w:left="1744"/>
              <w:spacing w:after="0"/>
              <w:rPr>
                <w:sz w:val="20"/>
                <w:szCs w:val="20"/>
                <w:color w:val="auto"/>
              </w:rPr>
            </w:pPr>
            <w:r>
              <w:rPr>
                <w:rFonts w:ascii="Arial" w:cs="Arial" w:eastAsia="Arial" w:hAnsi="Arial"/>
                <w:sz w:val="19"/>
                <w:szCs w:val="19"/>
                <w:color w:val="auto"/>
              </w:rPr>
              <w:t>ARTICLE XI</w:t>
            </w:r>
          </w:p>
        </w:tc>
        <w:tc>
          <w:tcPr>
            <w:tcW w:w="1840" w:type="dxa"/>
            <w:vAlign w:val="bottom"/>
          </w:tcPr>
          <w:p>
            <w:pPr>
              <w:spacing w:after="0"/>
              <w:rPr>
                <w:sz w:val="22"/>
                <w:szCs w:val="22"/>
                <w:color w:val="auto"/>
              </w:rPr>
            </w:pPr>
          </w:p>
        </w:tc>
      </w:tr>
      <w:tr>
        <w:trPr>
          <w:trHeight w:val="245"/>
        </w:trPr>
        <w:tc>
          <w:tcPr>
            <w:tcW w:w="460" w:type="dxa"/>
            <w:vAlign w:val="bottom"/>
          </w:tcPr>
          <w:p>
            <w:pPr>
              <w:spacing w:after="0"/>
              <w:rPr>
                <w:sz w:val="21"/>
                <w:szCs w:val="21"/>
                <w:color w:val="auto"/>
              </w:rPr>
            </w:pPr>
          </w:p>
        </w:tc>
        <w:tc>
          <w:tcPr>
            <w:tcW w:w="8320" w:type="dxa"/>
            <w:vAlign w:val="bottom"/>
          </w:tcPr>
          <w:p>
            <w:pPr>
              <w:jc w:val="center"/>
              <w:ind w:left="1744"/>
              <w:spacing w:after="0"/>
              <w:rPr>
                <w:sz w:val="20"/>
                <w:szCs w:val="20"/>
                <w:color w:val="auto"/>
              </w:rPr>
            </w:pPr>
            <w:r>
              <w:rPr>
                <w:rFonts w:ascii="Arial" w:cs="Arial" w:eastAsia="Arial" w:hAnsi="Arial"/>
                <w:sz w:val="19"/>
                <w:szCs w:val="19"/>
                <w:color w:val="auto"/>
                <w:w w:val="99"/>
              </w:rPr>
              <w:t>MISCELLANEOUS</w:t>
            </w:r>
          </w:p>
        </w:tc>
        <w:tc>
          <w:tcPr>
            <w:tcW w:w="1840" w:type="dxa"/>
            <w:vAlign w:val="bottom"/>
          </w:tcPr>
          <w:p>
            <w:pPr>
              <w:spacing w:after="0"/>
              <w:rPr>
                <w:sz w:val="21"/>
                <w:szCs w:val="21"/>
                <w:color w:val="auto"/>
              </w:rPr>
            </w:pPr>
          </w:p>
        </w:tc>
      </w:tr>
      <w:tr>
        <w:trPr>
          <w:trHeight w:val="275"/>
        </w:trPr>
        <w:tc>
          <w:tcPr>
            <w:tcW w:w="460" w:type="dxa"/>
            <w:vAlign w:val="bottom"/>
          </w:tcPr>
          <w:p>
            <w:pPr>
              <w:spacing w:after="0"/>
              <w:rPr>
                <w:sz w:val="20"/>
                <w:szCs w:val="20"/>
                <w:color w:val="auto"/>
              </w:rPr>
            </w:pPr>
            <w:r>
              <w:rPr>
                <w:rFonts w:ascii="Arial" w:cs="Arial" w:eastAsia="Arial" w:hAnsi="Arial"/>
                <w:sz w:val="19"/>
                <w:szCs w:val="19"/>
                <w:color w:val="auto"/>
                <w:w w:val="92"/>
              </w:rPr>
              <w:t>11.01</w:t>
            </w:r>
          </w:p>
        </w:tc>
        <w:tc>
          <w:tcPr>
            <w:tcW w:w="8320" w:type="dxa"/>
            <w:vAlign w:val="bottom"/>
          </w:tcPr>
          <w:p>
            <w:pPr>
              <w:ind w:left="140"/>
              <w:spacing w:after="0"/>
              <w:rPr>
                <w:sz w:val="20"/>
                <w:szCs w:val="20"/>
                <w:color w:val="auto"/>
              </w:rPr>
            </w:pPr>
            <w:r>
              <w:rPr>
                <w:rFonts w:ascii="Arial" w:cs="Arial" w:eastAsia="Arial" w:hAnsi="Arial"/>
                <w:sz w:val="19"/>
                <w:szCs w:val="19"/>
                <w:color w:val="auto"/>
              </w:rPr>
              <w:t>Amendments, Etc.</w:t>
            </w:r>
          </w:p>
        </w:tc>
        <w:tc>
          <w:tcPr>
            <w:tcW w:w="1840" w:type="dxa"/>
            <w:vAlign w:val="bottom"/>
          </w:tcPr>
          <w:p>
            <w:pPr>
              <w:jc w:val="right"/>
              <w:spacing w:after="0"/>
              <w:rPr>
                <w:sz w:val="20"/>
                <w:szCs w:val="20"/>
                <w:color w:val="auto"/>
              </w:rPr>
            </w:pPr>
            <w:r>
              <w:rPr>
                <w:rFonts w:ascii="Arial" w:cs="Arial" w:eastAsia="Arial" w:hAnsi="Arial"/>
                <w:sz w:val="19"/>
                <w:szCs w:val="19"/>
                <w:color w:val="auto"/>
              </w:rPr>
              <w:t>162</w:t>
            </w:r>
          </w:p>
        </w:tc>
      </w:tr>
      <w:tr>
        <w:trPr>
          <w:trHeight w:val="275"/>
        </w:trPr>
        <w:tc>
          <w:tcPr>
            <w:tcW w:w="460" w:type="dxa"/>
            <w:vAlign w:val="bottom"/>
          </w:tcPr>
          <w:p>
            <w:pPr>
              <w:spacing w:after="0"/>
              <w:rPr>
                <w:sz w:val="20"/>
                <w:szCs w:val="20"/>
                <w:color w:val="auto"/>
              </w:rPr>
            </w:pPr>
            <w:r>
              <w:rPr>
                <w:rFonts w:ascii="Arial" w:cs="Arial" w:eastAsia="Arial" w:hAnsi="Arial"/>
                <w:sz w:val="19"/>
                <w:szCs w:val="19"/>
                <w:color w:val="auto"/>
                <w:w w:val="92"/>
              </w:rPr>
              <w:t>11.02</w:t>
            </w:r>
          </w:p>
        </w:tc>
        <w:tc>
          <w:tcPr>
            <w:tcW w:w="8320" w:type="dxa"/>
            <w:vAlign w:val="bottom"/>
          </w:tcPr>
          <w:p>
            <w:pPr>
              <w:ind w:left="140"/>
              <w:spacing w:after="0"/>
              <w:rPr>
                <w:sz w:val="20"/>
                <w:szCs w:val="20"/>
                <w:color w:val="auto"/>
              </w:rPr>
            </w:pPr>
            <w:r>
              <w:rPr>
                <w:rFonts w:ascii="Arial" w:cs="Arial" w:eastAsia="Arial" w:hAnsi="Arial"/>
                <w:sz w:val="19"/>
                <w:szCs w:val="19"/>
                <w:color w:val="auto"/>
              </w:rPr>
              <w:t>Notices; Effectiveness; Electronic Communication</w:t>
            </w:r>
          </w:p>
        </w:tc>
        <w:tc>
          <w:tcPr>
            <w:tcW w:w="1840" w:type="dxa"/>
            <w:vAlign w:val="bottom"/>
          </w:tcPr>
          <w:p>
            <w:pPr>
              <w:jc w:val="right"/>
              <w:spacing w:after="0"/>
              <w:rPr>
                <w:sz w:val="20"/>
                <w:szCs w:val="20"/>
                <w:color w:val="auto"/>
              </w:rPr>
            </w:pPr>
            <w:r>
              <w:rPr>
                <w:rFonts w:ascii="Arial" w:cs="Arial" w:eastAsia="Arial" w:hAnsi="Arial"/>
                <w:sz w:val="19"/>
                <w:szCs w:val="19"/>
                <w:color w:val="auto"/>
              </w:rPr>
              <w:t>165</w:t>
            </w:r>
          </w:p>
        </w:tc>
      </w:tr>
      <w:tr>
        <w:trPr>
          <w:trHeight w:val="275"/>
        </w:trPr>
        <w:tc>
          <w:tcPr>
            <w:tcW w:w="460" w:type="dxa"/>
            <w:vAlign w:val="bottom"/>
          </w:tcPr>
          <w:p>
            <w:pPr>
              <w:spacing w:after="0"/>
              <w:rPr>
                <w:sz w:val="20"/>
                <w:szCs w:val="20"/>
                <w:color w:val="auto"/>
              </w:rPr>
            </w:pPr>
            <w:r>
              <w:rPr>
                <w:rFonts w:ascii="Arial" w:cs="Arial" w:eastAsia="Arial" w:hAnsi="Arial"/>
                <w:sz w:val="19"/>
                <w:szCs w:val="19"/>
                <w:color w:val="auto"/>
                <w:w w:val="92"/>
              </w:rPr>
              <w:t>11.03</w:t>
            </w:r>
          </w:p>
        </w:tc>
        <w:tc>
          <w:tcPr>
            <w:tcW w:w="8320" w:type="dxa"/>
            <w:vAlign w:val="bottom"/>
          </w:tcPr>
          <w:p>
            <w:pPr>
              <w:ind w:left="140"/>
              <w:spacing w:after="0"/>
              <w:rPr>
                <w:sz w:val="20"/>
                <w:szCs w:val="20"/>
                <w:color w:val="auto"/>
              </w:rPr>
            </w:pPr>
            <w:r>
              <w:rPr>
                <w:rFonts w:ascii="Arial" w:cs="Arial" w:eastAsia="Arial" w:hAnsi="Arial"/>
                <w:sz w:val="19"/>
                <w:szCs w:val="19"/>
                <w:color w:val="auto"/>
              </w:rPr>
              <w:t>No Waiver; Cumulative Remedies</w:t>
            </w:r>
          </w:p>
        </w:tc>
        <w:tc>
          <w:tcPr>
            <w:tcW w:w="1840" w:type="dxa"/>
            <w:vAlign w:val="bottom"/>
          </w:tcPr>
          <w:p>
            <w:pPr>
              <w:jc w:val="right"/>
              <w:spacing w:after="0"/>
              <w:rPr>
                <w:sz w:val="20"/>
                <w:szCs w:val="20"/>
                <w:color w:val="auto"/>
              </w:rPr>
            </w:pPr>
            <w:r>
              <w:rPr>
                <w:rFonts w:ascii="Arial" w:cs="Arial" w:eastAsia="Arial" w:hAnsi="Arial"/>
                <w:sz w:val="19"/>
                <w:szCs w:val="19"/>
                <w:color w:val="auto"/>
              </w:rPr>
              <w:t>167</w:t>
            </w:r>
          </w:p>
        </w:tc>
      </w:tr>
      <w:tr>
        <w:trPr>
          <w:trHeight w:val="275"/>
        </w:trPr>
        <w:tc>
          <w:tcPr>
            <w:tcW w:w="460" w:type="dxa"/>
            <w:vAlign w:val="bottom"/>
          </w:tcPr>
          <w:p>
            <w:pPr>
              <w:spacing w:after="0"/>
              <w:rPr>
                <w:sz w:val="20"/>
                <w:szCs w:val="20"/>
                <w:color w:val="auto"/>
              </w:rPr>
            </w:pPr>
            <w:r>
              <w:rPr>
                <w:rFonts w:ascii="Arial" w:cs="Arial" w:eastAsia="Arial" w:hAnsi="Arial"/>
                <w:sz w:val="19"/>
                <w:szCs w:val="19"/>
                <w:color w:val="auto"/>
                <w:w w:val="92"/>
              </w:rPr>
              <w:t>11.04</w:t>
            </w:r>
          </w:p>
        </w:tc>
        <w:tc>
          <w:tcPr>
            <w:tcW w:w="8320" w:type="dxa"/>
            <w:vAlign w:val="bottom"/>
          </w:tcPr>
          <w:p>
            <w:pPr>
              <w:ind w:left="140"/>
              <w:spacing w:after="0"/>
              <w:rPr>
                <w:sz w:val="20"/>
                <w:szCs w:val="20"/>
                <w:color w:val="auto"/>
              </w:rPr>
            </w:pPr>
            <w:r>
              <w:rPr>
                <w:rFonts w:ascii="Arial" w:cs="Arial" w:eastAsia="Arial" w:hAnsi="Arial"/>
                <w:sz w:val="19"/>
                <w:szCs w:val="19"/>
                <w:color w:val="auto"/>
              </w:rPr>
              <w:t>Expenses; Indemnity; Damage Waiver</w:t>
            </w:r>
          </w:p>
        </w:tc>
        <w:tc>
          <w:tcPr>
            <w:tcW w:w="1840" w:type="dxa"/>
            <w:vAlign w:val="bottom"/>
          </w:tcPr>
          <w:p>
            <w:pPr>
              <w:jc w:val="right"/>
              <w:spacing w:after="0"/>
              <w:rPr>
                <w:sz w:val="20"/>
                <w:szCs w:val="20"/>
                <w:color w:val="auto"/>
              </w:rPr>
            </w:pPr>
            <w:r>
              <w:rPr>
                <w:rFonts w:ascii="Arial" w:cs="Arial" w:eastAsia="Arial" w:hAnsi="Arial"/>
                <w:sz w:val="19"/>
                <w:szCs w:val="19"/>
                <w:color w:val="auto"/>
              </w:rPr>
              <w:t>168</w:t>
            </w:r>
          </w:p>
        </w:tc>
      </w:tr>
      <w:tr>
        <w:trPr>
          <w:trHeight w:val="275"/>
        </w:trPr>
        <w:tc>
          <w:tcPr>
            <w:tcW w:w="460" w:type="dxa"/>
            <w:vAlign w:val="bottom"/>
          </w:tcPr>
          <w:p>
            <w:pPr>
              <w:spacing w:after="0"/>
              <w:rPr>
                <w:sz w:val="20"/>
                <w:szCs w:val="20"/>
                <w:color w:val="auto"/>
              </w:rPr>
            </w:pPr>
            <w:r>
              <w:rPr>
                <w:rFonts w:ascii="Arial" w:cs="Arial" w:eastAsia="Arial" w:hAnsi="Arial"/>
                <w:sz w:val="19"/>
                <w:szCs w:val="19"/>
                <w:color w:val="auto"/>
                <w:w w:val="92"/>
              </w:rPr>
              <w:t>11.05</w:t>
            </w:r>
          </w:p>
        </w:tc>
        <w:tc>
          <w:tcPr>
            <w:tcW w:w="8320" w:type="dxa"/>
            <w:vAlign w:val="bottom"/>
          </w:tcPr>
          <w:p>
            <w:pPr>
              <w:ind w:left="140"/>
              <w:spacing w:after="0"/>
              <w:rPr>
                <w:sz w:val="20"/>
                <w:szCs w:val="20"/>
                <w:color w:val="auto"/>
              </w:rPr>
            </w:pPr>
            <w:r>
              <w:rPr>
                <w:rFonts w:ascii="Arial" w:cs="Arial" w:eastAsia="Arial" w:hAnsi="Arial"/>
                <w:sz w:val="19"/>
                <w:szCs w:val="19"/>
                <w:color w:val="auto"/>
              </w:rPr>
              <w:t>Marshalling; Payments Set Aside</w:t>
            </w:r>
          </w:p>
        </w:tc>
        <w:tc>
          <w:tcPr>
            <w:tcW w:w="1840" w:type="dxa"/>
            <w:vAlign w:val="bottom"/>
          </w:tcPr>
          <w:p>
            <w:pPr>
              <w:jc w:val="right"/>
              <w:spacing w:after="0"/>
              <w:rPr>
                <w:sz w:val="20"/>
                <w:szCs w:val="20"/>
                <w:color w:val="auto"/>
              </w:rPr>
            </w:pPr>
            <w:r>
              <w:rPr>
                <w:rFonts w:ascii="Arial" w:cs="Arial" w:eastAsia="Arial" w:hAnsi="Arial"/>
                <w:sz w:val="19"/>
                <w:szCs w:val="19"/>
                <w:color w:val="auto"/>
              </w:rPr>
              <w:t>170</w:t>
            </w:r>
          </w:p>
        </w:tc>
      </w:tr>
      <w:tr>
        <w:trPr>
          <w:trHeight w:val="275"/>
        </w:trPr>
        <w:tc>
          <w:tcPr>
            <w:tcW w:w="460" w:type="dxa"/>
            <w:vAlign w:val="bottom"/>
          </w:tcPr>
          <w:p>
            <w:pPr>
              <w:spacing w:after="0"/>
              <w:rPr>
                <w:sz w:val="20"/>
                <w:szCs w:val="20"/>
                <w:color w:val="auto"/>
              </w:rPr>
            </w:pPr>
            <w:r>
              <w:rPr>
                <w:rFonts w:ascii="Arial" w:cs="Arial" w:eastAsia="Arial" w:hAnsi="Arial"/>
                <w:sz w:val="19"/>
                <w:szCs w:val="19"/>
                <w:color w:val="auto"/>
                <w:w w:val="92"/>
              </w:rPr>
              <w:t>11.06</w:t>
            </w:r>
          </w:p>
        </w:tc>
        <w:tc>
          <w:tcPr>
            <w:tcW w:w="8320" w:type="dxa"/>
            <w:vAlign w:val="bottom"/>
          </w:tcPr>
          <w:p>
            <w:pPr>
              <w:ind w:left="140"/>
              <w:spacing w:after="0"/>
              <w:rPr>
                <w:sz w:val="20"/>
                <w:szCs w:val="20"/>
                <w:color w:val="auto"/>
              </w:rPr>
            </w:pPr>
            <w:r>
              <w:rPr>
                <w:rFonts w:ascii="Arial" w:cs="Arial" w:eastAsia="Arial" w:hAnsi="Arial"/>
                <w:sz w:val="19"/>
                <w:szCs w:val="19"/>
                <w:color w:val="auto"/>
              </w:rPr>
              <w:t>Successors and Assigns.</w:t>
            </w:r>
          </w:p>
        </w:tc>
        <w:tc>
          <w:tcPr>
            <w:tcW w:w="1840" w:type="dxa"/>
            <w:vAlign w:val="bottom"/>
          </w:tcPr>
          <w:p>
            <w:pPr>
              <w:jc w:val="right"/>
              <w:spacing w:after="0"/>
              <w:rPr>
                <w:sz w:val="20"/>
                <w:szCs w:val="20"/>
                <w:color w:val="auto"/>
              </w:rPr>
            </w:pPr>
            <w:r>
              <w:rPr>
                <w:rFonts w:ascii="Arial" w:cs="Arial" w:eastAsia="Arial" w:hAnsi="Arial"/>
                <w:sz w:val="19"/>
                <w:szCs w:val="19"/>
                <w:color w:val="auto"/>
              </w:rPr>
              <w:t>170</w:t>
            </w:r>
          </w:p>
        </w:tc>
      </w:tr>
      <w:tr>
        <w:trPr>
          <w:trHeight w:val="275"/>
        </w:trPr>
        <w:tc>
          <w:tcPr>
            <w:tcW w:w="460" w:type="dxa"/>
            <w:vAlign w:val="bottom"/>
          </w:tcPr>
          <w:p>
            <w:pPr>
              <w:spacing w:after="0"/>
              <w:rPr>
                <w:sz w:val="20"/>
                <w:szCs w:val="20"/>
                <w:color w:val="auto"/>
              </w:rPr>
            </w:pPr>
            <w:r>
              <w:rPr>
                <w:rFonts w:ascii="Arial" w:cs="Arial" w:eastAsia="Arial" w:hAnsi="Arial"/>
                <w:sz w:val="19"/>
                <w:szCs w:val="19"/>
                <w:color w:val="auto"/>
                <w:w w:val="92"/>
              </w:rPr>
              <w:t>11.07</w:t>
            </w:r>
          </w:p>
        </w:tc>
        <w:tc>
          <w:tcPr>
            <w:tcW w:w="8320" w:type="dxa"/>
            <w:vAlign w:val="bottom"/>
          </w:tcPr>
          <w:p>
            <w:pPr>
              <w:ind w:left="140"/>
              <w:spacing w:after="0"/>
              <w:rPr>
                <w:sz w:val="20"/>
                <w:szCs w:val="20"/>
                <w:color w:val="auto"/>
              </w:rPr>
            </w:pPr>
            <w:r>
              <w:rPr>
                <w:rFonts w:ascii="Arial" w:cs="Arial" w:eastAsia="Arial" w:hAnsi="Arial"/>
                <w:sz w:val="19"/>
                <w:szCs w:val="19"/>
                <w:color w:val="auto"/>
              </w:rPr>
              <w:t>Treatment of Certain Information; Confidentiality</w:t>
            </w:r>
          </w:p>
        </w:tc>
        <w:tc>
          <w:tcPr>
            <w:tcW w:w="1840" w:type="dxa"/>
            <w:vAlign w:val="bottom"/>
          </w:tcPr>
          <w:p>
            <w:pPr>
              <w:jc w:val="right"/>
              <w:spacing w:after="0"/>
              <w:rPr>
                <w:sz w:val="20"/>
                <w:szCs w:val="20"/>
                <w:color w:val="auto"/>
              </w:rPr>
            </w:pPr>
            <w:r>
              <w:rPr>
                <w:rFonts w:ascii="Arial" w:cs="Arial" w:eastAsia="Arial" w:hAnsi="Arial"/>
                <w:sz w:val="19"/>
                <w:szCs w:val="19"/>
                <w:color w:val="auto"/>
              </w:rPr>
              <w:t>174</w:t>
            </w:r>
          </w:p>
        </w:tc>
      </w:tr>
      <w:tr>
        <w:trPr>
          <w:trHeight w:val="275"/>
        </w:trPr>
        <w:tc>
          <w:tcPr>
            <w:tcW w:w="460" w:type="dxa"/>
            <w:vAlign w:val="bottom"/>
          </w:tcPr>
          <w:p>
            <w:pPr>
              <w:spacing w:after="0"/>
              <w:rPr>
                <w:sz w:val="20"/>
                <w:szCs w:val="20"/>
                <w:color w:val="auto"/>
              </w:rPr>
            </w:pPr>
            <w:r>
              <w:rPr>
                <w:rFonts w:ascii="Arial" w:cs="Arial" w:eastAsia="Arial" w:hAnsi="Arial"/>
                <w:sz w:val="19"/>
                <w:szCs w:val="19"/>
                <w:color w:val="auto"/>
                <w:w w:val="92"/>
              </w:rPr>
              <w:t>11.08</w:t>
            </w:r>
          </w:p>
        </w:tc>
        <w:tc>
          <w:tcPr>
            <w:tcW w:w="8320" w:type="dxa"/>
            <w:vAlign w:val="bottom"/>
          </w:tcPr>
          <w:p>
            <w:pPr>
              <w:ind w:left="140"/>
              <w:spacing w:after="0"/>
              <w:rPr>
                <w:sz w:val="20"/>
                <w:szCs w:val="20"/>
                <w:color w:val="auto"/>
              </w:rPr>
            </w:pPr>
            <w:r>
              <w:rPr>
                <w:rFonts w:ascii="Arial" w:cs="Arial" w:eastAsia="Arial" w:hAnsi="Arial"/>
                <w:sz w:val="19"/>
                <w:szCs w:val="19"/>
                <w:color w:val="auto"/>
              </w:rPr>
              <w:t>Right of Setoff</w:t>
            </w:r>
          </w:p>
        </w:tc>
        <w:tc>
          <w:tcPr>
            <w:tcW w:w="1840" w:type="dxa"/>
            <w:vAlign w:val="bottom"/>
          </w:tcPr>
          <w:p>
            <w:pPr>
              <w:jc w:val="right"/>
              <w:spacing w:after="0"/>
              <w:rPr>
                <w:sz w:val="20"/>
                <w:szCs w:val="20"/>
                <w:color w:val="auto"/>
              </w:rPr>
            </w:pPr>
            <w:r>
              <w:rPr>
                <w:rFonts w:ascii="Arial" w:cs="Arial" w:eastAsia="Arial" w:hAnsi="Arial"/>
                <w:sz w:val="19"/>
                <w:szCs w:val="19"/>
                <w:color w:val="auto"/>
              </w:rPr>
              <w:t>175</w:t>
            </w:r>
          </w:p>
        </w:tc>
      </w:tr>
      <w:tr>
        <w:trPr>
          <w:trHeight w:val="275"/>
        </w:trPr>
        <w:tc>
          <w:tcPr>
            <w:tcW w:w="460" w:type="dxa"/>
            <w:vAlign w:val="bottom"/>
          </w:tcPr>
          <w:p>
            <w:pPr>
              <w:spacing w:after="0"/>
              <w:rPr>
                <w:sz w:val="20"/>
                <w:szCs w:val="20"/>
                <w:color w:val="auto"/>
              </w:rPr>
            </w:pPr>
            <w:r>
              <w:rPr>
                <w:rFonts w:ascii="Arial" w:cs="Arial" w:eastAsia="Arial" w:hAnsi="Arial"/>
                <w:sz w:val="19"/>
                <w:szCs w:val="19"/>
                <w:color w:val="auto"/>
                <w:w w:val="92"/>
              </w:rPr>
              <w:t>11.09</w:t>
            </w:r>
          </w:p>
        </w:tc>
        <w:tc>
          <w:tcPr>
            <w:tcW w:w="8320" w:type="dxa"/>
            <w:vAlign w:val="bottom"/>
          </w:tcPr>
          <w:p>
            <w:pPr>
              <w:ind w:left="140"/>
              <w:spacing w:after="0"/>
              <w:rPr>
                <w:sz w:val="20"/>
                <w:szCs w:val="20"/>
                <w:color w:val="auto"/>
              </w:rPr>
            </w:pPr>
            <w:r>
              <w:rPr>
                <w:rFonts w:ascii="Arial" w:cs="Arial" w:eastAsia="Arial" w:hAnsi="Arial"/>
                <w:sz w:val="19"/>
                <w:szCs w:val="19"/>
                <w:color w:val="auto"/>
              </w:rPr>
              <w:t>Interest Rate Limitation</w:t>
            </w:r>
          </w:p>
        </w:tc>
        <w:tc>
          <w:tcPr>
            <w:tcW w:w="1840" w:type="dxa"/>
            <w:vAlign w:val="bottom"/>
          </w:tcPr>
          <w:p>
            <w:pPr>
              <w:jc w:val="right"/>
              <w:spacing w:after="0"/>
              <w:rPr>
                <w:sz w:val="20"/>
                <w:szCs w:val="20"/>
                <w:color w:val="auto"/>
              </w:rPr>
            </w:pPr>
            <w:r>
              <w:rPr>
                <w:rFonts w:ascii="Arial" w:cs="Arial" w:eastAsia="Arial" w:hAnsi="Arial"/>
                <w:sz w:val="19"/>
                <w:szCs w:val="19"/>
                <w:color w:val="auto"/>
              </w:rPr>
              <w:t>176</w:t>
            </w:r>
          </w:p>
        </w:tc>
      </w:tr>
      <w:tr>
        <w:trPr>
          <w:trHeight w:val="275"/>
        </w:trPr>
        <w:tc>
          <w:tcPr>
            <w:tcW w:w="460" w:type="dxa"/>
            <w:vAlign w:val="bottom"/>
          </w:tcPr>
          <w:p>
            <w:pPr>
              <w:spacing w:after="0"/>
              <w:rPr>
                <w:sz w:val="20"/>
                <w:szCs w:val="20"/>
                <w:color w:val="auto"/>
              </w:rPr>
            </w:pPr>
            <w:r>
              <w:rPr>
                <w:rFonts w:ascii="Arial" w:cs="Arial" w:eastAsia="Arial" w:hAnsi="Arial"/>
                <w:sz w:val="19"/>
                <w:szCs w:val="19"/>
                <w:color w:val="auto"/>
                <w:w w:val="92"/>
              </w:rPr>
              <w:t>11.10</w:t>
            </w:r>
          </w:p>
        </w:tc>
        <w:tc>
          <w:tcPr>
            <w:tcW w:w="8320" w:type="dxa"/>
            <w:vAlign w:val="bottom"/>
          </w:tcPr>
          <w:p>
            <w:pPr>
              <w:ind w:left="140"/>
              <w:spacing w:after="0"/>
              <w:rPr>
                <w:sz w:val="20"/>
                <w:szCs w:val="20"/>
                <w:color w:val="auto"/>
              </w:rPr>
            </w:pPr>
            <w:r>
              <w:rPr>
                <w:rFonts w:ascii="Arial" w:cs="Arial" w:eastAsia="Arial" w:hAnsi="Arial"/>
                <w:sz w:val="19"/>
                <w:szCs w:val="19"/>
                <w:color w:val="auto"/>
              </w:rPr>
              <w:t>Counterparts; Integration; Effectiveness</w:t>
            </w:r>
          </w:p>
        </w:tc>
        <w:tc>
          <w:tcPr>
            <w:tcW w:w="1840" w:type="dxa"/>
            <w:vAlign w:val="bottom"/>
          </w:tcPr>
          <w:p>
            <w:pPr>
              <w:jc w:val="right"/>
              <w:spacing w:after="0"/>
              <w:rPr>
                <w:sz w:val="20"/>
                <w:szCs w:val="20"/>
                <w:color w:val="auto"/>
              </w:rPr>
            </w:pPr>
            <w:r>
              <w:rPr>
                <w:rFonts w:ascii="Arial" w:cs="Arial" w:eastAsia="Arial" w:hAnsi="Arial"/>
                <w:sz w:val="19"/>
                <w:szCs w:val="19"/>
                <w:color w:val="auto"/>
              </w:rPr>
              <w:t>176</w:t>
            </w:r>
          </w:p>
        </w:tc>
      </w:tr>
      <w:tr>
        <w:trPr>
          <w:trHeight w:val="275"/>
        </w:trPr>
        <w:tc>
          <w:tcPr>
            <w:tcW w:w="460" w:type="dxa"/>
            <w:vAlign w:val="bottom"/>
          </w:tcPr>
          <w:p>
            <w:pPr>
              <w:spacing w:after="0"/>
              <w:rPr>
                <w:sz w:val="20"/>
                <w:szCs w:val="20"/>
                <w:color w:val="auto"/>
              </w:rPr>
            </w:pPr>
            <w:r>
              <w:rPr>
                <w:rFonts w:ascii="Arial" w:cs="Arial" w:eastAsia="Arial" w:hAnsi="Arial"/>
                <w:sz w:val="19"/>
                <w:szCs w:val="19"/>
                <w:color w:val="auto"/>
                <w:w w:val="92"/>
              </w:rPr>
              <w:t>11.11</w:t>
            </w:r>
          </w:p>
        </w:tc>
        <w:tc>
          <w:tcPr>
            <w:tcW w:w="8320" w:type="dxa"/>
            <w:vAlign w:val="bottom"/>
          </w:tcPr>
          <w:p>
            <w:pPr>
              <w:ind w:left="140"/>
              <w:spacing w:after="0"/>
              <w:rPr>
                <w:sz w:val="20"/>
                <w:szCs w:val="20"/>
                <w:color w:val="auto"/>
              </w:rPr>
            </w:pPr>
            <w:r>
              <w:rPr>
                <w:rFonts w:ascii="Arial" w:cs="Arial" w:eastAsia="Arial" w:hAnsi="Arial"/>
                <w:sz w:val="19"/>
                <w:szCs w:val="19"/>
                <w:color w:val="auto"/>
              </w:rPr>
              <w:t>Survival</w:t>
            </w:r>
          </w:p>
        </w:tc>
        <w:tc>
          <w:tcPr>
            <w:tcW w:w="1840" w:type="dxa"/>
            <w:vAlign w:val="bottom"/>
          </w:tcPr>
          <w:p>
            <w:pPr>
              <w:jc w:val="right"/>
              <w:spacing w:after="0"/>
              <w:rPr>
                <w:sz w:val="20"/>
                <w:szCs w:val="20"/>
                <w:color w:val="auto"/>
              </w:rPr>
            </w:pPr>
            <w:r>
              <w:rPr>
                <w:rFonts w:ascii="Arial" w:cs="Arial" w:eastAsia="Arial" w:hAnsi="Arial"/>
                <w:sz w:val="19"/>
                <w:szCs w:val="19"/>
                <w:color w:val="auto"/>
              </w:rPr>
              <w:t>176</w:t>
            </w:r>
          </w:p>
        </w:tc>
      </w:tr>
      <w:tr>
        <w:trPr>
          <w:trHeight w:val="275"/>
        </w:trPr>
        <w:tc>
          <w:tcPr>
            <w:tcW w:w="460" w:type="dxa"/>
            <w:vAlign w:val="bottom"/>
          </w:tcPr>
          <w:p>
            <w:pPr>
              <w:spacing w:after="0"/>
              <w:rPr>
                <w:sz w:val="20"/>
                <w:szCs w:val="20"/>
                <w:color w:val="auto"/>
              </w:rPr>
            </w:pPr>
            <w:r>
              <w:rPr>
                <w:rFonts w:ascii="Arial" w:cs="Arial" w:eastAsia="Arial" w:hAnsi="Arial"/>
                <w:sz w:val="19"/>
                <w:szCs w:val="19"/>
                <w:color w:val="auto"/>
                <w:w w:val="92"/>
              </w:rPr>
              <w:t>11.12</w:t>
            </w:r>
          </w:p>
        </w:tc>
        <w:tc>
          <w:tcPr>
            <w:tcW w:w="8320" w:type="dxa"/>
            <w:vAlign w:val="bottom"/>
          </w:tcPr>
          <w:p>
            <w:pPr>
              <w:ind w:left="140"/>
              <w:spacing w:after="0"/>
              <w:rPr>
                <w:sz w:val="20"/>
                <w:szCs w:val="20"/>
                <w:color w:val="auto"/>
              </w:rPr>
            </w:pPr>
            <w:r>
              <w:rPr>
                <w:rFonts w:ascii="Arial" w:cs="Arial" w:eastAsia="Arial" w:hAnsi="Arial"/>
                <w:sz w:val="19"/>
                <w:szCs w:val="19"/>
                <w:color w:val="auto"/>
              </w:rPr>
              <w:t>Severability</w:t>
            </w:r>
          </w:p>
        </w:tc>
        <w:tc>
          <w:tcPr>
            <w:tcW w:w="1840" w:type="dxa"/>
            <w:vAlign w:val="bottom"/>
          </w:tcPr>
          <w:p>
            <w:pPr>
              <w:jc w:val="right"/>
              <w:spacing w:after="0"/>
              <w:rPr>
                <w:sz w:val="20"/>
                <w:szCs w:val="20"/>
                <w:color w:val="auto"/>
              </w:rPr>
            </w:pPr>
            <w:r>
              <w:rPr>
                <w:rFonts w:ascii="Arial" w:cs="Arial" w:eastAsia="Arial" w:hAnsi="Arial"/>
                <w:sz w:val="19"/>
                <w:szCs w:val="19"/>
                <w:color w:val="auto"/>
              </w:rPr>
              <w:t>176</w:t>
            </w:r>
          </w:p>
        </w:tc>
      </w:tr>
      <w:tr>
        <w:trPr>
          <w:trHeight w:val="275"/>
        </w:trPr>
        <w:tc>
          <w:tcPr>
            <w:tcW w:w="460" w:type="dxa"/>
            <w:vAlign w:val="bottom"/>
          </w:tcPr>
          <w:p>
            <w:pPr>
              <w:spacing w:after="0"/>
              <w:rPr>
                <w:sz w:val="20"/>
                <w:szCs w:val="20"/>
                <w:color w:val="auto"/>
              </w:rPr>
            </w:pPr>
            <w:r>
              <w:rPr>
                <w:rFonts w:ascii="Arial" w:cs="Arial" w:eastAsia="Arial" w:hAnsi="Arial"/>
                <w:sz w:val="19"/>
                <w:szCs w:val="19"/>
                <w:color w:val="auto"/>
                <w:w w:val="92"/>
              </w:rPr>
              <w:t>11.13</w:t>
            </w:r>
          </w:p>
        </w:tc>
        <w:tc>
          <w:tcPr>
            <w:tcW w:w="8320" w:type="dxa"/>
            <w:vAlign w:val="bottom"/>
          </w:tcPr>
          <w:p>
            <w:pPr>
              <w:ind w:left="140"/>
              <w:spacing w:after="0"/>
              <w:rPr>
                <w:sz w:val="20"/>
                <w:szCs w:val="20"/>
                <w:color w:val="auto"/>
              </w:rPr>
            </w:pPr>
            <w:r>
              <w:rPr>
                <w:rFonts w:ascii="Arial" w:cs="Arial" w:eastAsia="Arial" w:hAnsi="Arial"/>
                <w:sz w:val="19"/>
                <w:szCs w:val="19"/>
                <w:color w:val="auto"/>
              </w:rPr>
              <w:t>Replacement of Lenders</w:t>
            </w:r>
          </w:p>
        </w:tc>
        <w:tc>
          <w:tcPr>
            <w:tcW w:w="1840" w:type="dxa"/>
            <w:vAlign w:val="bottom"/>
          </w:tcPr>
          <w:p>
            <w:pPr>
              <w:jc w:val="right"/>
              <w:spacing w:after="0"/>
              <w:rPr>
                <w:sz w:val="20"/>
                <w:szCs w:val="20"/>
                <w:color w:val="auto"/>
              </w:rPr>
            </w:pPr>
            <w:r>
              <w:rPr>
                <w:rFonts w:ascii="Arial" w:cs="Arial" w:eastAsia="Arial" w:hAnsi="Arial"/>
                <w:sz w:val="19"/>
                <w:szCs w:val="19"/>
                <w:color w:val="auto"/>
              </w:rPr>
              <w:t>177</w:t>
            </w:r>
          </w:p>
        </w:tc>
      </w:tr>
      <w:tr>
        <w:trPr>
          <w:trHeight w:val="275"/>
        </w:trPr>
        <w:tc>
          <w:tcPr>
            <w:tcW w:w="460" w:type="dxa"/>
            <w:vAlign w:val="bottom"/>
          </w:tcPr>
          <w:p>
            <w:pPr>
              <w:spacing w:after="0"/>
              <w:rPr>
                <w:sz w:val="20"/>
                <w:szCs w:val="20"/>
                <w:color w:val="auto"/>
              </w:rPr>
            </w:pPr>
            <w:r>
              <w:rPr>
                <w:rFonts w:ascii="Arial" w:cs="Arial" w:eastAsia="Arial" w:hAnsi="Arial"/>
                <w:sz w:val="19"/>
                <w:szCs w:val="19"/>
                <w:color w:val="auto"/>
                <w:w w:val="92"/>
              </w:rPr>
              <w:t>11.14</w:t>
            </w:r>
          </w:p>
        </w:tc>
        <w:tc>
          <w:tcPr>
            <w:tcW w:w="8320" w:type="dxa"/>
            <w:vAlign w:val="bottom"/>
          </w:tcPr>
          <w:p>
            <w:pPr>
              <w:ind w:left="140"/>
              <w:spacing w:after="0"/>
              <w:rPr>
                <w:sz w:val="20"/>
                <w:szCs w:val="20"/>
                <w:color w:val="auto"/>
              </w:rPr>
            </w:pPr>
            <w:r>
              <w:rPr>
                <w:rFonts w:ascii="Arial" w:cs="Arial" w:eastAsia="Arial" w:hAnsi="Arial"/>
                <w:sz w:val="19"/>
                <w:szCs w:val="19"/>
                <w:color w:val="auto"/>
              </w:rPr>
              <w:t>Governing Law; Jurisdiction; Etc.</w:t>
            </w:r>
          </w:p>
        </w:tc>
        <w:tc>
          <w:tcPr>
            <w:tcW w:w="1840" w:type="dxa"/>
            <w:vAlign w:val="bottom"/>
          </w:tcPr>
          <w:p>
            <w:pPr>
              <w:jc w:val="right"/>
              <w:spacing w:after="0"/>
              <w:rPr>
                <w:sz w:val="20"/>
                <w:szCs w:val="20"/>
                <w:color w:val="auto"/>
              </w:rPr>
            </w:pPr>
            <w:r>
              <w:rPr>
                <w:rFonts w:ascii="Arial" w:cs="Arial" w:eastAsia="Arial" w:hAnsi="Arial"/>
                <w:sz w:val="19"/>
                <w:szCs w:val="19"/>
                <w:color w:val="auto"/>
              </w:rPr>
              <w:t>178</w:t>
            </w:r>
          </w:p>
        </w:tc>
      </w:tr>
      <w:tr>
        <w:trPr>
          <w:trHeight w:val="275"/>
        </w:trPr>
        <w:tc>
          <w:tcPr>
            <w:tcW w:w="460" w:type="dxa"/>
            <w:vAlign w:val="bottom"/>
          </w:tcPr>
          <w:p>
            <w:pPr>
              <w:spacing w:after="0"/>
              <w:rPr>
                <w:sz w:val="20"/>
                <w:szCs w:val="20"/>
                <w:color w:val="auto"/>
              </w:rPr>
            </w:pPr>
            <w:r>
              <w:rPr>
                <w:rFonts w:ascii="Arial" w:cs="Arial" w:eastAsia="Arial" w:hAnsi="Arial"/>
                <w:sz w:val="19"/>
                <w:szCs w:val="19"/>
                <w:color w:val="auto"/>
                <w:w w:val="92"/>
              </w:rPr>
              <w:t>11.15</w:t>
            </w:r>
          </w:p>
        </w:tc>
        <w:tc>
          <w:tcPr>
            <w:tcW w:w="8320" w:type="dxa"/>
            <w:vAlign w:val="bottom"/>
          </w:tcPr>
          <w:p>
            <w:pPr>
              <w:ind w:left="140"/>
              <w:spacing w:after="0"/>
              <w:rPr>
                <w:sz w:val="20"/>
                <w:szCs w:val="20"/>
                <w:color w:val="auto"/>
              </w:rPr>
            </w:pPr>
            <w:r>
              <w:rPr>
                <w:rFonts w:ascii="Arial" w:cs="Arial" w:eastAsia="Arial" w:hAnsi="Arial"/>
                <w:sz w:val="19"/>
                <w:szCs w:val="19"/>
                <w:color w:val="auto"/>
              </w:rPr>
              <w:t>Waiver of Jury Trial</w:t>
            </w:r>
          </w:p>
        </w:tc>
        <w:tc>
          <w:tcPr>
            <w:tcW w:w="1840" w:type="dxa"/>
            <w:vAlign w:val="bottom"/>
          </w:tcPr>
          <w:p>
            <w:pPr>
              <w:jc w:val="right"/>
              <w:spacing w:after="0"/>
              <w:rPr>
                <w:sz w:val="20"/>
                <w:szCs w:val="20"/>
                <w:color w:val="auto"/>
              </w:rPr>
            </w:pPr>
            <w:r>
              <w:rPr>
                <w:rFonts w:ascii="Arial" w:cs="Arial" w:eastAsia="Arial" w:hAnsi="Arial"/>
                <w:sz w:val="19"/>
                <w:szCs w:val="19"/>
                <w:color w:val="auto"/>
              </w:rPr>
              <w:t>179</w:t>
            </w:r>
          </w:p>
        </w:tc>
      </w:tr>
      <w:tr>
        <w:trPr>
          <w:trHeight w:val="275"/>
        </w:trPr>
        <w:tc>
          <w:tcPr>
            <w:tcW w:w="460" w:type="dxa"/>
            <w:vAlign w:val="bottom"/>
          </w:tcPr>
          <w:p>
            <w:pPr>
              <w:spacing w:after="0"/>
              <w:rPr>
                <w:sz w:val="20"/>
                <w:szCs w:val="20"/>
                <w:color w:val="auto"/>
              </w:rPr>
            </w:pPr>
            <w:r>
              <w:rPr>
                <w:rFonts w:ascii="Arial" w:cs="Arial" w:eastAsia="Arial" w:hAnsi="Arial"/>
                <w:sz w:val="19"/>
                <w:szCs w:val="19"/>
                <w:color w:val="auto"/>
                <w:w w:val="92"/>
              </w:rPr>
              <w:t>11.16</w:t>
            </w:r>
          </w:p>
        </w:tc>
        <w:tc>
          <w:tcPr>
            <w:tcW w:w="8320" w:type="dxa"/>
            <w:vAlign w:val="bottom"/>
          </w:tcPr>
          <w:p>
            <w:pPr>
              <w:ind w:left="140"/>
              <w:spacing w:after="0"/>
              <w:rPr>
                <w:sz w:val="20"/>
                <w:szCs w:val="20"/>
                <w:color w:val="auto"/>
              </w:rPr>
            </w:pPr>
            <w:r>
              <w:rPr>
                <w:rFonts w:ascii="Arial" w:cs="Arial" w:eastAsia="Arial" w:hAnsi="Arial"/>
                <w:sz w:val="19"/>
                <w:szCs w:val="19"/>
                <w:color w:val="auto"/>
              </w:rPr>
              <w:t>Electronic Execution of Assignments and Certain Other Documents</w:t>
            </w:r>
          </w:p>
        </w:tc>
        <w:tc>
          <w:tcPr>
            <w:tcW w:w="1840" w:type="dxa"/>
            <w:vAlign w:val="bottom"/>
          </w:tcPr>
          <w:p>
            <w:pPr>
              <w:jc w:val="right"/>
              <w:spacing w:after="0"/>
              <w:rPr>
                <w:sz w:val="20"/>
                <w:szCs w:val="20"/>
                <w:color w:val="auto"/>
              </w:rPr>
            </w:pPr>
            <w:r>
              <w:rPr>
                <w:rFonts w:ascii="Arial" w:cs="Arial" w:eastAsia="Arial" w:hAnsi="Arial"/>
                <w:sz w:val="19"/>
                <w:szCs w:val="19"/>
                <w:color w:val="auto"/>
              </w:rPr>
              <w:t>179</w:t>
            </w:r>
          </w:p>
        </w:tc>
      </w:tr>
      <w:tr>
        <w:trPr>
          <w:trHeight w:val="275"/>
        </w:trPr>
        <w:tc>
          <w:tcPr>
            <w:tcW w:w="460" w:type="dxa"/>
            <w:vAlign w:val="bottom"/>
          </w:tcPr>
          <w:p>
            <w:pPr>
              <w:spacing w:after="0"/>
              <w:rPr>
                <w:sz w:val="20"/>
                <w:szCs w:val="20"/>
                <w:color w:val="auto"/>
              </w:rPr>
            </w:pPr>
            <w:r>
              <w:rPr>
                <w:rFonts w:ascii="Arial" w:cs="Arial" w:eastAsia="Arial" w:hAnsi="Arial"/>
                <w:sz w:val="19"/>
                <w:szCs w:val="19"/>
                <w:color w:val="auto"/>
                <w:w w:val="92"/>
              </w:rPr>
              <w:t>11.17</w:t>
            </w:r>
          </w:p>
        </w:tc>
        <w:tc>
          <w:tcPr>
            <w:tcW w:w="8320" w:type="dxa"/>
            <w:vAlign w:val="bottom"/>
          </w:tcPr>
          <w:p>
            <w:pPr>
              <w:ind w:left="140"/>
              <w:spacing w:after="0"/>
              <w:rPr>
                <w:sz w:val="20"/>
                <w:szCs w:val="20"/>
                <w:color w:val="auto"/>
              </w:rPr>
            </w:pPr>
            <w:r>
              <w:rPr>
                <w:rFonts w:ascii="Arial" w:cs="Arial" w:eastAsia="Arial" w:hAnsi="Arial"/>
                <w:sz w:val="19"/>
                <w:szCs w:val="19"/>
                <w:color w:val="auto"/>
              </w:rPr>
              <w:t>USA PATRIOT Act Notice</w:t>
            </w:r>
          </w:p>
        </w:tc>
        <w:tc>
          <w:tcPr>
            <w:tcW w:w="1840" w:type="dxa"/>
            <w:vAlign w:val="bottom"/>
          </w:tcPr>
          <w:p>
            <w:pPr>
              <w:jc w:val="right"/>
              <w:spacing w:after="0"/>
              <w:rPr>
                <w:sz w:val="20"/>
                <w:szCs w:val="20"/>
                <w:color w:val="auto"/>
              </w:rPr>
            </w:pPr>
            <w:r>
              <w:rPr>
                <w:rFonts w:ascii="Arial" w:cs="Arial" w:eastAsia="Arial" w:hAnsi="Arial"/>
                <w:sz w:val="19"/>
                <w:szCs w:val="19"/>
                <w:color w:val="auto"/>
              </w:rPr>
              <w:t>179</w:t>
            </w:r>
          </w:p>
        </w:tc>
      </w:tr>
      <w:tr>
        <w:trPr>
          <w:trHeight w:val="275"/>
        </w:trPr>
        <w:tc>
          <w:tcPr>
            <w:tcW w:w="460" w:type="dxa"/>
            <w:vAlign w:val="bottom"/>
          </w:tcPr>
          <w:p>
            <w:pPr>
              <w:spacing w:after="0"/>
              <w:rPr>
                <w:sz w:val="20"/>
                <w:szCs w:val="20"/>
                <w:color w:val="auto"/>
              </w:rPr>
            </w:pPr>
            <w:r>
              <w:rPr>
                <w:rFonts w:ascii="Arial" w:cs="Arial" w:eastAsia="Arial" w:hAnsi="Arial"/>
                <w:sz w:val="19"/>
                <w:szCs w:val="19"/>
                <w:color w:val="auto"/>
                <w:w w:val="92"/>
              </w:rPr>
              <w:t>11.18</w:t>
            </w:r>
          </w:p>
        </w:tc>
        <w:tc>
          <w:tcPr>
            <w:tcW w:w="8320" w:type="dxa"/>
            <w:vAlign w:val="bottom"/>
          </w:tcPr>
          <w:p>
            <w:pPr>
              <w:ind w:left="140"/>
              <w:spacing w:after="0"/>
              <w:rPr>
                <w:sz w:val="20"/>
                <w:szCs w:val="20"/>
                <w:color w:val="auto"/>
              </w:rPr>
            </w:pPr>
            <w:r>
              <w:rPr>
                <w:rFonts w:ascii="Arial" w:cs="Arial" w:eastAsia="Arial" w:hAnsi="Arial"/>
                <w:sz w:val="19"/>
                <w:szCs w:val="19"/>
                <w:color w:val="auto"/>
              </w:rPr>
              <w:t>No Advisory or Fiduciary Responsibility</w:t>
            </w:r>
          </w:p>
        </w:tc>
        <w:tc>
          <w:tcPr>
            <w:tcW w:w="1840" w:type="dxa"/>
            <w:vAlign w:val="bottom"/>
          </w:tcPr>
          <w:p>
            <w:pPr>
              <w:jc w:val="right"/>
              <w:spacing w:after="0"/>
              <w:rPr>
                <w:sz w:val="20"/>
                <w:szCs w:val="20"/>
                <w:color w:val="auto"/>
              </w:rPr>
            </w:pPr>
            <w:r>
              <w:rPr>
                <w:rFonts w:ascii="Arial" w:cs="Arial" w:eastAsia="Arial" w:hAnsi="Arial"/>
                <w:sz w:val="19"/>
                <w:szCs w:val="19"/>
                <w:color w:val="auto"/>
              </w:rPr>
              <w:t>179</w:t>
            </w:r>
          </w:p>
        </w:tc>
      </w:tr>
      <w:tr>
        <w:trPr>
          <w:trHeight w:val="275"/>
        </w:trPr>
        <w:tc>
          <w:tcPr>
            <w:tcW w:w="460" w:type="dxa"/>
            <w:vAlign w:val="bottom"/>
          </w:tcPr>
          <w:p>
            <w:pPr>
              <w:spacing w:after="0"/>
              <w:rPr>
                <w:sz w:val="20"/>
                <w:szCs w:val="20"/>
                <w:color w:val="auto"/>
              </w:rPr>
            </w:pPr>
            <w:r>
              <w:rPr>
                <w:rFonts w:ascii="Arial" w:cs="Arial" w:eastAsia="Arial" w:hAnsi="Arial"/>
                <w:sz w:val="19"/>
                <w:szCs w:val="19"/>
                <w:color w:val="auto"/>
                <w:w w:val="92"/>
              </w:rPr>
              <w:t>11.19</w:t>
            </w:r>
          </w:p>
        </w:tc>
        <w:tc>
          <w:tcPr>
            <w:tcW w:w="8320" w:type="dxa"/>
            <w:vAlign w:val="bottom"/>
          </w:tcPr>
          <w:p>
            <w:pPr>
              <w:ind w:left="140"/>
              <w:spacing w:after="0"/>
              <w:rPr>
                <w:sz w:val="20"/>
                <w:szCs w:val="20"/>
                <w:color w:val="auto"/>
              </w:rPr>
            </w:pPr>
            <w:r>
              <w:rPr>
                <w:rFonts w:ascii="Arial" w:cs="Arial" w:eastAsia="Arial" w:hAnsi="Arial"/>
                <w:sz w:val="19"/>
                <w:szCs w:val="19"/>
                <w:color w:val="auto"/>
              </w:rPr>
              <w:t>Attachments</w:t>
            </w:r>
          </w:p>
        </w:tc>
        <w:tc>
          <w:tcPr>
            <w:tcW w:w="1840" w:type="dxa"/>
            <w:vAlign w:val="bottom"/>
          </w:tcPr>
          <w:p>
            <w:pPr>
              <w:jc w:val="right"/>
              <w:spacing w:after="0"/>
              <w:rPr>
                <w:sz w:val="20"/>
                <w:szCs w:val="20"/>
                <w:color w:val="auto"/>
              </w:rPr>
            </w:pPr>
            <w:r>
              <w:rPr>
                <w:rFonts w:ascii="Arial" w:cs="Arial" w:eastAsia="Arial" w:hAnsi="Arial"/>
                <w:sz w:val="19"/>
                <w:szCs w:val="19"/>
                <w:color w:val="auto"/>
              </w:rPr>
              <w:t>180</w:t>
            </w:r>
          </w:p>
        </w:tc>
      </w:tr>
    </w:tbl>
    <w:p>
      <w:pPr>
        <w:spacing w:after="0" w:line="200" w:lineRule="exact"/>
        <w:rPr>
          <w:sz w:val="20"/>
          <w:szCs w:val="20"/>
          <w:color w:val="auto"/>
        </w:rPr>
      </w:pPr>
    </w:p>
    <w:p>
      <w:pPr>
        <w:sectPr>
          <w:pgSz w:w="11900" w:h="16838" w:orient="portrait"/>
          <w:cols w:equalWidth="0" w:num="1">
            <w:col w:w="11060"/>
          </w:cols>
          <w:pgMar w:left="400" w:top="118" w:right="439" w:bottom="1440" w:gutter="0" w:footer="0" w:header="0"/>
        </w:sect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060"/>
          </w:cols>
          <w:pgMar w:left="400" w:top="118" w:right="439" w:bottom="1440" w:gutter="0" w:footer="0" w:header="0"/>
          <w:type w:val="continuous"/>
        </w:sectPr>
      </w:pPr>
    </w:p>
    <w:bookmarkStart w:id="117" w:name="page118"/>
    <w:bookmarkEnd w:id="117"/>
    <w:p>
      <w:pPr>
        <w:jc w:val="center"/>
        <w:ind w:right="-19"/>
        <w:spacing w:after="0"/>
        <w:rPr>
          <w:sz w:val="20"/>
          <w:szCs w:val="20"/>
          <w:color w:val="auto"/>
        </w:rPr>
      </w:pPr>
      <w:r>
        <w:rPr>
          <w:rFonts w:ascii="Arial" w:cs="Arial" w:eastAsia="Arial" w:hAnsi="Arial"/>
          <w:sz w:val="19"/>
          <w:szCs w:val="19"/>
          <w:b w:val="1"/>
          <w:bCs w:val="1"/>
          <w:color w:val="auto"/>
        </w:rPr>
        <w:t>TABLE OF CONTENTS</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(continued)</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00" w:type="dxa"/>
            <w:vAlign w:val="bottom"/>
          </w:tcPr>
          <w:p>
            <w:pPr>
              <w:jc w:val="right"/>
              <w:spacing w:after="0"/>
              <w:rPr>
                <w:sz w:val="20"/>
                <w:szCs w:val="20"/>
                <w:color w:val="auto"/>
              </w:rPr>
            </w:pPr>
            <w:r>
              <w:rPr>
                <w:rFonts w:ascii="Arial" w:cs="Arial" w:eastAsia="Arial" w:hAnsi="Arial"/>
                <w:sz w:val="19"/>
                <w:szCs w:val="19"/>
                <w:color w:val="auto"/>
                <w:w w:val="84"/>
              </w:rPr>
              <w:t>11.20</w:t>
            </w:r>
          </w:p>
        </w:tc>
        <w:tc>
          <w:tcPr>
            <w:tcW w:w="7880" w:type="dxa"/>
            <w:vAlign w:val="bottom"/>
          </w:tcPr>
          <w:p>
            <w:pPr>
              <w:ind w:left="100"/>
              <w:spacing w:after="0"/>
              <w:rPr>
                <w:sz w:val="20"/>
                <w:szCs w:val="20"/>
                <w:color w:val="auto"/>
              </w:rPr>
            </w:pPr>
            <w:r>
              <w:rPr>
                <w:rFonts w:ascii="Arial" w:cs="Arial" w:eastAsia="Arial" w:hAnsi="Arial"/>
                <w:sz w:val="19"/>
                <w:szCs w:val="19"/>
                <w:color w:val="auto"/>
              </w:rPr>
              <w:t>Acknowledgement and Consent to Bail-In of Affected Financial Institutions</w:t>
            </w:r>
          </w:p>
        </w:tc>
        <w:tc>
          <w:tcPr>
            <w:tcW w:w="2240" w:type="dxa"/>
            <w:vAlign w:val="bottom"/>
          </w:tcPr>
          <w:p>
            <w:pPr>
              <w:jc w:val="right"/>
              <w:spacing w:after="0"/>
              <w:rPr>
                <w:sz w:val="20"/>
                <w:szCs w:val="20"/>
                <w:color w:val="auto"/>
              </w:rPr>
            </w:pPr>
            <w:r>
              <w:rPr>
                <w:rFonts w:ascii="Arial" w:cs="Arial" w:eastAsia="Arial" w:hAnsi="Arial"/>
                <w:sz w:val="19"/>
                <w:szCs w:val="19"/>
                <w:color w:val="auto"/>
              </w:rPr>
              <w:t>180</w:t>
            </w:r>
          </w:p>
        </w:tc>
      </w:tr>
      <w:tr>
        <w:trPr>
          <w:trHeight w:val="275"/>
        </w:trPr>
        <w:tc>
          <w:tcPr>
            <w:tcW w:w="500" w:type="dxa"/>
            <w:vAlign w:val="bottom"/>
          </w:tcPr>
          <w:p>
            <w:pPr>
              <w:jc w:val="right"/>
              <w:spacing w:after="0"/>
              <w:rPr>
                <w:sz w:val="20"/>
                <w:szCs w:val="20"/>
                <w:color w:val="auto"/>
              </w:rPr>
            </w:pPr>
            <w:r>
              <w:rPr>
                <w:rFonts w:ascii="Arial" w:cs="Arial" w:eastAsia="Arial" w:hAnsi="Arial"/>
                <w:sz w:val="19"/>
                <w:szCs w:val="19"/>
                <w:color w:val="auto"/>
                <w:w w:val="84"/>
              </w:rPr>
              <w:t>11.21</w:t>
            </w:r>
          </w:p>
        </w:tc>
        <w:tc>
          <w:tcPr>
            <w:tcW w:w="7880" w:type="dxa"/>
            <w:vAlign w:val="bottom"/>
          </w:tcPr>
          <w:p>
            <w:pPr>
              <w:ind w:left="100"/>
              <w:spacing w:after="0"/>
              <w:rPr>
                <w:sz w:val="20"/>
                <w:szCs w:val="20"/>
                <w:color w:val="auto"/>
              </w:rPr>
            </w:pPr>
            <w:r>
              <w:rPr>
                <w:rFonts w:ascii="Arial" w:cs="Arial" w:eastAsia="Arial" w:hAnsi="Arial"/>
                <w:sz w:val="19"/>
                <w:szCs w:val="19"/>
                <w:color w:val="auto"/>
              </w:rPr>
              <w:t>Acknowledgement Regarding Any Supported QFCs</w:t>
            </w:r>
          </w:p>
        </w:tc>
        <w:tc>
          <w:tcPr>
            <w:tcW w:w="2240" w:type="dxa"/>
            <w:vAlign w:val="bottom"/>
          </w:tcPr>
          <w:p>
            <w:pPr>
              <w:jc w:val="right"/>
              <w:spacing w:after="0"/>
              <w:rPr>
                <w:sz w:val="20"/>
                <w:szCs w:val="20"/>
                <w:color w:val="auto"/>
              </w:rPr>
            </w:pPr>
            <w:r>
              <w:rPr>
                <w:rFonts w:ascii="Arial" w:cs="Arial" w:eastAsia="Arial" w:hAnsi="Arial"/>
                <w:sz w:val="19"/>
                <w:szCs w:val="19"/>
                <w:color w:val="auto"/>
              </w:rPr>
              <w:t>181</w:t>
            </w:r>
          </w:p>
        </w:tc>
      </w:tr>
      <w:tr>
        <w:trPr>
          <w:trHeight w:val="275"/>
        </w:trPr>
        <w:tc>
          <w:tcPr>
            <w:tcW w:w="500" w:type="dxa"/>
            <w:vAlign w:val="bottom"/>
          </w:tcPr>
          <w:p>
            <w:pPr>
              <w:jc w:val="right"/>
              <w:spacing w:after="0"/>
              <w:rPr>
                <w:sz w:val="20"/>
                <w:szCs w:val="20"/>
                <w:color w:val="auto"/>
              </w:rPr>
            </w:pPr>
            <w:r>
              <w:rPr>
                <w:rFonts w:ascii="Arial" w:cs="Arial" w:eastAsia="Arial" w:hAnsi="Arial"/>
                <w:sz w:val="19"/>
                <w:szCs w:val="19"/>
                <w:color w:val="auto"/>
                <w:w w:val="84"/>
              </w:rPr>
              <w:t>11.22</w:t>
            </w:r>
          </w:p>
        </w:tc>
        <w:tc>
          <w:tcPr>
            <w:tcW w:w="7880" w:type="dxa"/>
            <w:vAlign w:val="bottom"/>
          </w:tcPr>
          <w:p>
            <w:pPr>
              <w:ind w:left="100"/>
              <w:spacing w:after="0"/>
              <w:rPr>
                <w:sz w:val="20"/>
                <w:szCs w:val="20"/>
                <w:color w:val="auto"/>
              </w:rPr>
            </w:pPr>
            <w:r>
              <w:rPr>
                <w:rFonts w:ascii="Arial" w:cs="Arial" w:eastAsia="Arial" w:hAnsi="Arial"/>
                <w:sz w:val="19"/>
                <w:szCs w:val="19"/>
                <w:color w:val="auto"/>
              </w:rPr>
              <w:t>Judgment Currency</w:t>
            </w:r>
          </w:p>
        </w:tc>
        <w:tc>
          <w:tcPr>
            <w:tcW w:w="2240" w:type="dxa"/>
            <w:vAlign w:val="bottom"/>
          </w:tcPr>
          <w:p>
            <w:pPr>
              <w:jc w:val="right"/>
              <w:spacing w:after="0"/>
              <w:rPr>
                <w:sz w:val="20"/>
                <w:szCs w:val="20"/>
                <w:color w:val="auto"/>
              </w:rPr>
            </w:pPr>
            <w:r>
              <w:rPr>
                <w:rFonts w:ascii="Arial" w:cs="Arial" w:eastAsia="Arial" w:hAnsi="Arial"/>
                <w:sz w:val="19"/>
                <w:szCs w:val="19"/>
                <w:color w:val="auto"/>
              </w:rPr>
              <w:t>181</w:t>
            </w:r>
          </w:p>
        </w:tc>
      </w:tr>
    </w:tbl>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2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7060" w:type="dxa"/>
            <w:vAlign w:val="bottom"/>
          </w:tcPr>
          <w:p>
            <w:pPr>
              <w:jc w:val="right"/>
              <w:ind w:right="4424"/>
              <w:spacing w:after="0"/>
              <w:rPr>
                <w:sz w:val="20"/>
                <w:szCs w:val="20"/>
                <w:color w:val="auto"/>
              </w:rPr>
            </w:pPr>
            <w:r>
              <w:rPr>
                <w:rFonts w:ascii="Arial" w:cs="Arial" w:eastAsia="Arial" w:hAnsi="Arial"/>
                <w:sz w:val="19"/>
                <w:szCs w:val="19"/>
                <w:color w:val="auto"/>
              </w:rPr>
              <w:t>ARTICLE XII</w:t>
            </w:r>
          </w:p>
        </w:tc>
      </w:tr>
      <w:tr>
        <w:trPr>
          <w:trHeight w:val="245"/>
        </w:trPr>
        <w:tc>
          <w:tcPr>
            <w:tcW w:w="520" w:type="dxa"/>
            <w:vAlign w:val="bottom"/>
          </w:tcPr>
          <w:p>
            <w:pPr>
              <w:spacing w:after="0"/>
              <w:rPr>
                <w:sz w:val="21"/>
                <w:szCs w:val="21"/>
                <w:color w:val="auto"/>
              </w:rPr>
            </w:pPr>
          </w:p>
        </w:tc>
        <w:tc>
          <w:tcPr>
            <w:tcW w:w="3040" w:type="dxa"/>
            <w:vAlign w:val="bottom"/>
          </w:tcPr>
          <w:p>
            <w:pPr>
              <w:spacing w:after="0"/>
              <w:rPr>
                <w:sz w:val="21"/>
                <w:szCs w:val="21"/>
                <w:color w:val="auto"/>
              </w:rPr>
            </w:pPr>
          </w:p>
        </w:tc>
        <w:tc>
          <w:tcPr>
            <w:tcW w:w="7060" w:type="dxa"/>
            <w:vAlign w:val="bottom"/>
          </w:tcPr>
          <w:p>
            <w:pPr>
              <w:jc w:val="right"/>
              <w:ind w:right="3804"/>
              <w:spacing w:after="0"/>
              <w:rPr>
                <w:sz w:val="20"/>
                <w:szCs w:val="20"/>
                <w:color w:val="auto"/>
              </w:rPr>
            </w:pPr>
            <w:r>
              <w:rPr>
                <w:rFonts w:ascii="Arial" w:cs="Arial" w:eastAsia="Arial" w:hAnsi="Arial"/>
                <w:sz w:val="19"/>
                <w:szCs w:val="19"/>
                <w:color w:val="auto"/>
              </w:rPr>
              <w:t>CONTINUING GUARANTY</w:t>
            </w:r>
          </w:p>
        </w:tc>
      </w:tr>
      <w:tr>
        <w:trPr>
          <w:trHeight w:val="275"/>
        </w:trPr>
        <w:tc>
          <w:tcPr>
            <w:tcW w:w="520" w:type="dxa"/>
            <w:vAlign w:val="bottom"/>
          </w:tcPr>
          <w:p>
            <w:pPr>
              <w:spacing w:after="0"/>
              <w:rPr>
                <w:sz w:val="20"/>
                <w:szCs w:val="20"/>
                <w:color w:val="auto"/>
              </w:rPr>
            </w:pPr>
            <w:r>
              <w:rPr>
                <w:rFonts w:ascii="Arial" w:cs="Arial" w:eastAsia="Arial" w:hAnsi="Arial"/>
                <w:sz w:val="19"/>
                <w:szCs w:val="19"/>
                <w:color w:val="auto"/>
              </w:rPr>
              <w:t>12.01</w:t>
            </w:r>
          </w:p>
        </w:tc>
        <w:tc>
          <w:tcPr>
            <w:tcW w:w="3040" w:type="dxa"/>
            <w:vAlign w:val="bottom"/>
          </w:tcPr>
          <w:p>
            <w:pPr>
              <w:ind w:left="100"/>
              <w:spacing w:after="0"/>
              <w:rPr>
                <w:sz w:val="20"/>
                <w:szCs w:val="20"/>
                <w:color w:val="auto"/>
              </w:rPr>
            </w:pPr>
            <w:r>
              <w:rPr>
                <w:rFonts w:ascii="Arial" w:cs="Arial" w:eastAsia="Arial" w:hAnsi="Arial"/>
                <w:sz w:val="19"/>
                <w:szCs w:val="19"/>
                <w:color w:val="auto"/>
              </w:rPr>
              <w:t>Guaranty</w:t>
            </w:r>
          </w:p>
        </w:tc>
        <w:tc>
          <w:tcPr>
            <w:tcW w:w="7060" w:type="dxa"/>
            <w:vAlign w:val="bottom"/>
          </w:tcPr>
          <w:p>
            <w:pPr>
              <w:jc w:val="right"/>
              <w:spacing w:after="0"/>
              <w:rPr>
                <w:sz w:val="20"/>
                <w:szCs w:val="20"/>
                <w:color w:val="auto"/>
              </w:rPr>
            </w:pPr>
            <w:r>
              <w:rPr>
                <w:rFonts w:ascii="Arial" w:cs="Arial" w:eastAsia="Arial" w:hAnsi="Arial"/>
                <w:sz w:val="19"/>
                <w:szCs w:val="19"/>
                <w:color w:val="auto"/>
              </w:rPr>
              <w:t>182</w:t>
            </w:r>
          </w:p>
        </w:tc>
      </w:tr>
      <w:tr>
        <w:trPr>
          <w:trHeight w:val="275"/>
        </w:trPr>
        <w:tc>
          <w:tcPr>
            <w:tcW w:w="520" w:type="dxa"/>
            <w:vAlign w:val="bottom"/>
          </w:tcPr>
          <w:p>
            <w:pPr>
              <w:spacing w:after="0"/>
              <w:rPr>
                <w:sz w:val="20"/>
                <w:szCs w:val="20"/>
                <w:color w:val="auto"/>
              </w:rPr>
            </w:pPr>
            <w:r>
              <w:rPr>
                <w:rFonts w:ascii="Arial" w:cs="Arial" w:eastAsia="Arial" w:hAnsi="Arial"/>
                <w:sz w:val="19"/>
                <w:szCs w:val="19"/>
                <w:color w:val="auto"/>
              </w:rPr>
              <w:t>12.02</w:t>
            </w:r>
          </w:p>
        </w:tc>
        <w:tc>
          <w:tcPr>
            <w:tcW w:w="3040" w:type="dxa"/>
            <w:vAlign w:val="bottom"/>
          </w:tcPr>
          <w:p>
            <w:pPr>
              <w:ind w:left="100"/>
              <w:spacing w:after="0"/>
              <w:rPr>
                <w:sz w:val="20"/>
                <w:szCs w:val="20"/>
                <w:color w:val="auto"/>
              </w:rPr>
            </w:pPr>
            <w:r>
              <w:rPr>
                <w:rFonts w:ascii="Arial" w:cs="Arial" w:eastAsia="Arial" w:hAnsi="Arial"/>
                <w:sz w:val="19"/>
                <w:szCs w:val="19"/>
                <w:color w:val="auto"/>
              </w:rPr>
              <w:t>Rights of Lenders</w:t>
            </w:r>
          </w:p>
        </w:tc>
        <w:tc>
          <w:tcPr>
            <w:tcW w:w="7060" w:type="dxa"/>
            <w:vAlign w:val="bottom"/>
          </w:tcPr>
          <w:p>
            <w:pPr>
              <w:jc w:val="right"/>
              <w:spacing w:after="0"/>
              <w:rPr>
                <w:sz w:val="20"/>
                <w:szCs w:val="20"/>
                <w:color w:val="auto"/>
              </w:rPr>
            </w:pPr>
            <w:r>
              <w:rPr>
                <w:rFonts w:ascii="Arial" w:cs="Arial" w:eastAsia="Arial" w:hAnsi="Arial"/>
                <w:sz w:val="19"/>
                <w:szCs w:val="19"/>
                <w:color w:val="auto"/>
              </w:rPr>
              <w:t>182</w:t>
            </w:r>
          </w:p>
        </w:tc>
      </w:tr>
      <w:tr>
        <w:trPr>
          <w:trHeight w:val="275"/>
        </w:trPr>
        <w:tc>
          <w:tcPr>
            <w:tcW w:w="520" w:type="dxa"/>
            <w:vAlign w:val="bottom"/>
          </w:tcPr>
          <w:p>
            <w:pPr>
              <w:spacing w:after="0"/>
              <w:rPr>
                <w:sz w:val="20"/>
                <w:szCs w:val="20"/>
                <w:color w:val="auto"/>
              </w:rPr>
            </w:pPr>
            <w:r>
              <w:rPr>
                <w:rFonts w:ascii="Arial" w:cs="Arial" w:eastAsia="Arial" w:hAnsi="Arial"/>
                <w:sz w:val="19"/>
                <w:szCs w:val="19"/>
                <w:color w:val="auto"/>
              </w:rPr>
              <w:t>12.03</w:t>
            </w:r>
          </w:p>
        </w:tc>
        <w:tc>
          <w:tcPr>
            <w:tcW w:w="3040" w:type="dxa"/>
            <w:vAlign w:val="bottom"/>
          </w:tcPr>
          <w:p>
            <w:pPr>
              <w:ind w:left="100"/>
              <w:spacing w:after="0"/>
              <w:rPr>
                <w:sz w:val="20"/>
                <w:szCs w:val="20"/>
                <w:color w:val="auto"/>
              </w:rPr>
            </w:pPr>
            <w:r>
              <w:rPr>
                <w:rFonts w:ascii="Arial" w:cs="Arial" w:eastAsia="Arial" w:hAnsi="Arial"/>
                <w:sz w:val="19"/>
                <w:szCs w:val="19"/>
                <w:color w:val="auto"/>
              </w:rPr>
              <w:t>Certain Waivers</w:t>
            </w:r>
          </w:p>
        </w:tc>
        <w:tc>
          <w:tcPr>
            <w:tcW w:w="7060" w:type="dxa"/>
            <w:vAlign w:val="bottom"/>
          </w:tcPr>
          <w:p>
            <w:pPr>
              <w:jc w:val="right"/>
              <w:spacing w:after="0"/>
              <w:rPr>
                <w:sz w:val="20"/>
                <w:szCs w:val="20"/>
                <w:color w:val="auto"/>
              </w:rPr>
            </w:pPr>
            <w:r>
              <w:rPr>
                <w:rFonts w:ascii="Arial" w:cs="Arial" w:eastAsia="Arial" w:hAnsi="Arial"/>
                <w:sz w:val="19"/>
                <w:szCs w:val="19"/>
                <w:color w:val="auto"/>
              </w:rPr>
              <w:t>183</w:t>
            </w:r>
          </w:p>
        </w:tc>
      </w:tr>
      <w:tr>
        <w:trPr>
          <w:trHeight w:val="275"/>
        </w:trPr>
        <w:tc>
          <w:tcPr>
            <w:tcW w:w="520" w:type="dxa"/>
            <w:vAlign w:val="bottom"/>
          </w:tcPr>
          <w:p>
            <w:pPr>
              <w:spacing w:after="0"/>
              <w:rPr>
                <w:sz w:val="20"/>
                <w:szCs w:val="20"/>
                <w:color w:val="auto"/>
              </w:rPr>
            </w:pPr>
            <w:r>
              <w:rPr>
                <w:rFonts w:ascii="Arial" w:cs="Arial" w:eastAsia="Arial" w:hAnsi="Arial"/>
                <w:sz w:val="19"/>
                <w:szCs w:val="19"/>
                <w:color w:val="auto"/>
              </w:rPr>
              <w:t>12.04</w:t>
            </w:r>
          </w:p>
        </w:tc>
        <w:tc>
          <w:tcPr>
            <w:tcW w:w="3040" w:type="dxa"/>
            <w:vAlign w:val="bottom"/>
          </w:tcPr>
          <w:p>
            <w:pPr>
              <w:ind w:left="100"/>
              <w:spacing w:after="0"/>
              <w:rPr>
                <w:sz w:val="20"/>
                <w:szCs w:val="20"/>
                <w:color w:val="auto"/>
              </w:rPr>
            </w:pPr>
            <w:r>
              <w:rPr>
                <w:rFonts w:ascii="Arial" w:cs="Arial" w:eastAsia="Arial" w:hAnsi="Arial"/>
                <w:sz w:val="19"/>
                <w:szCs w:val="19"/>
                <w:color w:val="auto"/>
              </w:rPr>
              <w:t>Obligations Independent</w:t>
            </w:r>
          </w:p>
        </w:tc>
        <w:tc>
          <w:tcPr>
            <w:tcW w:w="7060" w:type="dxa"/>
            <w:vAlign w:val="bottom"/>
          </w:tcPr>
          <w:p>
            <w:pPr>
              <w:jc w:val="right"/>
              <w:spacing w:after="0"/>
              <w:rPr>
                <w:sz w:val="20"/>
                <w:szCs w:val="20"/>
                <w:color w:val="auto"/>
              </w:rPr>
            </w:pPr>
            <w:r>
              <w:rPr>
                <w:rFonts w:ascii="Arial" w:cs="Arial" w:eastAsia="Arial" w:hAnsi="Arial"/>
                <w:sz w:val="19"/>
                <w:szCs w:val="19"/>
                <w:color w:val="auto"/>
              </w:rPr>
              <w:t>183</w:t>
            </w:r>
          </w:p>
        </w:tc>
      </w:tr>
      <w:tr>
        <w:trPr>
          <w:trHeight w:val="275"/>
        </w:trPr>
        <w:tc>
          <w:tcPr>
            <w:tcW w:w="520" w:type="dxa"/>
            <w:vAlign w:val="bottom"/>
          </w:tcPr>
          <w:p>
            <w:pPr>
              <w:spacing w:after="0"/>
              <w:rPr>
                <w:sz w:val="20"/>
                <w:szCs w:val="20"/>
                <w:color w:val="auto"/>
              </w:rPr>
            </w:pPr>
            <w:r>
              <w:rPr>
                <w:rFonts w:ascii="Arial" w:cs="Arial" w:eastAsia="Arial" w:hAnsi="Arial"/>
                <w:sz w:val="19"/>
                <w:szCs w:val="19"/>
                <w:color w:val="auto"/>
              </w:rPr>
              <w:t>12.05</w:t>
            </w:r>
          </w:p>
        </w:tc>
        <w:tc>
          <w:tcPr>
            <w:tcW w:w="3040" w:type="dxa"/>
            <w:vAlign w:val="bottom"/>
          </w:tcPr>
          <w:p>
            <w:pPr>
              <w:ind w:left="100"/>
              <w:spacing w:after="0"/>
              <w:rPr>
                <w:sz w:val="20"/>
                <w:szCs w:val="20"/>
                <w:color w:val="auto"/>
              </w:rPr>
            </w:pPr>
            <w:r>
              <w:rPr>
                <w:rFonts w:ascii="Arial" w:cs="Arial" w:eastAsia="Arial" w:hAnsi="Arial"/>
                <w:sz w:val="19"/>
                <w:szCs w:val="19"/>
                <w:color w:val="auto"/>
              </w:rPr>
              <w:t>Subrogation</w:t>
            </w:r>
          </w:p>
        </w:tc>
        <w:tc>
          <w:tcPr>
            <w:tcW w:w="7060" w:type="dxa"/>
            <w:vAlign w:val="bottom"/>
          </w:tcPr>
          <w:p>
            <w:pPr>
              <w:jc w:val="right"/>
              <w:spacing w:after="0"/>
              <w:rPr>
                <w:sz w:val="20"/>
                <w:szCs w:val="20"/>
                <w:color w:val="auto"/>
              </w:rPr>
            </w:pPr>
            <w:r>
              <w:rPr>
                <w:rFonts w:ascii="Arial" w:cs="Arial" w:eastAsia="Arial" w:hAnsi="Arial"/>
                <w:sz w:val="19"/>
                <w:szCs w:val="19"/>
                <w:color w:val="auto"/>
              </w:rPr>
              <w:t>183</w:t>
            </w:r>
          </w:p>
        </w:tc>
      </w:tr>
      <w:tr>
        <w:trPr>
          <w:trHeight w:val="275"/>
        </w:trPr>
        <w:tc>
          <w:tcPr>
            <w:tcW w:w="520" w:type="dxa"/>
            <w:vAlign w:val="bottom"/>
          </w:tcPr>
          <w:p>
            <w:pPr>
              <w:spacing w:after="0"/>
              <w:rPr>
                <w:sz w:val="20"/>
                <w:szCs w:val="20"/>
                <w:color w:val="auto"/>
              </w:rPr>
            </w:pPr>
            <w:r>
              <w:rPr>
                <w:rFonts w:ascii="Arial" w:cs="Arial" w:eastAsia="Arial" w:hAnsi="Arial"/>
                <w:sz w:val="19"/>
                <w:szCs w:val="19"/>
                <w:color w:val="auto"/>
              </w:rPr>
              <w:t>12.06</w:t>
            </w:r>
          </w:p>
        </w:tc>
        <w:tc>
          <w:tcPr>
            <w:tcW w:w="3040" w:type="dxa"/>
            <w:vAlign w:val="bottom"/>
          </w:tcPr>
          <w:p>
            <w:pPr>
              <w:ind w:left="100"/>
              <w:spacing w:after="0"/>
              <w:rPr>
                <w:sz w:val="20"/>
                <w:szCs w:val="20"/>
                <w:color w:val="auto"/>
              </w:rPr>
            </w:pPr>
            <w:r>
              <w:rPr>
                <w:rFonts w:ascii="Arial" w:cs="Arial" w:eastAsia="Arial" w:hAnsi="Arial"/>
                <w:sz w:val="19"/>
                <w:szCs w:val="19"/>
                <w:color w:val="auto"/>
              </w:rPr>
              <w:t>Termination; Reinstatement</w:t>
            </w:r>
          </w:p>
        </w:tc>
        <w:tc>
          <w:tcPr>
            <w:tcW w:w="7060" w:type="dxa"/>
            <w:vAlign w:val="bottom"/>
          </w:tcPr>
          <w:p>
            <w:pPr>
              <w:jc w:val="right"/>
              <w:spacing w:after="0"/>
              <w:rPr>
                <w:sz w:val="20"/>
                <w:szCs w:val="20"/>
                <w:color w:val="auto"/>
              </w:rPr>
            </w:pPr>
            <w:r>
              <w:rPr>
                <w:rFonts w:ascii="Arial" w:cs="Arial" w:eastAsia="Arial" w:hAnsi="Arial"/>
                <w:sz w:val="19"/>
                <w:szCs w:val="19"/>
                <w:color w:val="auto"/>
              </w:rPr>
              <w:t>183</w:t>
            </w:r>
          </w:p>
        </w:tc>
      </w:tr>
      <w:tr>
        <w:trPr>
          <w:trHeight w:val="275"/>
        </w:trPr>
        <w:tc>
          <w:tcPr>
            <w:tcW w:w="520" w:type="dxa"/>
            <w:vAlign w:val="bottom"/>
          </w:tcPr>
          <w:p>
            <w:pPr>
              <w:spacing w:after="0"/>
              <w:rPr>
                <w:sz w:val="20"/>
                <w:szCs w:val="20"/>
                <w:color w:val="auto"/>
              </w:rPr>
            </w:pPr>
            <w:r>
              <w:rPr>
                <w:rFonts w:ascii="Arial" w:cs="Arial" w:eastAsia="Arial" w:hAnsi="Arial"/>
                <w:sz w:val="19"/>
                <w:szCs w:val="19"/>
                <w:color w:val="auto"/>
              </w:rPr>
              <w:t>12.07</w:t>
            </w:r>
          </w:p>
        </w:tc>
        <w:tc>
          <w:tcPr>
            <w:tcW w:w="3040" w:type="dxa"/>
            <w:vAlign w:val="bottom"/>
          </w:tcPr>
          <w:p>
            <w:pPr>
              <w:ind w:left="100"/>
              <w:spacing w:after="0"/>
              <w:rPr>
                <w:sz w:val="20"/>
                <w:szCs w:val="20"/>
                <w:color w:val="auto"/>
              </w:rPr>
            </w:pPr>
            <w:r>
              <w:rPr>
                <w:rFonts w:ascii="Arial" w:cs="Arial" w:eastAsia="Arial" w:hAnsi="Arial"/>
                <w:sz w:val="19"/>
                <w:szCs w:val="19"/>
                <w:color w:val="auto"/>
              </w:rPr>
              <w:t>Subordination</w:t>
            </w:r>
          </w:p>
        </w:tc>
        <w:tc>
          <w:tcPr>
            <w:tcW w:w="7060" w:type="dxa"/>
            <w:vAlign w:val="bottom"/>
          </w:tcPr>
          <w:p>
            <w:pPr>
              <w:jc w:val="right"/>
              <w:spacing w:after="0"/>
              <w:rPr>
                <w:sz w:val="20"/>
                <w:szCs w:val="20"/>
                <w:color w:val="auto"/>
              </w:rPr>
            </w:pPr>
            <w:r>
              <w:rPr>
                <w:rFonts w:ascii="Arial" w:cs="Arial" w:eastAsia="Arial" w:hAnsi="Arial"/>
                <w:sz w:val="19"/>
                <w:szCs w:val="19"/>
                <w:color w:val="auto"/>
              </w:rPr>
              <w:t>184</w:t>
            </w:r>
          </w:p>
        </w:tc>
      </w:tr>
      <w:tr>
        <w:trPr>
          <w:trHeight w:val="275"/>
        </w:trPr>
        <w:tc>
          <w:tcPr>
            <w:tcW w:w="520" w:type="dxa"/>
            <w:vAlign w:val="bottom"/>
          </w:tcPr>
          <w:p>
            <w:pPr>
              <w:spacing w:after="0"/>
              <w:rPr>
                <w:sz w:val="20"/>
                <w:szCs w:val="20"/>
                <w:color w:val="auto"/>
              </w:rPr>
            </w:pPr>
            <w:r>
              <w:rPr>
                <w:rFonts w:ascii="Arial" w:cs="Arial" w:eastAsia="Arial" w:hAnsi="Arial"/>
                <w:sz w:val="19"/>
                <w:szCs w:val="19"/>
                <w:color w:val="auto"/>
              </w:rPr>
              <w:t>12.08</w:t>
            </w:r>
          </w:p>
        </w:tc>
        <w:tc>
          <w:tcPr>
            <w:tcW w:w="3040" w:type="dxa"/>
            <w:vAlign w:val="bottom"/>
          </w:tcPr>
          <w:p>
            <w:pPr>
              <w:ind w:left="100"/>
              <w:spacing w:after="0"/>
              <w:rPr>
                <w:sz w:val="20"/>
                <w:szCs w:val="20"/>
                <w:color w:val="auto"/>
              </w:rPr>
            </w:pPr>
            <w:r>
              <w:rPr>
                <w:rFonts w:ascii="Arial" w:cs="Arial" w:eastAsia="Arial" w:hAnsi="Arial"/>
                <w:sz w:val="19"/>
                <w:szCs w:val="19"/>
                <w:color w:val="auto"/>
              </w:rPr>
              <w:t>Stay of Acceleration</w:t>
            </w:r>
          </w:p>
        </w:tc>
        <w:tc>
          <w:tcPr>
            <w:tcW w:w="7060" w:type="dxa"/>
            <w:vAlign w:val="bottom"/>
          </w:tcPr>
          <w:p>
            <w:pPr>
              <w:jc w:val="right"/>
              <w:spacing w:after="0"/>
              <w:rPr>
                <w:sz w:val="20"/>
                <w:szCs w:val="20"/>
                <w:color w:val="auto"/>
              </w:rPr>
            </w:pPr>
            <w:r>
              <w:rPr>
                <w:rFonts w:ascii="Arial" w:cs="Arial" w:eastAsia="Arial" w:hAnsi="Arial"/>
                <w:sz w:val="19"/>
                <w:szCs w:val="19"/>
                <w:color w:val="auto"/>
              </w:rPr>
              <w:t>184</w:t>
            </w:r>
          </w:p>
        </w:tc>
      </w:tr>
      <w:tr>
        <w:trPr>
          <w:trHeight w:val="275"/>
        </w:trPr>
        <w:tc>
          <w:tcPr>
            <w:tcW w:w="520" w:type="dxa"/>
            <w:vAlign w:val="bottom"/>
          </w:tcPr>
          <w:p>
            <w:pPr>
              <w:spacing w:after="0"/>
              <w:rPr>
                <w:sz w:val="20"/>
                <w:szCs w:val="20"/>
                <w:color w:val="auto"/>
              </w:rPr>
            </w:pPr>
            <w:r>
              <w:rPr>
                <w:rFonts w:ascii="Arial" w:cs="Arial" w:eastAsia="Arial" w:hAnsi="Arial"/>
                <w:sz w:val="19"/>
                <w:szCs w:val="19"/>
                <w:color w:val="auto"/>
              </w:rPr>
              <w:t>12.09</w:t>
            </w:r>
          </w:p>
        </w:tc>
        <w:tc>
          <w:tcPr>
            <w:tcW w:w="3040" w:type="dxa"/>
            <w:vAlign w:val="bottom"/>
          </w:tcPr>
          <w:p>
            <w:pPr>
              <w:ind w:left="100"/>
              <w:spacing w:after="0"/>
              <w:rPr>
                <w:sz w:val="20"/>
                <w:szCs w:val="20"/>
                <w:color w:val="auto"/>
              </w:rPr>
            </w:pPr>
            <w:r>
              <w:rPr>
                <w:rFonts w:ascii="Arial" w:cs="Arial" w:eastAsia="Arial" w:hAnsi="Arial"/>
                <w:sz w:val="19"/>
                <w:szCs w:val="19"/>
                <w:color w:val="auto"/>
              </w:rPr>
              <w:t>Condition of Borrowers</w:t>
            </w:r>
          </w:p>
        </w:tc>
        <w:tc>
          <w:tcPr>
            <w:tcW w:w="7060" w:type="dxa"/>
            <w:vAlign w:val="bottom"/>
          </w:tcPr>
          <w:p>
            <w:pPr>
              <w:jc w:val="right"/>
              <w:spacing w:after="0"/>
              <w:rPr>
                <w:sz w:val="20"/>
                <w:szCs w:val="20"/>
                <w:color w:val="auto"/>
              </w:rPr>
            </w:pPr>
            <w:r>
              <w:rPr>
                <w:rFonts w:ascii="Arial" w:cs="Arial" w:eastAsia="Arial" w:hAnsi="Arial"/>
                <w:sz w:val="19"/>
                <w:szCs w:val="19"/>
                <w:color w:val="auto"/>
              </w:rPr>
              <w:t>184</w:t>
            </w:r>
          </w:p>
        </w:tc>
      </w:tr>
      <w:tr>
        <w:trPr>
          <w:trHeight w:val="275"/>
        </w:trPr>
        <w:tc>
          <w:tcPr>
            <w:tcW w:w="520" w:type="dxa"/>
            <w:vAlign w:val="bottom"/>
          </w:tcPr>
          <w:p>
            <w:pPr>
              <w:spacing w:after="0"/>
              <w:rPr>
                <w:sz w:val="20"/>
                <w:szCs w:val="20"/>
                <w:color w:val="auto"/>
              </w:rPr>
            </w:pPr>
            <w:r>
              <w:rPr>
                <w:rFonts w:ascii="Arial" w:cs="Arial" w:eastAsia="Arial" w:hAnsi="Arial"/>
                <w:sz w:val="19"/>
                <w:szCs w:val="19"/>
                <w:color w:val="auto"/>
              </w:rPr>
              <w:t>12.10</w:t>
            </w:r>
          </w:p>
        </w:tc>
        <w:tc>
          <w:tcPr>
            <w:tcW w:w="3040" w:type="dxa"/>
            <w:vAlign w:val="bottom"/>
          </w:tcPr>
          <w:p>
            <w:pPr>
              <w:ind w:left="100"/>
              <w:spacing w:after="0"/>
              <w:rPr>
                <w:sz w:val="20"/>
                <w:szCs w:val="20"/>
                <w:color w:val="auto"/>
              </w:rPr>
            </w:pPr>
            <w:r>
              <w:rPr>
                <w:rFonts w:ascii="Arial" w:cs="Arial" w:eastAsia="Arial" w:hAnsi="Arial"/>
                <w:sz w:val="19"/>
                <w:szCs w:val="19"/>
                <w:color w:val="auto"/>
              </w:rPr>
              <w:t>Keepwell</w:t>
            </w:r>
          </w:p>
        </w:tc>
        <w:tc>
          <w:tcPr>
            <w:tcW w:w="7060" w:type="dxa"/>
            <w:vAlign w:val="bottom"/>
          </w:tcPr>
          <w:p>
            <w:pPr>
              <w:jc w:val="right"/>
              <w:spacing w:after="0"/>
              <w:rPr>
                <w:sz w:val="20"/>
                <w:szCs w:val="20"/>
                <w:color w:val="auto"/>
              </w:rPr>
            </w:pPr>
            <w:r>
              <w:rPr>
                <w:rFonts w:ascii="Arial" w:cs="Arial" w:eastAsia="Arial" w:hAnsi="Arial"/>
                <w:sz w:val="19"/>
                <w:szCs w:val="19"/>
                <w:color w:val="auto"/>
              </w:rPr>
              <w:t>184</w:t>
            </w:r>
          </w:p>
        </w:tc>
      </w:tr>
      <w:tr>
        <w:trPr>
          <w:trHeight w:val="275"/>
        </w:trPr>
        <w:tc>
          <w:tcPr>
            <w:tcW w:w="520" w:type="dxa"/>
            <w:vAlign w:val="bottom"/>
          </w:tcPr>
          <w:p>
            <w:pPr>
              <w:spacing w:after="0"/>
              <w:rPr>
                <w:sz w:val="20"/>
                <w:szCs w:val="20"/>
                <w:color w:val="auto"/>
              </w:rPr>
            </w:pPr>
            <w:r>
              <w:rPr>
                <w:rFonts w:ascii="Arial" w:cs="Arial" w:eastAsia="Arial" w:hAnsi="Arial"/>
                <w:sz w:val="19"/>
                <w:szCs w:val="19"/>
                <w:color w:val="auto"/>
              </w:rPr>
              <w:t>12.11</w:t>
            </w:r>
          </w:p>
        </w:tc>
        <w:tc>
          <w:tcPr>
            <w:tcW w:w="3040" w:type="dxa"/>
            <w:vAlign w:val="bottom"/>
          </w:tcPr>
          <w:p>
            <w:pPr>
              <w:ind w:left="80"/>
              <w:spacing w:after="0"/>
              <w:rPr>
                <w:sz w:val="20"/>
                <w:szCs w:val="20"/>
                <w:color w:val="auto"/>
              </w:rPr>
            </w:pPr>
            <w:r>
              <w:rPr>
                <w:rFonts w:ascii="Arial" w:cs="Arial" w:eastAsia="Arial" w:hAnsi="Arial"/>
                <w:sz w:val="19"/>
                <w:szCs w:val="19"/>
                <w:color w:val="auto"/>
              </w:rPr>
              <w:t>Limitation of Guaranty</w:t>
            </w:r>
          </w:p>
        </w:tc>
        <w:tc>
          <w:tcPr>
            <w:tcW w:w="7060" w:type="dxa"/>
            <w:vAlign w:val="bottom"/>
          </w:tcPr>
          <w:p>
            <w:pPr>
              <w:jc w:val="right"/>
              <w:spacing w:after="0"/>
              <w:rPr>
                <w:sz w:val="20"/>
                <w:szCs w:val="20"/>
                <w:color w:val="auto"/>
              </w:rPr>
            </w:pPr>
            <w:r>
              <w:rPr>
                <w:rFonts w:ascii="Arial" w:cs="Arial" w:eastAsia="Arial" w:hAnsi="Arial"/>
                <w:sz w:val="19"/>
                <w:szCs w:val="19"/>
                <w:color w:val="auto"/>
              </w:rPr>
              <w:t>184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-v-</w:t>
      </w:r>
    </w:p>
    <w:p>
      <w:pPr>
        <w:sectPr>
          <w:pgSz w:w="11900" w:h="16838" w:orient="portrait"/>
          <w:cols w:equalWidth="0" w:num="1">
            <w:col w:w="11060"/>
          </w:cols>
          <w:pgMar w:left="400" w:top="118" w:right="439" w:bottom="1440" w:gutter="0" w:footer="0" w:header="0"/>
        </w:sectPr>
      </w:pPr>
    </w:p>
    <w:bookmarkStart w:id="118" w:name="page119"/>
    <w:bookmarkEnd w:id="118"/>
    <w:tbl>
      <w:tblPr>
        <w:tblLayout w:type="fixed"/>
        <w:tblInd w:w="0" w:type="dxa"/>
        <w:tblCellMar>
          <w:top w:w="0" w:type="dxa"/>
          <w:left w:w="0" w:type="dxa"/>
          <w:bottom w:w="0" w:type="dxa"/>
          <w:right w:w="0" w:type="dxa"/>
        </w:tblCellMar>
      </w:tblPr>
      <w:tr>
        <w:trPr>
          <w:trHeight w:val="245"/>
        </w:trPr>
        <w:tc>
          <w:tcPr>
            <w:tcW w:w="1340" w:type="dxa"/>
            <w:vAlign w:val="bottom"/>
          </w:tcPr>
          <w:p>
            <w:pPr>
              <w:spacing w:after="0"/>
              <w:rPr>
                <w:sz w:val="20"/>
                <w:szCs w:val="20"/>
                <w:color w:val="auto"/>
              </w:rPr>
            </w:pPr>
            <w:r>
              <w:rPr>
                <w:rFonts w:ascii="Arial" w:cs="Arial" w:eastAsia="Arial" w:hAnsi="Arial"/>
                <w:sz w:val="19"/>
                <w:szCs w:val="19"/>
                <w:color w:val="auto"/>
              </w:rPr>
              <w:t>SCHEDULES</w:t>
            </w:r>
          </w:p>
        </w:tc>
        <w:tc>
          <w:tcPr>
            <w:tcW w:w="5900" w:type="dxa"/>
            <w:vAlign w:val="bottom"/>
          </w:tcPr>
          <w:p>
            <w:pPr>
              <w:spacing w:after="0"/>
              <w:rPr>
                <w:sz w:val="21"/>
                <w:szCs w:val="21"/>
                <w:color w:val="auto"/>
              </w:rPr>
            </w:pPr>
          </w:p>
        </w:tc>
      </w:tr>
      <w:tr>
        <w:trPr>
          <w:trHeight w:val="485"/>
        </w:trPr>
        <w:tc>
          <w:tcPr>
            <w:tcW w:w="1340" w:type="dxa"/>
            <w:vAlign w:val="bottom"/>
          </w:tcPr>
          <w:p>
            <w:pPr>
              <w:spacing w:after="0"/>
              <w:rPr>
                <w:sz w:val="20"/>
                <w:szCs w:val="20"/>
                <w:color w:val="auto"/>
              </w:rPr>
            </w:pPr>
            <w:r>
              <w:rPr>
                <w:rFonts w:ascii="Arial" w:cs="Arial" w:eastAsia="Arial" w:hAnsi="Arial"/>
                <w:sz w:val="19"/>
                <w:szCs w:val="19"/>
                <w:color w:val="auto"/>
              </w:rPr>
              <w:t>1.03</w:t>
            </w:r>
          </w:p>
        </w:tc>
        <w:tc>
          <w:tcPr>
            <w:tcW w:w="5900" w:type="dxa"/>
            <w:vAlign w:val="bottom"/>
          </w:tcPr>
          <w:p>
            <w:pPr>
              <w:ind w:left="840"/>
              <w:spacing w:after="0"/>
              <w:rPr>
                <w:sz w:val="20"/>
                <w:szCs w:val="20"/>
                <w:color w:val="auto"/>
              </w:rPr>
            </w:pPr>
            <w:r>
              <w:rPr>
                <w:rFonts w:ascii="Arial" w:cs="Arial" w:eastAsia="Arial" w:hAnsi="Arial"/>
                <w:sz w:val="19"/>
                <w:szCs w:val="19"/>
                <w:color w:val="auto"/>
              </w:rPr>
              <w:t>Restricted and Unrestricted Subsidiaries</w:t>
            </w:r>
          </w:p>
        </w:tc>
      </w:tr>
      <w:tr>
        <w:trPr>
          <w:trHeight w:val="275"/>
        </w:trPr>
        <w:tc>
          <w:tcPr>
            <w:tcW w:w="1340" w:type="dxa"/>
            <w:vAlign w:val="bottom"/>
          </w:tcPr>
          <w:p>
            <w:pPr>
              <w:spacing w:after="0"/>
              <w:rPr>
                <w:sz w:val="20"/>
                <w:szCs w:val="20"/>
                <w:color w:val="auto"/>
              </w:rPr>
            </w:pPr>
            <w:r>
              <w:rPr>
                <w:rFonts w:ascii="Arial" w:cs="Arial" w:eastAsia="Arial" w:hAnsi="Arial"/>
                <w:sz w:val="19"/>
                <w:szCs w:val="19"/>
                <w:color w:val="auto"/>
              </w:rPr>
              <w:t>2.01</w:t>
            </w:r>
          </w:p>
        </w:tc>
        <w:tc>
          <w:tcPr>
            <w:tcW w:w="5900" w:type="dxa"/>
            <w:vAlign w:val="bottom"/>
          </w:tcPr>
          <w:p>
            <w:pPr>
              <w:ind w:left="840"/>
              <w:spacing w:after="0"/>
              <w:rPr>
                <w:sz w:val="20"/>
                <w:szCs w:val="20"/>
                <w:color w:val="auto"/>
              </w:rPr>
            </w:pPr>
            <w:r>
              <w:rPr>
                <w:rFonts w:ascii="Arial" w:cs="Arial" w:eastAsia="Arial" w:hAnsi="Arial"/>
                <w:sz w:val="19"/>
                <w:szCs w:val="19"/>
                <w:color w:val="auto"/>
              </w:rPr>
              <w:t>Revolving Credit Commitments and Applicable Percentages</w:t>
            </w:r>
          </w:p>
        </w:tc>
      </w:tr>
      <w:tr>
        <w:trPr>
          <w:trHeight w:val="275"/>
        </w:trPr>
        <w:tc>
          <w:tcPr>
            <w:tcW w:w="1340" w:type="dxa"/>
            <w:vAlign w:val="bottom"/>
          </w:tcPr>
          <w:p>
            <w:pPr>
              <w:spacing w:after="0"/>
              <w:rPr>
                <w:sz w:val="20"/>
                <w:szCs w:val="20"/>
                <w:color w:val="auto"/>
              </w:rPr>
            </w:pPr>
            <w:r>
              <w:rPr>
                <w:rFonts w:ascii="Arial" w:cs="Arial" w:eastAsia="Arial" w:hAnsi="Arial"/>
                <w:sz w:val="19"/>
                <w:szCs w:val="19"/>
                <w:color w:val="auto"/>
              </w:rPr>
              <w:t>4.05</w:t>
            </w:r>
          </w:p>
        </w:tc>
        <w:tc>
          <w:tcPr>
            <w:tcW w:w="5900" w:type="dxa"/>
            <w:vAlign w:val="bottom"/>
          </w:tcPr>
          <w:p>
            <w:pPr>
              <w:ind w:left="840"/>
              <w:spacing w:after="0"/>
              <w:rPr>
                <w:sz w:val="20"/>
                <w:szCs w:val="20"/>
                <w:color w:val="auto"/>
              </w:rPr>
            </w:pPr>
            <w:r>
              <w:rPr>
                <w:rFonts w:ascii="Arial" w:cs="Arial" w:eastAsia="Arial" w:hAnsi="Arial"/>
                <w:sz w:val="19"/>
                <w:szCs w:val="19"/>
                <w:color w:val="auto"/>
              </w:rPr>
              <w:t>Information Regarding Collateral</w:t>
            </w:r>
          </w:p>
        </w:tc>
      </w:tr>
      <w:tr>
        <w:trPr>
          <w:trHeight w:val="275"/>
        </w:trPr>
        <w:tc>
          <w:tcPr>
            <w:tcW w:w="1340" w:type="dxa"/>
            <w:vAlign w:val="bottom"/>
          </w:tcPr>
          <w:p>
            <w:pPr>
              <w:spacing w:after="0"/>
              <w:rPr>
                <w:sz w:val="20"/>
                <w:szCs w:val="20"/>
                <w:color w:val="auto"/>
              </w:rPr>
            </w:pPr>
            <w:r>
              <w:rPr>
                <w:rFonts w:ascii="Arial" w:cs="Arial" w:eastAsia="Arial" w:hAnsi="Arial"/>
                <w:sz w:val="19"/>
                <w:szCs w:val="19"/>
                <w:color w:val="auto"/>
              </w:rPr>
              <w:t>6.06</w:t>
            </w:r>
          </w:p>
        </w:tc>
        <w:tc>
          <w:tcPr>
            <w:tcW w:w="5900" w:type="dxa"/>
            <w:vAlign w:val="bottom"/>
          </w:tcPr>
          <w:p>
            <w:pPr>
              <w:ind w:left="840"/>
              <w:spacing w:after="0"/>
              <w:rPr>
                <w:sz w:val="20"/>
                <w:szCs w:val="20"/>
                <w:color w:val="auto"/>
              </w:rPr>
            </w:pPr>
            <w:r>
              <w:rPr>
                <w:rFonts w:ascii="Arial" w:cs="Arial" w:eastAsia="Arial" w:hAnsi="Arial"/>
                <w:sz w:val="19"/>
                <w:szCs w:val="19"/>
                <w:color w:val="auto"/>
              </w:rPr>
              <w:t>Litigation</w:t>
            </w:r>
          </w:p>
        </w:tc>
      </w:tr>
      <w:tr>
        <w:trPr>
          <w:trHeight w:val="275"/>
        </w:trPr>
        <w:tc>
          <w:tcPr>
            <w:tcW w:w="1340" w:type="dxa"/>
            <w:vAlign w:val="bottom"/>
          </w:tcPr>
          <w:p>
            <w:pPr>
              <w:spacing w:after="0"/>
              <w:rPr>
                <w:sz w:val="20"/>
                <w:szCs w:val="20"/>
                <w:color w:val="auto"/>
              </w:rPr>
            </w:pPr>
            <w:r>
              <w:rPr>
                <w:rFonts w:ascii="Arial" w:cs="Arial" w:eastAsia="Arial" w:hAnsi="Arial"/>
                <w:sz w:val="19"/>
                <w:szCs w:val="19"/>
                <w:color w:val="auto"/>
              </w:rPr>
              <w:t>6.08</w:t>
            </w:r>
          </w:p>
        </w:tc>
        <w:tc>
          <w:tcPr>
            <w:tcW w:w="5900" w:type="dxa"/>
            <w:vAlign w:val="bottom"/>
          </w:tcPr>
          <w:p>
            <w:pPr>
              <w:ind w:left="840"/>
              <w:spacing w:after="0"/>
              <w:rPr>
                <w:sz w:val="20"/>
                <w:szCs w:val="20"/>
                <w:color w:val="auto"/>
              </w:rPr>
            </w:pPr>
            <w:r>
              <w:rPr>
                <w:rFonts w:ascii="Arial" w:cs="Arial" w:eastAsia="Arial" w:hAnsi="Arial"/>
                <w:sz w:val="19"/>
                <w:szCs w:val="19"/>
                <w:color w:val="auto"/>
              </w:rPr>
              <w:t>Owned and Ground Lease Real Property</w:t>
            </w:r>
          </w:p>
        </w:tc>
      </w:tr>
      <w:tr>
        <w:trPr>
          <w:trHeight w:val="275"/>
        </w:trPr>
        <w:tc>
          <w:tcPr>
            <w:tcW w:w="1340" w:type="dxa"/>
            <w:vAlign w:val="bottom"/>
          </w:tcPr>
          <w:p>
            <w:pPr>
              <w:spacing w:after="0"/>
              <w:rPr>
                <w:sz w:val="20"/>
                <w:szCs w:val="20"/>
                <w:color w:val="auto"/>
              </w:rPr>
            </w:pPr>
            <w:r>
              <w:rPr>
                <w:rFonts w:ascii="Arial" w:cs="Arial" w:eastAsia="Arial" w:hAnsi="Arial"/>
                <w:sz w:val="19"/>
                <w:szCs w:val="19"/>
                <w:color w:val="auto"/>
              </w:rPr>
              <w:t>6.09</w:t>
            </w:r>
          </w:p>
        </w:tc>
        <w:tc>
          <w:tcPr>
            <w:tcW w:w="5900" w:type="dxa"/>
            <w:vAlign w:val="bottom"/>
          </w:tcPr>
          <w:p>
            <w:pPr>
              <w:ind w:left="840"/>
              <w:spacing w:after="0"/>
              <w:rPr>
                <w:sz w:val="20"/>
                <w:szCs w:val="20"/>
                <w:color w:val="auto"/>
              </w:rPr>
            </w:pPr>
            <w:r>
              <w:rPr>
                <w:rFonts w:ascii="Arial" w:cs="Arial" w:eastAsia="Arial" w:hAnsi="Arial"/>
                <w:sz w:val="19"/>
                <w:szCs w:val="19"/>
                <w:color w:val="auto"/>
              </w:rPr>
              <w:t>Environmental Matters</w:t>
            </w:r>
          </w:p>
        </w:tc>
      </w:tr>
      <w:tr>
        <w:trPr>
          <w:trHeight w:val="275"/>
        </w:trPr>
        <w:tc>
          <w:tcPr>
            <w:tcW w:w="1340" w:type="dxa"/>
            <w:vAlign w:val="bottom"/>
          </w:tcPr>
          <w:p>
            <w:pPr>
              <w:spacing w:after="0"/>
              <w:rPr>
                <w:sz w:val="20"/>
                <w:szCs w:val="20"/>
                <w:color w:val="auto"/>
              </w:rPr>
            </w:pPr>
            <w:r>
              <w:rPr>
                <w:rFonts w:ascii="Arial" w:cs="Arial" w:eastAsia="Arial" w:hAnsi="Arial"/>
                <w:sz w:val="19"/>
                <w:szCs w:val="19"/>
                <w:color w:val="auto"/>
              </w:rPr>
              <w:t>6.10</w:t>
            </w:r>
          </w:p>
        </w:tc>
        <w:tc>
          <w:tcPr>
            <w:tcW w:w="5900" w:type="dxa"/>
            <w:vAlign w:val="bottom"/>
          </w:tcPr>
          <w:p>
            <w:pPr>
              <w:ind w:left="840"/>
              <w:spacing w:after="0"/>
              <w:rPr>
                <w:sz w:val="20"/>
                <w:szCs w:val="20"/>
                <w:color w:val="auto"/>
              </w:rPr>
            </w:pPr>
            <w:r>
              <w:rPr>
                <w:rFonts w:ascii="Arial" w:cs="Arial" w:eastAsia="Arial" w:hAnsi="Arial"/>
                <w:sz w:val="19"/>
                <w:szCs w:val="19"/>
                <w:color w:val="auto"/>
              </w:rPr>
              <w:t>Insurance</w:t>
            </w:r>
          </w:p>
        </w:tc>
      </w:tr>
      <w:tr>
        <w:trPr>
          <w:trHeight w:val="275"/>
        </w:trPr>
        <w:tc>
          <w:tcPr>
            <w:tcW w:w="1340" w:type="dxa"/>
            <w:vAlign w:val="bottom"/>
          </w:tcPr>
          <w:p>
            <w:pPr>
              <w:spacing w:after="0"/>
              <w:rPr>
                <w:sz w:val="20"/>
                <w:szCs w:val="20"/>
                <w:color w:val="auto"/>
              </w:rPr>
            </w:pPr>
            <w:r>
              <w:rPr>
                <w:rFonts w:ascii="Arial" w:cs="Arial" w:eastAsia="Arial" w:hAnsi="Arial"/>
                <w:sz w:val="19"/>
                <w:szCs w:val="19"/>
                <w:color w:val="auto"/>
              </w:rPr>
              <w:t>6.12</w:t>
            </w:r>
          </w:p>
        </w:tc>
        <w:tc>
          <w:tcPr>
            <w:tcW w:w="5900" w:type="dxa"/>
            <w:vAlign w:val="bottom"/>
          </w:tcPr>
          <w:p>
            <w:pPr>
              <w:ind w:left="840"/>
              <w:spacing w:after="0"/>
              <w:rPr>
                <w:sz w:val="20"/>
                <w:szCs w:val="20"/>
                <w:color w:val="auto"/>
              </w:rPr>
            </w:pPr>
            <w:r>
              <w:rPr>
                <w:rFonts w:ascii="Arial" w:cs="Arial" w:eastAsia="Arial" w:hAnsi="Arial"/>
                <w:sz w:val="19"/>
                <w:szCs w:val="19"/>
                <w:color w:val="auto"/>
              </w:rPr>
              <w:t>Pension Plans</w:t>
            </w:r>
          </w:p>
        </w:tc>
      </w:tr>
      <w:tr>
        <w:trPr>
          <w:trHeight w:val="275"/>
        </w:trPr>
        <w:tc>
          <w:tcPr>
            <w:tcW w:w="1340" w:type="dxa"/>
            <w:vAlign w:val="bottom"/>
          </w:tcPr>
          <w:p>
            <w:pPr>
              <w:spacing w:after="0"/>
              <w:rPr>
                <w:sz w:val="20"/>
                <w:szCs w:val="20"/>
                <w:color w:val="auto"/>
              </w:rPr>
            </w:pPr>
            <w:r>
              <w:rPr>
                <w:rFonts w:ascii="Arial" w:cs="Arial" w:eastAsia="Arial" w:hAnsi="Arial"/>
                <w:sz w:val="19"/>
                <w:szCs w:val="19"/>
                <w:color w:val="auto"/>
              </w:rPr>
              <w:t>6.13</w:t>
            </w:r>
          </w:p>
        </w:tc>
        <w:tc>
          <w:tcPr>
            <w:tcW w:w="5900" w:type="dxa"/>
            <w:vAlign w:val="bottom"/>
          </w:tcPr>
          <w:p>
            <w:pPr>
              <w:ind w:left="840"/>
              <w:spacing w:after="0"/>
              <w:rPr>
                <w:sz w:val="20"/>
                <w:szCs w:val="20"/>
                <w:color w:val="auto"/>
              </w:rPr>
            </w:pPr>
            <w:r>
              <w:rPr>
                <w:rFonts w:ascii="Arial" w:cs="Arial" w:eastAsia="Arial" w:hAnsi="Arial"/>
                <w:sz w:val="19"/>
                <w:szCs w:val="19"/>
                <w:color w:val="auto"/>
              </w:rPr>
              <w:t>Subsidiaries and Equity Interests</w:t>
            </w:r>
          </w:p>
        </w:tc>
      </w:tr>
      <w:tr>
        <w:trPr>
          <w:trHeight w:val="275"/>
        </w:trPr>
        <w:tc>
          <w:tcPr>
            <w:tcW w:w="1340" w:type="dxa"/>
            <w:vAlign w:val="bottom"/>
          </w:tcPr>
          <w:p>
            <w:pPr>
              <w:spacing w:after="0"/>
              <w:rPr>
                <w:sz w:val="20"/>
                <w:szCs w:val="20"/>
                <w:color w:val="auto"/>
              </w:rPr>
            </w:pPr>
            <w:r>
              <w:rPr>
                <w:rFonts w:ascii="Arial" w:cs="Arial" w:eastAsia="Arial" w:hAnsi="Arial"/>
                <w:sz w:val="19"/>
                <w:szCs w:val="19"/>
                <w:color w:val="auto"/>
              </w:rPr>
              <w:t>6.18</w:t>
            </w:r>
          </w:p>
        </w:tc>
        <w:tc>
          <w:tcPr>
            <w:tcW w:w="5900" w:type="dxa"/>
            <w:vAlign w:val="bottom"/>
          </w:tcPr>
          <w:p>
            <w:pPr>
              <w:ind w:left="840"/>
              <w:spacing w:after="0"/>
              <w:rPr>
                <w:sz w:val="20"/>
                <w:szCs w:val="20"/>
                <w:color w:val="auto"/>
              </w:rPr>
            </w:pPr>
            <w:r>
              <w:rPr>
                <w:rFonts w:ascii="Arial" w:cs="Arial" w:eastAsia="Arial" w:hAnsi="Arial"/>
                <w:sz w:val="19"/>
                <w:szCs w:val="19"/>
                <w:color w:val="auto"/>
              </w:rPr>
              <w:t>Labor Matters</w:t>
            </w:r>
          </w:p>
        </w:tc>
      </w:tr>
      <w:tr>
        <w:trPr>
          <w:trHeight w:val="275"/>
        </w:trPr>
        <w:tc>
          <w:tcPr>
            <w:tcW w:w="1340" w:type="dxa"/>
            <w:vAlign w:val="bottom"/>
          </w:tcPr>
          <w:p>
            <w:pPr>
              <w:spacing w:after="0"/>
              <w:rPr>
                <w:sz w:val="20"/>
                <w:szCs w:val="20"/>
                <w:color w:val="auto"/>
              </w:rPr>
            </w:pPr>
            <w:r>
              <w:rPr>
                <w:rFonts w:ascii="Arial" w:cs="Arial" w:eastAsia="Arial" w:hAnsi="Arial"/>
                <w:sz w:val="19"/>
                <w:szCs w:val="19"/>
                <w:color w:val="auto"/>
              </w:rPr>
              <w:t>6.19</w:t>
            </w:r>
          </w:p>
        </w:tc>
        <w:tc>
          <w:tcPr>
            <w:tcW w:w="5900" w:type="dxa"/>
            <w:vAlign w:val="bottom"/>
          </w:tcPr>
          <w:p>
            <w:pPr>
              <w:ind w:left="840"/>
              <w:spacing w:after="0"/>
              <w:rPr>
                <w:sz w:val="20"/>
                <w:szCs w:val="20"/>
                <w:color w:val="auto"/>
              </w:rPr>
            </w:pPr>
            <w:r>
              <w:rPr>
                <w:rFonts w:ascii="Arial" w:cs="Arial" w:eastAsia="Arial" w:hAnsi="Arial"/>
                <w:sz w:val="19"/>
                <w:szCs w:val="19"/>
                <w:color w:val="auto"/>
                <w:w w:val="92"/>
              </w:rPr>
              <w:t>Deposit Accounts, Securities Accounts and Commodity Accounts</w:t>
            </w:r>
          </w:p>
        </w:tc>
      </w:tr>
      <w:tr>
        <w:trPr>
          <w:trHeight w:val="275"/>
        </w:trPr>
        <w:tc>
          <w:tcPr>
            <w:tcW w:w="1340" w:type="dxa"/>
            <w:vAlign w:val="bottom"/>
          </w:tcPr>
          <w:p>
            <w:pPr>
              <w:spacing w:after="0"/>
              <w:rPr>
                <w:sz w:val="20"/>
                <w:szCs w:val="20"/>
                <w:color w:val="auto"/>
              </w:rPr>
            </w:pPr>
            <w:r>
              <w:rPr>
                <w:rFonts w:ascii="Arial" w:cs="Arial" w:eastAsia="Arial" w:hAnsi="Arial"/>
                <w:sz w:val="19"/>
                <w:szCs w:val="19"/>
                <w:color w:val="auto"/>
              </w:rPr>
              <w:t>6.24</w:t>
            </w:r>
          </w:p>
        </w:tc>
        <w:tc>
          <w:tcPr>
            <w:tcW w:w="5900" w:type="dxa"/>
            <w:vAlign w:val="bottom"/>
          </w:tcPr>
          <w:p>
            <w:pPr>
              <w:ind w:left="840"/>
              <w:spacing w:after="0"/>
              <w:rPr>
                <w:sz w:val="20"/>
                <w:szCs w:val="20"/>
                <w:color w:val="auto"/>
              </w:rPr>
            </w:pPr>
            <w:r>
              <w:rPr>
                <w:rFonts w:ascii="Arial" w:cs="Arial" w:eastAsia="Arial" w:hAnsi="Arial"/>
                <w:sz w:val="19"/>
                <w:szCs w:val="19"/>
                <w:color w:val="auto"/>
              </w:rPr>
              <w:t>Material Contracts</w:t>
            </w:r>
          </w:p>
        </w:tc>
      </w:tr>
      <w:tr>
        <w:trPr>
          <w:trHeight w:val="275"/>
        </w:trPr>
        <w:tc>
          <w:tcPr>
            <w:tcW w:w="1340" w:type="dxa"/>
            <w:vAlign w:val="bottom"/>
          </w:tcPr>
          <w:p>
            <w:pPr>
              <w:spacing w:after="0"/>
              <w:rPr>
                <w:sz w:val="20"/>
                <w:szCs w:val="20"/>
                <w:color w:val="auto"/>
              </w:rPr>
            </w:pPr>
            <w:r>
              <w:rPr>
                <w:rFonts w:ascii="Arial" w:cs="Arial" w:eastAsia="Arial" w:hAnsi="Arial"/>
                <w:sz w:val="19"/>
                <w:szCs w:val="19"/>
                <w:color w:val="auto"/>
              </w:rPr>
              <w:t>6.28</w:t>
            </w:r>
          </w:p>
        </w:tc>
        <w:tc>
          <w:tcPr>
            <w:tcW w:w="5900" w:type="dxa"/>
            <w:vAlign w:val="bottom"/>
          </w:tcPr>
          <w:p>
            <w:pPr>
              <w:ind w:left="840"/>
              <w:spacing w:after="0"/>
              <w:rPr>
                <w:sz w:val="20"/>
                <w:szCs w:val="20"/>
                <w:color w:val="auto"/>
              </w:rPr>
            </w:pPr>
            <w:r>
              <w:rPr>
                <w:rFonts w:ascii="Arial" w:cs="Arial" w:eastAsia="Arial" w:hAnsi="Arial"/>
                <w:sz w:val="19"/>
                <w:szCs w:val="19"/>
                <w:color w:val="auto"/>
              </w:rPr>
              <w:t>Bonds</w:t>
            </w:r>
          </w:p>
        </w:tc>
      </w:tr>
      <w:tr>
        <w:trPr>
          <w:trHeight w:val="275"/>
        </w:trPr>
        <w:tc>
          <w:tcPr>
            <w:tcW w:w="1340" w:type="dxa"/>
            <w:vAlign w:val="bottom"/>
          </w:tcPr>
          <w:p>
            <w:pPr>
              <w:spacing w:after="0"/>
              <w:rPr>
                <w:sz w:val="20"/>
                <w:szCs w:val="20"/>
                <w:color w:val="auto"/>
              </w:rPr>
            </w:pPr>
            <w:r>
              <w:rPr>
                <w:rFonts w:ascii="Arial" w:cs="Arial" w:eastAsia="Arial" w:hAnsi="Arial"/>
                <w:sz w:val="19"/>
                <w:szCs w:val="19"/>
                <w:color w:val="auto"/>
              </w:rPr>
              <w:t>7.21</w:t>
            </w:r>
          </w:p>
        </w:tc>
        <w:tc>
          <w:tcPr>
            <w:tcW w:w="5900" w:type="dxa"/>
            <w:vAlign w:val="bottom"/>
          </w:tcPr>
          <w:p>
            <w:pPr>
              <w:ind w:left="840"/>
              <w:spacing w:after="0"/>
              <w:rPr>
                <w:sz w:val="20"/>
                <w:szCs w:val="20"/>
                <w:color w:val="auto"/>
              </w:rPr>
            </w:pPr>
            <w:r>
              <w:rPr>
                <w:rFonts w:ascii="Arial" w:cs="Arial" w:eastAsia="Arial" w:hAnsi="Arial"/>
                <w:sz w:val="19"/>
                <w:szCs w:val="19"/>
                <w:color w:val="auto"/>
              </w:rPr>
              <w:t>Post-Closing</w:t>
            </w:r>
          </w:p>
        </w:tc>
      </w:tr>
      <w:tr>
        <w:trPr>
          <w:trHeight w:val="275"/>
        </w:trPr>
        <w:tc>
          <w:tcPr>
            <w:tcW w:w="1340" w:type="dxa"/>
            <w:vAlign w:val="bottom"/>
          </w:tcPr>
          <w:p>
            <w:pPr>
              <w:spacing w:after="0"/>
              <w:rPr>
                <w:sz w:val="20"/>
                <w:szCs w:val="20"/>
                <w:color w:val="auto"/>
              </w:rPr>
            </w:pPr>
            <w:r>
              <w:rPr>
                <w:rFonts w:ascii="Arial" w:cs="Arial" w:eastAsia="Arial" w:hAnsi="Arial"/>
                <w:sz w:val="19"/>
                <w:szCs w:val="19"/>
                <w:color w:val="auto"/>
              </w:rPr>
              <w:t>8.01</w:t>
            </w:r>
          </w:p>
        </w:tc>
        <w:tc>
          <w:tcPr>
            <w:tcW w:w="5900" w:type="dxa"/>
            <w:vAlign w:val="bottom"/>
          </w:tcPr>
          <w:p>
            <w:pPr>
              <w:ind w:left="840"/>
              <w:spacing w:after="0"/>
              <w:rPr>
                <w:sz w:val="20"/>
                <w:szCs w:val="20"/>
                <w:color w:val="auto"/>
              </w:rPr>
            </w:pPr>
            <w:r>
              <w:rPr>
                <w:rFonts w:ascii="Arial" w:cs="Arial" w:eastAsia="Arial" w:hAnsi="Arial"/>
                <w:sz w:val="19"/>
                <w:szCs w:val="19"/>
                <w:color w:val="auto"/>
              </w:rPr>
              <w:t>Existing Indebtedness</w:t>
            </w:r>
          </w:p>
        </w:tc>
      </w:tr>
      <w:tr>
        <w:trPr>
          <w:trHeight w:val="275"/>
        </w:trPr>
        <w:tc>
          <w:tcPr>
            <w:tcW w:w="1340" w:type="dxa"/>
            <w:vAlign w:val="bottom"/>
          </w:tcPr>
          <w:p>
            <w:pPr>
              <w:spacing w:after="0"/>
              <w:rPr>
                <w:sz w:val="20"/>
                <w:szCs w:val="20"/>
                <w:color w:val="auto"/>
              </w:rPr>
            </w:pPr>
            <w:r>
              <w:rPr>
                <w:rFonts w:ascii="Arial" w:cs="Arial" w:eastAsia="Arial" w:hAnsi="Arial"/>
                <w:sz w:val="19"/>
                <w:szCs w:val="19"/>
                <w:color w:val="auto"/>
              </w:rPr>
              <w:t>8.02</w:t>
            </w:r>
          </w:p>
        </w:tc>
        <w:tc>
          <w:tcPr>
            <w:tcW w:w="5900" w:type="dxa"/>
            <w:vAlign w:val="bottom"/>
          </w:tcPr>
          <w:p>
            <w:pPr>
              <w:ind w:left="840"/>
              <w:spacing w:after="0"/>
              <w:rPr>
                <w:sz w:val="20"/>
                <w:szCs w:val="20"/>
                <w:color w:val="auto"/>
              </w:rPr>
            </w:pPr>
            <w:r>
              <w:rPr>
                <w:rFonts w:ascii="Arial" w:cs="Arial" w:eastAsia="Arial" w:hAnsi="Arial"/>
                <w:sz w:val="19"/>
                <w:szCs w:val="19"/>
                <w:color w:val="auto"/>
              </w:rPr>
              <w:t>Existing Liens</w:t>
            </w:r>
          </w:p>
        </w:tc>
      </w:tr>
      <w:tr>
        <w:trPr>
          <w:trHeight w:val="275"/>
        </w:trPr>
        <w:tc>
          <w:tcPr>
            <w:tcW w:w="1340" w:type="dxa"/>
            <w:vAlign w:val="bottom"/>
          </w:tcPr>
          <w:p>
            <w:pPr>
              <w:spacing w:after="0"/>
              <w:rPr>
                <w:sz w:val="20"/>
                <w:szCs w:val="20"/>
                <w:color w:val="auto"/>
              </w:rPr>
            </w:pPr>
            <w:r>
              <w:rPr>
                <w:rFonts w:ascii="Arial" w:cs="Arial" w:eastAsia="Arial" w:hAnsi="Arial"/>
                <w:sz w:val="19"/>
                <w:szCs w:val="19"/>
                <w:color w:val="auto"/>
              </w:rPr>
              <w:t>8.03</w:t>
            </w:r>
          </w:p>
        </w:tc>
        <w:tc>
          <w:tcPr>
            <w:tcW w:w="5900" w:type="dxa"/>
            <w:vAlign w:val="bottom"/>
          </w:tcPr>
          <w:p>
            <w:pPr>
              <w:ind w:left="840"/>
              <w:spacing w:after="0"/>
              <w:rPr>
                <w:sz w:val="20"/>
                <w:szCs w:val="20"/>
                <w:color w:val="auto"/>
              </w:rPr>
            </w:pPr>
            <w:r>
              <w:rPr>
                <w:rFonts w:ascii="Arial" w:cs="Arial" w:eastAsia="Arial" w:hAnsi="Arial"/>
                <w:sz w:val="19"/>
                <w:szCs w:val="19"/>
                <w:color w:val="auto"/>
              </w:rPr>
              <w:t>Existing Investments</w:t>
            </w:r>
          </w:p>
        </w:tc>
      </w:tr>
      <w:tr>
        <w:trPr>
          <w:trHeight w:val="275"/>
        </w:trPr>
        <w:tc>
          <w:tcPr>
            <w:tcW w:w="1340" w:type="dxa"/>
            <w:vAlign w:val="bottom"/>
          </w:tcPr>
          <w:p>
            <w:pPr>
              <w:spacing w:after="0"/>
              <w:rPr>
                <w:sz w:val="20"/>
                <w:szCs w:val="20"/>
                <w:color w:val="auto"/>
              </w:rPr>
            </w:pPr>
            <w:r>
              <w:rPr>
                <w:rFonts w:ascii="Arial" w:cs="Arial" w:eastAsia="Arial" w:hAnsi="Arial"/>
                <w:sz w:val="19"/>
                <w:szCs w:val="19"/>
                <w:color w:val="auto"/>
              </w:rPr>
              <w:t>11.02</w:t>
            </w:r>
          </w:p>
        </w:tc>
        <w:tc>
          <w:tcPr>
            <w:tcW w:w="5900" w:type="dxa"/>
            <w:vAlign w:val="bottom"/>
          </w:tcPr>
          <w:p>
            <w:pPr>
              <w:ind w:left="840"/>
              <w:spacing w:after="0"/>
              <w:rPr>
                <w:sz w:val="20"/>
                <w:szCs w:val="20"/>
                <w:color w:val="auto"/>
              </w:rPr>
            </w:pPr>
            <w:r>
              <w:rPr>
                <w:rFonts w:ascii="Arial" w:cs="Arial" w:eastAsia="Arial" w:hAnsi="Arial"/>
                <w:sz w:val="19"/>
                <w:szCs w:val="19"/>
                <w:color w:val="auto"/>
              </w:rPr>
              <w:t>Addresses for Notices</w:t>
            </w:r>
          </w:p>
        </w:tc>
      </w:tr>
      <w:tr>
        <w:trPr>
          <w:trHeight w:val="734"/>
        </w:trPr>
        <w:tc>
          <w:tcPr>
            <w:tcW w:w="1340" w:type="dxa"/>
            <w:vAlign w:val="bottom"/>
          </w:tcPr>
          <w:p>
            <w:pPr>
              <w:ind w:left="20"/>
              <w:spacing w:after="0"/>
              <w:rPr>
                <w:sz w:val="20"/>
                <w:szCs w:val="20"/>
                <w:color w:val="auto"/>
              </w:rPr>
            </w:pPr>
            <w:r>
              <w:rPr>
                <w:rFonts w:ascii="Arial" w:cs="Arial" w:eastAsia="Arial" w:hAnsi="Arial"/>
                <w:sz w:val="19"/>
                <w:szCs w:val="19"/>
                <w:color w:val="auto"/>
              </w:rPr>
              <w:t>EXHIBITS</w:t>
            </w:r>
          </w:p>
        </w:tc>
        <w:tc>
          <w:tcPr>
            <w:tcW w:w="5900" w:type="dxa"/>
            <w:vAlign w:val="bottom"/>
          </w:tcPr>
          <w:p>
            <w:pPr>
              <w:spacing w:after="0"/>
              <w:rPr>
                <w:sz w:val="24"/>
                <w:szCs w:val="24"/>
                <w:color w:val="auto"/>
              </w:rPr>
            </w:pPr>
          </w:p>
        </w:tc>
      </w:tr>
      <w:tr>
        <w:trPr>
          <w:trHeight w:val="275"/>
        </w:trPr>
        <w:tc>
          <w:tcPr>
            <w:tcW w:w="1340" w:type="dxa"/>
            <w:vAlign w:val="bottom"/>
          </w:tcPr>
          <w:p>
            <w:pPr>
              <w:spacing w:after="0"/>
              <w:rPr>
                <w:sz w:val="23"/>
                <w:szCs w:val="23"/>
                <w:color w:val="auto"/>
              </w:rPr>
            </w:pPr>
          </w:p>
        </w:tc>
        <w:tc>
          <w:tcPr>
            <w:tcW w:w="5900" w:type="dxa"/>
            <w:vAlign w:val="bottom"/>
          </w:tcPr>
          <w:p>
            <w:pPr>
              <w:ind w:left="240"/>
              <w:spacing w:after="0"/>
              <w:rPr>
                <w:sz w:val="20"/>
                <w:szCs w:val="20"/>
                <w:color w:val="auto"/>
              </w:rPr>
            </w:pPr>
            <w:r>
              <w:rPr>
                <w:rFonts w:ascii="Arial" w:cs="Arial" w:eastAsia="Arial" w:hAnsi="Arial"/>
                <w:sz w:val="19"/>
                <w:szCs w:val="19"/>
                <w:i w:val="1"/>
                <w:iCs w:val="1"/>
                <w:color w:val="auto"/>
              </w:rPr>
              <w:t>Form of</w:t>
            </w:r>
          </w:p>
        </w:tc>
      </w:tr>
      <w:tr>
        <w:trPr>
          <w:trHeight w:val="275"/>
        </w:trPr>
        <w:tc>
          <w:tcPr>
            <w:tcW w:w="1340" w:type="dxa"/>
            <w:vAlign w:val="bottom"/>
          </w:tcPr>
          <w:p>
            <w:pPr>
              <w:ind w:left="20"/>
              <w:spacing w:after="0"/>
              <w:rPr>
                <w:sz w:val="20"/>
                <w:szCs w:val="20"/>
                <w:color w:val="auto"/>
              </w:rPr>
            </w:pPr>
            <w:r>
              <w:rPr>
                <w:rFonts w:ascii="Arial" w:cs="Arial" w:eastAsia="Arial" w:hAnsi="Arial"/>
                <w:sz w:val="19"/>
                <w:szCs w:val="19"/>
                <w:color w:val="auto"/>
              </w:rPr>
              <w:t>A</w:t>
            </w:r>
          </w:p>
        </w:tc>
        <w:tc>
          <w:tcPr>
            <w:tcW w:w="5900" w:type="dxa"/>
            <w:vAlign w:val="bottom"/>
          </w:tcPr>
          <w:p>
            <w:pPr>
              <w:ind w:left="800"/>
              <w:spacing w:after="0"/>
              <w:rPr>
                <w:sz w:val="20"/>
                <w:szCs w:val="20"/>
                <w:color w:val="auto"/>
              </w:rPr>
            </w:pPr>
            <w:r>
              <w:rPr>
                <w:rFonts w:ascii="Arial" w:cs="Arial" w:eastAsia="Arial" w:hAnsi="Arial"/>
                <w:sz w:val="19"/>
                <w:szCs w:val="19"/>
                <w:color w:val="auto"/>
              </w:rPr>
              <w:t>Revolving Credit Loan Note</w:t>
            </w:r>
          </w:p>
        </w:tc>
      </w:tr>
      <w:tr>
        <w:trPr>
          <w:trHeight w:val="275"/>
        </w:trPr>
        <w:tc>
          <w:tcPr>
            <w:tcW w:w="1340" w:type="dxa"/>
            <w:vAlign w:val="bottom"/>
          </w:tcPr>
          <w:p>
            <w:pPr>
              <w:ind w:left="20"/>
              <w:spacing w:after="0"/>
              <w:rPr>
                <w:sz w:val="20"/>
                <w:szCs w:val="20"/>
                <w:color w:val="auto"/>
              </w:rPr>
            </w:pPr>
            <w:r>
              <w:rPr>
                <w:rFonts w:ascii="Arial" w:cs="Arial" w:eastAsia="Arial" w:hAnsi="Arial"/>
                <w:sz w:val="19"/>
                <w:szCs w:val="19"/>
                <w:color w:val="auto"/>
              </w:rPr>
              <w:t>B</w:t>
            </w:r>
          </w:p>
        </w:tc>
        <w:tc>
          <w:tcPr>
            <w:tcW w:w="5900" w:type="dxa"/>
            <w:vAlign w:val="bottom"/>
          </w:tcPr>
          <w:p>
            <w:pPr>
              <w:ind w:left="800"/>
              <w:spacing w:after="0"/>
              <w:rPr>
                <w:sz w:val="20"/>
                <w:szCs w:val="20"/>
                <w:color w:val="auto"/>
              </w:rPr>
            </w:pPr>
            <w:r>
              <w:rPr>
                <w:rFonts w:ascii="Arial" w:cs="Arial" w:eastAsia="Arial" w:hAnsi="Arial"/>
                <w:sz w:val="19"/>
                <w:szCs w:val="19"/>
                <w:color w:val="auto"/>
              </w:rPr>
              <w:t>Compliance Certificate</w:t>
            </w:r>
          </w:p>
        </w:tc>
      </w:tr>
      <w:tr>
        <w:trPr>
          <w:trHeight w:val="275"/>
        </w:trPr>
        <w:tc>
          <w:tcPr>
            <w:tcW w:w="1340" w:type="dxa"/>
            <w:vAlign w:val="bottom"/>
          </w:tcPr>
          <w:p>
            <w:pPr>
              <w:ind w:left="20"/>
              <w:spacing w:after="0"/>
              <w:rPr>
                <w:sz w:val="20"/>
                <w:szCs w:val="20"/>
                <w:color w:val="auto"/>
              </w:rPr>
            </w:pPr>
            <w:r>
              <w:rPr>
                <w:rFonts w:ascii="Arial" w:cs="Arial" w:eastAsia="Arial" w:hAnsi="Arial"/>
                <w:sz w:val="19"/>
                <w:szCs w:val="19"/>
                <w:color w:val="auto"/>
              </w:rPr>
              <w:t>C-1</w:t>
            </w:r>
          </w:p>
        </w:tc>
        <w:tc>
          <w:tcPr>
            <w:tcW w:w="5900" w:type="dxa"/>
            <w:vAlign w:val="bottom"/>
          </w:tcPr>
          <w:p>
            <w:pPr>
              <w:ind w:left="800"/>
              <w:spacing w:after="0"/>
              <w:rPr>
                <w:sz w:val="20"/>
                <w:szCs w:val="20"/>
                <w:color w:val="auto"/>
              </w:rPr>
            </w:pPr>
            <w:r>
              <w:rPr>
                <w:rFonts w:ascii="Arial" w:cs="Arial" w:eastAsia="Arial" w:hAnsi="Arial"/>
                <w:sz w:val="19"/>
                <w:szCs w:val="19"/>
                <w:color w:val="auto"/>
              </w:rPr>
              <w:t>Security Agreement</w:t>
            </w:r>
          </w:p>
        </w:tc>
      </w:tr>
      <w:tr>
        <w:trPr>
          <w:trHeight w:val="275"/>
        </w:trPr>
        <w:tc>
          <w:tcPr>
            <w:tcW w:w="1340" w:type="dxa"/>
            <w:vAlign w:val="bottom"/>
          </w:tcPr>
          <w:p>
            <w:pPr>
              <w:ind w:left="20"/>
              <w:spacing w:after="0"/>
              <w:rPr>
                <w:sz w:val="20"/>
                <w:szCs w:val="20"/>
                <w:color w:val="auto"/>
              </w:rPr>
            </w:pPr>
            <w:r>
              <w:rPr>
                <w:rFonts w:ascii="Arial" w:cs="Arial" w:eastAsia="Arial" w:hAnsi="Arial"/>
                <w:sz w:val="19"/>
                <w:szCs w:val="19"/>
                <w:color w:val="auto"/>
              </w:rPr>
              <w:t>C-2</w:t>
            </w:r>
          </w:p>
        </w:tc>
        <w:tc>
          <w:tcPr>
            <w:tcW w:w="5900" w:type="dxa"/>
            <w:vAlign w:val="bottom"/>
          </w:tcPr>
          <w:p>
            <w:pPr>
              <w:ind w:left="800"/>
              <w:spacing w:after="0"/>
              <w:rPr>
                <w:sz w:val="20"/>
                <w:szCs w:val="20"/>
                <w:color w:val="auto"/>
              </w:rPr>
            </w:pPr>
            <w:r>
              <w:rPr>
                <w:rFonts w:ascii="Arial" w:cs="Arial" w:eastAsia="Arial" w:hAnsi="Arial"/>
                <w:sz w:val="19"/>
                <w:szCs w:val="19"/>
                <w:color w:val="auto"/>
              </w:rPr>
              <w:t>Canadian Security Agreement</w:t>
            </w:r>
          </w:p>
        </w:tc>
      </w:tr>
      <w:tr>
        <w:trPr>
          <w:trHeight w:val="275"/>
        </w:trPr>
        <w:tc>
          <w:tcPr>
            <w:tcW w:w="1340" w:type="dxa"/>
            <w:vAlign w:val="bottom"/>
          </w:tcPr>
          <w:p>
            <w:pPr>
              <w:ind w:left="20"/>
              <w:spacing w:after="0"/>
              <w:rPr>
                <w:sz w:val="20"/>
                <w:szCs w:val="20"/>
                <w:color w:val="auto"/>
              </w:rPr>
            </w:pPr>
            <w:r>
              <w:rPr>
                <w:rFonts w:ascii="Arial" w:cs="Arial" w:eastAsia="Arial" w:hAnsi="Arial"/>
                <w:sz w:val="19"/>
                <w:szCs w:val="19"/>
                <w:color w:val="auto"/>
              </w:rPr>
              <w:t>D</w:t>
            </w:r>
          </w:p>
        </w:tc>
        <w:tc>
          <w:tcPr>
            <w:tcW w:w="5900" w:type="dxa"/>
            <w:vAlign w:val="bottom"/>
          </w:tcPr>
          <w:p>
            <w:pPr>
              <w:ind w:left="800"/>
              <w:spacing w:after="0"/>
              <w:rPr>
                <w:sz w:val="20"/>
                <w:szCs w:val="20"/>
                <w:color w:val="auto"/>
              </w:rPr>
            </w:pPr>
            <w:r>
              <w:rPr>
                <w:rFonts w:ascii="Arial" w:cs="Arial" w:eastAsia="Arial" w:hAnsi="Arial"/>
                <w:sz w:val="19"/>
                <w:szCs w:val="19"/>
                <w:color w:val="auto"/>
              </w:rPr>
              <w:t>Borrowing Base Certificate</w:t>
            </w:r>
          </w:p>
        </w:tc>
      </w:tr>
      <w:tr>
        <w:trPr>
          <w:trHeight w:val="275"/>
        </w:trPr>
        <w:tc>
          <w:tcPr>
            <w:tcW w:w="1340" w:type="dxa"/>
            <w:vAlign w:val="bottom"/>
          </w:tcPr>
          <w:p>
            <w:pPr>
              <w:ind w:left="20"/>
              <w:spacing w:after="0"/>
              <w:rPr>
                <w:sz w:val="20"/>
                <w:szCs w:val="20"/>
                <w:color w:val="auto"/>
              </w:rPr>
            </w:pPr>
            <w:r>
              <w:rPr>
                <w:rFonts w:ascii="Arial" w:cs="Arial" w:eastAsia="Arial" w:hAnsi="Arial"/>
                <w:sz w:val="19"/>
                <w:szCs w:val="19"/>
                <w:color w:val="auto"/>
              </w:rPr>
              <w:t>E</w:t>
            </w:r>
          </w:p>
        </w:tc>
        <w:tc>
          <w:tcPr>
            <w:tcW w:w="5900" w:type="dxa"/>
            <w:vAlign w:val="bottom"/>
          </w:tcPr>
          <w:p>
            <w:pPr>
              <w:ind w:left="800"/>
              <w:spacing w:after="0"/>
              <w:rPr>
                <w:sz w:val="20"/>
                <w:szCs w:val="20"/>
                <w:color w:val="auto"/>
              </w:rPr>
            </w:pPr>
            <w:r>
              <w:rPr>
                <w:rFonts w:ascii="Arial" w:cs="Arial" w:eastAsia="Arial" w:hAnsi="Arial"/>
                <w:sz w:val="19"/>
                <w:szCs w:val="19"/>
                <w:color w:val="auto"/>
              </w:rPr>
              <w:t>Assignment and Assumption Agreement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460"/>
        <w:spacing w:after="0"/>
        <w:rPr>
          <w:sz w:val="20"/>
          <w:szCs w:val="20"/>
          <w:color w:val="auto"/>
        </w:rPr>
      </w:pPr>
      <w:r>
        <w:rPr>
          <w:rFonts w:ascii="Arial" w:cs="Arial" w:eastAsia="Arial" w:hAnsi="Arial"/>
          <w:sz w:val="19"/>
          <w:szCs w:val="19"/>
          <w:color w:val="auto"/>
        </w:rPr>
        <w:t>-vi-</w:t>
      </w:r>
    </w:p>
    <w:p>
      <w:pPr>
        <w:sectPr>
          <w:pgSz w:w="11900" w:h="16838" w:orient="portrait"/>
          <w:cols w:equalWidth="0" w:num="1">
            <w:col w:w="10119"/>
          </w:cols>
          <w:pgMar w:left="340" w:top="1434" w:right="1440" w:bottom="1440" w:gutter="0" w:footer="0" w:header="0"/>
        </w:sectPr>
      </w:pPr>
    </w:p>
    <w:bookmarkStart w:id="119" w:name="page120"/>
    <w:bookmarkEnd w:id="119"/>
    <w:p>
      <w:pPr>
        <w:jc w:val="center"/>
        <w:spacing w:after="0"/>
        <w:rPr>
          <w:sz w:val="20"/>
          <w:szCs w:val="20"/>
          <w:color w:val="auto"/>
        </w:rPr>
      </w:pPr>
      <w:r>
        <w:rPr>
          <w:rFonts w:ascii="Arial" w:cs="Arial" w:eastAsia="Arial" w:hAnsi="Arial"/>
          <w:sz w:val="19"/>
          <w:szCs w:val="19"/>
          <w:b w:val="1"/>
          <w:bCs w:val="1"/>
          <w:color w:val="auto"/>
        </w:rPr>
        <w:t>CREDIT AGREEMENT</w:t>
      </w:r>
    </w:p>
    <w:p>
      <w:pPr>
        <w:spacing w:after="0" w:line="214"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 xml:space="preserve">This </w:t>
      </w:r>
      <w:r>
        <w:rPr>
          <w:rFonts w:ascii="Arial" w:cs="Arial" w:eastAsia="Arial" w:hAnsi="Arial"/>
          <w:sz w:val="19"/>
          <w:szCs w:val="19"/>
          <w:b w:val="1"/>
          <w:bCs w:val="1"/>
          <w:color w:val="auto"/>
        </w:rPr>
        <w:t>CREDIT AGREEMENT</w:t>
      </w:r>
      <w:r>
        <w:rPr>
          <w:rFonts w:ascii="Arial" w:cs="Arial" w:eastAsia="Arial" w:hAnsi="Arial"/>
          <w:sz w:val="19"/>
          <w:szCs w:val="19"/>
          <w:color w:val="auto"/>
        </w:rPr>
        <w:t xml:space="preserve"> (this “</w:t>
      </w:r>
      <w:r>
        <w:rPr>
          <w:rFonts w:ascii="Arial" w:cs="Arial" w:eastAsia="Arial" w:hAnsi="Arial"/>
          <w:sz w:val="19"/>
          <w:szCs w:val="19"/>
          <w:b w:val="1"/>
          <w:bCs w:val="1"/>
          <w:i w:val="1"/>
          <w:iCs w:val="1"/>
          <w:color w:val="auto"/>
        </w:rPr>
        <w:t>Agreement</w:t>
      </w:r>
      <w:r>
        <w:rPr>
          <w:rFonts w:ascii="Arial" w:cs="Arial" w:eastAsia="Arial" w:hAnsi="Arial"/>
          <w:sz w:val="19"/>
          <w:szCs w:val="19"/>
          <w:color w:val="auto"/>
        </w:rPr>
        <w:t xml:space="preserve">”) is entered into as of September 9, 2021, among </w:t>
      </w:r>
      <w:r>
        <w:rPr>
          <w:rFonts w:ascii="Arial" w:cs="Arial" w:eastAsia="Arial" w:hAnsi="Arial"/>
          <w:sz w:val="19"/>
          <w:szCs w:val="19"/>
          <w:b w:val="1"/>
          <w:bCs w:val="1"/>
          <w:color w:val="auto"/>
        </w:rPr>
        <w:t>MATRIX SERVICE COMPANY</w:t>
      </w:r>
      <w:r>
        <w:rPr>
          <w:rFonts w:ascii="Arial" w:cs="Arial" w:eastAsia="Arial" w:hAnsi="Arial"/>
          <w:sz w:val="19"/>
          <w:szCs w:val="19"/>
          <w:color w:val="auto"/>
        </w:rPr>
        <w:t>, a Delaware corporation (the “</w:t>
      </w:r>
      <w:r>
        <w:rPr>
          <w:rFonts w:ascii="Arial" w:cs="Arial" w:eastAsia="Arial" w:hAnsi="Arial"/>
          <w:sz w:val="19"/>
          <w:szCs w:val="19"/>
          <w:u w:val="single" w:color="auto"/>
          <w:color w:val="auto"/>
        </w:rPr>
        <w:t>Matrix</w:t>
      </w:r>
      <w:r>
        <w:rPr>
          <w:rFonts w:ascii="Arial" w:cs="Arial" w:eastAsia="Arial" w:hAnsi="Arial"/>
          <w:sz w:val="19"/>
          <w:szCs w:val="19"/>
          <w:color w:val="auto"/>
        </w:rPr>
        <w:t xml:space="preserve">”), </w:t>
      </w:r>
      <w:r>
        <w:rPr>
          <w:rFonts w:ascii="Arial" w:cs="Arial" w:eastAsia="Arial" w:hAnsi="Arial"/>
          <w:sz w:val="19"/>
          <w:szCs w:val="19"/>
          <w:b w:val="1"/>
          <w:bCs w:val="1"/>
          <w:color w:val="auto"/>
        </w:rPr>
        <w:t>MATRIX SERVICE INC.</w:t>
      </w:r>
      <w:r>
        <w:rPr>
          <w:rFonts w:ascii="Arial" w:cs="Arial" w:eastAsia="Arial" w:hAnsi="Arial"/>
          <w:sz w:val="19"/>
          <w:szCs w:val="19"/>
          <w:color w:val="auto"/>
        </w:rPr>
        <w:t>, an Oklahoma corporation (“</w:t>
      </w:r>
      <w:r>
        <w:rPr>
          <w:rFonts w:ascii="Arial" w:cs="Arial" w:eastAsia="Arial" w:hAnsi="Arial"/>
          <w:sz w:val="19"/>
          <w:szCs w:val="19"/>
          <w:u w:val="single" w:color="auto"/>
          <w:color w:val="auto"/>
        </w:rPr>
        <w:t>Matrix Service</w:t>
      </w:r>
      <w:r>
        <w:rPr>
          <w:rFonts w:ascii="Arial" w:cs="Arial" w:eastAsia="Arial" w:hAnsi="Arial"/>
          <w:sz w:val="19"/>
          <w:szCs w:val="19"/>
          <w:color w:val="auto"/>
        </w:rPr>
        <w:t xml:space="preserve">”), </w:t>
      </w:r>
      <w:r>
        <w:rPr>
          <w:rFonts w:ascii="Arial" w:cs="Arial" w:eastAsia="Arial" w:hAnsi="Arial"/>
          <w:sz w:val="19"/>
          <w:szCs w:val="19"/>
          <w:b w:val="1"/>
          <w:bCs w:val="1"/>
          <w:color w:val="auto"/>
        </w:rPr>
        <w:t>MATRIX PDM</w:t>
      </w:r>
      <w:r>
        <w:rPr>
          <w:rFonts w:ascii="Arial" w:cs="Arial" w:eastAsia="Arial" w:hAnsi="Arial"/>
          <w:sz w:val="19"/>
          <w:szCs w:val="19"/>
          <w:color w:val="auto"/>
        </w:rPr>
        <w:t xml:space="preserve"> </w:t>
      </w:r>
      <w:r>
        <w:rPr>
          <w:rFonts w:ascii="Arial" w:cs="Arial" w:eastAsia="Arial" w:hAnsi="Arial"/>
          <w:sz w:val="19"/>
          <w:szCs w:val="19"/>
          <w:b w:val="1"/>
          <w:bCs w:val="1"/>
          <w:color w:val="auto"/>
        </w:rPr>
        <w:t>ENGINEERING, INC.</w:t>
      </w:r>
      <w:r>
        <w:rPr>
          <w:rFonts w:ascii="Arial" w:cs="Arial" w:eastAsia="Arial" w:hAnsi="Arial"/>
          <w:sz w:val="19"/>
          <w:szCs w:val="19"/>
          <w:color w:val="auto"/>
        </w:rPr>
        <w:t>, a Delaware corporation (“</w:t>
      </w:r>
      <w:r>
        <w:rPr>
          <w:rFonts w:ascii="Arial" w:cs="Arial" w:eastAsia="Arial" w:hAnsi="Arial"/>
          <w:sz w:val="19"/>
          <w:szCs w:val="19"/>
          <w:u w:val="single" w:color="auto"/>
          <w:color w:val="auto"/>
        </w:rPr>
        <w:t>Matrix PDM Engineering</w:t>
      </w:r>
      <w:r>
        <w:rPr>
          <w:rFonts w:ascii="Arial" w:cs="Arial" w:eastAsia="Arial" w:hAnsi="Arial"/>
          <w:sz w:val="19"/>
          <w:szCs w:val="19"/>
          <w:color w:val="auto"/>
        </w:rPr>
        <w:t>”),</w:t>
      </w:r>
      <w:r>
        <w:rPr>
          <w:rFonts w:ascii="Arial" w:cs="Arial" w:eastAsia="Arial" w:hAnsi="Arial"/>
          <w:sz w:val="19"/>
          <w:szCs w:val="19"/>
          <w:b w:val="1"/>
          <w:bCs w:val="1"/>
          <w:color w:val="auto"/>
        </w:rPr>
        <w:t xml:space="preserve"> MATRIX NORTH AMERICAN CONSTRUCTION, INC.</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an Oklahoma corporation (“</w:t>
      </w:r>
      <w:r>
        <w:rPr>
          <w:rFonts w:ascii="Arial" w:cs="Arial" w:eastAsia="Arial" w:hAnsi="Arial"/>
          <w:sz w:val="19"/>
          <w:szCs w:val="19"/>
          <w:u w:val="single" w:color="auto"/>
          <w:color w:val="auto"/>
        </w:rPr>
        <w:t>Matrix Oklahoma</w:t>
      </w:r>
      <w:r>
        <w:rPr>
          <w:rFonts w:ascii="Arial" w:cs="Arial" w:eastAsia="Arial" w:hAnsi="Arial"/>
          <w:sz w:val="19"/>
          <w:szCs w:val="19"/>
          <w:color w:val="auto"/>
        </w:rPr>
        <w:t>”), together with each other Person from time to time a “US Borrower” hereunder (together with Matrix, Matrix Service, Matrix PDM Engineering and Matrix Oklahoma, may each be referred to herein individually, as a “</w:t>
      </w:r>
      <w:r>
        <w:rPr>
          <w:rFonts w:ascii="Arial" w:cs="Arial" w:eastAsia="Arial" w:hAnsi="Arial"/>
          <w:sz w:val="19"/>
          <w:szCs w:val="19"/>
          <w:u w:val="single" w:color="auto"/>
          <w:color w:val="auto"/>
        </w:rPr>
        <w:t>US Borrower</w:t>
      </w:r>
      <w:r>
        <w:rPr>
          <w:rFonts w:ascii="Arial" w:cs="Arial" w:eastAsia="Arial" w:hAnsi="Arial"/>
          <w:sz w:val="19"/>
          <w:szCs w:val="19"/>
          <w:color w:val="auto"/>
        </w:rPr>
        <w:t>” and collectively, as “</w:t>
      </w:r>
      <w:r>
        <w:rPr>
          <w:rFonts w:ascii="Arial" w:cs="Arial" w:eastAsia="Arial" w:hAnsi="Arial"/>
          <w:sz w:val="19"/>
          <w:szCs w:val="19"/>
          <w:u w:val="single" w:color="auto"/>
          <w:color w:val="auto"/>
        </w:rPr>
        <w:t>US Borrowers</w:t>
      </w:r>
      <w:r>
        <w:rPr>
          <w:rFonts w:ascii="Arial" w:cs="Arial" w:eastAsia="Arial" w:hAnsi="Arial"/>
          <w:sz w:val="19"/>
          <w:szCs w:val="19"/>
          <w:color w:val="auto"/>
        </w:rPr>
        <w:t xml:space="preserve">), </w:t>
      </w:r>
      <w:r>
        <w:rPr>
          <w:rFonts w:ascii="Arial" w:cs="Arial" w:eastAsia="Arial" w:hAnsi="Arial"/>
          <w:sz w:val="19"/>
          <w:szCs w:val="19"/>
          <w:b w:val="1"/>
          <w:bCs w:val="1"/>
          <w:color w:val="auto"/>
        </w:rPr>
        <w:t>MATRIX SERVICE CANADA ULC</w:t>
      </w:r>
      <w:r>
        <w:rPr>
          <w:rFonts w:ascii="Arial" w:cs="Arial" w:eastAsia="Arial" w:hAnsi="Arial"/>
          <w:sz w:val="19"/>
          <w:szCs w:val="19"/>
          <w:color w:val="auto"/>
        </w:rPr>
        <w:t>, an Alberta unlimited liability corporation (“</w:t>
      </w:r>
      <w:r>
        <w:rPr>
          <w:rFonts w:ascii="Arial" w:cs="Arial" w:eastAsia="Arial" w:hAnsi="Arial"/>
          <w:sz w:val="19"/>
          <w:szCs w:val="19"/>
          <w:u w:val="single" w:color="auto"/>
          <w:color w:val="auto"/>
        </w:rPr>
        <w:t>Matrix ULC</w:t>
      </w:r>
      <w:r>
        <w:rPr>
          <w:rFonts w:ascii="Arial" w:cs="Arial" w:eastAsia="Arial" w:hAnsi="Arial"/>
          <w:sz w:val="19"/>
          <w:szCs w:val="19"/>
          <w:color w:val="auto"/>
        </w:rPr>
        <w:t xml:space="preserve">”), </w:t>
      </w:r>
      <w:r>
        <w:rPr>
          <w:rFonts w:ascii="Arial" w:cs="Arial" w:eastAsia="Arial" w:hAnsi="Arial"/>
          <w:sz w:val="19"/>
          <w:szCs w:val="19"/>
          <w:b w:val="1"/>
          <w:bCs w:val="1"/>
          <w:color w:val="auto"/>
        </w:rPr>
        <w:t>MATRIX</w:t>
      </w:r>
      <w:r>
        <w:rPr>
          <w:rFonts w:ascii="Arial" w:cs="Arial" w:eastAsia="Arial" w:hAnsi="Arial"/>
          <w:sz w:val="19"/>
          <w:szCs w:val="19"/>
          <w:color w:val="auto"/>
        </w:rPr>
        <w:t xml:space="preserve"> </w:t>
      </w:r>
      <w:r>
        <w:rPr>
          <w:rFonts w:ascii="Arial" w:cs="Arial" w:eastAsia="Arial" w:hAnsi="Arial"/>
          <w:sz w:val="19"/>
          <w:szCs w:val="19"/>
          <w:b w:val="1"/>
          <w:bCs w:val="1"/>
          <w:color w:val="auto"/>
        </w:rPr>
        <w:t>SME CANADA ULC</w:t>
      </w:r>
      <w:r>
        <w:rPr>
          <w:rFonts w:ascii="Arial" w:cs="Arial" w:eastAsia="Arial" w:hAnsi="Arial"/>
          <w:sz w:val="19"/>
          <w:szCs w:val="19"/>
          <w:color w:val="auto"/>
        </w:rPr>
        <w:t>, a Nova Scotia unlimited company (“</w:t>
      </w:r>
      <w:r>
        <w:rPr>
          <w:rFonts w:ascii="Arial" w:cs="Arial" w:eastAsia="Arial" w:hAnsi="Arial"/>
          <w:sz w:val="19"/>
          <w:szCs w:val="19"/>
          <w:u w:val="single" w:color="auto"/>
          <w:color w:val="auto"/>
        </w:rPr>
        <w:t>Matrix SME Canada</w:t>
      </w:r>
      <w:r>
        <w:rPr>
          <w:rFonts w:ascii="Arial" w:cs="Arial" w:eastAsia="Arial" w:hAnsi="Arial"/>
          <w:sz w:val="19"/>
          <w:szCs w:val="19"/>
          <w:color w:val="auto"/>
        </w:rPr>
        <w:t>”),</w:t>
      </w:r>
      <w:r>
        <w:rPr>
          <w:rFonts w:ascii="Arial" w:cs="Arial" w:eastAsia="Arial" w:hAnsi="Arial"/>
          <w:sz w:val="19"/>
          <w:szCs w:val="19"/>
          <w:b w:val="1"/>
          <w:bCs w:val="1"/>
          <w:color w:val="auto"/>
        </w:rPr>
        <w:t xml:space="preserve"> MATRIX NORTH AMERICAN CONSTRUCTION LTD.</w:t>
      </w:r>
      <w:r>
        <w:rPr>
          <w:rFonts w:ascii="Arial" w:cs="Arial" w:eastAsia="Arial" w:hAnsi="Arial"/>
          <w:sz w:val="19"/>
          <w:szCs w:val="19"/>
          <w:color w:val="auto"/>
        </w:rPr>
        <w:t>, an Ontario corporation (“</w:t>
      </w:r>
      <w:r>
        <w:rPr>
          <w:rFonts w:ascii="Arial" w:cs="Arial" w:eastAsia="Arial" w:hAnsi="Arial"/>
          <w:sz w:val="19"/>
          <w:szCs w:val="19"/>
          <w:u w:val="single" w:color="auto"/>
          <w:color w:val="auto"/>
        </w:rPr>
        <w:t>Matrix North America</w:t>
      </w:r>
      <w:r>
        <w:rPr>
          <w:rFonts w:ascii="Arial" w:cs="Arial" w:eastAsia="Arial" w:hAnsi="Arial"/>
          <w:sz w:val="19"/>
          <w:szCs w:val="19"/>
          <w:color w:val="auto"/>
        </w:rPr>
        <w:t>”), together with each other Person from time to time a “Canadian Borrower” hereunder</w:t>
      </w:r>
      <w:r>
        <w:rPr>
          <w:rFonts w:ascii="Arial" w:cs="Arial" w:eastAsia="Arial" w:hAnsi="Arial"/>
          <w:sz w:val="19"/>
          <w:szCs w:val="19"/>
          <w:b w:val="1"/>
          <w:bCs w:val="1"/>
          <w:color w:val="auto"/>
        </w:rPr>
        <w:t xml:space="preserve"> </w:t>
      </w:r>
      <w:r>
        <w:rPr>
          <w:rFonts w:ascii="Arial" w:cs="Arial" w:eastAsia="Arial" w:hAnsi="Arial"/>
          <w:sz w:val="19"/>
          <w:szCs w:val="19"/>
          <w:color w:val="auto"/>
        </w:rPr>
        <w:t>(together with Matrix ULC, Matrix SME Canada and Matrix North America, may each be referred to herein individually, as a “</w:t>
      </w:r>
      <w:r>
        <w:rPr>
          <w:rFonts w:ascii="Arial" w:cs="Arial" w:eastAsia="Arial" w:hAnsi="Arial"/>
          <w:sz w:val="19"/>
          <w:szCs w:val="19"/>
          <w:u w:val="single" w:color="auto"/>
          <w:color w:val="auto"/>
        </w:rPr>
        <w:t>Canadian</w:t>
      </w:r>
      <w:r>
        <w:rPr>
          <w:rFonts w:ascii="Arial" w:cs="Arial" w:eastAsia="Arial" w:hAnsi="Arial"/>
          <w:sz w:val="19"/>
          <w:szCs w:val="19"/>
          <w:color w:val="auto"/>
        </w:rPr>
        <w:t xml:space="preserve"> </w:t>
      </w:r>
      <w:r>
        <w:rPr>
          <w:rFonts w:ascii="Arial" w:cs="Arial" w:eastAsia="Arial" w:hAnsi="Arial"/>
          <w:sz w:val="19"/>
          <w:szCs w:val="19"/>
          <w:u w:val="single" w:color="auto"/>
          <w:color w:val="auto"/>
        </w:rPr>
        <w:t>Borrower</w:t>
      </w:r>
      <w:r>
        <w:rPr>
          <w:rFonts w:ascii="Arial" w:cs="Arial" w:eastAsia="Arial" w:hAnsi="Arial"/>
          <w:sz w:val="19"/>
          <w:szCs w:val="19"/>
          <w:color w:val="auto"/>
        </w:rPr>
        <w:t>” and collectively, as “</w:t>
      </w:r>
      <w:r>
        <w:rPr>
          <w:rFonts w:ascii="Arial" w:cs="Arial" w:eastAsia="Arial" w:hAnsi="Arial"/>
          <w:sz w:val="19"/>
          <w:szCs w:val="19"/>
          <w:u w:val="single" w:color="auto"/>
          <w:color w:val="auto"/>
        </w:rPr>
        <w:t>Canadian Borrowers</w:t>
      </w:r>
      <w:r>
        <w:rPr>
          <w:rFonts w:ascii="Arial" w:cs="Arial" w:eastAsia="Arial" w:hAnsi="Arial"/>
          <w:sz w:val="19"/>
          <w:szCs w:val="19"/>
          <w:color w:val="auto"/>
        </w:rPr>
        <w:t>” and together with US Borrowers, may each be referred to herein individually, as a “</w:t>
      </w:r>
      <w:r>
        <w:rPr>
          <w:rFonts w:ascii="Arial" w:cs="Arial" w:eastAsia="Arial" w:hAnsi="Arial"/>
          <w:sz w:val="19"/>
          <w:szCs w:val="19"/>
          <w:u w:val="single" w:color="auto"/>
          <w:color w:val="auto"/>
        </w:rPr>
        <w:t>Borrower</w:t>
      </w:r>
      <w:r>
        <w:rPr>
          <w:rFonts w:ascii="Arial" w:cs="Arial" w:eastAsia="Arial" w:hAnsi="Arial"/>
          <w:sz w:val="19"/>
          <w:szCs w:val="19"/>
          <w:color w:val="auto"/>
        </w:rPr>
        <w:t>” and collectively, as “</w:t>
      </w:r>
      <w:r>
        <w:rPr>
          <w:rFonts w:ascii="Arial" w:cs="Arial" w:eastAsia="Arial" w:hAnsi="Arial"/>
          <w:sz w:val="19"/>
          <w:szCs w:val="19"/>
          <w:u w:val="single" w:color="auto"/>
          <w:color w:val="auto"/>
        </w:rPr>
        <w:t>Borrowers</w:t>
      </w:r>
      <w:r>
        <w:rPr>
          <w:rFonts w:ascii="Arial" w:cs="Arial" w:eastAsia="Arial" w:hAnsi="Arial"/>
          <w:sz w:val="19"/>
          <w:szCs w:val="19"/>
          <w:color w:val="auto"/>
        </w:rPr>
        <w:t xml:space="preserve">”), </w:t>
      </w:r>
      <w:r>
        <w:rPr>
          <w:rFonts w:ascii="Arial" w:cs="Arial" w:eastAsia="Arial" w:hAnsi="Arial"/>
          <w:sz w:val="19"/>
          <w:szCs w:val="19"/>
          <w:b w:val="1"/>
          <w:bCs w:val="1"/>
          <w:color w:val="auto"/>
        </w:rPr>
        <w:t>MATRIX SERVICE INTERNATIONAL, LLC</w:t>
      </w:r>
      <w:r>
        <w:rPr>
          <w:rFonts w:ascii="Arial" w:cs="Arial" w:eastAsia="Arial" w:hAnsi="Arial"/>
          <w:sz w:val="19"/>
          <w:szCs w:val="19"/>
          <w:color w:val="auto"/>
        </w:rPr>
        <w:t>, a Delaware limited liability company (“</w:t>
      </w:r>
      <w:r>
        <w:rPr>
          <w:rFonts w:ascii="Arial" w:cs="Arial" w:eastAsia="Arial" w:hAnsi="Arial"/>
          <w:sz w:val="19"/>
          <w:szCs w:val="19"/>
          <w:u w:val="single" w:color="auto"/>
          <w:color w:val="auto"/>
        </w:rPr>
        <w:t>Matrix</w:t>
      </w:r>
      <w:r>
        <w:rPr>
          <w:rFonts w:ascii="Arial" w:cs="Arial" w:eastAsia="Arial" w:hAnsi="Arial"/>
          <w:sz w:val="19"/>
          <w:szCs w:val="19"/>
          <w:color w:val="auto"/>
        </w:rPr>
        <w:t xml:space="preserve"> </w:t>
      </w:r>
      <w:r>
        <w:rPr>
          <w:rFonts w:ascii="Arial" w:cs="Arial" w:eastAsia="Arial" w:hAnsi="Arial"/>
          <w:sz w:val="19"/>
          <w:szCs w:val="19"/>
          <w:u w:val="single" w:color="auto"/>
          <w:color w:val="auto"/>
        </w:rPr>
        <w:t>Service International</w:t>
      </w:r>
      <w:r>
        <w:rPr>
          <w:rFonts w:ascii="Arial" w:cs="Arial" w:eastAsia="Arial" w:hAnsi="Arial"/>
          <w:sz w:val="19"/>
          <w:szCs w:val="19"/>
          <w:color w:val="auto"/>
        </w:rPr>
        <w:t xml:space="preserve">”), </w:t>
      </w:r>
      <w:r>
        <w:rPr>
          <w:rFonts w:ascii="Arial" w:cs="Arial" w:eastAsia="Arial" w:hAnsi="Arial"/>
          <w:sz w:val="19"/>
          <w:szCs w:val="19"/>
          <w:b w:val="1"/>
          <w:bCs w:val="1"/>
          <w:color w:val="auto"/>
        </w:rPr>
        <w:t>MATRIX INTERNATIONAL ENGINEERING, LLP</w:t>
      </w:r>
      <w:r>
        <w:rPr>
          <w:rFonts w:ascii="Arial" w:cs="Arial" w:eastAsia="Arial" w:hAnsi="Arial"/>
          <w:sz w:val="19"/>
          <w:szCs w:val="19"/>
          <w:color w:val="auto"/>
        </w:rPr>
        <w:t>, a Delaware limited liability partnership (“</w:t>
      </w:r>
      <w:r>
        <w:rPr>
          <w:rFonts w:ascii="Arial" w:cs="Arial" w:eastAsia="Arial" w:hAnsi="Arial"/>
          <w:sz w:val="19"/>
          <w:szCs w:val="19"/>
          <w:u w:val="single" w:color="auto"/>
          <w:color w:val="auto"/>
        </w:rPr>
        <w:t>Matrix International</w:t>
      </w:r>
      <w:r>
        <w:rPr>
          <w:rFonts w:ascii="Arial" w:cs="Arial" w:eastAsia="Arial" w:hAnsi="Arial"/>
          <w:sz w:val="19"/>
          <w:szCs w:val="19"/>
          <w:color w:val="auto"/>
        </w:rPr>
        <w:t xml:space="preserve"> </w:t>
      </w:r>
      <w:r>
        <w:rPr>
          <w:rFonts w:ascii="Arial" w:cs="Arial" w:eastAsia="Arial" w:hAnsi="Arial"/>
          <w:sz w:val="19"/>
          <w:szCs w:val="19"/>
          <w:u w:val="single" w:color="auto"/>
          <w:color w:val="auto"/>
        </w:rPr>
        <w:t>Engineering</w:t>
      </w:r>
      <w:r>
        <w:rPr>
          <w:rFonts w:ascii="Arial" w:cs="Arial" w:eastAsia="Arial" w:hAnsi="Arial"/>
          <w:sz w:val="19"/>
          <w:szCs w:val="19"/>
          <w:color w:val="auto"/>
        </w:rPr>
        <w:t xml:space="preserve">”), </w:t>
      </w:r>
      <w:r>
        <w:rPr>
          <w:rFonts w:ascii="Arial" w:cs="Arial" w:eastAsia="Arial" w:hAnsi="Arial"/>
          <w:sz w:val="19"/>
          <w:szCs w:val="19"/>
          <w:b w:val="1"/>
          <w:bCs w:val="1"/>
          <w:color w:val="auto"/>
        </w:rPr>
        <w:t>MATRIX APPLIED TECHNOLOGIES, INC.</w:t>
      </w:r>
      <w:r>
        <w:rPr>
          <w:rFonts w:ascii="Arial" w:cs="Arial" w:eastAsia="Arial" w:hAnsi="Arial"/>
          <w:sz w:val="19"/>
          <w:szCs w:val="19"/>
          <w:color w:val="auto"/>
        </w:rPr>
        <w:t>, a Delaware corporation (“</w:t>
      </w:r>
      <w:r>
        <w:rPr>
          <w:rFonts w:ascii="Arial" w:cs="Arial" w:eastAsia="Arial" w:hAnsi="Arial"/>
          <w:sz w:val="19"/>
          <w:szCs w:val="19"/>
          <w:u w:val="single" w:color="auto"/>
          <w:color w:val="auto"/>
        </w:rPr>
        <w:t>Matrix Applied</w:t>
      </w:r>
      <w:r>
        <w:rPr>
          <w:rFonts w:ascii="Arial" w:cs="Arial" w:eastAsia="Arial" w:hAnsi="Arial"/>
          <w:sz w:val="19"/>
          <w:szCs w:val="19"/>
          <w:color w:val="auto"/>
        </w:rPr>
        <w:t xml:space="preserve">”), </w:t>
      </w:r>
      <w:r>
        <w:rPr>
          <w:rFonts w:ascii="Arial" w:cs="Arial" w:eastAsia="Arial" w:hAnsi="Arial"/>
          <w:sz w:val="19"/>
          <w:szCs w:val="19"/>
          <w:b w:val="1"/>
          <w:bCs w:val="1"/>
          <w:color w:val="auto"/>
        </w:rPr>
        <w:t>MSI FEDERAL</w:t>
      </w:r>
      <w:r>
        <w:rPr>
          <w:rFonts w:ascii="Arial" w:cs="Arial" w:eastAsia="Arial" w:hAnsi="Arial"/>
          <w:sz w:val="19"/>
          <w:szCs w:val="19"/>
          <w:color w:val="auto"/>
        </w:rPr>
        <w:t xml:space="preserve"> </w:t>
      </w:r>
      <w:r>
        <w:rPr>
          <w:rFonts w:ascii="Arial" w:cs="Arial" w:eastAsia="Arial" w:hAnsi="Arial"/>
          <w:sz w:val="19"/>
          <w:szCs w:val="19"/>
          <w:b w:val="1"/>
          <w:bCs w:val="1"/>
          <w:color w:val="auto"/>
        </w:rPr>
        <w:t>CONTRACTING, LLC</w:t>
      </w:r>
      <w:r>
        <w:rPr>
          <w:rFonts w:ascii="Arial" w:cs="Arial" w:eastAsia="Arial" w:hAnsi="Arial"/>
          <w:sz w:val="19"/>
          <w:szCs w:val="19"/>
          <w:color w:val="auto"/>
        </w:rPr>
        <w:t>, a Delaware limited liability company (“</w:t>
      </w:r>
      <w:r>
        <w:rPr>
          <w:rFonts w:ascii="Arial" w:cs="Arial" w:eastAsia="Arial" w:hAnsi="Arial"/>
          <w:sz w:val="19"/>
          <w:szCs w:val="19"/>
          <w:u w:val="single" w:color="auto"/>
          <w:color w:val="auto"/>
        </w:rPr>
        <w:t>MSI</w:t>
      </w:r>
      <w:r>
        <w:rPr>
          <w:rFonts w:ascii="Arial" w:cs="Arial" w:eastAsia="Arial" w:hAnsi="Arial"/>
          <w:sz w:val="19"/>
          <w:szCs w:val="19"/>
          <w:color w:val="auto"/>
        </w:rPr>
        <w:t>”),</w:t>
      </w:r>
      <w:r>
        <w:rPr>
          <w:rFonts w:ascii="Arial" w:cs="Arial" w:eastAsia="Arial" w:hAnsi="Arial"/>
          <w:sz w:val="19"/>
          <w:szCs w:val="19"/>
          <w:b w:val="1"/>
          <w:bCs w:val="1"/>
          <w:color w:val="auto"/>
        </w:rPr>
        <w:t xml:space="preserve"> MATRIX PDM, LLC</w:t>
      </w:r>
      <w:r>
        <w:rPr>
          <w:rFonts w:ascii="Arial" w:cs="Arial" w:eastAsia="Arial" w:hAnsi="Arial"/>
          <w:sz w:val="19"/>
          <w:szCs w:val="19"/>
          <w:color w:val="auto"/>
        </w:rPr>
        <w:t>, an Oklahoma limited liability company</w:t>
      </w:r>
      <w:r>
        <w:rPr>
          <w:rFonts w:ascii="Arial" w:cs="Arial" w:eastAsia="Arial" w:hAnsi="Arial"/>
          <w:sz w:val="19"/>
          <w:szCs w:val="19"/>
          <w:b w:val="1"/>
          <w:bCs w:val="1"/>
          <w:color w:val="auto"/>
        </w:rPr>
        <w:t xml:space="preserve"> </w:t>
      </w:r>
      <w:r>
        <w:rPr>
          <w:rFonts w:ascii="Arial" w:cs="Arial" w:eastAsia="Arial" w:hAnsi="Arial"/>
          <w:sz w:val="19"/>
          <w:szCs w:val="19"/>
          <w:color w:val="auto"/>
        </w:rPr>
        <w:t>(“</w:t>
      </w:r>
      <w:r>
        <w:rPr>
          <w:rFonts w:ascii="Arial" w:cs="Arial" w:eastAsia="Arial" w:hAnsi="Arial"/>
          <w:sz w:val="19"/>
          <w:szCs w:val="19"/>
          <w:u w:val="single" w:color="auto"/>
          <w:color w:val="auto"/>
        </w:rPr>
        <w:t>Matrix PDM</w:t>
      </w:r>
      <w:r>
        <w:rPr>
          <w:rFonts w:ascii="Arial" w:cs="Arial" w:eastAsia="Arial" w:hAnsi="Arial"/>
          <w:sz w:val="19"/>
          <w:szCs w:val="19"/>
          <w:color w:val="auto"/>
        </w:rPr>
        <w:t xml:space="preserve">”), </w:t>
      </w:r>
      <w:r>
        <w:rPr>
          <w:rFonts w:ascii="Arial" w:cs="Arial" w:eastAsia="Arial" w:hAnsi="Arial"/>
          <w:sz w:val="19"/>
          <w:szCs w:val="19"/>
          <w:b w:val="1"/>
          <w:bCs w:val="1"/>
          <w:color w:val="auto"/>
        </w:rPr>
        <w:t>MATRIX PDM ENGINEERING LTD.</w:t>
      </w:r>
      <w:r>
        <w:rPr>
          <w:rFonts w:ascii="Arial" w:cs="Arial" w:eastAsia="Arial" w:hAnsi="Arial"/>
          <w:sz w:val="19"/>
          <w:szCs w:val="19"/>
          <w:color w:val="auto"/>
        </w:rPr>
        <w:t>, a Nova Scotia company limited by shares (“</w:t>
      </w:r>
      <w:r>
        <w:rPr>
          <w:rFonts w:ascii="Arial" w:cs="Arial" w:eastAsia="Arial" w:hAnsi="Arial"/>
          <w:sz w:val="19"/>
          <w:szCs w:val="19"/>
          <w:u w:val="single" w:color="auto"/>
          <w:color w:val="auto"/>
        </w:rPr>
        <w:t>Matrix PDM Canada</w:t>
      </w:r>
      <w:r>
        <w:rPr>
          <w:rFonts w:ascii="Arial" w:cs="Arial" w:eastAsia="Arial" w:hAnsi="Arial"/>
          <w:sz w:val="19"/>
          <w:szCs w:val="19"/>
          <w:color w:val="auto"/>
        </w:rPr>
        <w:t xml:space="preserve">”), </w:t>
      </w:r>
      <w:r>
        <w:rPr>
          <w:rFonts w:ascii="Arial" w:cs="Arial" w:eastAsia="Arial" w:hAnsi="Arial"/>
          <w:sz w:val="19"/>
          <w:szCs w:val="19"/>
          <w:b w:val="1"/>
          <w:bCs w:val="1"/>
          <w:color w:val="auto"/>
        </w:rPr>
        <w:t>MATRIX</w:t>
      </w:r>
      <w:r>
        <w:rPr>
          <w:rFonts w:ascii="Arial" w:cs="Arial" w:eastAsia="Arial" w:hAnsi="Arial"/>
          <w:sz w:val="19"/>
          <w:szCs w:val="19"/>
          <w:color w:val="auto"/>
        </w:rPr>
        <w:t xml:space="preserve"> </w:t>
      </w:r>
      <w:r>
        <w:rPr>
          <w:rFonts w:ascii="Arial" w:cs="Arial" w:eastAsia="Arial" w:hAnsi="Arial"/>
          <w:sz w:val="19"/>
          <w:szCs w:val="19"/>
          <w:b w:val="1"/>
          <w:bCs w:val="1"/>
          <w:color w:val="auto"/>
        </w:rPr>
        <w:t>NORTH AMERICAN CONSTRUCTION, LLC</w:t>
      </w:r>
      <w:r>
        <w:rPr>
          <w:rFonts w:ascii="Arial" w:cs="Arial" w:eastAsia="Arial" w:hAnsi="Arial"/>
          <w:sz w:val="19"/>
          <w:szCs w:val="19"/>
          <w:color w:val="auto"/>
        </w:rPr>
        <w:t>, a Delaware limited liability company (“</w:t>
      </w:r>
      <w:r>
        <w:rPr>
          <w:rFonts w:ascii="Arial" w:cs="Arial" w:eastAsia="Arial" w:hAnsi="Arial"/>
          <w:sz w:val="19"/>
          <w:szCs w:val="19"/>
          <w:u w:val="single" w:color="auto"/>
          <w:color w:val="auto"/>
        </w:rPr>
        <w:t>Matrix Delaware</w:t>
      </w:r>
      <w:r>
        <w:rPr>
          <w:rFonts w:ascii="Arial" w:cs="Arial" w:eastAsia="Arial" w:hAnsi="Arial"/>
          <w:sz w:val="19"/>
          <w:szCs w:val="19"/>
          <w:color w:val="auto"/>
        </w:rPr>
        <w:t>”),</w:t>
      </w:r>
      <w:r>
        <w:rPr>
          <w:rFonts w:ascii="Arial" w:cs="Arial" w:eastAsia="Arial" w:hAnsi="Arial"/>
          <w:sz w:val="19"/>
          <w:szCs w:val="19"/>
          <w:b w:val="1"/>
          <w:bCs w:val="1"/>
          <w:color w:val="auto"/>
        </w:rPr>
        <w:t xml:space="preserve"> MATRIX SME CANADA, INC.</w:t>
      </w:r>
      <w:r>
        <w:rPr>
          <w:rFonts w:ascii="Arial" w:cs="Arial" w:eastAsia="Arial" w:hAnsi="Arial"/>
          <w:sz w:val="19"/>
          <w:szCs w:val="19"/>
          <w:color w:val="auto"/>
        </w:rPr>
        <w:t>, a Delaware corporation (“</w:t>
      </w:r>
      <w:r>
        <w:rPr>
          <w:rFonts w:ascii="Arial" w:cs="Arial" w:eastAsia="Arial" w:hAnsi="Arial"/>
          <w:sz w:val="19"/>
          <w:szCs w:val="19"/>
          <w:u w:val="single" w:color="auto"/>
          <w:color w:val="auto"/>
        </w:rPr>
        <w:t>Matrix SME Delaware</w:t>
      </w:r>
      <w:r>
        <w:rPr>
          <w:rFonts w:ascii="Arial" w:cs="Arial" w:eastAsia="Arial" w:hAnsi="Arial"/>
          <w:sz w:val="19"/>
          <w:szCs w:val="19"/>
          <w:color w:val="auto"/>
        </w:rPr>
        <w:t>”), and together with each other Person from time to time a “Guarantor” hereunder</w:t>
      </w:r>
      <w:r>
        <w:rPr>
          <w:rFonts w:ascii="Arial" w:cs="Arial" w:eastAsia="Arial" w:hAnsi="Arial"/>
          <w:sz w:val="19"/>
          <w:szCs w:val="19"/>
          <w:b w:val="1"/>
          <w:bCs w:val="1"/>
          <w:color w:val="auto"/>
        </w:rPr>
        <w:t xml:space="preserve"> </w:t>
      </w:r>
      <w:r>
        <w:rPr>
          <w:rFonts w:ascii="Arial" w:cs="Arial" w:eastAsia="Arial" w:hAnsi="Arial"/>
          <w:sz w:val="19"/>
          <w:szCs w:val="19"/>
          <w:color w:val="auto"/>
        </w:rPr>
        <w:t>(together with Matrix Service International, Matrix International Engineering, Matrix Applied, MSI, Matrix PDM, Matrix PDM Canada, Matrix Delaware and Matrix SME Delaware, may each be referred to herein individually, as a “</w:t>
      </w:r>
      <w:r>
        <w:rPr>
          <w:rFonts w:ascii="Arial" w:cs="Arial" w:eastAsia="Arial" w:hAnsi="Arial"/>
          <w:sz w:val="19"/>
          <w:szCs w:val="19"/>
          <w:u w:val="single" w:color="auto"/>
          <w:color w:val="auto"/>
        </w:rPr>
        <w:t>Guarantor</w:t>
      </w:r>
      <w:r>
        <w:rPr>
          <w:rFonts w:ascii="Arial" w:cs="Arial" w:eastAsia="Arial" w:hAnsi="Arial"/>
          <w:sz w:val="19"/>
          <w:szCs w:val="19"/>
          <w:color w:val="auto"/>
        </w:rPr>
        <w:t>” and collectively, as “</w:t>
      </w:r>
      <w:r>
        <w:rPr>
          <w:rFonts w:ascii="Arial" w:cs="Arial" w:eastAsia="Arial" w:hAnsi="Arial"/>
          <w:sz w:val="19"/>
          <w:szCs w:val="19"/>
          <w:u w:val="single" w:color="auto"/>
          <w:color w:val="auto"/>
        </w:rPr>
        <w:t>Guarantors</w:t>
      </w:r>
      <w:r>
        <w:rPr>
          <w:rFonts w:ascii="Arial" w:cs="Arial" w:eastAsia="Arial" w:hAnsi="Arial"/>
          <w:sz w:val="19"/>
          <w:szCs w:val="19"/>
          <w:color w:val="auto"/>
        </w:rPr>
        <w:t xml:space="preserve">”), </w:t>
      </w:r>
      <w:r>
        <w:rPr>
          <w:rFonts w:ascii="Arial" w:cs="Arial" w:eastAsia="Arial" w:hAnsi="Arial"/>
          <w:sz w:val="19"/>
          <w:szCs w:val="19"/>
          <w:b w:val="1"/>
          <w:bCs w:val="1"/>
          <w:color w:val="auto"/>
        </w:rPr>
        <w:t>EACH</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LENDER FROM TIME TO TIME PARTY HERETO </w:t>
      </w:r>
      <w:r>
        <w:rPr>
          <w:rFonts w:ascii="Arial" w:cs="Arial" w:eastAsia="Arial" w:hAnsi="Arial"/>
          <w:sz w:val="19"/>
          <w:szCs w:val="19"/>
          <w:color w:val="auto"/>
        </w:rPr>
        <w:t>(collectively, the “</w:t>
      </w:r>
      <w:r>
        <w:rPr>
          <w:rFonts w:ascii="Arial" w:cs="Arial" w:eastAsia="Arial" w:hAnsi="Arial"/>
          <w:sz w:val="19"/>
          <w:szCs w:val="19"/>
          <w:u w:val="single" w:color="auto"/>
          <w:color w:val="auto"/>
        </w:rPr>
        <w:t>Lenders</w:t>
      </w:r>
      <w:r>
        <w:rPr>
          <w:rFonts w:ascii="Arial" w:cs="Arial" w:eastAsia="Arial" w:hAnsi="Arial"/>
          <w:sz w:val="19"/>
          <w:szCs w:val="19"/>
          <w:color w:val="auto"/>
        </w:rPr>
        <w:t>” and individually, a “</w:t>
      </w:r>
      <w:r>
        <w:rPr>
          <w:rFonts w:ascii="Arial" w:cs="Arial" w:eastAsia="Arial" w:hAnsi="Arial"/>
          <w:sz w:val="19"/>
          <w:szCs w:val="19"/>
          <w:u w:val="single" w:color="auto"/>
          <w:color w:val="auto"/>
        </w:rPr>
        <w:t>Lender</w:t>
      </w:r>
      <w:r>
        <w:rPr>
          <w:rFonts w:ascii="Arial" w:cs="Arial" w:eastAsia="Arial" w:hAnsi="Arial"/>
          <w:sz w:val="19"/>
          <w:szCs w:val="19"/>
          <w:color w:val="auto"/>
        </w:rPr>
        <w:t>”), and</w:t>
      </w:r>
      <w:r>
        <w:rPr>
          <w:rFonts w:ascii="Arial" w:cs="Arial" w:eastAsia="Arial" w:hAnsi="Arial"/>
          <w:sz w:val="19"/>
          <w:szCs w:val="19"/>
          <w:b w:val="1"/>
          <w:bCs w:val="1"/>
          <w:color w:val="auto"/>
        </w:rPr>
        <w:t xml:space="preserve"> BANK OF MONTREAL</w:t>
      </w:r>
      <w:r>
        <w:rPr>
          <w:rFonts w:ascii="Arial" w:cs="Arial" w:eastAsia="Arial" w:hAnsi="Arial"/>
          <w:sz w:val="19"/>
          <w:szCs w:val="19"/>
          <w:color w:val="auto"/>
        </w:rPr>
        <w:t>, as Administrative Agent, Swing Line Lender and a Letter of Credit Issuer.</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Preliminary Statements</w:t>
      </w:r>
    </w:p>
    <w:p>
      <w:pPr>
        <w:spacing w:after="0" w:line="214" w:lineRule="exact"/>
        <w:rPr>
          <w:sz w:val="20"/>
          <w:szCs w:val="20"/>
          <w:color w:val="auto"/>
        </w:rPr>
      </w:pPr>
    </w:p>
    <w:p>
      <w:pPr>
        <w:ind w:firstLine="634"/>
        <w:spacing w:after="0" w:line="274" w:lineRule="auto"/>
        <w:tabs>
          <w:tab w:leader="none" w:pos="1014" w:val="left"/>
        </w:tabs>
        <w:numPr>
          <w:ilvl w:val="0"/>
          <w:numId w:val="77"/>
        </w:numPr>
        <w:rPr>
          <w:rFonts w:ascii="Arial" w:cs="Arial" w:eastAsia="Arial" w:hAnsi="Arial"/>
          <w:sz w:val="19"/>
          <w:szCs w:val="19"/>
          <w:color w:val="auto"/>
        </w:rPr>
      </w:pPr>
      <w:r>
        <w:rPr>
          <w:rFonts w:ascii="Arial" w:cs="Arial" w:eastAsia="Arial" w:hAnsi="Arial"/>
          <w:sz w:val="19"/>
          <w:szCs w:val="19"/>
          <w:color w:val="auto"/>
        </w:rPr>
        <w:t>The Borrowers have requested that Lenders, the Swing Line Lender and the Letter of Credit Issuer provide certain credit facilities to the Borrowers to finance their mutual and collective business enterprise.</w:t>
      </w:r>
    </w:p>
    <w:p>
      <w:pPr>
        <w:spacing w:after="0" w:line="156" w:lineRule="exact"/>
        <w:rPr>
          <w:rFonts w:ascii="Arial" w:cs="Arial" w:eastAsia="Arial" w:hAnsi="Arial"/>
          <w:sz w:val="19"/>
          <w:szCs w:val="19"/>
          <w:color w:val="auto"/>
        </w:rPr>
      </w:pPr>
    </w:p>
    <w:p>
      <w:pPr>
        <w:ind w:left="1000" w:hanging="366"/>
        <w:spacing w:after="0"/>
        <w:tabs>
          <w:tab w:leader="none" w:pos="1000" w:val="left"/>
        </w:tabs>
        <w:numPr>
          <w:ilvl w:val="0"/>
          <w:numId w:val="77"/>
        </w:numPr>
        <w:rPr>
          <w:rFonts w:ascii="Arial" w:cs="Arial" w:eastAsia="Arial" w:hAnsi="Arial"/>
          <w:sz w:val="19"/>
          <w:szCs w:val="19"/>
          <w:color w:val="auto"/>
        </w:rPr>
      </w:pPr>
      <w:r>
        <w:rPr>
          <w:rFonts w:ascii="Arial" w:cs="Arial" w:eastAsia="Arial" w:hAnsi="Arial"/>
          <w:sz w:val="19"/>
          <w:szCs w:val="19"/>
          <w:color w:val="auto"/>
        </w:rPr>
        <w:t>Lenders are willing to provide the credit facilities on the terms and conditions set forth in this Agreement.</w:t>
      </w:r>
    </w:p>
    <w:p>
      <w:pPr>
        <w:spacing w:after="0" w:line="21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In consideration of the mutual covenants and agreements herein contained, the parties hereto covenant and agree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40"/>
          </w:cols>
          <w:pgMar w:left="320" w:top="1375" w:right="339" w:bottom="1440" w:gutter="0" w:footer="0" w:header="0"/>
        </w:sectPr>
      </w:pPr>
    </w:p>
    <w:bookmarkStart w:id="120" w:name="page121"/>
    <w:bookmarkEnd w:id="120"/>
    <w:p>
      <w:pPr>
        <w:ind w:left="5000"/>
        <w:spacing w:after="0"/>
        <w:rPr>
          <w:sz w:val="20"/>
          <w:szCs w:val="20"/>
          <w:color w:val="auto"/>
        </w:rPr>
      </w:pPr>
      <w:r>
        <w:rPr>
          <w:rFonts w:ascii="Arial" w:cs="Arial" w:eastAsia="Arial" w:hAnsi="Arial"/>
          <w:sz w:val="19"/>
          <w:szCs w:val="19"/>
          <w:b w:val="1"/>
          <w:bCs w:val="1"/>
          <w:color w:val="auto"/>
        </w:rPr>
        <w:t>ARTICLE I</w:t>
      </w:r>
    </w:p>
    <w:p>
      <w:pPr>
        <w:spacing w:after="0" w:line="26" w:lineRule="exact"/>
        <w:rPr>
          <w:sz w:val="20"/>
          <w:szCs w:val="20"/>
          <w:color w:val="auto"/>
        </w:rPr>
      </w:pPr>
    </w:p>
    <w:p>
      <w:pPr>
        <w:ind w:left="3700"/>
        <w:spacing w:after="0"/>
        <w:rPr>
          <w:sz w:val="20"/>
          <w:szCs w:val="20"/>
          <w:color w:val="auto"/>
        </w:rPr>
      </w:pPr>
      <w:r>
        <w:rPr>
          <w:rFonts w:ascii="Arial" w:cs="Arial" w:eastAsia="Arial" w:hAnsi="Arial"/>
          <w:sz w:val="19"/>
          <w:szCs w:val="19"/>
          <w:b w:val="1"/>
          <w:bCs w:val="1"/>
          <w:color w:val="auto"/>
        </w:rPr>
        <w:t>DEFINITIONS AND ACCOUNTING TERMS</w:t>
      </w:r>
    </w:p>
    <w:p>
      <w:pPr>
        <w:spacing w:after="0" w:line="192"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9"/>
          <w:szCs w:val="19"/>
          <w:b w:val="1"/>
          <w:bCs w:val="1"/>
          <w:color w:val="auto"/>
        </w:rPr>
        <w:t>1.1</w:t>
      </w:r>
      <w:r>
        <w:rPr>
          <w:sz w:val="20"/>
          <w:szCs w:val="20"/>
          <w:color w:val="auto"/>
        </w:rPr>
        <w:tab/>
      </w:r>
      <w:r>
        <w:rPr>
          <w:rFonts w:ascii="Arial" w:cs="Arial" w:eastAsia="Arial" w:hAnsi="Arial"/>
          <w:sz w:val="17"/>
          <w:szCs w:val="17"/>
          <w:b w:val="1"/>
          <w:bCs w:val="1"/>
          <w:color w:val="auto"/>
        </w:rPr>
        <w:t>Defined Terms</w:t>
      </w:r>
      <w:r>
        <w:rPr>
          <w:rFonts w:ascii="Arial" w:cs="Arial" w:eastAsia="Arial" w:hAnsi="Arial"/>
          <w:sz w:val="17"/>
          <w:szCs w:val="17"/>
          <w:color w:val="auto"/>
        </w:rPr>
        <w:t>. As used in this Agreement, the following terms shall have the meanings set forth below:</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Account</w:t>
      </w:r>
      <w:r>
        <w:rPr>
          <w:rFonts w:ascii="Arial" w:cs="Arial" w:eastAsia="Arial" w:hAnsi="Arial"/>
          <w:sz w:val="19"/>
          <w:szCs w:val="19"/>
          <w:color w:val="auto"/>
        </w:rPr>
        <w:t>” means “accounts” as defined in the UCC or if applicable, the PPSA.</w:t>
      </w:r>
    </w:p>
    <w:p>
      <w:pPr>
        <w:spacing w:after="0" w:line="214" w:lineRule="exact"/>
        <w:rPr>
          <w:sz w:val="20"/>
          <w:szCs w:val="20"/>
          <w:color w:val="auto"/>
        </w:rPr>
      </w:pPr>
    </w:p>
    <w:p>
      <w:pPr>
        <w:jc w:val="both"/>
        <w:ind w:firstLine="629"/>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Account Debtor</w:t>
      </w:r>
      <w:r>
        <w:rPr>
          <w:rFonts w:ascii="Arial" w:cs="Arial" w:eastAsia="Arial" w:hAnsi="Arial"/>
          <w:sz w:val="19"/>
          <w:szCs w:val="19"/>
          <w:color w:val="auto"/>
        </w:rPr>
        <w:t>” means any Person who is or may become obligated under or on account of any Account, Contractual Obligation, Chattel Paper or General Intangible.</w:t>
      </w:r>
    </w:p>
    <w:p>
      <w:pPr>
        <w:spacing w:after="0" w:line="157"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ACH</w:t>
      </w:r>
      <w:r>
        <w:rPr>
          <w:rFonts w:ascii="Arial" w:cs="Arial" w:eastAsia="Arial" w:hAnsi="Arial"/>
          <w:sz w:val="19"/>
          <w:szCs w:val="19"/>
          <w:color w:val="auto"/>
        </w:rPr>
        <w:t>” means automated clearing house transfers.</w:t>
      </w:r>
    </w:p>
    <w:p>
      <w:pPr>
        <w:spacing w:after="0" w:line="214" w:lineRule="exact"/>
        <w:rPr>
          <w:sz w:val="20"/>
          <w:szCs w:val="20"/>
          <w:color w:val="auto"/>
        </w:rPr>
      </w:pPr>
    </w:p>
    <w:p>
      <w:pPr>
        <w:jc w:val="both"/>
        <w:ind w:firstLine="629"/>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Acquisition</w:t>
      </w:r>
      <w:r>
        <w:rPr>
          <w:rFonts w:ascii="Arial" w:cs="Arial" w:eastAsia="Arial" w:hAnsi="Arial"/>
          <w:sz w:val="18"/>
          <w:szCs w:val="18"/>
          <w:color w:val="auto"/>
        </w:rPr>
        <w:t>” means (a) the acquisition of a controlling Equity Interest or other ownership interest in or Control of another Person, whether by purchase of such Equity Interest or other ownership interest or upon exercise of an option or warrant for, or conversion of securities into, such Equity Interest or other ownership interest, (b) the acquisition of assets of another Person which constitute all or substantially all of the assets of such Person or of a line or lines of business conducted by such Person, whether in one or a series of related transactions or (c) the merger, amalgamation, consolidation or combination of a Borrower or a Restricted Subsidiary with another Person.</w:t>
      </w:r>
    </w:p>
    <w:p>
      <w:pPr>
        <w:spacing w:after="0" w:line="16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Additional Commitment Lender</w:t>
      </w:r>
      <w:r>
        <w:rPr>
          <w:rFonts w:ascii="Arial" w:cs="Arial" w:eastAsia="Arial" w:hAnsi="Arial"/>
          <w:sz w:val="19"/>
          <w:szCs w:val="19"/>
          <w:color w:val="auto"/>
        </w:rPr>
        <w:t xml:space="preserve">” has the meaning specified in </w:t>
      </w:r>
      <w:r>
        <w:rPr>
          <w:rFonts w:ascii="Arial" w:cs="Arial" w:eastAsia="Arial" w:hAnsi="Arial"/>
          <w:sz w:val="19"/>
          <w:szCs w:val="19"/>
          <w:u w:val="single" w:color="auto"/>
          <w:color w:val="auto"/>
        </w:rPr>
        <w:t>Section 2.18(c)</w:t>
      </w:r>
      <w:r>
        <w:rPr>
          <w:rFonts w:ascii="Arial" w:cs="Arial" w:eastAsia="Arial" w:hAnsi="Arial"/>
          <w:sz w:val="19"/>
          <w:szCs w:val="19"/>
          <w:color w:val="auto"/>
        </w:rPr>
        <w:t>.</w:t>
      </w:r>
    </w:p>
    <w:p>
      <w:pPr>
        <w:spacing w:after="0" w:line="21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Adjustment Date</w:t>
      </w:r>
      <w:r>
        <w:rPr>
          <w:rFonts w:ascii="Arial" w:cs="Arial" w:eastAsia="Arial" w:hAnsi="Arial"/>
          <w:sz w:val="19"/>
          <w:szCs w:val="19"/>
          <w:color w:val="auto"/>
        </w:rPr>
        <w:t>” has the meaning specified in the definition of “</w:t>
      </w:r>
      <w:r>
        <w:rPr>
          <w:rFonts w:ascii="Arial" w:cs="Arial" w:eastAsia="Arial" w:hAnsi="Arial"/>
          <w:sz w:val="19"/>
          <w:szCs w:val="19"/>
          <w:u w:val="single" w:color="auto"/>
          <w:color w:val="auto"/>
        </w:rPr>
        <w:t>Applicable Margin</w:t>
      </w:r>
      <w:r>
        <w:rPr>
          <w:rFonts w:ascii="Arial" w:cs="Arial" w:eastAsia="Arial" w:hAnsi="Arial"/>
          <w:sz w:val="19"/>
          <w:szCs w:val="19"/>
          <w:color w:val="auto"/>
        </w:rPr>
        <w:t>.”</w:t>
      </w:r>
    </w:p>
    <w:p>
      <w:pPr>
        <w:spacing w:after="0" w:line="214" w:lineRule="exact"/>
        <w:rPr>
          <w:sz w:val="20"/>
          <w:szCs w:val="20"/>
          <w:color w:val="auto"/>
        </w:rPr>
      </w:pPr>
    </w:p>
    <w:p>
      <w:pPr>
        <w:jc w:val="both"/>
        <w:ind w:firstLine="629"/>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Administrative Agent</w:t>
      </w:r>
      <w:r>
        <w:rPr>
          <w:rFonts w:ascii="Arial" w:cs="Arial" w:eastAsia="Arial" w:hAnsi="Arial"/>
          <w:sz w:val="19"/>
          <w:szCs w:val="19"/>
          <w:color w:val="auto"/>
        </w:rPr>
        <w:t>” means Bank of Montreal, in its capacity as administrative agent under any of the Loan Documents, or any successor administrative agent.</w:t>
      </w:r>
    </w:p>
    <w:p>
      <w:pPr>
        <w:spacing w:after="0" w:line="157" w:lineRule="exact"/>
        <w:rPr>
          <w:sz w:val="20"/>
          <w:szCs w:val="20"/>
          <w:color w:val="auto"/>
        </w:rPr>
      </w:pPr>
    </w:p>
    <w:p>
      <w:pPr>
        <w:jc w:val="both"/>
        <w:ind w:firstLine="629"/>
        <w:spacing w:after="0" w:line="30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Agent’s Office</w:t>
      </w:r>
      <w:r>
        <w:rPr>
          <w:rFonts w:ascii="Arial" w:cs="Arial" w:eastAsia="Arial" w:hAnsi="Arial"/>
          <w:sz w:val="18"/>
          <w:szCs w:val="18"/>
          <w:color w:val="auto"/>
        </w:rPr>
        <w:t xml:space="preserve">” means the Administrative Agent’s address and, as appropriate, account as set forth on </w:t>
      </w:r>
      <w:r>
        <w:rPr>
          <w:rFonts w:ascii="Arial" w:cs="Arial" w:eastAsia="Arial" w:hAnsi="Arial"/>
          <w:sz w:val="18"/>
          <w:szCs w:val="18"/>
          <w:u w:val="single" w:color="auto"/>
          <w:color w:val="auto"/>
        </w:rPr>
        <w:t>Schedule 11.02</w:t>
      </w:r>
      <w:r>
        <w:rPr>
          <w:rFonts w:ascii="Arial" w:cs="Arial" w:eastAsia="Arial" w:hAnsi="Arial"/>
          <w:sz w:val="18"/>
          <w:szCs w:val="18"/>
          <w:color w:val="auto"/>
        </w:rPr>
        <w:t>, or such other address or account as the Administrative Agent may from time to time notify to the Borrower Agent and the Lenders.</w:t>
      </w:r>
    </w:p>
    <w:p>
      <w:pPr>
        <w:spacing w:after="0" w:line="13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Administrative Questionnaire</w:t>
      </w:r>
      <w:r>
        <w:rPr>
          <w:rFonts w:ascii="Arial" w:cs="Arial" w:eastAsia="Arial" w:hAnsi="Arial"/>
          <w:sz w:val="19"/>
          <w:szCs w:val="19"/>
          <w:color w:val="auto"/>
        </w:rPr>
        <w:t>” means an Administrative Questionnaire in a form supplied by the Administrative Agent.</w:t>
      </w:r>
    </w:p>
    <w:p>
      <w:pPr>
        <w:spacing w:after="0" w:line="21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Affected Financial Institution</w:t>
      </w:r>
      <w:r>
        <w:rPr>
          <w:rFonts w:ascii="Arial" w:cs="Arial" w:eastAsia="Arial" w:hAnsi="Arial"/>
          <w:sz w:val="19"/>
          <w:szCs w:val="19"/>
          <w:color w:val="auto"/>
        </w:rPr>
        <w:t>” means (a) any EEA Financial Institution or (b) any UK Financial Institution.</w:t>
      </w:r>
    </w:p>
    <w:p>
      <w:pPr>
        <w:spacing w:after="0" w:line="214" w:lineRule="exact"/>
        <w:rPr>
          <w:sz w:val="20"/>
          <w:szCs w:val="20"/>
          <w:color w:val="auto"/>
        </w:rPr>
      </w:pPr>
    </w:p>
    <w:p>
      <w:pPr>
        <w:jc w:val="both"/>
        <w:ind w:firstLine="629"/>
        <w:spacing w:after="0" w:line="25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Affiliate</w:t>
      </w:r>
      <w:r>
        <w:rPr>
          <w:rFonts w:ascii="Arial" w:cs="Arial" w:eastAsia="Arial" w:hAnsi="Arial"/>
          <w:sz w:val="19"/>
          <w:szCs w:val="19"/>
          <w:color w:val="auto"/>
        </w:rPr>
        <w:t xml:space="preserve">” means, with respect to a specified Person, another Person that directly, or indirectly through one or more intermediaries, Controls or is Controlled by or is under common Control with the Person specified. For the purposes of (i) </w:t>
      </w:r>
      <w:r>
        <w:rPr>
          <w:rFonts w:ascii="Arial" w:cs="Arial" w:eastAsia="Arial" w:hAnsi="Arial"/>
          <w:sz w:val="19"/>
          <w:szCs w:val="19"/>
          <w:u w:val="single" w:color="auto"/>
          <w:color w:val="auto"/>
        </w:rPr>
        <w:t>Section 8.08</w:t>
      </w:r>
      <w:r>
        <w:rPr>
          <w:rFonts w:ascii="Arial" w:cs="Arial" w:eastAsia="Arial" w:hAnsi="Arial"/>
          <w:sz w:val="19"/>
          <w:szCs w:val="19"/>
          <w:color w:val="auto"/>
        </w:rPr>
        <w:t xml:space="preserve"> and (ii) the proviso to the definition of “Eligible Assignee” only, a Person shall be deemed to be Controlled by another Person if such other Person possesses, directly or indirectly, power to vote 10% or more of the securities having ordinary voting power for the election of directors, managing general partners or the equivalent or is an officer or director of the specified Person.</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Agent Indemnitee</w:t>
      </w:r>
      <w:r>
        <w:rPr>
          <w:rFonts w:ascii="Arial" w:cs="Arial" w:eastAsia="Arial" w:hAnsi="Arial"/>
          <w:sz w:val="19"/>
          <w:szCs w:val="19"/>
          <w:color w:val="auto"/>
        </w:rPr>
        <w:t xml:space="preserve">” has the meaning specified in </w:t>
      </w:r>
      <w:r>
        <w:rPr>
          <w:rFonts w:ascii="Arial" w:cs="Arial" w:eastAsia="Arial" w:hAnsi="Arial"/>
          <w:sz w:val="19"/>
          <w:szCs w:val="19"/>
          <w:u w:val="single" w:color="auto"/>
          <w:color w:val="auto"/>
        </w:rPr>
        <w:t>Section 11.04(c)</w:t>
      </w:r>
      <w:r>
        <w:rPr>
          <w:rFonts w:ascii="Arial" w:cs="Arial" w:eastAsia="Arial" w:hAnsi="Arial"/>
          <w:sz w:val="19"/>
          <w:szCs w:val="19"/>
          <w:color w:val="auto"/>
        </w:rPr>
        <w:t>.</w:t>
      </w:r>
    </w:p>
    <w:p>
      <w:pPr>
        <w:spacing w:after="0" w:line="21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Agent Indemnitee Liabilities</w:t>
      </w:r>
      <w:r>
        <w:rPr>
          <w:rFonts w:ascii="Arial" w:cs="Arial" w:eastAsia="Arial" w:hAnsi="Arial"/>
          <w:sz w:val="19"/>
          <w:szCs w:val="19"/>
          <w:color w:val="auto"/>
        </w:rPr>
        <w:t xml:space="preserve">” has the meaning specified in </w:t>
      </w:r>
      <w:r>
        <w:rPr>
          <w:rFonts w:ascii="Arial" w:cs="Arial" w:eastAsia="Arial" w:hAnsi="Arial"/>
          <w:sz w:val="19"/>
          <w:szCs w:val="19"/>
          <w:u w:val="single" w:color="auto"/>
          <w:color w:val="auto"/>
        </w:rPr>
        <w:t>Section 11.04(c)</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w:t>
      </w:r>
    </w:p>
    <w:p>
      <w:pPr>
        <w:sectPr>
          <w:pgSz w:w="11900" w:h="16838" w:orient="portrait"/>
          <w:cols w:equalWidth="0" w:num="1">
            <w:col w:w="11240"/>
          </w:cols>
          <w:pgMar w:left="320" w:top="1375" w:right="339" w:bottom="1440" w:gutter="0" w:footer="0" w:header="0"/>
        </w:sectPr>
      </w:pPr>
    </w:p>
    <w:bookmarkStart w:id="121" w:name="page122"/>
    <w:bookmarkEnd w:id="121"/>
    <w:p>
      <w:pPr>
        <w:jc w:val="both"/>
        <w:ind w:firstLine="629"/>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Aggregate Revolving Credit Commitments</w:t>
      </w:r>
      <w:r>
        <w:rPr>
          <w:rFonts w:ascii="Arial" w:cs="Arial" w:eastAsia="Arial" w:hAnsi="Arial"/>
          <w:sz w:val="19"/>
          <w:szCs w:val="19"/>
          <w:color w:val="auto"/>
        </w:rPr>
        <w:t>” means, as at any date of determination thereof, the sum of all Revolving Credit Commitments of all Lenders at such date.</w:t>
      </w:r>
    </w:p>
    <w:p>
      <w:pPr>
        <w:spacing w:after="0" w:line="157"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Agreement</w:t>
      </w:r>
      <w:r>
        <w:rPr>
          <w:rFonts w:ascii="Arial" w:cs="Arial" w:eastAsia="Arial" w:hAnsi="Arial"/>
          <w:sz w:val="19"/>
          <w:szCs w:val="19"/>
          <w:color w:val="auto"/>
        </w:rPr>
        <w:t>” means this Credit Agreement.</w:t>
      </w:r>
    </w:p>
    <w:p>
      <w:pPr>
        <w:spacing w:after="0" w:line="21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Agreement Currency</w:t>
      </w:r>
      <w:r>
        <w:rPr>
          <w:rFonts w:ascii="Arial" w:cs="Arial" w:eastAsia="Arial" w:hAnsi="Arial"/>
          <w:sz w:val="19"/>
          <w:szCs w:val="19"/>
          <w:color w:val="auto"/>
        </w:rPr>
        <w:t xml:space="preserve">” has the meaning specified in </w:t>
      </w:r>
      <w:r>
        <w:rPr>
          <w:rFonts w:ascii="Arial" w:cs="Arial" w:eastAsia="Arial" w:hAnsi="Arial"/>
          <w:sz w:val="19"/>
          <w:szCs w:val="19"/>
          <w:u w:val="single" w:color="auto"/>
          <w:color w:val="auto"/>
        </w:rPr>
        <w:t>Section 11.22</w:t>
      </w:r>
      <w:r>
        <w:rPr>
          <w:rFonts w:ascii="Arial" w:cs="Arial" w:eastAsia="Arial" w:hAnsi="Arial"/>
          <w:sz w:val="19"/>
          <w:szCs w:val="19"/>
          <w:color w:val="auto"/>
        </w:rPr>
        <w:t>.</w:t>
      </w:r>
    </w:p>
    <w:p>
      <w:pPr>
        <w:spacing w:after="0" w:line="21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Allocable Amount</w:t>
      </w:r>
      <w:r>
        <w:rPr>
          <w:rFonts w:ascii="Arial" w:cs="Arial" w:eastAsia="Arial" w:hAnsi="Arial"/>
          <w:sz w:val="19"/>
          <w:szCs w:val="19"/>
          <w:color w:val="auto"/>
        </w:rPr>
        <w:t xml:space="preserve">” has the meaning specified in </w:t>
      </w:r>
      <w:r>
        <w:rPr>
          <w:rFonts w:ascii="Arial" w:cs="Arial" w:eastAsia="Arial" w:hAnsi="Arial"/>
          <w:sz w:val="19"/>
          <w:szCs w:val="19"/>
          <w:u w:val="single" w:color="auto"/>
          <w:color w:val="auto"/>
        </w:rPr>
        <w:t>Section 2.15(c)(ii)</w:t>
      </w:r>
      <w:r>
        <w:rPr>
          <w:rFonts w:ascii="Arial" w:cs="Arial" w:eastAsia="Arial" w:hAnsi="Arial"/>
          <w:sz w:val="19"/>
          <w:szCs w:val="19"/>
          <w:color w:val="auto"/>
        </w:rPr>
        <w:t>.</w:t>
      </w:r>
    </w:p>
    <w:p>
      <w:pPr>
        <w:spacing w:after="0" w:line="214" w:lineRule="exact"/>
        <w:rPr>
          <w:sz w:val="20"/>
          <w:szCs w:val="20"/>
          <w:color w:val="auto"/>
        </w:rPr>
      </w:pPr>
    </w:p>
    <w:p>
      <w:pPr>
        <w:jc w:val="both"/>
        <w:ind w:firstLine="629"/>
        <w:spacing w:after="0" w:line="25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ALTA Survey</w:t>
      </w:r>
      <w:r>
        <w:rPr>
          <w:rFonts w:ascii="Arial" w:cs="Arial" w:eastAsia="Arial" w:hAnsi="Arial"/>
          <w:sz w:val="19"/>
          <w:szCs w:val="19"/>
          <w:i w:val="1"/>
          <w:iCs w:val="1"/>
          <w:color w:val="auto"/>
        </w:rPr>
        <w:t>”</w:t>
      </w:r>
      <w:r>
        <w:rPr>
          <w:rFonts w:ascii="Arial" w:cs="Arial" w:eastAsia="Arial" w:hAnsi="Arial"/>
          <w:sz w:val="19"/>
          <w:szCs w:val="19"/>
          <w:color w:val="auto"/>
        </w:rPr>
        <w:t xml:space="preserve"> means a survey satisfactory to the Administrative Agent prepared in accordance with the standards adopted by the American Land Title Association and the American Congress on Surveying and Mapping in 2021, known as the “Minimum Standard Detail Requirements of Land Title Surveys” and sufficient form to satisfy the requirements any applicable title insurance company to provide extended coverage over survey defects and shall also show the location of all easements, utilities, and covenants of record, dimensions of all improvements, encroachments from any adjoining property, and certify as to the location of any flood plain area affecting the subject Real Property.</w:t>
      </w:r>
    </w:p>
    <w:p>
      <w:pPr>
        <w:spacing w:after="0" w:line="182" w:lineRule="exact"/>
        <w:rPr>
          <w:sz w:val="20"/>
          <w:szCs w:val="20"/>
          <w:color w:val="auto"/>
        </w:rPr>
      </w:pPr>
    </w:p>
    <w:p>
      <w:pPr>
        <w:jc w:val="both"/>
        <w:ind w:firstLine="629"/>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Anti-Corruption Laws</w:t>
      </w:r>
      <w:r>
        <w:rPr>
          <w:rFonts w:ascii="Arial" w:cs="Arial" w:eastAsia="Arial" w:hAnsi="Arial"/>
          <w:sz w:val="19"/>
          <w:szCs w:val="19"/>
          <w:color w:val="auto"/>
        </w:rPr>
        <w:t>” means all Laws of any jurisdiction applicable to a Loan Party or any of their Subsidiaries from time to time targeting or relating to bribery or corruption, including the FCPA, the UK Bribery Act 2010 and the Corruption of Foreign Public Officials Act (Canada).</w:t>
      </w:r>
    </w:p>
    <w:p>
      <w:pPr>
        <w:spacing w:after="0" w:line="184" w:lineRule="exact"/>
        <w:rPr>
          <w:sz w:val="20"/>
          <w:szCs w:val="20"/>
          <w:color w:val="auto"/>
        </w:rPr>
      </w:pPr>
    </w:p>
    <w:p>
      <w:pPr>
        <w:jc w:val="both"/>
        <w:ind w:firstLine="629"/>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Anti-Money Laundering Laws</w:t>
      </w:r>
      <w:r>
        <w:rPr>
          <w:rFonts w:ascii="Arial" w:cs="Arial" w:eastAsia="Arial" w:hAnsi="Arial"/>
          <w:sz w:val="19"/>
          <w:szCs w:val="19"/>
          <w:color w:val="auto"/>
        </w:rPr>
        <w:t>” means all Laws applicable to a Loan Party or its Subsidiaries related to terrorism financing or money laundering, including the Executive Order, the Currency and Foreign Transactions Reporting Act of 1970 (otherwise known as the Bank Secrecy Act), the PATRIOT Act, the Money Laundering Control Act of 1986, the Proceeds of Crime (Money Laundering) and Terrorist Financing Act (Canada) and the Criminal Code (Canada).</w:t>
      </w:r>
    </w:p>
    <w:p>
      <w:pPr>
        <w:spacing w:after="0" w:line="161" w:lineRule="exact"/>
        <w:rPr>
          <w:sz w:val="20"/>
          <w:szCs w:val="20"/>
          <w:color w:val="auto"/>
        </w:rPr>
      </w:pPr>
    </w:p>
    <w:p>
      <w:pPr>
        <w:jc w:val="both"/>
        <w:ind w:firstLine="629"/>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Applicable Margin</w:t>
      </w:r>
      <w:r>
        <w:rPr>
          <w:rFonts w:ascii="Arial" w:cs="Arial" w:eastAsia="Arial" w:hAnsi="Arial"/>
          <w:sz w:val="19"/>
          <w:szCs w:val="19"/>
          <w:color w:val="auto"/>
        </w:rPr>
        <w:t>” means, with respect to any Type of Loan, the percentages per annum set forth below, as based upon the Average Availability for the immediately preceding fiscal quarter:</w:t>
      </w:r>
    </w:p>
    <w:p>
      <w:pPr>
        <w:spacing w:after="0" w:line="180" w:lineRule="exact"/>
        <w:rPr>
          <w:sz w:val="20"/>
          <w:szCs w:val="20"/>
          <w:color w:val="auto"/>
        </w:rPr>
      </w:pPr>
    </w:p>
    <w:tbl>
      <w:tblPr>
        <w:tblLayout w:type="fixed"/>
        <w:tblInd w:w="10" w:type="dxa"/>
        <w:tblCellMar>
          <w:top w:w="0" w:type="dxa"/>
          <w:left w:w="0" w:type="dxa"/>
          <w:bottom w:w="0" w:type="dxa"/>
          <w:right w:w="0" w:type="dxa"/>
        </w:tblCellMar>
      </w:tblPr>
      <w:tr>
        <w:trPr>
          <w:trHeight w:val="239"/>
        </w:trPr>
        <w:tc>
          <w:tcPr>
            <w:tcW w:w="1540" w:type="dxa"/>
            <w:vAlign w:val="bottom"/>
            <w:tcBorders>
              <w:top w:val="single" w:sz="8" w:color="auto"/>
              <w:left w:val="single" w:sz="8" w:color="auto"/>
              <w:right w:val="single" w:sz="8" w:color="auto"/>
            </w:tcBorders>
          </w:tcPr>
          <w:p>
            <w:pPr>
              <w:spacing w:after="0"/>
              <w:rPr>
                <w:sz w:val="20"/>
                <w:szCs w:val="20"/>
                <w:color w:val="auto"/>
              </w:rPr>
            </w:pPr>
          </w:p>
        </w:tc>
        <w:tc>
          <w:tcPr>
            <w:tcW w:w="4540" w:type="dxa"/>
            <w:vAlign w:val="bottom"/>
            <w:tcBorders>
              <w:top w:val="single" w:sz="8" w:color="auto"/>
              <w:right w:val="single" w:sz="8" w:color="auto"/>
            </w:tcBorders>
            <w:gridSpan w:val="5"/>
          </w:tcPr>
          <w:p>
            <w:pPr>
              <w:jc w:val="center"/>
              <w:ind w:right="40"/>
              <w:spacing w:after="0"/>
              <w:rPr>
                <w:sz w:val="20"/>
                <w:szCs w:val="20"/>
                <w:color w:val="auto"/>
              </w:rPr>
            </w:pPr>
            <w:r>
              <w:rPr>
                <w:rFonts w:ascii="Arial" w:cs="Arial" w:eastAsia="Arial" w:hAnsi="Arial"/>
                <w:sz w:val="19"/>
                <w:szCs w:val="19"/>
                <w:b w:val="1"/>
                <w:bCs w:val="1"/>
                <w:color w:val="auto"/>
                <w:w w:val="91"/>
              </w:rPr>
              <w:t>Average Availability</w:t>
            </w:r>
          </w:p>
        </w:tc>
        <w:tc>
          <w:tcPr>
            <w:tcW w:w="2360" w:type="dxa"/>
            <w:vAlign w:val="bottom"/>
            <w:tcBorders>
              <w:top w:val="single" w:sz="8" w:color="auto"/>
              <w:right w:val="single" w:sz="8" w:color="auto"/>
            </w:tcBorders>
          </w:tcPr>
          <w:p>
            <w:pPr>
              <w:spacing w:after="0"/>
              <w:rPr>
                <w:sz w:val="20"/>
                <w:szCs w:val="20"/>
                <w:color w:val="auto"/>
              </w:rPr>
            </w:pPr>
          </w:p>
        </w:tc>
        <w:tc>
          <w:tcPr>
            <w:tcW w:w="2800" w:type="dxa"/>
            <w:vAlign w:val="bottom"/>
            <w:tcBorders>
              <w:top w:val="single" w:sz="8" w:color="auto"/>
              <w:right w:val="single" w:sz="8" w:color="auto"/>
            </w:tcBorders>
          </w:tcPr>
          <w:p>
            <w:pPr>
              <w:spacing w:after="0"/>
              <w:rPr>
                <w:sz w:val="20"/>
                <w:szCs w:val="20"/>
                <w:color w:val="auto"/>
              </w:rPr>
            </w:pPr>
          </w:p>
        </w:tc>
      </w:tr>
      <w:tr>
        <w:trPr>
          <w:trHeight w:val="223"/>
        </w:trPr>
        <w:tc>
          <w:tcPr>
            <w:tcW w:w="1540" w:type="dxa"/>
            <w:vAlign w:val="bottom"/>
            <w:tcBorders>
              <w:left w:val="single" w:sz="8" w:color="auto"/>
              <w:right w:val="single" w:sz="8" w:color="auto"/>
            </w:tcBorders>
          </w:tcPr>
          <w:p>
            <w:pPr>
              <w:spacing w:after="0"/>
              <w:rPr>
                <w:sz w:val="19"/>
                <w:szCs w:val="19"/>
                <w:color w:val="auto"/>
              </w:rPr>
            </w:pPr>
          </w:p>
        </w:tc>
        <w:tc>
          <w:tcPr>
            <w:tcW w:w="4540" w:type="dxa"/>
            <w:vAlign w:val="bottom"/>
            <w:tcBorders>
              <w:right w:val="single" w:sz="8" w:color="auto"/>
            </w:tcBorders>
            <w:gridSpan w:val="5"/>
          </w:tcPr>
          <w:p>
            <w:pPr>
              <w:jc w:val="center"/>
              <w:ind w:right="40"/>
              <w:spacing w:after="0"/>
              <w:rPr>
                <w:sz w:val="20"/>
                <w:szCs w:val="20"/>
                <w:color w:val="auto"/>
              </w:rPr>
            </w:pPr>
            <w:r>
              <w:rPr>
                <w:rFonts w:ascii="Arial" w:cs="Arial" w:eastAsia="Arial" w:hAnsi="Arial"/>
                <w:sz w:val="19"/>
                <w:szCs w:val="19"/>
                <w:b w:val="1"/>
                <w:bCs w:val="1"/>
                <w:color w:val="auto"/>
                <w:w w:val="90"/>
              </w:rPr>
              <w:t>(as a percentage of Aggregate Revolving Credit</w:t>
            </w:r>
          </w:p>
        </w:tc>
        <w:tc>
          <w:tcPr>
            <w:tcW w:w="2360" w:type="dxa"/>
            <w:vAlign w:val="bottom"/>
            <w:tcBorders>
              <w:right w:val="single" w:sz="8" w:color="auto"/>
            </w:tcBorders>
          </w:tcPr>
          <w:p>
            <w:pPr>
              <w:spacing w:after="0"/>
              <w:rPr>
                <w:sz w:val="19"/>
                <w:szCs w:val="19"/>
                <w:color w:val="auto"/>
              </w:rPr>
            </w:pP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9"/>
                <w:szCs w:val="19"/>
                <w:b w:val="1"/>
                <w:bCs w:val="1"/>
                <w:color w:val="auto"/>
                <w:w w:val="90"/>
              </w:rPr>
              <w:t>Base Rate Loans or Canadian</w:t>
            </w:r>
          </w:p>
        </w:tc>
      </w:tr>
      <w:tr>
        <w:trPr>
          <w:trHeight w:val="251"/>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9"/>
                <w:szCs w:val="19"/>
                <w:b w:val="1"/>
                <w:bCs w:val="1"/>
                <w:color w:val="auto"/>
                <w:w w:val="94"/>
              </w:rPr>
              <w:t>Level</w:t>
            </w:r>
          </w:p>
        </w:tc>
        <w:tc>
          <w:tcPr>
            <w:tcW w:w="4540" w:type="dxa"/>
            <w:vAlign w:val="bottom"/>
            <w:tcBorders>
              <w:right w:val="single" w:sz="8" w:color="auto"/>
            </w:tcBorders>
            <w:gridSpan w:val="5"/>
          </w:tcPr>
          <w:p>
            <w:pPr>
              <w:jc w:val="center"/>
              <w:ind w:right="40"/>
              <w:spacing w:after="0"/>
              <w:rPr>
                <w:sz w:val="20"/>
                <w:szCs w:val="20"/>
                <w:color w:val="auto"/>
              </w:rPr>
            </w:pPr>
            <w:r>
              <w:rPr>
                <w:rFonts w:ascii="Arial" w:cs="Arial" w:eastAsia="Arial" w:hAnsi="Arial"/>
                <w:sz w:val="19"/>
                <w:szCs w:val="19"/>
                <w:b w:val="1"/>
                <w:bCs w:val="1"/>
                <w:color w:val="auto"/>
                <w:w w:val="91"/>
              </w:rPr>
              <w:t>Commitments)</w:t>
            </w:r>
          </w:p>
        </w:tc>
        <w:tc>
          <w:tcPr>
            <w:tcW w:w="2360" w:type="dxa"/>
            <w:vAlign w:val="bottom"/>
            <w:tcBorders>
              <w:right w:val="single" w:sz="8" w:color="auto"/>
            </w:tcBorders>
          </w:tcPr>
          <w:p>
            <w:pPr>
              <w:jc w:val="center"/>
              <w:spacing w:after="0"/>
              <w:rPr>
                <w:sz w:val="20"/>
                <w:szCs w:val="20"/>
                <w:color w:val="auto"/>
              </w:rPr>
            </w:pPr>
            <w:r>
              <w:rPr>
                <w:rFonts w:ascii="Arial" w:cs="Arial" w:eastAsia="Arial" w:hAnsi="Arial"/>
                <w:sz w:val="19"/>
                <w:szCs w:val="19"/>
                <w:b w:val="1"/>
                <w:bCs w:val="1"/>
                <w:color w:val="auto"/>
                <w:w w:val="92"/>
              </w:rPr>
              <w:t>Eurocurrency Rate Loans</w:t>
            </w: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9"/>
                <w:szCs w:val="19"/>
                <w:b w:val="1"/>
                <w:bCs w:val="1"/>
                <w:color w:val="auto"/>
                <w:w w:val="92"/>
              </w:rPr>
              <w:t>Prime Rate Loans</w:t>
            </w:r>
          </w:p>
        </w:tc>
      </w:tr>
      <w:tr>
        <w:trPr>
          <w:trHeight w:val="21"/>
        </w:trPr>
        <w:tc>
          <w:tcPr>
            <w:tcW w:w="15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right w:val="single" w:sz="8" w:color="auto"/>
            </w:tcBorders>
          </w:tcPr>
          <w:p>
            <w:pPr>
              <w:spacing w:after="0" w:line="20" w:lineRule="exact"/>
              <w:rPr>
                <w:sz w:val="1"/>
                <w:szCs w:val="1"/>
                <w:color w:val="auto"/>
              </w:rPr>
            </w:pPr>
          </w:p>
        </w:tc>
        <w:tc>
          <w:tcPr>
            <w:tcW w:w="2360" w:type="dxa"/>
            <w:vAlign w:val="bottom"/>
            <w:tcBorders>
              <w:bottom w:val="single" w:sz="8" w:color="auto"/>
              <w:right w:val="single" w:sz="8" w:color="auto"/>
            </w:tcBorders>
          </w:tcPr>
          <w:p>
            <w:pPr>
              <w:spacing w:after="0" w:line="20" w:lineRule="exact"/>
              <w:rPr>
                <w:sz w:val="1"/>
                <w:szCs w:val="1"/>
                <w:color w:val="auto"/>
              </w:rPr>
            </w:pPr>
          </w:p>
        </w:tc>
        <w:tc>
          <w:tcPr>
            <w:tcW w:w="2800" w:type="dxa"/>
            <w:vAlign w:val="bottom"/>
            <w:tcBorders>
              <w:bottom w:val="single" w:sz="8" w:color="auto"/>
              <w:right w:val="single" w:sz="8" w:color="auto"/>
            </w:tcBorders>
          </w:tcPr>
          <w:p>
            <w:pPr>
              <w:spacing w:after="0" w:line="20" w:lineRule="exact"/>
              <w:rPr>
                <w:sz w:val="1"/>
                <w:szCs w:val="1"/>
                <w:color w:val="auto"/>
              </w:rPr>
            </w:pPr>
          </w:p>
        </w:tc>
      </w:tr>
      <w:tr>
        <w:trPr>
          <w:trHeight w:val="203"/>
        </w:trPr>
        <w:tc>
          <w:tcPr>
            <w:tcW w:w="1540" w:type="dxa"/>
            <w:vAlign w:val="bottom"/>
            <w:tcBorders>
              <w:left w:val="single" w:sz="8" w:color="auto"/>
              <w:right w:val="single" w:sz="8" w:color="auto"/>
            </w:tcBorders>
          </w:tcPr>
          <w:p>
            <w:pPr>
              <w:jc w:val="center"/>
              <w:spacing w:after="0" w:line="203" w:lineRule="exact"/>
              <w:rPr>
                <w:sz w:val="20"/>
                <w:szCs w:val="20"/>
                <w:color w:val="auto"/>
              </w:rPr>
            </w:pPr>
            <w:r>
              <w:rPr>
                <w:rFonts w:ascii="Arial" w:cs="Arial" w:eastAsia="Arial" w:hAnsi="Arial"/>
                <w:sz w:val="19"/>
                <w:szCs w:val="19"/>
                <w:color w:val="auto"/>
              </w:rPr>
              <w:t>I</w:t>
            </w:r>
          </w:p>
        </w:tc>
        <w:tc>
          <w:tcPr>
            <w:tcW w:w="2540" w:type="dxa"/>
            <w:vAlign w:val="bottom"/>
            <w:gridSpan w:val="4"/>
          </w:tcPr>
          <w:p>
            <w:pPr>
              <w:jc w:val="center"/>
              <w:ind w:left="1864"/>
              <w:spacing w:after="0" w:line="203" w:lineRule="exact"/>
              <w:rPr>
                <w:sz w:val="20"/>
                <w:szCs w:val="20"/>
                <w:color w:val="auto"/>
              </w:rPr>
            </w:pPr>
            <w:r>
              <w:rPr>
                <w:rFonts w:ascii="Arial" w:cs="Arial" w:eastAsia="Arial" w:hAnsi="Arial"/>
                <w:sz w:val="19"/>
                <w:szCs w:val="19"/>
                <w:color w:val="auto"/>
                <w:w w:val="91"/>
              </w:rPr>
              <w:t>&gt; 66%</w:t>
            </w:r>
          </w:p>
        </w:tc>
        <w:tc>
          <w:tcPr>
            <w:tcW w:w="2000" w:type="dxa"/>
            <w:vAlign w:val="bottom"/>
            <w:tcBorders>
              <w:right w:val="single" w:sz="8" w:color="auto"/>
            </w:tcBorders>
          </w:tcPr>
          <w:p>
            <w:pPr>
              <w:spacing w:after="0"/>
              <w:rPr>
                <w:sz w:val="17"/>
                <w:szCs w:val="17"/>
                <w:color w:val="auto"/>
              </w:rPr>
            </w:pPr>
          </w:p>
        </w:tc>
        <w:tc>
          <w:tcPr>
            <w:tcW w:w="2360" w:type="dxa"/>
            <w:vAlign w:val="bottom"/>
            <w:tcBorders>
              <w:right w:val="single" w:sz="8" w:color="auto"/>
            </w:tcBorders>
          </w:tcPr>
          <w:p>
            <w:pPr>
              <w:jc w:val="center"/>
              <w:spacing w:after="0" w:line="203" w:lineRule="exact"/>
              <w:rPr>
                <w:sz w:val="20"/>
                <w:szCs w:val="20"/>
                <w:color w:val="auto"/>
              </w:rPr>
            </w:pPr>
            <w:r>
              <w:rPr>
                <w:rFonts w:ascii="Arial" w:cs="Arial" w:eastAsia="Arial" w:hAnsi="Arial"/>
                <w:sz w:val="19"/>
                <w:szCs w:val="19"/>
                <w:color w:val="auto"/>
                <w:w w:val="92"/>
              </w:rPr>
              <w:t>2.50%</w:t>
            </w:r>
          </w:p>
        </w:tc>
        <w:tc>
          <w:tcPr>
            <w:tcW w:w="2800" w:type="dxa"/>
            <w:vAlign w:val="bottom"/>
            <w:tcBorders>
              <w:right w:val="single" w:sz="8" w:color="auto"/>
            </w:tcBorders>
          </w:tcPr>
          <w:p>
            <w:pPr>
              <w:jc w:val="center"/>
              <w:spacing w:after="0" w:line="203" w:lineRule="exact"/>
              <w:rPr>
                <w:sz w:val="20"/>
                <w:szCs w:val="20"/>
                <w:color w:val="auto"/>
              </w:rPr>
            </w:pPr>
            <w:r>
              <w:rPr>
                <w:rFonts w:ascii="Arial" w:cs="Arial" w:eastAsia="Arial" w:hAnsi="Arial"/>
                <w:sz w:val="19"/>
                <w:szCs w:val="19"/>
                <w:color w:val="auto"/>
                <w:w w:val="92"/>
              </w:rPr>
              <w:t>1.50%</w:t>
            </w:r>
          </w:p>
        </w:tc>
      </w:tr>
      <w:tr>
        <w:trPr>
          <w:trHeight w:val="46"/>
        </w:trPr>
        <w:tc>
          <w:tcPr>
            <w:tcW w:w="1540" w:type="dxa"/>
            <w:vAlign w:val="bottom"/>
            <w:tcBorders>
              <w:left w:val="single" w:sz="8" w:color="auto"/>
              <w:bottom w:val="single" w:sz="8" w:color="auto"/>
              <w:right w:val="single" w:sz="8" w:color="auto"/>
            </w:tcBorders>
          </w:tcPr>
          <w:p>
            <w:pPr>
              <w:spacing w:after="0"/>
              <w:rPr>
                <w:sz w:val="3"/>
                <w:szCs w:val="3"/>
                <w:color w:val="auto"/>
              </w:rPr>
            </w:pPr>
          </w:p>
        </w:tc>
        <w:tc>
          <w:tcPr>
            <w:tcW w:w="2000" w:type="dxa"/>
            <w:vAlign w:val="bottom"/>
            <w:tcBorders>
              <w:bottom w:val="single" w:sz="8" w:color="auto"/>
            </w:tcBorders>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00" w:type="dxa"/>
            <w:vAlign w:val="bottom"/>
            <w:tcBorders>
              <w:bottom w:val="single" w:sz="8" w:color="auto"/>
              <w:right w:val="single" w:sz="8" w:color="auto"/>
            </w:tcBorders>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2800" w:type="dxa"/>
            <w:vAlign w:val="bottom"/>
            <w:tcBorders>
              <w:bottom w:val="single" w:sz="8" w:color="auto"/>
              <w:right w:val="single" w:sz="8" w:color="auto"/>
            </w:tcBorders>
          </w:tcPr>
          <w:p>
            <w:pPr>
              <w:spacing w:after="0"/>
              <w:rPr>
                <w:sz w:val="3"/>
                <w:szCs w:val="3"/>
                <w:color w:val="auto"/>
              </w:rPr>
            </w:pPr>
          </w:p>
        </w:tc>
      </w:tr>
      <w:tr>
        <w:trPr>
          <w:trHeight w:val="203"/>
        </w:trPr>
        <w:tc>
          <w:tcPr>
            <w:tcW w:w="1540" w:type="dxa"/>
            <w:vAlign w:val="bottom"/>
            <w:tcBorders>
              <w:left w:val="single" w:sz="8" w:color="auto"/>
              <w:right w:val="single" w:sz="8" w:color="auto"/>
            </w:tcBorders>
          </w:tcPr>
          <w:p>
            <w:pPr>
              <w:jc w:val="center"/>
              <w:spacing w:after="0" w:line="203" w:lineRule="exact"/>
              <w:rPr>
                <w:sz w:val="20"/>
                <w:szCs w:val="20"/>
                <w:color w:val="auto"/>
              </w:rPr>
            </w:pPr>
            <w:r>
              <w:rPr>
                <w:rFonts w:ascii="Arial" w:cs="Arial" w:eastAsia="Arial" w:hAnsi="Arial"/>
                <w:sz w:val="19"/>
                <w:szCs w:val="19"/>
                <w:color w:val="auto"/>
              </w:rPr>
              <w:t>II</w:t>
            </w:r>
          </w:p>
        </w:tc>
        <w:tc>
          <w:tcPr>
            <w:tcW w:w="4540" w:type="dxa"/>
            <w:vAlign w:val="bottom"/>
            <w:tcBorders>
              <w:right w:val="single" w:sz="8" w:color="auto"/>
            </w:tcBorders>
            <w:gridSpan w:val="5"/>
          </w:tcPr>
          <w:p>
            <w:pPr>
              <w:jc w:val="center"/>
              <w:ind w:right="20"/>
              <w:spacing w:after="0" w:line="203" w:lineRule="exact"/>
              <w:rPr>
                <w:sz w:val="20"/>
                <w:szCs w:val="20"/>
                <w:color w:val="auto"/>
              </w:rPr>
            </w:pPr>
            <w:r>
              <w:rPr>
                <w:rFonts w:ascii="Arial" w:cs="Arial" w:eastAsia="Arial" w:hAnsi="Arial"/>
                <w:sz w:val="19"/>
                <w:szCs w:val="19"/>
                <w:color w:val="auto"/>
                <w:w w:val="93"/>
              </w:rPr>
              <w:t>&lt; 66% but &gt; 33%</w:t>
            </w:r>
          </w:p>
        </w:tc>
        <w:tc>
          <w:tcPr>
            <w:tcW w:w="2360" w:type="dxa"/>
            <w:vAlign w:val="bottom"/>
            <w:tcBorders>
              <w:right w:val="single" w:sz="8" w:color="auto"/>
            </w:tcBorders>
          </w:tcPr>
          <w:p>
            <w:pPr>
              <w:jc w:val="center"/>
              <w:spacing w:after="0" w:line="203" w:lineRule="exact"/>
              <w:rPr>
                <w:sz w:val="20"/>
                <w:szCs w:val="20"/>
                <w:color w:val="auto"/>
              </w:rPr>
            </w:pPr>
            <w:r>
              <w:rPr>
                <w:rFonts w:ascii="Arial" w:cs="Arial" w:eastAsia="Arial" w:hAnsi="Arial"/>
                <w:sz w:val="19"/>
                <w:szCs w:val="19"/>
                <w:color w:val="auto"/>
                <w:w w:val="92"/>
              </w:rPr>
              <w:t>2.25%</w:t>
            </w:r>
          </w:p>
        </w:tc>
        <w:tc>
          <w:tcPr>
            <w:tcW w:w="2800" w:type="dxa"/>
            <w:vAlign w:val="bottom"/>
            <w:tcBorders>
              <w:right w:val="single" w:sz="8" w:color="auto"/>
            </w:tcBorders>
          </w:tcPr>
          <w:p>
            <w:pPr>
              <w:jc w:val="center"/>
              <w:spacing w:after="0" w:line="203" w:lineRule="exact"/>
              <w:rPr>
                <w:sz w:val="20"/>
                <w:szCs w:val="20"/>
                <w:color w:val="auto"/>
              </w:rPr>
            </w:pPr>
            <w:r>
              <w:rPr>
                <w:rFonts w:ascii="Arial" w:cs="Arial" w:eastAsia="Arial" w:hAnsi="Arial"/>
                <w:sz w:val="19"/>
                <w:szCs w:val="19"/>
                <w:color w:val="auto"/>
                <w:w w:val="92"/>
              </w:rPr>
              <w:t>1.25%</w:t>
            </w:r>
          </w:p>
        </w:tc>
      </w:tr>
      <w:tr>
        <w:trPr>
          <w:trHeight w:val="46"/>
        </w:trPr>
        <w:tc>
          <w:tcPr>
            <w:tcW w:w="1540" w:type="dxa"/>
            <w:vAlign w:val="bottom"/>
            <w:tcBorders>
              <w:left w:val="single" w:sz="8" w:color="auto"/>
              <w:bottom w:val="single" w:sz="8" w:color="auto"/>
              <w:right w:val="single" w:sz="8" w:color="auto"/>
            </w:tcBorders>
          </w:tcPr>
          <w:p>
            <w:pPr>
              <w:spacing w:after="0"/>
              <w:rPr>
                <w:sz w:val="3"/>
                <w:szCs w:val="3"/>
                <w:color w:val="auto"/>
              </w:rPr>
            </w:pPr>
          </w:p>
        </w:tc>
        <w:tc>
          <w:tcPr>
            <w:tcW w:w="2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0" w:type="dxa"/>
            <w:vAlign w:val="bottom"/>
            <w:tcBorders>
              <w:top w:val="single" w:sz="8" w:color="auto"/>
              <w:bottom w:val="single" w:sz="8" w:color="auto"/>
            </w:tcBorders>
          </w:tcPr>
          <w:p>
            <w:pPr>
              <w:spacing w:after="0"/>
              <w:rPr>
                <w:sz w:val="3"/>
                <w:szCs w:val="3"/>
                <w:color w:val="auto"/>
              </w:rPr>
            </w:pPr>
          </w:p>
        </w:tc>
        <w:tc>
          <w:tcPr>
            <w:tcW w:w="2000" w:type="dxa"/>
            <w:vAlign w:val="bottom"/>
            <w:tcBorders>
              <w:bottom w:val="single" w:sz="8" w:color="auto"/>
              <w:right w:val="single" w:sz="8" w:color="auto"/>
            </w:tcBorders>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2800" w:type="dxa"/>
            <w:vAlign w:val="bottom"/>
            <w:tcBorders>
              <w:bottom w:val="single" w:sz="8" w:color="auto"/>
              <w:right w:val="single" w:sz="8" w:color="auto"/>
            </w:tcBorders>
          </w:tcPr>
          <w:p>
            <w:pPr>
              <w:spacing w:after="0"/>
              <w:rPr>
                <w:sz w:val="3"/>
                <w:szCs w:val="3"/>
                <w:color w:val="auto"/>
              </w:rPr>
            </w:pPr>
          </w:p>
        </w:tc>
      </w:tr>
      <w:tr>
        <w:trPr>
          <w:trHeight w:val="248"/>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9"/>
                <w:szCs w:val="19"/>
                <w:color w:val="auto"/>
              </w:rPr>
              <w:t>III</w:t>
            </w:r>
          </w:p>
        </w:tc>
        <w:tc>
          <w:tcPr>
            <w:tcW w:w="2540" w:type="dxa"/>
            <w:vAlign w:val="bottom"/>
            <w:gridSpan w:val="4"/>
          </w:tcPr>
          <w:p>
            <w:pPr>
              <w:jc w:val="center"/>
              <w:ind w:left="1864"/>
              <w:spacing w:after="0"/>
              <w:rPr>
                <w:sz w:val="20"/>
                <w:szCs w:val="20"/>
                <w:color w:val="auto"/>
              </w:rPr>
            </w:pPr>
            <w:r>
              <w:rPr>
                <w:rFonts w:ascii="Arial" w:cs="Arial" w:eastAsia="Arial" w:hAnsi="Arial"/>
                <w:sz w:val="19"/>
                <w:szCs w:val="19"/>
                <w:color w:val="auto"/>
                <w:w w:val="91"/>
              </w:rPr>
              <w:t>&lt; 33%</w:t>
            </w:r>
          </w:p>
        </w:tc>
        <w:tc>
          <w:tcPr>
            <w:tcW w:w="2000" w:type="dxa"/>
            <w:vAlign w:val="bottom"/>
            <w:tcBorders>
              <w:right w:val="single" w:sz="8" w:color="auto"/>
            </w:tcBorders>
          </w:tcPr>
          <w:p>
            <w:pPr>
              <w:spacing w:after="0"/>
              <w:rPr>
                <w:sz w:val="21"/>
                <w:szCs w:val="21"/>
                <w:color w:val="auto"/>
              </w:rPr>
            </w:pPr>
          </w:p>
        </w:tc>
        <w:tc>
          <w:tcPr>
            <w:tcW w:w="236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92"/>
              </w:rPr>
              <w:t>2.00%</w:t>
            </w: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92"/>
              </w:rPr>
              <w:t>1.00%</w:t>
            </w:r>
          </w:p>
        </w:tc>
      </w:tr>
      <w:tr>
        <w:trPr>
          <w:trHeight w:val="21"/>
        </w:trPr>
        <w:tc>
          <w:tcPr>
            <w:tcW w:w="15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right w:val="single" w:sz="8" w:color="auto"/>
            </w:tcBorders>
          </w:tcPr>
          <w:p>
            <w:pPr>
              <w:spacing w:after="0" w:line="20" w:lineRule="exact"/>
              <w:rPr>
                <w:sz w:val="1"/>
                <w:szCs w:val="1"/>
                <w:color w:val="auto"/>
              </w:rPr>
            </w:pPr>
          </w:p>
        </w:tc>
        <w:tc>
          <w:tcPr>
            <w:tcW w:w="2360" w:type="dxa"/>
            <w:vAlign w:val="bottom"/>
            <w:tcBorders>
              <w:bottom w:val="single" w:sz="8" w:color="auto"/>
              <w:right w:val="single" w:sz="8" w:color="auto"/>
            </w:tcBorders>
          </w:tcPr>
          <w:p>
            <w:pPr>
              <w:spacing w:after="0" w:line="20" w:lineRule="exact"/>
              <w:rPr>
                <w:sz w:val="1"/>
                <w:szCs w:val="1"/>
                <w:color w:val="auto"/>
              </w:rPr>
            </w:pPr>
          </w:p>
        </w:tc>
        <w:tc>
          <w:tcPr>
            <w:tcW w:w="2800" w:type="dxa"/>
            <w:vAlign w:val="bottom"/>
            <w:tcBorders>
              <w:bottom w:val="single" w:sz="8" w:color="auto"/>
              <w:right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6" w:lineRule="exact"/>
        <w:rPr>
          <w:sz w:val="20"/>
          <w:szCs w:val="20"/>
          <w:color w:val="auto"/>
        </w:rPr>
      </w:pPr>
    </w:p>
    <w:p>
      <w:pPr>
        <w:jc w:val="both"/>
        <w:ind w:firstLine="629"/>
        <w:spacing w:after="0" w:line="249" w:lineRule="auto"/>
        <w:rPr>
          <w:sz w:val="20"/>
          <w:szCs w:val="20"/>
          <w:color w:val="auto"/>
        </w:rPr>
      </w:pPr>
      <w:r>
        <w:rPr>
          <w:rFonts w:ascii="Arial" w:cs="Arial" w:eastAsia="Arial" w:hAnsi="Arial"/>
          <w:sz w:val="19"/>
          <w:szCs w:val="19"/>
          <w:color w:val="auto"/>
        </w:rPr>
        <w:t>From the Closing Date until the first day of each fiscal quarter, commencing with the fiscal quarter starting January 1, 2022 (the “</w:t>
      </w:r>
      <w:r>
        <w:rPr>
          <w:rFonts w:ascii="Arial" w:cs="Arial" w:eastAsia="Arial" w:hAnsi="Arial"/>
          <w:sz w:val="19"/>
          <w:szCs w:val="19"/>
          <w:u w:val="single" w:color="auto"/>
          <w:color w:val="auto"/>
        </w:rPr>
        <w:t>Adjustment Date</w:t>
      </w:r>
      <w:r>
        <w:rPr>
          <w:rFonts w:ascii="Arial" w:cs="Arial" w:eastAsia="Arial" w:hAnsi="Arial"/>
          <w:sz w:val="19"/>
          <w:szCs w:val="19"/>
          <w:color w:val="auto"/>
        </w:rPr>
        <w:t xml:space="preserve">”), margins shall be determined as if Level II were applicable. From and after January 1, 2022, any increase or decrease in the Applicable Margin resulting from a change in Average Availability shall become effective as of each Adjustment Date based upon Average Availability for the immediately preceding fiscal quarter. If any Borrowing Base Certificate (including any required financial information in support thereof) of the Borrowers is not received by Administrative Agent by the date required pursuant to </w:t>
      </w:r>
      <w:r>
        <w:rPr>
          <w:rFonts w:ascii="Arial" w:cs="Arial" w:eastAsia="Arial" w:hAnsi="Arial"/>
          <w:sz w:val="19"/>
          <w:szCs w:val="19"/>
          <w:u w:val="single" w:color="auto"/>
          <w:color w:val="auto"/>
        </w:rPr>
        <w:t>Section 7.02(a)</w:t>
      </w:r>
      <w:r>
        <w:rPr>
          <w:rFonts w:ascii="Arial" w:cs="Arial" w:eastAsia="Arial" w:hAnsi="Arial"/>
          <w:sz w:val="19"/>
          <w:szCs w:val="19"/>
          <w:color w:val="auto"/>
        </w:rPr>
        <w:t>, then the Applicable Margin shall be determined as if the Average Availability for the immediately preceding fiscal quarter is at Level I until such time as such Borrowing Base Certificate and supporting information are received. If any Borrowing Base Certificate (including any required information in support thereof) delivered hereunder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w:t>
      </w:r>
    </w:p>
    <w:p>
      <w:pPr>
        <w:sectPr>
          <w:pgSz w:w="11900" w:h="16838" w:orient="portrait"/>
          <w:cols w:equalWidth="0" w:num="1">
            <w:col w:w="11240"/>
          </w:cols>
          <w:pgMar w:left="320" w:top="1381" w:right="339" w:bottom="1440" w:gutter="0" w:footer="0" w:header="0"/>
        </w:sectPr>
      </w:pPr>
    </w:p>
    <w:bookmarkStart w:id="122" w:name="page123"/>
    <w:bookmarkEnd w:id="122"/>
    <w:p>
      <w:pPr>
        <w:jc w:val="both"/>
        <w:spacing w:after="0" w:line="262" w:lineRule="auto"/>
        <w:rPr>
          <w:sz w:val="20"/>
          <w:szCs w:val="20"/>
          <w:color w:val="auto"/>
        </w:rPr>
      </w:pPr>
      <w:r>
        <w:rPr>
          <w:rFonts w:ascii="Arial" w:cs="Arial" w:eastAsia="Arial" w:hAnsi="Arial"/>
          <w:sz w:val="18"/>
          <w:szCs w:val="18"/>
          <w:color w:val="auto"/>
        </w:rPr>
        <w:t>determined at any time before the Facility Termination Date to be inaccurate, and such inaccuracy, if corrected, would have led to the application of a higher Applicable Margin based upon the pricing grid set forth in the table above, (the “</w:t>
      </w:r>
      <w:r>
        <w:rPr>
          <w:rFonts w:ascii="Arial" w:cs="Arial" w:eastAsia="Arial" w:hAnsi="Arial"/>
          <w:sz w:val="18"/>
          <w:szCs w:val="18"/>
          <w:u w:val="single" w:color="auto"/>
          <w:color w:val="auto"/>
        </w:rPr>
        <w:t>Accurate Applicable Margin</w:t>
      </w:r>
      <w:r>
        <w:rPr>
          <w:rFonts w:ascii="Arial" w:cs="Arial" w:eastAsia="Arial" w:hAnsi="Arial"/>
          <w:sz w:val="18"/>
          <w:szCs w:val="18"/>
          <w:color w:val="auto"/>
        </w:rPr>
        <w:t xml:space="preserve">”) for any period that such Borrowing Base Certificate covered, then (i) the Borrower Agent shall promptly (and in any event within two (2) Business Days) deliver to the Administrative Agent a correct Borrowing Base Certificate for such period, (ii) the Applicable Margin shall be automatically and retroactively adjusted such that after giving effect to the corrected Borrowing Base Certificate, the Applicable Margin shall automatically be reset to the Accurate Applicable Margin based upon the pricing grid set forth in the table above for such period (or failing timely delivery of such corrected Borrowing Base Certificate, Level I of the table set forth above) and (iii) the Loan Parties shall promptly (and in any event within two (2) Business Days) pay to Administrative Agent, for the account of the Lenders, the accrued additional interest owing as a result of such Accurate Applicable Margin for such period, if any (or failing delivery of such corrected Borrowing Base Certificate, Level I of the table set forth above). The provisions of this definition shall not limit the rights of the Administrative Agent and the Lenders with respect to </w:t>
      </w:r>
      <w:r>
        <w:rPr>
          <w:rFonts w:ascii="Arial" w:cs="Arial" w:eastAsia="Arial" w:hAnsi="Arial"/>
          <w:sz w:val="18"/>
          <w:szCs w:val="18"/>
          <w:u w:val="single" w:color="auto"/>
          <w:color w:val="auto"/>
        </w:rPr>
        <w:t>Section 2.08</w:t>
      </w:r>
      <w:r>
        <w:rPr>
          <w:rFonts w:ascii="Arial" w:cs="Arial" w:eastAsia="Arial" w:hAnsi="Arial"/>
          <w:sz w:val="18"/>
          <w:szCs w:val="18"/>
          <w:color w:val="auto"/>
        </w:rPr>
        <w:t xml:space="preserve"> or otherwise and shall survive the termination of this Agreement.</w:t>
      </w:r>
    </w:p>
    <w:p>
      <w:pPr>
        <w:spacing w:after="0" w:line="176" w:lineRule="exact"/>
        <w:rPr>
          <w:sz w:val="20"/>
          <w:szCs w:val="20"/>
          <w:color w:val="auto"/>
        </w:rPr>
      </w:pPr>
    </w:p>
    <w:p>
      <w:pPr>
        <w:jc w:val="both"/>
        <w:ind w:firstLine="629"/>
        <w:spacing w:after="0" w:line="24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Applicable Percentage</w:t>
      </w:r>
      <w:r>
        <w:rPr>
          <w:rFonts w:ascii="Arial" w:cs="Arial" w:eastAsia="Arial" w:hAnsi="Arial"/>
          <w:sz w:val="19"/>
          <w:szCs w:val="19"/>
          <w:color w:val="auto"/>
        </w:rPr>
        <w:t xml:space="preserve">” means with respect to any Revolving Credit Lender at any time, the percentage (carried out to the ninth decimal place) of the Revolving Credit Facility, represented by the amount of the Revolving Credit Commitment of such Revolving Credit Lender at such time;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Aggregate Revolving Credit Commitments have been terminated at such time, then the Applicable Percentage of each Revolving Credit Lender shall be the Applicable Percentage of such Revolving Credit Lender immediately prior to such termination and after giving effect to any subsequent assignments,. The initial Applicable Percentage of each Lender with respect to the Revolving Credit Facility is set forth opposite the name of such Lender on </w:t>
      </w:r>
      <w:r>
        <w:rPr>
          <w:rFonts w:ascii="Arial" w:cs="Arial" w:eastAsia="Arial" w:hAnsi="Arial"/>
          <w:sz w:val="19"/>
          <w:szCs w:val="19"/>
          <w:u w:val="single" w:color="auto"/>
          <w:color w:val="auto"/>
        </w:rPr>
        <w:t>Schedule 2.01</w:t>
      </w:r>
      <w:r>
        <w:rPr>
          <w:rFonts w:ascii="Arial" w:cs="Arial" w:eastAsia="Arial" w:hAnsi="Arial"/>
          <w:sz w:val="19"/>
          <w:szCs w:val="19"/>
          <w:color w:val="auto"/>
        </w:rPr>
        <w:t xml:space="preserve"> or in the Assignment and Assumption pursuant to which such Lender becomes a party hereto, as applicable.</w:t>
      </w:r>
    </w:p>
    <w:p>
      <w:pPr>
        <w:spacing w:after="0" w:line="184" w:lineRule="exact"/>
        <w:rPr>
          <w:sz w:val="20"/>
          <w:szCs w:val="20"/>
          <w:color w:val="auto"/>
        </w:rPr>
      </w:pPr>
    </w:p>
    <w:p>
      <w:pPr>
        <w:jc w:val="both"/>
        <w:ind w:firstLine="629"/>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Applicable Revolving Credit Percentage</w:t>
      </w:r>
      <w:r>
        <w:rPr>
          <w:rFonts w:ascii="Arial" w:cs="Arial" w:eastAsia="Arial" w:hAnsi="Arial"/>
          <w:sz w:val="19"/>
          <w:szCs w:val="19"/>
          <w:color w:val="auto"/>
        </w:rPr>
        <w:t>” means with respect to any Revolving Credit Lender at any time, such Revolving Credit Lender’s Applicable Percentage in respect of the Revolving Credit Facility at such time.</w:t>
      </w:r>
    </w:p>
    <w:p>
      <w:pPr>
        <w:spacing w:after="0" w:line="157" w:lineRule="exact"/>
        <w:rPr>
          <w:sz w:val="20"/>
          <w:szCs w:val="20"/>
          <w:color w:val="auto"/>
        </w:rPr>
      </w:pPr>
    </w:p>
    <w:p>
      <w:pPr>
        <w:jc w:val="both"/>
        <w:ind w:firstLine="629"/>
        <w:spacing w:after="0" w:line="25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Appropriate Lender</w:t>
      </w:r>
      <w:r>
        <w:rPr>
          <w:rFonts w:ascii="Arial" w:cs="Arial" w:eastAsia="Arial" w:hAnsi="Arial"/>
          <w:sz w:val="19"/>
          <w:szCs w:val="19"/>
          <w:color w:val="auto"/>
        </w:rPr>
        <w:t>” means, at any time, (a) with respect to the Revolving Credit Facility, a Lender that has a Revolving Credit Commitment with respect to the Revolving Credit Facility or holds a Loan under the Revolving Credit Facility at such time, (b) with respect to the Letter of Credit Sublimit, (i) the Letter of Credit Issuer and (ii) if any Letters of Credit have been issued, the Revolving Credit Lenders and (c) with respect to the Swing Line Sublimit, (i) the Swing Line Lender and (ii) if any Swing Line Loans are outstanding, the Revolving Credit Lenders.</w:t>
      </w:r>
    </w:p>
    <w:p>
      <w:pPr>
        <w:spacing w:after="0" w:line="177" w:lineRule="exact"/>
        <w:rPr>
          <w:sz w:val="20"/>
          <w:szCs w:val="20"/>
          <w:color w:val="auto"/>
        </w:rPr>
      </w:pPr>
    </w:p>
    <w:p>
      <w:pPr>
        <w:jc w:val="both"/>
        <w:ind w:firstLine="629"/>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Approved Fund</w:t>
      </w:r>
      <w:r>
        <w:rPr>
          <w:rFonts w:ascii="Arial" w:cs="Arial" w:eastAsia="Arial" w:hAnsi="Arial"/>
          <w:sz w:val="19"/>
          <w:szCs w:val="19"/>
          <w:color w:val="auto"/>
        </w:rPr>
        <w:t>” means any Fund that is administered or managed by (a) a Lender, (b) an Affiliate of a Lender or (c) an entity or an Affiliate of an entity that administers or manages a Lender.</w:t>
      </w:r>
    </w:p>
    <w:p>
      <w:pPr>
        <w:spacing w:after="0" w:line="157"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Arranger</w:t>
      </w:r>
      <w:r>
        <w:rPr>
          <w:rFonts w:ascii="Arial" w:cs="Arial" w:eastAsia="Arial" w:hAnsi="Arial"/>
          <w:sz w:val="19"/>
          <w:szCs w:val="19"/>
          <w:color w:val="auto"/>
        </w:rPr>
        <w:t>” means BMO Capital.</w:t>
      </w:r>
    </w:p>
    <w:p>
      <w:pPr>
        <w:spacing w:after="0" w:line="214" w:lineRule="exact"/>
        <w:rPr>
          <w:sz w:val="20"/>
          <w:szCs w:val="20"/>
          <w:color w:val="auto"/>
        </w:rPr>
      </w:pPr>
    </w:p>
    <w:p>
      <w:pPr>
        <w:jc w:val="both"/>
        <w:ind w:firstLine="629"/>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Assignment and Assumption</w:t>
      </w:r>
      <w:r>
        <w:rPr>
          <w:rFonts w:ascii="Arial" w:cs="Arial" w:eastAsia="Arial" w:hAnsi="Arial"/>
          <w:sz w:val="19"/>
          <w:szCs w:val="19"/>
          <w:color w:val="auto"/>
        </w:rPr>
        <w:t xml:space="preserve">” means an assignment and assumption entered into by a Lender and an Eligible Assignee (with the consent of any party whose consent is required by </w:t>
      </w:r>
      <w:r>
        <w:rPr>
          <w:rFonts w:ascii="Arial" w:cs="Arial" w:eastAsia="Arial" w:hAnsi="Arial"/>
          <w:sz w:val="19"/>
          <w:szCs w:val="19"/>
          <w:u w:val="single" w:color="auto"/>
          <w:color w:val="auto"/>
        </w:rPr>
        <w:t>Section 11.06(b)</w:t>
      </w:r>
      <w:r>
        <w:rPr>
          <w:rFonts w:ascii="Arial" w:cs="Arial" w:eastAsia="Arial" w:hAnsi="Arial"/>
          <w:sz w:val="19"/>
          <w:szCs w:val="19"/>
          <w:color w:val="auto"/>
        </w:rPr>
        <w:t xml:space="preserve">), and accepted by the Administrative Agent, in substantially the form of </w:t>
      </w:r>
      <w:r>
        <w:rPr>
          <w:rFonts w:ascii="Arial" w:cs="Arial" w:eastAsia="Arial" w:hAnsi="Arial"/>
          <w:sz w:val="19"/>
          <w:szCs w:val="19"/>
          <w:u w:val="single" w:color="auto"/>
          <w:color w:val="auto"/>
        </w:rPr>
        <w:t>Exhibit E</w:t>
      </w:r>
      <w:r>
        <w:rPr>
          <w:rFonts w:ascii="Arial" w:cs="Arial" w:eastAsia="Arial" w:hAnsi="Arial"/>
          <w:sz w:val="19"/>
          <w:szCs w:val="19"/>
          <w:color w:val="auto"/>
        </w:rPr>
        <w:t xml:space="preserve"> or any other form approved by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w:t>
      </w:r>
    </w:p>
    <w:p>
      <w:pPr>
        <w:sectPr>
          <w:pgSz w:w="11900" w:h="16838" w:orient="portrait"/>
          <w:cols w:equalWidth="0" w:num="1">
            <w:col w:w="11240"/>
          </w:cols>
          <w:pgMar w:left="320" w:top="1382" w:right="339" w:bottom="1440" w:gutter="0" w:footer="0" w:header="0"/>
        </w:sectPr>
      </w:pPr>
    </w:p>
    <w:bookmarkStart w:id="123" w:name="page124"/>
    <w:bookmarkEnd w:id="123"/>
    <w:p>
      <w:pPr>
        <w:jc w:val="both"/>
        <w:ind w:firstLine="629"/>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Assumed Indebtedness</w:t>
      </w:r>
      <w:r>
        <w:rPr>
          <w:rFonts w:ascii="Arial" w:cs="Arial" w:eastAsia="Arial" w:hAnsi="Arial"/>
          <w:sz w:val="18"/>
          <w:szCs w:val="18"/>
          <w:color w:val="auto"/>
        </w:rPr>
        <w:t>” means Indebtedness of a Person which is (a) in existence at the time such Person becomes a Subsidiary or (b) assumed in connection with an Investment in or Acquisition of such Person, and which, in each case, (i) has not been incurred or created in connection with, or in anticipation or contemplation of, such Person becoming a Subsidiary, (ii) only such Person (or its Subsidiaries so acquired) are obligors with respect to such Indebtedness, (iii) such Indebtedness is not a revolving loan facility; and (iv) such Indebtedness is not secured by any Liens on working capital assets (including any assets of the type included in the Borrowing Base).</w:t>
      </w:r>
    </w:p>
    <w:p>
      <w:pPr>
        <w:spacing w:after="0" w:line="164" w:lineRule="exact"/>
        <w:rPr>
          <w:sz w:val="20"/>
          <w:szCs w:val="20"/>
          <w:color w:val="auto"/>
        </w:rPr>
      </w:pPr>
    </w:p>
    <w:p>
      <w:pPr>
        <w:jc w:val="both"/>
        <w:ind w:firstLine="629"/>
        <w:spacing w:after="0" w:line="27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Attributable Indebtedness</w:t>
      </w:r>
      <w:r>
        <w:rPr>
          <w:rFonts w:ascii="Arial" w:cs="Arial" w:eastAsia="Arial" w:hAnsi="Arial"/>
          <w:sz w:val="18"/>
          <w:szCs w:val="18"/>
          <w:color w:val="auto"/>
        </w:rPr>
        <w:t>” means, on any date, (a) in respect of any Capital Lease of any Person, the capitalized amount thereof that would appear on a balance sheet of such Person prepared as of such date in accordance with GAAP, and (b) in respect of any Synthetic Lease Obligation, the capitalized amount of the remaining lease payments under the relevant lease that would appear on a balance sheet of such Person prepared as of such date in accordance with GAAP if such lease were accounted for as a Capital Lease.</w:t>
      </w:r>
    </w:p>
    <w:p>
      <w:pPr>
        <w:spacing w:after="0" w:line="160" w:lineRule="exact"/>
        <w:rPr>
          <w:sz w:val="20"/>
          <w:szCs w:val="20"/>
          <w:color w:val="auto"/>
        </w:rPr>
      </w:pPr>
    </w:p>
    <w:p>
      <w:pPr>
        <w:jc w:val="both"/>
        <w:ind w:firstLine="629"/>
        <w:spacing w:after="0" w:line="30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Audited Financial Statements</w:t>
      </w:r>
      <w:r>
        <w:rPr>
          <w:rFonts w:ascii="Arial" w:cs="Arial" w:eastAsia="Arial" w:hAnsi="Arial"/>
          <w:sz w:val="17"/>
          <w:szCs w:val="17"/>
          <w:color w:val="auto"/>
        </w:rPr>
        <w:t>” means the audited Consolidated balance sheet of the Company and its Subsidiaries for the fiscal year ended June 30, 2021, and the related Consolidated statements of income or operations, retained earnings and cash flows for such fiscal year of the Company and its Subsidiaries, including the notes thereto, in the form and scope provided to the Administrative Agent before the Closing Date.</w:t>
      </w:r>
    </w:p>
    <w:p>
      <w:pPr>
        <w:spacing w:after="0" w:line="136"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Audito</w:t>
      </w:r>
      <w:r>
        <w:rPr>
          <w:rFonts w:ascii="Arial" w:cs="Arial" w:eastAsia="Arial" w:hAnsi="Arial"/>
          <w:sz w:val="19"/>
          <w:szCs w:val="19"/>
          <w:color w:val="auto"/>
        </w:rPr>
        <w:t xml:space="preserve">r” has the meaning specified in </w:t>
      </w:r>
      <w:r>
        <w:rPr>
          <w:rFonts w:ascii="Arial" w:cs="Arial" w:eastAsia="Arial" w:hAnsi="Arial"/>
          <w:sz w:val="19"/>
          <w:szCs w:val="19"/>
          <w:u w:val="single" w:color="auto"/>
          <w:color w:val="auto"/>
        </w:rPr>
        <w:t>Section 7.01(a)</w:t>
      </w:r>
      <w:r>
        <w:rPr>
          <w:rFonts w:ascii="Arial" w:cs="Arial" w:eastAsia="Arial" w:hAnsi="Arial"/>
          <w:sz w:val="19"/>
          <w:szCs w:val="19"/>
          <w:color w:val="auto"/>
        </w:rPr>
        <w:t>.</w:t>
      </w:r>
    </w:p>
    <w:p>
      <w:pPr>
        <w:spacing w:after="0" w:line="21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Australian Dollars</w:t>
      </w:r>
      <w:r>
        <w:rPr>
          <w:rFonts w:ascii="Arial" w:cs="Arial" w:eastAsia="Arial" w:hAnsi="Arial"/>
          <w:sz w:val="19"/>
          <w:szCs w:val="19"/>
          <w:color w:val="auto"/>
        </w:rPr>
        <w:t>” means the lawful currency of Australia.</w:t>
      </w:r>
    </w:p>
    <w:p>
      <w:pPr>
        <w:spacing w:after="0" w:line="21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Auto-Extension Letter of Credit</w:t>
      </w:r>
      <w:r>
        <w:rPr>
          <w:rFonts w:ascii="Arial" w:cs="Arial" w:eastAsia="Arial" w:hAnsi="Arial"/>
          <w:sz w:val="19"/>
          <w:szCs w:val="19"/>
          <w:color w:val="auto"/>
        </w:rPr>
        <w:t xml:space="preserve">” has the meaning specified in </w:t>
      </w:r>
      <w:r>
        <w:rPr>
          <w:rFonts w:ascii="Arial" w:cs="Arial" w:eastAsia="Arial" w:hAnsi="Arial"/>
          <w:sz w:val="19"/>
          <w:szCs w:val="19"/>
          <w:u w:val="single" w:color="auto"/>
          <w:color w:val="auto"/>
        </w:rPr>
        <w:t>Section 2.03(b)(iii)</w:t>
      </w:r>
      <w:r>
        <w:rPr>
          <w:rFonts w:ascii="Arial" w:cs="Arial" w:eastAsia="Arial" w:hAnsi="Arial"/>
          <w:sz w:val="19"/>
          <w:szCs w:val="19"/>
          <w:color w:val="auto"/>
        </w:rPr>
        <w:t>.</w:t>
      </w:r>
    </w:p>
    <w:p>
      <w:pPr>
        <w:spacing w:after="0" w:line="214" w:lineRule="exact"/>
        <w:rPr>
          <w:sz w:val="20"/>
          <w:szCs w:val="20"/>
          <w:color w:val="auto"/>
        </w:rPr>
      </w:pPr>
    </w:p>
    <w:p>
      <w:pPr>
        <w:jc w:val="both"/>
        <w:ind w:firstLine="629"/>
        <w:spacing w:after="0" w:line="25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Availability</w:t>
      </w:r>
      <w:r>
        <w:rPr>
          <w:rFonts w:ascii="Arial" w:cs="Arial" w:eastAsia="Arial" w:hAnsi="Arial"/>
          <w:sz w:val="19"/>
          <w:szCs w:val="19"/>
          <w:color w:val="auto"/>
        </w:rPr>
        <w:t xml:space="preserve">” means (a) the Maximum Borrowing Amount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(b) Total Revolving Credit Outstandings. In calculating Availability at any time and for any purpose under this Agreement, the Borrower Agent, on behalf of the Borrowers, shall certify to the Administrative Agent that all accounts payable and Taxes are being paid on a timely basis and consistent with past practices (absent which the Administrative Agent may establish a Reserve therefor).</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Availability Period</w:t>
      </w:r>
      <w:r>
        <w:rPr>
          <w:rFonts w:ascii="Arial" w:cs="Arial" w:eastAsia="Arial" w:hAnsi="Arial"/>
          <w:sz w:val="19"/>
          <w:szCs w:val="19"/>
          <w:color w:val="auto"/>
        </w:rPr>
        <w:t>” means the period from the Closing Date to the Revolving Credit Termination Date.</w:t>
      </w:r>
    </w:p>
    <w:p>
      <w:pPr>
        <w:spacing w:after="0" w:line="214" w:lineRule="exact"/>
        <w:rPr>
          <w:sz w:val="20"/>
          <w:szCs w:val="20"/>
          <w:color w:val="auto"/>
        </w:rPr>
      </w:pPr>
    </w:p>
    <w:p>
      <w:pPr>
        <w:jc w:val="both"/>
        <w:ind w:firstLine="629"/>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Availability Reserves</w:t>
      </w:r>
      <w:r>
        <w:rPr>
          <w:rFonts w:ascii="Arial" w:cs="Arial" w:eastAsia="Arial" w:hAnsi="Arial"/>
          <w:sz w:val="18"/>
          <w:szCs w:val="18"/>
          <w:color w:val="auto"/>
        </w:rPr>
        <w:t>” means, without duplication of any other Reserves or items that are otherwise addressed or excluded through eligibility criteria, such reserves and adjustments thereto as the Administrative Agent from time to time determines in its Credit Judgment as being appropriate (a) to reflect the impediments to the Administrative Agent’s ability to realize upon the Eligible Borrowing Base Assets, (b) to reflect sums that any Loan Party may be required to pay under this Agreement or any other Loan Document (including taxes, assessments, insurance premiums, or, in the case of leased assets, rents or other amounts payable under such leases) and has failed to pay, (c) to reflect amounts for which claims may be reasonably expected to be asserted against the Eligible Borrowing Base Assets, the Administrative Agent or the Lenders or (d) to reflect criteria, events, conditions, contingencies or risks which adversely affect any component of the Borrowing Base, or the assets, business, financial performance or financial condition of any Loan Party. Without limiting the generality of the foregoing, Availability Reserves may include (but are not limited to) (i) Rent and Charge Reserves; (ii) the Dilution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w:t>
      </w:r>
    </w:p>
    <w:p>
      <w:pPr>
        <w:sectPr>
          <w:pgSz w:w="11900" w:h="16838" w:orient="portrait"/>
          <w:cols w:equalWidth="0" w:num="1">
            <w:col w:w="11240"/>
          </w:cols>
          <w:pgMar w:left="320" w:top="1381" w:right="339" w:bottom="1440" w:gutter="0" w:footer="0" w:header="0"/>
        </w:sectPr>
      </w:pPr>
    </w:p>
    <w:bookmarkStart w:id="124" w:name="page125"/>
    <w:bookmarkEnd w:id="124"/>
    <w:p>
      <w:pPr>
        <w:jc w:val="both"/>
        <w:spacing w:after="0" w:line="264" w:lineRule="auto"/>
        <w:rPr>
          <w:sz w:val="20"/>
          <w:szCs w:val="20"/>
          <w:color w:val="auto"/>
        </w:rPr>
      </w:pPr>
      <w:r>
        <w:rPr>
          <w:rFonts w:ascii="Arial" w:cs="Arial" w:eastAsia="Arial" w:hAnsi="Arial"/>
          <w:sz w:val="18"/>
          <w:szCs w:val="18"/>
          <w:color w:val="auto"/>
        </w:rPr>
        <w:t>Reserve; (iii) Credit Product Reserves, (iv) Wage Claim Reserves; (v) Subcontractor Reserve; (vi) customs duties, and other costs to release Inventory which is being imported into the United States or Canada; (vii) outstanding Taxes and other governmental charges, including, without limitation, ad valorem, real estate, personal property, sales, and other Taxes which might have priority over the interests of the Administrative Agent in the Eligible Borrowing Base Assets; (viii) any liabilities that are or may become secured by Liens on the Collateral (including Permitted Liens) which might have priority over the Liens or interests of the Administrative Agent in the Collateral; (ix) reserves for any royalty or other compensation owing to any Person with respect to any Intellectual Property related to Borrowing Base Assets; and (x) reserves with respect to the salability of Eligible Inventory and Eligible Equipment or which reflect such other factors as affect the market value of the Eligible Inventory and Equipment, including in the case of Inventory, obsolescence, seasonality, Shrink, vendor chargebacks, imbalance, change in Inventory character, composition or mix, markdowns and out of date and/or expired Inventory.</w:t>
      </w:r>
    </w:p>
    <w:p>
      <w:pPr>
        <w:spacing w:after="0" w:line="167" w:lineRule="exact"/>
        <w:rPr>
          <w:sz w:val="20"/>
          <w:szCs w:val="20"/>
          <w:color w:val="auto"/>
        </w:rPr>
      </w:pPr>
    </w:p>
    <w:p>
      <w:pPr>
        <w:jc w:val="both"/>
        <w:ind w:firstLine="629"/>
        <w:spacing w:after="0" w:line="30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Available Tenor</w:t>
      </w:r>
      <w:r>
        <w:rPr>
          <w:rFonts w:ascii="Arial" w:cs="Arial" w:eastAsia="Arial" w:hAnsi="Arial"/>
          <w:sz w:val="17"/>
          <w:szCs w:val="17"/>
          <w:color w:val="auto"/>
        </w:rPr>
        <w:t>” means, as of any date of determination and with respect to the then-current Benchmark, as applicable, (x) if the then-current Benchmark is a term rate, any tenor for such Benchmark that is or may be used for determining the length of an Interest Period or (y) otherwise any payment period for interest calculated with reference to such Benchmark, as applicable, pursuant to this Agreement as of such date.</w:t>
      </w:r>
    </w:p>
    <w:p>
      <w:pPr>
        <w:spacing w:after="0" w:line="136"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Average Availability</w:t>
      </w:r>
      <w:r>
        <w:rPr>
          <w:rFonts w:ascii="Arial" w:cs="Arial" w:eastAsia="Arial" w:hAnsi="Arial"/>
          <w:sz w:val="19"/>
          <w:szCs w:val="19"/>
          <w:color w:val="auto"/>
        </w:rPr>
        <w:t>” means, for any period, the average of each calendar day’s Availability during such period.</w:t>
      </w:r>
    </w:p>
    <w:p>
      <w:pPr>
        <w:spacing w:after="0" w:line="214" w:lineRule="exact"/>
        <w:rPr>
          <w:sz w:val="20"/>
          <w:szCs w:val="20"/>
          <w:color w:val="auto"/>
        </w:rPr>
      </w:pPr>
    </w:p>
    <w:p>
      <w:pPr>
        <w:jc w:val="both"/>
        <w:ind w:firstLine="629"/>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Bail-In Action</w:t>
      </w:r>
      <w:r>
        <w:rPr>
          <w:rFonts w:ascii="Arial" w:cs="Arial" w:eastAsia="Arial" w:hAnsi="Arial"/>
          <w:sz w:val="19"/>
          <w:szCs w:val="19"/>
          <w:color w:val="auto"/>
        </w:rPr>
        <w:t>” means the exercise of any Write-Down and Conversion Powers by the applicable Resolution Authority in respect of any liability of an Affected Financial Institution.</w:t>
      </w:r>
    </w:p>
    <w:p>
      <w:pPr>
        <w:spacing w:after="0" w:line="157" w:lineRule="exact"/>
        <w:rPr>
          <w:sz w:val="20"/>
          <w:szCs w:val="20"/>
          <w:color w:val="auto"/>
        </w:rPr>
      </w:pPr>
    </w:p>
    <w:p>
      <w:pPr>
        <w:jc w:val="both"/>
        <w:ind w:firstLine="629"/>
        <w:spacing w:after="0" w:line="25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Bail-In Legislation</w:t>
      </w:r>
      <w:r>
        <w:rPr>
          <w:rFonts w:ascii="Arial" w:cs="Arial" w:eastAsia="Arial" w:hAnsi="Arial"/>
          <w:sz w:val="19"/>
          <w:szCs w:val="19"/>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82"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Bankruptcy Code</w:t>
      </w:r>
      <w:r>
        <w:rPr>
          <w:rFonts w:ascii="Arial" w:cs="Arial" w:eastAsia="Arial" w:hAnsi="Arial"/>
          <w:sz w:val="19"/>
          <w:szCs w:val="19"/>
          <w:color w:val="auto"/>
        </w:rPr>
        <w:t>” means Title 11 of the United States Code.</w:t>
      </w:r>
    </w:p>
    <w:p>
      <w:pPr>
        <w:spacing w:after="0" w:line="214" w:lineRule="exact"/>
        <w:rPr>
          <w:sz w:val="20"/>
          <w:szCs w:val="20"/>
          <w:color w:val="auto"/>
        </w:rPr>
      </w:pPr>
    </w:p>
    <w:p>
      <w:pPr>
        <w:jc w:val="both"/>
        <w:ind w:firstLine="629"/>
        <w:spacing w:after="0" w:line="25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Base Rate</w:t>
      </w:r>
      <w:r>
        <w:rPr>
          <w:rFonts w:ascii="Arial" w:cs="Arial" w:eastAsia="Arial" w:hAnsi="Arial"/>
          <w:sz w:val="19"/>
          <w:szCs w:val="19"/>
          <w:color w:val="auto"/>
        </w:rPr>
        <w:t xml:space="preserve">” means, for any day, a fluctuating rate per annum equal to the highest of (a) the rate of interest announced by BMO from time to time as its prime rate for such day (with any change in such rate announced by BMO taking effect at the opening of business on the day specified in the public announcement of such change); (b) the Federal Funds Rate for such day,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0.50%; (c) the LIBOR Rate for a one month Interest Period,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1.00%; and (d) 1.00%.</w:t>
      </w:r>
    </w:p>
    <w:p>
      <w:pPr>
        <w:spacing w:after="0" w:line="177" w:lineRule="exact"/>
        <w:rPr>
          <w:sz w:val="20"/>
          <w:szCs w:val="20"/>
          <w:color w:val="auto"/>
        </w:rPr>
      </w:pPr>
    </w:p>
    <w:p>
      <w:pPr>
        <w:jc w:val="both"/>
        <w:ind w:firstLine="629"/>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Base Rate Loan</w:t>
      </w:r>
      <w:r>
        <w:rPr>
          <w:rFonts w:ascii="Arial" w:cs="Arial" w:eastAsia="Arial" w:hAnsi="Arial"/>
          <w:sz w:val="19"/>
          <w:szCs w:val="19"/>
          <w:color w:val="auto"/>
        </w:rPr>
        <w:t>” means a Revolving Credit Loan that bears interest based on the Base Rate. All Base Rate Loans are available in Dollars only.</w:t>
      </w:r>
    </w:p>
    <w:p>
      <w:pPr>
        <w:spacing w:after="0" w:line="157" w:lineRule="exact"/>
        <w:rPr>
          <w:sz w:val="20"/>
          <w:szCs w:val="20"/>
          <w:color w:val="auto"/>
        </w:rPr>
      </w:pPr>
    </w:p>
    <w:p>
      <w:pPr>
        <w:jc w:val="both"/>
        <w:ind w:firstLine="629"/>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Benchmark</w:t>
      </w:r>
      <w:r>
        <w:rPr>
          <w:rFonts w:ascii="Arial" w:cs="Arial" w:eastAsia="Arial" w:hAnsi="Arial"/>
          <w:sz w:val="19"/>
          <w:szCs w:val="19"/>
          <w:color w:val="auto"/>
        </w:rPr>
        <w:t xml:space="preserve">” means, initially, LIBOR; provided that if the replacement of the Benchmark has occurred pursuant to </w:t>
      </w:r>
      <w:r>
        <w:rPr>
          <w:rFonts w:ascii="Arial" w:cs="Arial" w:eastAsia="Arial" w:hAnsi="Arial"/>
          <w:sz w:val="19"/>
          <w:szCs w:val="19"/>
          <w:u w:val="single" w:color="auto"/>
          <w:color w:val="auto"/>
        </w:rPr>
        <w:t>Section 3.03(b)</w:t>
      </w:r>
      <w:r>
        <w:rPr>
          <w:rFonts w:ascii="Arial" w:cs="Arial" w:eastAsia="Arial" w:hAnsi="Arial"/>
          <w:sz w:val="19"/>
          <w:szCs w:val="19"/>
          <w:color w:val="auto"/>
        </w:rPr>
        <w:t>, then “Benchmark” means the applicable Benchmark Replacement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w:t>
      </w:r>
    </w:p>
    <w:p>
      <w:pPr>
        <w:sectPr>
          <w:pgSz w:w="11900" w:h="16838" w:orient="portrait"/>
          <w:cols w:equalWidth="0" w:num="1">
            <w:col w:w="11240"/>
          </w:cols>
          <w:pgMar w:left="320" w:top="1381" w:right="339" w:bottom="1440" w:gutter="0" w:footer="0" w:header="0"/>
        </w:sectPr>
      </w:pPr>
    </w:p>
    <w:bookmarkStart w:id="125" w:name="page126"/>
    <w:bookmarkEnd w:id="125"/>
    <w:p>
      <w:pPr>
        <w:spacing w:after="0" w:line="274" w:lineRule="auto"/>
        <w:rPr>
          <w:sz w:val="20"/>
          <w:szCs w:val="20"/>
          <w:color w:val="auto"/>
        </w:rPr>
      </w:pPr>
      <w:r>
        <w:rPr>
          <w:rFonts w:ascii="Arial" w:cs="Arial" w:eastAsia="Arial" w:hAnsi="Arial"/>
          <w:sz w:val="19"/>
          <w:szCs w:val="19"/>
          <w:color w:val="auto"/>
        </w:rPr>
        <w:t>to the extent that such Benchmark Replacement has replaced such prior benchmark rate. Any reference to “Benchmark” shall include, as applicable, the published component used in the calculation thereof.</w:t>
      </w:r>
    </w:p>
    <w:p>
      <w:pPr>
        <w:spacing w:after="0" w:line="183"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Benchmark Replacement</w:t>
      </w:r>
      <w:r>
        <w:rPr>
          <w:rFonts w:ascii="Arial" w:cs="Arial" w:eastAsia="Arial" w:hAnsi="Arial"/>
          <w:sz w:val="19"/>
          <w:szCs w:val="19"/>
          <w:color w:val="auto"/>
        </w:rPr>
        <w:t>” means, for any Available Tenor, the first alternative set forth below that can be determined by the</w:t>
      </w:r>
    </w:p>
    <w:p>
      <w:pPr>
        <w:spacing w:after="0" w:line="20" w:lineRule="exact"/>
        <w:rPr>
          <w:sz w:val="20"/>
          <w:szCs w:val="20"/>
          <w:color w:val="auto"/>
        </w:rPr>
      </w:pPr>
    </w:p>
    <w:p>
      <w:pPr>
        <w:spacing w:after="0"/>
        <w:rPr>
          <w:sz w:val="20"/>
          <w:szCs w:val="20"/>
          <w:color w:val="auto"/>
        </w:rPr>
      </w:pPr>
      <w:r>
        <w:rPr>
          <w:rFonts w:ascii="Arial" w:cs="Arial" w:eastAsia="Arial" w:hAnsi="Arial"/>
          <w:sz w:val="19"/>
          <w:szCs w:val="19"/>
          <w:color w:val="auto"/>
        </w:rPr>
        <w:t>Administrative Agent:</w:t>
      </w:r>
    </w:p>
    <w:p>
      <w:pPr>
        <w:spacing w:after="0" w:line="224" w:lineRule="exact"/>
        <w:rPr>
          <w:sz w:val="20"/>
          <w:szCs w:val="20"/>
          <w:color w:val="auto"/>
        </w:rPr>
      </w:pPr>
    </w:p>
    <w:p>
      <w:pPr>
        <w:ind w:left="1260" w:hanging="626"/>
        <w:spacing w:after="0"/>
        <w:tabs>
          <w:tab w:leader="none" w:pos="1260" w:val="left"/>
        </w:tabs>
        <w:numPr>
          <w:ilvl w:val="0"/>
          <w:numId w:val="78"/>
        </w:numPr>
        <w:rPr>
          <w:rFonts w:ascii="Arial" w:cs="Arial" w:eastAsia="Arial" w:hAnsi="Arial"/>
          <w:sz w:val="19"/>
          <w:szCs w:val="19"/>
          <w:color w:val="auto"/>
        </w:rPr>
      </w:pPr>
      <w:r>
        <w:rPr>
          <w:rFonts w:ascii="Arial" w:cs="Arial" w:eastAsia="Arial" w:hAnsi="Arial"/>
          <w:sz w:val="19"/>
          <w:szCs w:val="19"/>
          <w:color w:val="auto"/>
        </w:rPr>
        <w:t xml:space="preserve">For the purposes of </w:t>
      </w:r>
      <w:r>
        <w:rPr>
          <w:rFonts w:ascii="Arial" w:cs="Arial" w:eastAsia="Arial" w:hAnsi="Arial"/>
          <w:sz w:val="19"/>
          <w:szCs w:val="19"/>
          <w:u w:val="single" w:color="auto"/>
          <w:color w:val="auto"/>
        </w:rPr>
        <w:t>Section 3.03(b)(i)-(ii)</w:t>
      </w:r>
      <w:r>
        <w:rPr>
          <w:rFonts w:ascii="Arial" w:cs="Arial" w:eastAsia="Arial" w:hAnsi="Arial"/>
          <w:sz w:val="19"/>
          <w:szCs w:val="19"/>
          <w:color w:val="auto"/>
        </w:rPr>
        <w:t>:</w:t>
      </w:r>
    </w:p>
    <w:p>
      <w:pPr>
        <w:spacing w:after="0" w:line="240" w:lineRule="exact"/>
        <w:rPr>
          <w:rFonts w:ascii="Arial" w:cs="Arial" w:eastAsia="Arial" w:hAnsi="Arial"/>
          <w:sz w:val="19"/>
          <w:szCs w:val="19"/>
          <w:color w:val="auto"/>
        </w:rPr>
      </w:pPr>
    </w:p>
    <w:p>
      <w:pPr>
        <w:ind w:left="1260" w:firstLine="4"/>
        <w:spacing w:after="0" w:line="234" w:lineRule="exact"/>
        <w:tabs>
          <w:tab w:leader="none" w:pos="1732" w:val="left"/>
        </w:tabs>
        <w:numPr>
          <w:ilvl w:val="1"/>
          <w:numId w:val="78"/>
        </w:numPr>
        <w:rPr>
          <w:rFonts w:ascii="Arial" w:cs="Arial" w:eastAsia="Arial" w:hAnsi="Arial"/>
          <w:sz w:val="19"/>
          <w:szCs w:val="19"/>
          <w:color w:val="auto"/>
        </w:rPr>
      </w:pPr>
      <w:r>
        <w:rPr>
          <w:rFonts w:ascii="Arial" w:cs="Arial" w:eastAsia="Arial" w:hAnsi="Arial"/>
          <w:sz w:val="19"/>
          <w:szCs w:val="19"/>
          <w:color w:val="auto"/>
        </w:rPr>
        <w:t>the sum of: (a) Term SOFR and (b) 0.11448% (11.448 basis points) for an Available Tenor of one</w:t>
      </w:r>
      <w:r>
        <w:rPr>
          <w:rFonts w:ascii="MS PGothic" w:cs="MS PGothic" w:eastAsia="MS PGothic" w:hAnsi="MS PGothic"/>
          <w:sz w:val="19"/>
          <w:szCs w:val="19"/>
          <w:color w:val="auto"/>
        </w:rPr>
        <w:t>‐</w:t>
      </w:r>
      <w:r>
        <w:rPr>
          <w:rFonts w:ascii="Arial" w:cs="Arial" w:eastAsia="Arial" w:hAnsi="Arial"/>
          <w:sz w:val="19"/>
          <w:szCs w:val="19"/>
          <w:color w:val="auto"/>
        </w:rPr>
        <w:t>month’s duration and 0.26161% (26.161 basis points) for an Available Tenor of three</w:t>
      </w:r>
      <w:r>
        <w:rPr>
          <w:rFonts w:ascii="MS PGothic" w:cs="MS PGothic" w:eastAsia="MS PGothic" w:hAnsi="MS PGothic"/>
          <w:sz w:val="19"/>
          <w:szCs w:val="19"/>
          <w:color w:val="auto"/>
        </w:rPr>
        <w:t>‐</w:t>
      </w:r>
      <w:r>
        <w:rPr>
          <w:rFonts w:ascii="Arial" w:cs="Arial" w:eastAsia="Arial" w:hAnsi="Arial"/>
          <w:sz w:val="19"/>
          <w:szCs w:val="19"/>
          <w:color w:val="auto"/>
        </w:rPr>
        <w:t>months’ duration;</w:t>
      </w:r>
    </w:p>
    <w:p>
      <w:pPr>
        <w:spacing w:after="0" w:line="213" w:lineRule="exact"/>
        <w:rPr>
          <w:rFonts w:ascii="Arial" w:cs="Arial" w:eastAsia="Arial" w:hAnsi="Arial"/>
          <w:sz w:val="19"/>
          <w:szCs w:val="19"/>
          <w:color w:val="auto"/>
        </w:rPr>
      </w:pPr>
    </w:p>
    <w:p>
      <w:pPr>
        <w:ind w:left="1720" w:hanging="456"/>
        <w:spacing w:after="0"/>
        <w:tabs>
          <w:tab w:leader="none" w:pos="1720" w:val="left"/>
        </w:tabs>
        <w:numPr>
          <w:ilvl w:val="1"/>
          <w:numId w:val="78"/>
        </w:numPr>
        <w:rPr>
          <w:rFonts w:ascii="Arial" w:cs="Arial" w:eastAsia="Arial" w:hAnsi="Arial"/>
          <w:sz w:val="19"/>
          <w:szCs w:val="19"/>
          <w:color w:val="auto"/>
        </w:rPr>
      </w:pPr>
      <w:r>
        <w:rPr>
          <w:rFonts w:ascii="Arial" w:cs="Arial" w:eastAsia="Arial" w:hAnsi="Arial"/>
          <w:sz w:val="19"/>
          <w:szCs w:val="19"/>
          <w:color w:val="auto"/>
        </w:rPr>
        <w:t>the sum of: (a) Daily Simple SOFR and (b) 0.11448% (11.448 basis points);</w:t>
      </w:r>
    </w:p>
    <w:p>
      <w:pPr>
        <w:spacing w:after="0" w:line="240" w:lineRule="exact"/>
        <w:rPr>
          <w:rFonts w:ascii="Arial" w:cs="Arial" w:eastAsia="Arial" w:hAnsi="Arial"/>
          <w:sz w:val="19"/>
          <w:szCs w:val="19"/>
          <w:color w:val="auto"/>
        </w:rPr>
      </w:pPr>
    </w:p>
    <w:p>
      <w:pPr>
        <w:jc w:val="both"/>
        <w:ind w:firstLine="634"/>
        <w:spacing w:after="0" w:line="273" w:lineRule="auto"/>
        <w:tabs>
          <w:tab w:leader="none" w:pos="1085" w:val="left"/>
        </w:tabs>
        <w:numPr>
          <w:ilvl w:val="0"/>
          <w:numId w:val="78"/>
        </w:numPr>
        <w:rPr>
          <w:rFonts w:ascii="Arial" w:cs="Arial" w:eastAsia="Arial" w:hAnsi="Arial"/>
          <w:sz w:val="18"/>
          <w:szCs w:val="18"/>
          <w:color w:val="auto"/>
        </w:rPr>
      </w:pPr>
      <w:r>
        <w:rPr>
          <w:rFonts w:ascii="Arial" w:cs="Arial" w:eastAsia="Arial" w:hAnsi="Arial"/>
          <w:sz w:val="18"/>
          <w:szCs w:val="18"/>
          <w:color w:val="auto"/>
        </w:rPr>
        <w:t xml:space="preserve">For the purposes of </w:t>
      </w:r>
      <w:r>
        <w:rPr>
          <w:rFonts w:ascii="Arial" w:cs="Arial" w:eastAsia="Arial" w:hAnsi="Arial"/>
          <w:sz w:val="18"/>
          <w:szCs w:val="18"/>
          <w:u w:val="single" w:color="auto"/>
          <w:color w:val="auto"/>
        </w:rPr>
        <w:t>Section 3.03(b)(iii)</w:t>
      </w:r>
      <w:r>
        <w:rPr>
          <w:rFonts w:ascii="Arial" w:cs="Arial" w:eastAsia="Arial" w:hAnsi="Arial"/>
          <w:sz w:val="18"/>
          <w:szCs w:val="18"/>
          <w:color w:val="auto"/>
        </w:rPr>
        <w:t>, the sum of: (a) the alternate benchmark rate and (b) and adjustment that may be positive, negative or zero in each case that has been selected by the Administrative Agent and the Borrower as the replacement for such Available Tenor of such Benchmark giving due consideration to any evolving or then-prevailing market convention including any applicable recommendation made by the Relevant Governmental Body, for U.S. dollar-denominated syndicated credit facilities at such time.</w:t>
      </w:r>
    </w:p>
    <w:p>
      <w:pPr>
        <w:spacing w:after="0" w:line="186" w:lineRule="exact"/>
        <w:rPr>
          <w:sz w:val="20"/>
          <w:szCs w:val="20"/>
          <w:color w:val="auto"/>
        </w:rPr>
      </w:pPr>
    </w:p>
    <w:p>
      <w:pPr>
        <w:jc w:val="both"/>
        <w:ind w:firstLine="629"/>
        <w:spacing w:after="0" w:line="274" w:lineRule="auto"/>
        <w:rPr>
          <w:sz w:val="20"/>
          <w:szCs w:val="20"/>
          <w:color w:val="auto"/>
        </w:rPr>
      </w:pPr>
      <w:r>
        <w:rPr>
          <w:rFonts w:ascii="Arial" w:cs="Arial" w:eastAsia="Arial" w:hAnsi="Arial"/>
          <w:sz w:val="19"/>
          <w:szCs w:val="19"/>
          <w:color w:val="auto"/>
        </w:rPr>
        <w:t>If the Benchmark Replacement as determined pursuant to clause (1) or (2) above would be less than the Floor, the Benchmark Replacement will be deemed to be the Floor for the purposes of this Agreement and the other Loan Documents.</w:t>
      </w:r>
    </w:p>
    <w:p>
      <w:pPr>
        <w:spacing w:after="0" w:line="183" w:lineRule="exact"/>
        <w:rPr>
          <w:sz w:val="20"/>
          <w:szCs w:val="20"/>
          <w:color w:val="auto"/>
        </w:rPr>
      </w:pPr>
    </w:p>
    <w:p>
      <w:pPr>
        <w:jc w:val="both"/>
        <w:ind w:firstLine="629"/>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Benchmark Replacement Conforming Changes</w:t>
      </w:r>
      <w:r>
        <w:rPr>
          <w:rFonts w:ascii="Arial" w:cs="Arial" w:eastAsia="Arial" w:hAnsi="Arial"/>
          <w:sz w:val="18"/>
          <w:szCs w:val="18"/>
          <w:color w:val="auto"/>
        </w:rPr>
        <w:t>” means, with respect to any Benchmark Replacement, any technical, administrative or operational changes (including changes to the definition of “Base Rate,” the definition of “Business Day,” the definition of “Interest Period,” the timing and frequency of determining rates and making payments of interest, the timing of borrowing requests or prepayment, conversion or continuation notices, the applicability and length of lookback periods, the applicability of breakage provisions, and other technical, administrative or operational matters) that the Administrative Agent decides may be appropriate to reflect the adoption and implementation of such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Replacement exists, in such other manner of administration as the Administrative Agent decides is reasonably necessary in connection with the administration of this Agreement and the other Loan Documents).</w:t>
      </w:r>
    </w:p>
    <w:p>
      <w:pPr>
        <w:spacing w:after="0" w:line="197" w:lineRule="exact"/>
        <w:rPr>
          <w:sz w:val="20"/>
          <w:szCs w:val="20"/>
          <w:color w:val="auto"/>
        </w:rPr>
      </w:pPr>
    </w:p>
    <w:p>
      <w:pPr>
        <w:jc w:val="both"/>
        <w:ind w:firstLine="629"/>
        <w:spacing w:after="0" w:line="26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Benchmark Transition Event</w:t>
      </w:r>
      <w:r>
        <w:rPr>
          <w:rFonts w:ascii="Arial" w:cs="Arial" w:eastAsia="Arial" w:hAnsi="Arial"/>
          <w:sz w:val="18"/>
          <w:szCs w:val="18"/>
          <w:color w:val="auto"/>
        </w:rPr>
        <w:t>” means, with respect to any then-current Benchmark other than the LIBOR, the occurrence of a public statement or publication of information by or on behalf of the administrator of the then-current Benchmark, the regulatory supervisor for the administrator of such Benchmark, the Board of Governors of the Federal Reserve System, the Federal Reserve Bank of New York, an insolvency official with jurisdiction over the administrator for such Benchmark, a resolution authority with jurisdiction over the administrator for such Benchmark or a court or an entity with similar insolvency or resolution authority over the administrator for such Benchmark, announcing or stating that such administrator has ceased or will cease on a specified date to provide all Available Tenors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w:t>
      </w:r>
    </w:p>
    <w:p>
      <w:pPr>
        <w:sectPr>
          <w:pgSz w:w="11900" w:h="16838" w:orient="portrait"/>
          <w:cols w:equalWidth="0" w:num="1">
            <w:col w:w="11240"/>
          </w:cols>
          <w:pgMar w:left="320" w:top="1381" w:right="339" w:bottom="1440" w:gutter="0" w:footer="0" w:header="0"/>
        </w:sectPr>
      </w:pPr>
    </w:p>
    <w:bookmarkStart w:id="126" w:name="page127"/>
    <w:bookmarkEnd w:id="126"/>
    <w:p>
      <w:pPr>
        <w:jc w:val="both"/>
        <w:spacing w:after="0" w:line="304" w:lineRule="auto"/>
        <w:rPr>
          <w:sz w:val="20"/>
          <w:szCs w:val="20"/>
          <w:color w:val="auto"/>
        </w:rPr>
      </w:pPr>
      <w:r>
        <w:rPr>
          <w:rFonts w:ascii="Arial" w:cs="Arial" w:eastAsia="Arial" w:hAnsi="Arial"/>
          <w:sz w:val="17"/>
          <w:szCs w:val="17"/>
          <w:color w:val="auto"/>
        </w:rPr>
        <w:t>Benchmark, permanently or indefinitely, provided that, at the time of such statement or publication, there is no successor administrator that will continue to provide any Available Tenor of such Benchmark or all Available Tenors of such Benchmark are or will no longer be representative of the underlying market and economic reality that such Benchmark is intended to measure and that representativeness will not be restored.</w:t>
      </w:r>
    </w:p>
    <w:p>
      <w:pPr>
        <w:spacing w:after="0" w:line="162" w:lineRule="exact"/>
        <w:rPr>
          <w:sz w:val="20"/>
          <w:szCs w:val="20"/>
          <w:color w:val="auto"/>
        </w:rPr>
      </w:pPr>
    </w:p>
    <w:p>
      <w:pPr>
        <w:jc w:val="both"/>
        <w:ind w:firstLine="708"/>
        <w:spacing w:after="0" w:line="25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Beneficial Ownership Certification</w:t>
      </w:r>
      <w:r>
        <w:rPr>
          <w:rFonts w:ascii="Arial" w:cs="Arial" w:eastAsia="Arial" w:hAnsi="Arial"/>
          <w:sz w:val="19"/>
          <w:szCs w:val="19"/>
          <w:color w:val="auto"/>
        </w:rPr>
        <w:t>” means a certification regarding beneficial ownership required by the Beneficial Ownership Regulation, which certification shall be substantially similar in form and substance to the form of Certification Regarding Beneficial Owners of Legal Entity Customers published jointly, in May 2018, by the Loan Syndications and Trading Association and Securities Industry and Financial Markets Association.</w:t>
      </w:r>
    </w:p>
    <w:p>
      <w:pPr>
        <w:spacing w:after="0" w:line="203"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Beneficial Ownership Regulation</w:t>
      </w:r>
      <w:r>
        <w:rPr>
          <w:rFonts w:ascii="Arial" w:cs="Arial" w:eastAsia="Arial" w:hAnsi="Arial"/>
          <w:sz w:val="19"/>
          <w:szCs w:val="19"/>
          <w:color w:val="auto"/>
        </w:rPr>
        <w:t>” means 31 C.F.R. § 1010.230.</w:t>
      </w:r>
    </w:p>
    <w:p>
      <w:pPr>
        <w:spacing w:after="0" w:line="214" w:lineRule="exact"/>
        <w:rPr>
          <w:sz w:val="20"/>
          <w:szCs w:val="20"/>
          <w:color w:val="auto"/>
        </w:rPr>
      </w:pPr>
    </w:p>
    <w:p>
      <w:pPr>
        <w:jc w:val="both"/>
        <w:ind w:firstLine="629"/>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Benefit Plan</w:t>
      </w:r>
      <w:r>
        <w:rPr>
          <w:rFonts w:ascii="Arial" w:cs="Arial" w:eastAsia="Arial" w:hAnsi="Arial"/>
          <w:sz w:val="19"/>
          <w:szCs w:val="19"/>
          <w:color w:val="auto"/>
        </w:rPr>
        <w:t>” means any of (a) an “employee benefit plan” (as defined in ERISA) that is subject to Title I of ERISA, (b) a “plan” as defined in Section 4975 of the Code or (c) any Person whose assets include (for purposes of ERISA Section 3(42) or otherwise for purposes of Title I of ERISA or Section 4975 of the Code) the assets of any such “employee benefit plan” or “plan”.</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BHC Act Affiliate</w:t>
      </w:r>
      <w:r>
        <w:rPr>
          <w:rFonts w:ascii="Arial" w:cs="Arial" w:eastAsia="Arial" w:hAnsi="Arial"/>
          <w:sz w:val="19"/>
          <w:szCs w:val="19"/>
          <w:color w:val="auto"/>
        </w:rPr>
        <w:t xml:space="preserve">” has the meaning specified in </w:t>
      </w:r>
      <w:r>
        <w:rPr>
          <w:rFonts w:ascii="Arial" w:cs="Arial" w:eastAsia="Arial" w:hAnsi="Arial"/>
          <w:sz w:val="19"/>
          <w:szCs w:val="19"/>
          <w:u w:val="single" w:color="auto"/>
          <w:color w:val="auto"/>
        </w:rPr>
        <w:t>Section 11.21(b)</w:t>
      </w:r>
      <w:r>
        <w:rPr>
          <w:rFonts w:ascii="Arial" w:cs="Arial" w:eastAsia="Arial" w:hAnsi="Arial"/>
          <w:sz w:val="19"/>
          <w:szCs w:val="19"/>
          <w:color w:val="auto"/>
        </w:rPr>
        <w:t>.</w:t>
      </w:r>
    </w:p>
    <w:p>
      <w:pPr>
        <w:spacing w:after="0" w:line="21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BMO</w:t>
      </w:r>
      <w:r>
        <w:rPr>
          <w:rFonts w:ascii="Arial" w:cs="Arial" w:eastAsia="Arial" w:hAnsi="Arial"/>
          <w:sz w:val="19"/>
          <w:szCs w:val="19"/>
          <w:color w:val="auto"/>
        </w:rPr>
        <w:t>” means Bank of Montreal.</w:t>
      </w:r>
    </w:p>
    <w:p>
      <w:pPr>
        <w:spacing w:after="0" w:line="21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BMO Capital</w:t>
      </w:r>
      <w:r>
        <w:rPr>
          <w:rFonts w:ascii="Arial" w:cs="Arial" w:eastAsia="Arial" w:hAnsi="Arial"/>
          <w:sz w:val="19"/>
          <w:szCs w:val="19"/>
          <w:color w:val="auto"/>
        </w:rPr>
        <w:t>” means BMO Capital Markets.</w:t>
      </w:r>
    </w:p>
    <w:p>
      <w:pPr>
        <w:spacing w:after="0" w:line="214" w:lineRule="exact"/>
        <w:rPr>
          <w:sz w:val="20"/>
          <w:szCs w:val="20"/>
          <w:color w:val="auto"/>
        </w:rPr>
      </w:pPr>
    </w:p>
    <w:p>
      <w:pPr>
        <w:jc w:val="both"/>
        <w:ind w:firstLine="629"/>
        <w:spacing w:after="0" w:line="25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Board of Directors</w:t>
      </w:r>
      <w:r>
        <w:rPr>
          <w:rFonts w:ascii="Arial" w:cs="Arial" w:eastAsia="Arial" w:hAnsi="Arial"/>
          <w:sz w:val="19"/>
          <w:szCs w:val="19"/>
          <w:color w:val="auto"/>
        </w:rPr>
        <w:t>” means, with respect to any Person, (a) in the case of any corporation or unlimited liability company, the board of directors of such Person or any committee thereof duly authorized to act on behalf of such board, (b) in the case of any limited liability company, the board of managers or board of directors or sole member or manager of such Person or any Person or any committee thereof duly authorized to act on behalf of such board, (c) in the case of any partnership, the Board of Directors of a general partner of such Person and (d) in any other case, the functional equivalent of the foregoing.</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Bonded AR Proceeds</w:t>
      </w:r>
      <w:r>
        <w:rPr>
          <w:rFonts w:ascii="Arial" w:cs="Arial" w:eastAsia="Arial" w:hAnsi="Arial"/>
          <w:sz w:val="19"/>
          <w:szCs w:val="19"/>
          <w:color w:val="auto"/>
        </w:rPr>
        <w:t xml:space="preserve">” has the meaning specified in </w:t>
      </w:r>
      <w:r>
        <w:rPr>
          <w:rFonts w:ascii="Arial" w:cs="Arial" w:eastAsia="Arial" w:hAnsi="Arial"/>
          <w:sz w:val="19"/>
          <w:szCs w:val="19"/>
          <w:u w:val="single" w:color="auto"/>
          <w:color w:val="auto"/>
        </w:rPr>
        <w:t>Section 4.04(b)</w:t>
      </w:r>
      <w:r>
        <w:rPr>
          <w:rFonts w:ascii="Arial" w:cs="Arial" w:eastAsia="Arial" w:hAnsi="Arial"/>
          <w:sz w:val="19"/>
          <w:szCs w:val="19"/>
          <w:color w:val="auto"/>
        </w:rPr>
        <w:t>.</w:t>
      </w:r>
    </w:p>
    <w:p>
      <w:pPr>
        <w:spacing w:after="0" w:line="214" w:lineRule="exact"/>
        <w:rPr>
          <w:sz w:val="20"/>
          <w:szCs w:val="20"/>
          <w:color w:val="auto"/>
        </w:rPr>
      </w:pPr>
    </w:p>
    <w:p>
      <w:pPr>
        <w:jc w:val="both"/>
        <w:ind w:firstLine="629"/>
        <w:spacing w:after="0" w:line="25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Bonded Equipment</w:t>
      </w:r>
      <w:r>
        <w:rPr>
          <w:rFonts w:ascii="Arial" w:cs="Arial" w:eastAsia="Arial" w:hAnsi="Arial"/>
          <w:sz w:val="19"/>
          <w:szCs w:val="19"/>
          <w:color w:val="auto"/>
        </w:rPr>
        <w:t>” means all now owned or hereafter acquired right, title and interest with respect to Equipment owned by a Borrower and (whether or not included in the definition of Equipment) all other personal property in each case which is delivered to, prefabricated for or specifically ordered for a Bonded Job Site, whether or not the same will be deemed to be affixed to, arise out of or relate to any real property, together with all accessions thereto.</w:t>
      </w:r>
    </w:p>
    <w:p>
      <w:pPr>
        <w:spacing w:after="0" w:line="177" w:lineRule="exact"/>
        <w:rPr>
          <w:sz w:val="20"/>
          <w:szCs w:val="20"/>
          <w:color w:val="auto"/>
        </w:rPr>
      </w:pPr>
    </w:p>
    <w:p>
      <w:pPr>
        <w:jc w:val="both"/>
        <w:ind w:firstLine="629"/>
        <w:spacing w:after="0" w:line="25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Bonded Inventory</w:t>
      </w:r>
      <w:r>
        <w:rPr>
          <w:rFonts w:ascii="Arial" w:cs="Arial" w:eastAsia="Arial" w:hAnsi="Arial"/>
          <w:sz w:val="19"/>
          <w:szCs w:val="19"/>
          <w:color w:val="auto"/>
        </w:rPr>
        <w:t>” means all now owned and hereafter acquired inventory of a Borrower, including, without limitation, goods, merchandise and other personal property in each case which is furnished under any Bonded Contract, all raw materials, work in process, finished goods and materials and supplies of any kind, nature or description in each case which is delivered to, prefabricated for or specifically ordered for a Bonded Job Site.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w:t>
      </w:r>
    </w:p>
    <w:p>
      <w:pPr>
        <w:sectPr>
          <w:pgSz w:w="11900" w:h="16838" w:orient="portrait"/>
          <w:cols w:equalWidth="0" w:num="1">
            <w:col w:w="11240"/>
          </w:cols>
          <w:pgMar w:left="320" w:top="1382" w:right="339" w:bottom="1440" w:gutter="0" w:footer="0" w:header="0"/>
        </w:sectPr>
      </w:pPr>
    </w:p>
    <w:bookmarkStart w:id="127" w:name="page128"/>
    <w:bookmarkEnd w:id="127"/>
    <w:p>
      <w:pPr>
        <w:jc w:val="both"/>
        <w:ind w:firstLine="629"/>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Bonded Job Site</w:t>
      </w:r>
      <w:r>
        <w:rPr>
          <w:rFonts w:ascii="Arial" w:cs="Arial" w:eastAsia="Arial" w:hAnsi="Arial"/>
          <w:sz w:val="19"/>
          <w:szCs w:val="19"/>
          <w:color w:val="auto"/>
        </w:rPr>
        <w:t>” means the site specified in a contract that is the subject to a payment or performance bond (or other Bonding Obligation) where any Borrower is to perform or provide the contracted for services or goods required thereunder.</w:t>
      </w:r>
    </w:p>
    <w:p>
      <w:pPr>
        <w:spacing w:after="0" w:line="157" w:lineRule="exact"/>
        <w:rPr>
          <w:sz w:val="20"/>
          <w:szCs w:val="20"/>
          <w:color w:val="auto"/>
        </w:rPr>
      </w:pPr>
    </w:p>
    <w:p>
      <w:pPr>
        <w:jc w:val="both"/>
        <w:ind w:firstLine="629"/>
        <w:spacing w:after="0" w:line="25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Bonding Obligations</w:t>
      </w:r>
      <w:r>
        <w:rPr>
          <w:rFonts w:ascii="Arial" w:cs="Arial" w:eastAsia="Arial" w:hAnsi="Arial"/>
          <w:sz w:val="19"/>
          <w:szCs w:val="19"/>
          <w:color w:val="auto"/>
        </w:rPr>
        <w:t>” means any and all obligations of the Company or any of its Restricted Subsidiaries to any Person to secure or assure the performance of any bid, contract, lease or statutory obligation, or otherwise constituting a bid, performance, return-of-money, surety, appeal or payment bond, contract or like undertaking, in each case, entered into by the Company or such Subsidiary in the Ordinary Course of Business.</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Borrower Agent</w:t>
      </w:r>
      <w:r>
        <w:rPr>
          <w:rFonts w:ascii="Arial" w:cs="Arial" w:eastAsia="Arial" w:hAnsi="Arial"/>
          <w:sz w:val="19"/>
          <w:szCs w:val="19"/>
          <w:color w:val="auto"/>
        </w:rPr>
        <w:t xml:space="preserve">” has the meaning specified in </w:t>
      </w:r>
      <w:r>
        <w:rPr>
          <w:rFonts w:ascii="Arial" w:cs="Arial" w:eastAsia="Arial" w:hAnsi="Arial"/>
          <w:sz w:val="19"/>
          <w:szCs w:val="19"/>
          <w:u w:val="single" w:color="auto"/>
          <w:color w:val="auto"/>
        </w:rPr>
        <w:t>Section 2.15(g)</w:t>
      </w:r>
      <w:r>
        <w:rPr>
          <w:rFonts w:ascii="Arial" w:cs="Arial" w:eastAsia="Arial" w:hAnsi="Arial"/>
          <w:sz w:val="19"/>
          <w:szCs w:val="19"/>
          <w:color w:val="auto"/>
        </w:rPr>
        <w:t>.</w:t>
      </w:r>
    </w:p>
    <w:p>
      <w:pPr>
        <w:spacing w:after="0" w:line="21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Borrowers</w:t>
      </w:r>
      <w:r>
        <w:rPr>
          <w:rFonts w:ascii="Arial" w:cs="Arial" w:eastAsia="Arial" w:hAnsi="Arial"/>
          <w:sz w:val="19"/>
          <w:szCs w:val="19"/>
          <w:color w:val="auto"/>
        </w:rPr>
        <w:t>” has the meaning specified in the introductory paragraph hereto.</w:t>
      </w:r>
    </w:p>
    <w:p>
      <w:pPr>
        <w:spacing w:after="0" w:line="21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Borrower Materials</w:t>
      </w:r>
      <w:r>
        <w:rPr>
          <w:rFonts w:ascii="Arial" w:cs="Arial" w:eastAsia="Arial" w:hAnsi="Arial"/>
          <w:sz w:val="19"/>
          <w:szCs w:val="19"/>
          <w:color w:val="auto"/>
        </w:rPr>
        <w:t xml:space="preserve">” has the meaning specified in </w:t>
      </w:r>
      <w:r>
        <w:rPr>
          <w:rFonts w:ascii="Arial" w:cs="Arial" w:eastAsia="Arial" w:hAnsi="Arial"/>
          <w:sz w:val="19"/>
          <w:szCs w:val="19"/>
          <w:u w:val="single" w:color="auto"/>
          <w:color w:val="auto"/>
        </w:rPr>
        <w:t>Section 7.02</w:t>
      </w:r>
      <w:r>
        <w:rPr>
          <w:rFonts w:ascii="Arial" w:cs="Arial" w:eastAsia="Arial" w:hAnsi="Arial"/>
          <w:sz w:val="19"/>
          <w:szCs w:val="19"/>
          <w:color w:val="auto"/>
        </w:rPr>
        <w:t>.</w:t>
      </w:r>
    </w:p>
    <w:p>
      <w:pPr>
        <w:spacing w:after="0" w:line="21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Borrowing</w:t>
      </w:r>
      <w:r>
        <w:rPr>
          <w:rFonts w:ascii="Arial" w:cs="Arial" w:eastAsia="Arial" w:hAnsi="Arial"/>
          <w:sz w:val="19"/>
          <w:szCs w:val="19"/>
          <w:color w:val="auto"/>
        </w:rPr>
        <w:t>” means any of (a) a Revolving Credit Borrowing or (b) a Swing Line Borrowing, as the context may require.</w:t>
      </w:r>
    </w:p>
    <w:p>
      <w:pPr>
        <w:spacing w:after="0" w:line="21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Borrowing Base</w:t>
      </w:r>
      <w:r>
        <w:rPr>
          <w:rFonts w:ascii="Arial" w:cs="Arial" w:eastAsia="Arial" w:hAnsi="Arial"/>
          <w:sz w:val="19"/>
          <w:szCs w:val="19"/>
          <w:color w:val="auto"/>
        </w:rPr>
        <w:t>” means, at any time of calculation, the Dollar Equivalent an amount equal to:</w:t>
      </w:r>
    </w:p>
    <w:p>
      <w:pPr>
        <w:spacing w:after="0" w:line="214" w:lineRule="exact"/>
        <w:rPr>
          <w:sz w:val="20"/>
          <w:szCs w:val="20"/>
          <w:color w:val="auto"/>
        </w:rPr>
      </w:pPr>
    </w:p>
    <w:p>
      <w:pPr>
        <w:ind w:firstLine="634"/>
        <w:spacing w:after="0" w:line="274" w:lineRule="auto"/>
        <w:tabs>
          <w:tab w:leader="none" w:pos="1249" w:val="left"/>
        </w:tabs>
        <w:numPr>
          <w:ilvl w:val="0"/>
          <w:numId w:val="79"/>
        </w:numPr>
        <w:rPr>
          <w:rFonts w:ascii="Arial" w:cs="Arial" w:eastAsia="Arial" w:hAnsi="Arial"/>
          <w:sz w:val="19"/>
          <w:szCs w:val="19"/>
          <w:color w:val="auto"/>
        </w:rPr>
      </w:pPr>
      <w:r>
        <w:rPr>
          <w:rFonts w:ascii="Arial" w:cs="Arial" w:eastAsia="Arial" w:hAnsi="Arial"/>
          <w:sz w:val="19"/>
          <w:szCs w:val="19"/>
          <w:color w:val="auto"/>
        </w:rPr>
        <w:t xml:space="preserve">the Value of Eligible Accounts (less (but without duplication) the Dollar Equivalent of all cash received but not yet applied in respect of such Eligible Accounts) multiplied by 85%; </w:t>
      </w:r>
      <w:r>
        <w:rPr>
          <w:rFonts w:ascii="Arial" w:cs="Arial" w:eastAsia="Arial" w:hAnsi="Arial"/>
          <w:sz w:val="19"/>
          <w:szCs w:val="19"/>
          <w:u w:val="single" w:color="auto"/>
          <w:color w:val="auto"/>
        </w:rPr>
        <w:t>plus</w:t>
      </w:r>
    </w:p>
    <w:p>
      <w:pPr>
        <w:spacing w:after="0" w:line="156" w:lineRule="exact"/>
        <w:rPr>
          <w:rFonts w:ascii="Arial" w:cs="Arial" w:eastAsia="Arial" w:hAnsi="Arial"/>
          <w:sz w:val="19"/>
          <w:szCs w:val="19"/>
          <w:color w:val="auto"/>
        </w:rPr>
      </w:pPr>
    </w:p>
    <w:p>
      <w:pPr>
        <w:ind w:firstLine="634"/>
        <w:spacing w:after="0" w:line="274" w:lineRule="auto"/>
        <w:tabs>
          <w:tab w:leader="none" w:pos="1247" w:val="left"/>
        </w:tabs>
        <w:numPr>
          <w:ilvl w:val="0"/>
          <w:numId w:val="79"/>
        </w:numPr>
        <w:rPr>
          <w:rFonts w:ascii="Arial" w:cs="Arial" w:eastAsia="Arial" w:hAnsi="Arial"/>
          <w:sz w:val="19"/>
          <w:szCs w:val="19"/>
          <w:color w:val="auto"/>
        </w:rPr>
      </w:pPr>
      <w:r>
        <w:rPr>
          <w:rFonts w:ascii="Arial" w:cs="Arial" w:eastAsia="Arial" w:hAnsi="Arial"/>
          <w:sz w:val="19"/>
          <w:szCs w:val="19"/>
          <w:color w:val="auto"/>
        </w:rPr>
        <w:t xml:space="preserve">the Value of Eligible Time and Material Accounts (less (but without duplication) the Dollar Equivalent of all cash received but not yet applied in respect of such Eligible Time and Material Accounts) multiplied by 80%; </w:t>
      </w:r>
      <w:r>
        <w:rPr>
          <w:rFonts w:ascii="Arial" w:cs="Arial" w:eastAsia="Arial" w:hAnsi="Arial"/>
          <w:sz w:val="19"/>
          <w:szCs w:val="19"/>
          <w:u w:val="single" w:color="auto"/>
          <w:color w:val="auto"/>
        </w:rPr>
        <w:t>plus</w:t>
      </w:r>
    </w:p>
    <w:p>
      <w:pPr>
        <w:spacing w:after="0" w:line="156" w:lineRule="exact"/>
        <w:rPr>
          <w:rFonts w:ascii="Arial" w:cs="Arial" w:eastAsia="Arial" w:hAnsi="Arial"/>
          <w:sz w:val="19"/>
          <w:szCs w:val="19"/>
          <w:color w:val="auto"/>
        </w:rPr>
      </w:pPr>
    </w:p>
    <w:p>
      <w:pPr>
        <w:ind w:firstLine="634"/>
        <w:spacing w:after="0" w:line="274" w:lineRule="auto"/>
        <w:tabs>
          <w:tab w:leader="none" w:pos="1249" w:val="left"/>
        </w:tabs>
        <w:numPr>
          <w:ilvl w:val="0"/>
          <w:numId w:val="79"/>
        </w:numPr>
        <w:rPr>
          <w:rFonts w:ascii="Arial" w:cs="Arial" w:eastAsia="Arial" w:hAnsi="Arial"/>
          <w:sz w:val="19"/>
          <w:szCs w:val="19"/>
          <w:color w:val="auto"/>
        </w:rPr>
      </w:pPr>
      <w:r>
        <w:rPr>
          <w:rFonts w:ascii="Arial" w:cs="Arial" w:eastAsia="Arial" w:hAnsi="Arial"/>
          <w:sz w:val="19"/>
          <w:szCs w:val="19"/>
          <w:color w:val="auto"/>
        </w:rPr>
        <w:t xml:space="preserve">the lesser of (i) the Dollar Equivalent of the Cost of Eligible Inventory multiplied by 50% and (ii) the Dollar Equivalent of $3,000,000; </w:t>
      </w:r>
      <w:r>
        <w:rPr>
          <w:rFonts w:ascii="Arial" w:cs="Arial" w:eastAsia="Arial" w:hAnsi="Arial"/>
          <w:sz w:val="19"/>
          <w:szCs w:val="19"/>
          <w:u w:val="single" w:color="auto"/>
          <w:color w:val="auto"/>
        </w:rPr>
        <w:t>plus</w:t>
      </w:r>
    </w:p>
    <w:p>
      <w:pPr>
        <w:spacing w:after="0" w:line="156" w:lineRule="exact"/>
        <w:rPr>
          <w:rFonts w:ascii="Arial" w:cs="Arial" w:eastAsia="Arial" w:hAnsi="Arial"/>
          <w:sz w:val="19"/>
          <w:szCs w:val="19"/>
          <w:color w:val="auto"/>
        </w:rPr>
      </w:pPr>
    </w:p>
    <w:p>
      <w:pPr>
        <w:ind w:firstLine="634"/>
        <w:spacing w:after="0" w:line="274" w:lineRule="auto"/>
        <w:tabs>
          <w:tab w:leader="none" w:pos="1247" w:val="left"/>
        </w:tabs>
        <w:numPr>
          <w:ilvl w:val="0"/>
          <w:numId w:val="79"/>
        </w:numPr>
        <w:rPr>
          <w:rFonts w:ascii="Arial" w:cs="Arial" w:eastAsia="Arial" w:hAnsi="Arial"/>
          <w:sz w:val="19"/>
          <w:szCs w:val="19"/>
          <w:color w:val="auto"/>
        </w:rPr>
      </w:pPr>
      <w:r>
        <w:rPr>
          <w:rFonts w:ascii="Arial" w:cs="Arial" w:eastAsia="Arial" w:hAnsi="Arial"/>
          <w:sz w:val="19"/>
          <w:szCs w:val="19"/>
          <w:color w:val="auto"/>
        </w:rPr>
        <w:t xml:space="preserve">the lesser of (i) the Dollar Equivalent of the NOLV of Eligible Equipment multiplied by 85% and (ii) the Dollar Equivalent of $20,000,000; </w:t>
      </w:r>
      <w:r>
        <w:rPr>
          <w:rFonts w:ascii="Arial" w:cs="Arial" w:eastAsia="Arial" w:hAnsi="Arial"/>
          <w:sz w:val="19"/>
          <w:szCs w:val="19"/>
          <w:u w:val="single" w:color="auto"/>
          <w:color w:val="auto"/>
        </w:rPr>
        <w:t>plus</w:t>
      </w:r>
    </w:p>
    <w:p>
      <w:pPr>
        <w:spacing w:after="0" w:line="156" w:lineRule="exact"/>
        <w:rPr>
          <w:rFonts w:ascii="Arial" w:cs="Arial" w:eastAsia="Arial" w:hAnsi="Arial"/>
          <w:sz w:val="19"/>
          <w:szCs w:val="19"/>
          <w:color w:val="auto"/>
        </w:rPr>
      </w:pPr>
    </w:p>
    <w:p>
      <w:pPr>
        <w:ind w:firstLine="634"/>
        <w:spacing w:after="0" w:line="274" w:lineRule="auto"/>
        <w:tabs>
          <w:tab w:leader="none" w:pos="1249" w:val="left"/>
        </w:tabs>
        <w:numPr>
          <w:ilvl w:val="0"/>
          <w:numId w:val="79"/>
        </w:numPr>
        <w:rPr>
          <w:rFonts w:ascii="Arial" w:cs="Arial" w:eastAsia="Arial" w:hAnsi="Arial"/>
          <w:sz w:val="19"/>
          <w:szCs w:val="19"/>
          <w:color w:val="auto"/>
        </w:rPr>
      </w:pPr>
      <w:r>
        <w:rPr>
          <w:rFonts w:ascii="Arial" w:cs="Arial" w:eastAsia="Arial" w:hAnsi="Arial"/>
          <w:sz w:val="19"/>
          <w:szCs w:val="19"/>
          <w:color w:val="auto"/>
        </w:rPr>
        <w:t xml:space="preserve">the lesser of (i) the Dollar Equivalent of Eligible Cash (but excluding all cash received but not yet applied in respect of, or in the reduction of, any other Borrowing Base assets) multiplied by 100% and (ii) the Dollar Equivalent of $50,000,000; </w:t>
      </w:r>
      <w:r>
        <w:rPr>
          <w:rFonts w:ascii="Arial" w:cs="Arial" w:eastAsia="Arial" w:hAnsi="Arial"/>
          <w:sz w:val="19"/>
          <w:szCs w:val="19"/>
          <w:u w:val="single" w:color="auto"/>
          <w:color w:val="auto"/>
        </w:rPr>
        <w:t>less</w:t>
      </w:r>
    </w:p>
    <w:p>
      <w:pPr>
        <w:spacing w:after="0" w:line="156" w:lineRule="exact"/>
        <w:rPr>
          <w:rFonts w:ascii="Arial" w:cs="Arial" w:eastAsia="Arial" w:hAnsi="Arial"/>
          <w:sz w:val="19"/>
          <w:szCs w:val="19"/>
          <w:color w:val="auto"/>
        </w:rPr>
      </w:pPr>
    </w:p>
    <w:p>
      <w:pPr>
        <w:ind w:left="1260" w:hanging="626"/>
        <w:spacing w:after="0"/>
        <w:tabs>
          <w:tab w:leader="none" w:pos="1260" w:val="left"/>
        </w:tabs>
        <w:numPr>
          <w:ilvl w:val="0"/>
          <w:numId w:val="79"/>
        </w:numPr>
        <w:rPr>
          <w:rFonts w:ascii="Arial" w:cs="Arial" w:eastAsia="Arial" w:hAnsi="Arial"/>
          <w:sz w:val="19"/>
          <w:szCs w:val="19"/>
          <w:color w:val="auto"/>
        </w:rPr>
      </w:pPr>
      <w:r>
        <w:rPr>
          <w:rFonts w:ascii="Arial" w:cs="Arial" w:eastAsia="Arial" w:hAnsi="Arial"/>
          <w:sz w:val="19"/>
          <w:szCs w:val="19"/>
          <w:color w:val="auto"/>
        </w:rPr>
        <w:t>the Dollar Equivalent amount of all Availability Reserves.</w:t>
      </w:r>
    </w:p>
    <w:p>
      <w:pPr>
        <w:spacing w:after="0" w:line="214" w:lineRule="exact"/>
        <w:rPr>
          <w:sz w:val="20"/>
          <w:szCs w:val="20"/>
          <w:color w:val="auto"/>
        </w:rPr>
      </w:pPr>
    </w:p>
    <w:p>
      <w:pPr>
        <w:jc w:val="both"/>
        <w:ind w:firstLine="629"/>
        <w:spacing w:after="0" w:line="252" w:lineRule="auto"/>
        <w:rPr>
          <w:sz w:val="20"/>
          <w:szCs w:val="20"/>
          <w:color w:val="auto"/>
        </w:rPr>
      </w:pPr>
      <w:r>
        <w:rPr>
          <w:rFonts w:ascii="Arial" w:cs="Arial" w:eastAsia="Arial" w:hAnsi="Arial"/>
          <w:sz w:val="19"/>
          <w:szCs w:val="19"/>
          <w:color w:val="auto"/>
        </w:rPr>
        <w:t>The term “Borrowing Base” and the calculation thereof shall not include any assets or property acquired in any Acquisition (including any Permitted Acquisition), or otherwise outside the ordinary course of business, in each case unless (x) if so required by the Administrative Agent, the Administrative Agent has conducted Field Exams and appraisals reasonably required by it (with results reasonably satisfactory to the Administrative Agent) and (y) the Person owning such assets or property shall be a (directly or indirectly) wholly-owned Domestic Subsidiary of the Company and have become a Borrower.</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Borrowing Base Assets</w:t>
      </w:r>
      <w:r>
        <w:rPr>
          <w:rFonts w:ascii="Arial" w:cs="Arial" w:eastAsia="Arial" w:hAnsi="Arial"/>
          <w:sz w:val="17"/>
          <w:szCs w:val="17"/>
          <w:color w:val="auto"/>
        </w:rPr>
        <w:t>” means all assets of the Borrowers of the type included in the Borrowing Base, regardless of eligibility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w:t>
      </w:r>
    </w:p>
    <w:p>
      <w:pPr>
        <w:sectPr>
          <w:pgSz w:w="11900" w:h="16838" w:orient="portrait"/>
          <w:cols w:equalWidth="0" w:num="1">
            <w:col w:w="11240"/>
          </w:cols>
          <w:pgMar w:left="320" w:top="1382" w:right="339" w:bottom="1440" w:gutter="0" w:footer="0" w:header="0"/>
        </w:sectPr>
      </w:pPr>
    </w:p>
    <w:bookmarkStart w:id="128" w:name="page129"/>
    <w:bookmarkEnd w:id="128"/>
    <w:p>
      <w:pPr>
        <w:jc w:val="both"/>
        <w:ind w:firstLine="629"/>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Borrowing Base Certificate</w:t>
      </w:r>
      <w:r>
        <w:rPr>
          <w:rFonts w:ascii="Arial" w:cs="Arial" w:eastAsia="Arial" w:hAnsi="Arial"/>
          <w:sz w:val="19"/>
          <w:szCs w:val="19"/>
          <w:color w:val="auto"/>
        </w:rPr>
        <w:t xml:space="preserve">” means a certificate, in the form of </w:t>
      </w:r>
      <w:r>
        <w:rPr>
          <w:rFonts w:ascii="Arial" w:cs="Arial" w:eastAsia="Arial" w:hAnsi="Arial"/>
          <w:sz w:val="19"/>
          <w:szCs w:val="19"/>
          <w:u w:val="single" w:color="auto"/>
          <w:color w:val="auto"/>
        </w:rPr>
        <w:t>Exhibit D</w:t>
      </w:r>
      <w:r>
        <w:rPr>
          <w:rFonts w:ascii="Arial" w:cs="Arial" w:eastAsia="Arial" w:hAnsi="Arial"/>
          <w:sz w:val="19"/>
          <w:szCs w:val="19"/>
          <w:color w:val="auto"/>
        </w:rPr>
        <w:t xml:space="preserve"> hereto and otherwise in satisfactory to Administrative Agent, by which Borrowers certify calculation of the Borrowing Base.</w:t>
      </w:r>
    </w:p>
    <w:p>
      <w:pPr>
        <w:spacing w:after="0" w:line="157" w:lineRule="exact"/>
        <w:rPr>
          <w:sz w:val="20"/>
          <w:szCs w:val="20"/>
          <w:color w:val="auto"/>
        </w:rPr>
      </w:pPr>
    </w:p>
    <w:p>
      <w:pPr>
        <w:jc w:val="both"/>
        <w:ind w:firstLine="629"/>
        <w:spacing w:after="0" w:line="25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Business Day</w:t>
      </w:r>
      <w:r>
        <w:rPr>
          <w:rFonts w:ascii="Arial" w:cs="Arial" w:eastAsia="Arial" w:hAnsi="Arial"/>
          <w:sz w:val="19"/>
          <w:szCs w:val="19"/>
          <w:color w:val="auto"/>
        </w:rPr>
        <w:t>” means any day other than a Saturday, Sunday or other day on which commercial banks are authorized to close under the Laws of, or are in fact closed in, the state where the Administrative Agent’s Office is located and, if such day relates to any interest rate settings as to an Eurocurrency Rate Loan, any fundings, disbursements, settlements and payments in respect of any such Eurocurrency Rate Loan, or any other dealings to be carried out pursuant to this Agreement in respect of any such Eurocurrency Rate Loan, means any such day that is also a London Banking Day.</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Capital Leases</w:t>
      </w:r>
      <w:r>
        <w:rPr>
          <w:rFonts w:ascii="Arial" w:cs="Arial" w:eastAsia="Arial" w:hAnsi="Arial"/>
          <w:sz w:val="19"/>
          <w:szCs w:val="19"/>
          <w:color w:val="auto"/>
        </w:rPr>
        <w:t>” means all leases that have been or should be, in accordance with GAAP, recorded as capitalized leases.</w:t>
      </w:r>
    </w:p>
    <w:p>
      <w:pPr>
        <w:spacing w:after="0" w:line="21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Canadian Borrowers</w:t>
      </w:r>
      <w:r>
        <w:rPr>
          <w:rFonts w:ascii="Arial" w:cs="Arial" w:eastAsia="Arial" w:hAnsi="Arial"/>
          <w:sz w:val="19"/>
          <w:szCs w:val="19"/>
          <w:color w:val="auto"/>
        </w:rPr>
        <w:t>” has the meaning specified in the introductory paragraph hereto.</w:t>
      </w:r>
    </w:p>
    <w:p>
      <w:pPr>
        <w:spacing w:after="0" w:line="21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Canadian Dollars</w:t>
      </w:r>
      <w:r>
        <w:rPr>
          <w:rFonts w:ascii="Arial" w:cs="Arial" w:eastAsia="Arial" w:hAnsi="Arial"/>
          <w:sz w:val="19"/>
          <w:szCs w:val="19"/>
          <w:color w:val="auto"/>
        </w:rPr>
        <w:t>” means the lawful currency of Canada.</w:t>
      </w:r>
    </w:p>
    <w:p>
      <w:pPr>
        <w:spacing w:after="0" w:line="21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Canadian Dollar Sublimit</w:t>
      </w:r>
      <w:r>
        <w:rPr>
          <w:rFonts w:ascii="Arial" w:cs="Arial" w:eastAsia="Arial" w:hAnsi="Arial"/>
          <w:sz w:val="19"/>
          <w:szCs w:val="19"/>
          <w:color w:val="auto"/>
        </w:rPr>
        <w:t>” means the Dollar Equivalent of $15,000,000.</w:t>
      </w:r>
    </w:p>
    <w:p>
      <w:pPr>
        <w:spacing w:after="0" w:line="214" w:lineRule="exact"/>
        <w:rPr>
          <w:sz w:val="20"/>
          <w:szCs w:val="20"/>
          <w:color w:val="auto"/>
        </w:rPr>
      </w:pPr>
    </w:p>
    <w:p>
      <w:pPr>
        <w:jc w:val="both"/>
        <w:ind w:firstLine="629"/>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Canadian Defined Benefit Pension Plan</w:t>
      </w:r>
      <w:r>
        <w:rPr>
          <w:rFonts w:ascii="Arial" w:cs="Arial" w:eastAsia="Arial" w:hAnsi="Arial"/>
          <w:sz w:val="19"/>
          <w:szCs w:val="19"/>
          <w:color w:val="auto"/>
        </w:rPr>
        <w:t>” means each Canadian Pension Plan, other than a Canadian Multi-Employer Pension Plan, that contains a “defined benefit provision” as such term is defined in Section 147.1(1) of the Tax Act.</w:t>
      </w:r>
    </w:p>
    <w:p>
      <w:pPr>
        <w:spacing w:after="0" w:line="157" w:lineRule="exact"/>
        <w:rPr>
          <w:sz w:val="20"/>
          <w:szCs w:val="20"/>
          <w:color w:val="auto"/>
        </w:rPr>
      </w:pPr>
    </w:p>
    <w:p>
      <w:pPr>
        <w:jc w:val="both"/>
        <w:ind w:firstLine="629"/>
        <w:spacing w:after="0" w:line="30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Multi-Employer Pension Plan</w:t>
      </w:r>
      <w:r>
        <w:rPr>
          <w:rFonts w:ascii="Arial" w:cs="Arial" w:eastAsia="Arial" w:hAnsi="Arial"/>
          <w:sz w:val="18"/>
          <w:szCs w:val="18"/>
          <w:color w:val="auto"/>
        </w:rPr>
        <w:t>” means each Canadian Pension Plan that is a “multi-employer pension plan” as such term is defined under the PBA, and each “multi-employer plan” as such term is defined in Section 8500(1) of the Income Tax Regulations (Canada).</w:t>
      </w:r>
    </w:p>
    <w:p>
      <w:pPr>
        <w:spacing w:after="0" w:line="135" w:lineRule="exact"/>
        <w:rPr>
          <w:sz w:val="20"/>
          <w:szCs w:val="20"/>
          <w:color w:val="auto"/>
        </w:rPr>
      </w:pPr>
    </w:p>
    <w:p>
      <w:pPr>
        <w:jc w:val="both"/>
        <w:ind w:firstLine="629"/>
        <w:spacing w:after="0" w:line="25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Canadian Insolvency Laws</w:t>
      </w:r>
      <w:r>
        <w:rPr>
          <w:rFonts w:ascii="Arial" w:cs="Arial" w:eastAsia="Arial" w:hAnsi="Arial"/>
          <w:sz w:val="19"/>
          <w:szCs w:val="19"/>
          <w:color w:val="auto"/>
        </w:rPr>
        <w:t>” means any of the Bankruptcy Insolvency Act (Canada), the Companies’ Creditors Arrangement Act (Canada), the Winding-up and Restructuring Act (Canada), and any other applicable insolvency or other similar law of Canada or any province or territory thereof relating to bankruptcy, insolvency, assignments for the benefit of creditors, formal or informal moratoria, compositions, compromises or extensions generally with creditors, or proceedings seeking reorganization, recapitalization, arrangement, dissolution, liquidation, winding-up or other similar relief (including, without limitation, the Canadian corporate statutes when relied upon in connection with any of the foregoing).</w:t>
      </w:r>
    </w:p>
    <w:p>
      <w:pPr>
        <w:spacing w:after="0" w:line="182" w:lineRule="exact"/>
        <w:rPr>
          <w:sz w:val="20"/>
          <w:szCs w:val="20"/>
          <w:color w:val="auto"/>
        </w:rPr>
      </w:pPr>
    </w:p>
    <w:p>
      <w:pPr>
        <w:jc w:val="both"/>
        <w:ind w:firstLine="629"/>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Pension Plan</w:t>
      </w:r>
      <w:r>
        <w:rPr>
          <w:rFonts w:ascii="Arial" w:cs="Arial" w:eastAsia="Arial" w:hAnsi="Arial"/>
          <w:sz w:val="18"/>
          <w:szCs w:val="18"/>
          <w:color w:val="auto"/>
        </w:rPr>
        <w:t>” means each pension plan that is a “registered pension plan” as such term is defined in subsection 248(1) of the Tax Act or that is subject to the funding requirements of the PBA and that is maintained or contributed to, or to which there is or may be an obligation to contribute by a Loan Party or any Affiliate, or in respect of which a Loan Party or any Affiliate thereof has any liability, contingent or otherwise, in each case, for or in respect of their employees or former employees, but does not include the Canada Pension Plan or the Quebec Pension Plan as maintained by the Government of Canada or the Province of Quebec respectively.</w:t>
      </w:r>
    </w:p>
    <w:p>
      <w:pPr>
        <w:spacing w:after="0" w:line="164" w:lineRule="exact"/>
        <w:rPr>
          <w:sz w:val="20"/>
          <w:szCs w:val="20"/>
          <w:color w:val="auto"/>
        </w:rPr>
      </w:pPr>
    </w:p>
    <w:p>
      <w:pPr>
        <w:jc w:val="both"/>
        <w:ind w:firstLine="629"/>
        <w:spacing w:after="0" w:line="28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Pension Event</w:t>
      </w:r>
      <w:r>
        <w:rPr>
          <w:rFonts w:ascii="Arial" w:cs="Arial" w:eastAsia="Arial" w:hAnsi="Arial"/>
          <w:sz w:val="18"/>
          <w:szCs w:val="18"/>
          <w:color w:val="auto"/>
        </w:rPr>
        <w:t>” means (a) the failure of a Loan Party or any Affiliate to make required contributions when due to any Canadian Pension Plan in accordance with its terms and applicable Laws; (b) a withdrawal by a Loan Party or any Affiliate thereof from a Canadian Defined Benefit Pension Plan or a Canadian Multi-Employer Pension Plan resulting in the full or partial wind-up of such Canadian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w:t>
      </w:r>
    </w:p>
    <w:p>
      <w:pPr>
        <w:sectPr>
          <w:pgSz w:w="11900" w:h="16838" w:orient="portrait"/>
          <w:cols w:equalWidth="0" w:num="1">
            <w:col w:w="11240"/>
          </w:cols>
          <w:pgMar w:left="320" w:top="1382" w:right="339" w:bottom="1440" w:gutter="0" w:footer="0" w:header="0"/>
        </w:sectPr>
      </w:pPr>
    </w:p>
    <w:bookmarkStart w:id="129" w:name="page130"/>
    <w:bookmarkEnd w:id="129"/>
    <w:p>
      <w:pPr>
        <w:jc w:val="both"/>
        <w:spacing w:after="0" w:line="283" w:lineRule="auto"/>
        <w:rPr>
          <w:sz w:val="20"/>
          <w:szCs w:val="20"/>
          <w:color w:val="auto"/>
        </w:rPr>
      </w:pPr>
      <w:r>
        <w:rPr>
          <w:rFonts w:ascii="Arial" w:cs="Arial" w:eastAsia="Arial" w:hAnsi="Arial"/>
          <w:sz w:val="17"/>
          <w:szCs w:val="17"/>
          <w:color w:val="auto"/>
        </w:rPr>
        <w:t>Defined Benefit Pension Plan or Canadian Multi-Employer Pension Plan or resulting in either the imposition of withdrawal liability on any Loan Party or any Affiliate thereof, or notification to any Loan Party or any Affiliate thereof concerning the imposition of any withdrawal liability; (;</w:t>
      </w:r>
    </w:p>
    <w:p>
      <w:pPr>
        <w:spacing w:after="0" w:line="1" w:lineRule="exact"/>
        <w:rPr>
          <w:sz w:val="20"/>
          <w:szCs w:val="20"/>
          <w:color w:val="auto"/>
        </w:rPr>
      </w:pPr>
    </w:p>
    <w:p>
      <w:pPr>
        <w:jc w:val="both"/>
        <w:ind w:firstLine="5"/>
        <w:spacing w:after="0" w:line="260" w:lineRule="auto"/>
        <w:tabs>
          <w:tab w:leader="none" w:pos="274"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voluntary full or partial wind up of a Canadian Defined Benefit Pension Plan by a Loan Party or any Affiliate thereof, or the filing of a notice of intent to terminate a Canadian Defined Benefit Pension Plan or a Canadian Multi-Employer Pension Plan with the Chief Executive Officer of the Financial Services Regulatory Authority of Ontario, or a similar Governmental Authority of another provincial or federal jurisdiction (d) the Chief Executive Officer of the Financial Services Regulatory Authority of Ontario, or a similar Governmental Authority instituting proceedings to revoke registration or terminate, in whole or in part, any Canadian Defined Benefit Pension Plan or Canadian Multi-Employer Pension Plan or causing a trustee to be appointed to administer any Canadian Defined Benefit Pension Plan or Canadian Multi-Employer Pension Plan, or the Chief Executive Officer of the Financial Services Regulatory Authority of Ontario, or a similar Governmental Authority instituting a proceeding in respect of a Canadian Defined Benefit Pension Plan or Canadian Multi-Employer Pension Plan and such proceeding shall not have been dismissed within thirty (30) days thereafter; (e) a contribution failure in respect of any Canadian Pension Plan sufficient to give rise to a Lien, or the occurrence of any event with respect to any Canadian Pension Plan which could result in the incurrence of a liability, fine or penalty under the terms of such plan, the PBA or the Tax Act ; or (f) a Loan Party or any Affiliate thereof becomes liable for any obligations under a Canadian Defined Benefit Pension Plan or Canadian Multi-Employer Pension Plan.</w:t>
      </w:r>
    </w:p>
    <w:p>
      <w:pPr>
        <w:spacing w:after="0" w:line="178" w:lineRule="exact"/>
        <w:rPr>
          <w:sz w:val="20"/>
          <w:szCs w:val="20"/>
          <w:color w:val="auto"/>
        </w:rPr>
      </w:pPr>
    </w:p>
    <w:p>
      <w:pPr>
        <w:jc w:val="both"/>
        <w:ind w:firstLine="629"/>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Prime Rate</w:t>
      </w:r>
      <w:r>
        <w:rPr>
          <w:rFonts w:ascii="Arial" w:cs="Arial" w:eastAsia="Arial" w:hAnsi="Arial"/>
          <w:sz w:val="18"/>
          <w:szCs w:val="18"/>
          <w:color w:val="auto"/>
        </w:rPr>
        <w:t xml:space="preserve">” means, for any day a fluctuating rate of interest per annum equal to the greatest of (a) the per annum rate of interest quoted or established as the “prime rate” of the Administrative Agent which it quotes or establishes for such day as its reference rate of interest in order to determine interest rates for commercial loans in Canadian Dollars in Canada to its Canadian Borrowers; (b) the average CDOR Rate (which shall not be less than 0.00%) for a 30-day term </w:t>
      </w:r>
      <w:r>
        <w:rPr>
          <w:rFonts w:ascii="Arial" w:cs="Arial" w:eastAsia="Arial" w:hAnsi="Arial"/>
          <w:sz w:val="18"/>
          <w:szCs w:val="18"/>
          <w:i w:val="1"/>
          <w:iCs w:val="1"/>
          <w:color w:val="auto"/>
        </w:rPr>
        <w:t>plus</w:t>
      </w:r>
      <w:r>
        <w:rPr>
          <w:rFonts w:ascii="Arial" w:cs="Arial" w:eastAsia="Arial" w:hAnsi="Arial"/>
          <w:sz w:val="18"/>
          <w:szCs w:val="18"/>
          <w:color w:val="auto"/>
        </w:rPr>
        <w:t xml:space="preserve"> ½ of 1.00% per annum, adjusted automatically with each quoted or established change in such rate, all without the necessity of any notice to any Borrower or any other Person; and (c) 1.00%. Such prime rate is based on various factors including cost and desired return, general economic conditions and other factors, and is used as a reference point for pricing some loans, which may be priced at, above, or below such announced rate. Any change in the prime rate shall take effect at the opening of business on the day specified in the public announcement of such change.</w:t>
      </w:r>
    </w:p>
    <w:p>
      <w:pPr>
        <w:spacing w:after="0" w:line="172" w:lineRule="exact"/>
        <w:rPr>
          <w:sz w:val="20"/>
          <w:szCs w:val="20"/>
          <w:color w:val="auto"/>
        </w:rPr>
      </w:pPr>
    </w:p>
    <w:p>
      <w:pPr>
        <w:jc w:val="both"/>
        <w:ind w:firstLine="629"/>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Canadian Prime Rate Loan</w:t>
      </w:r>
      <w:r>
        <w:rPr>
          <w:rFonts w:ascii="Arial" w:cs="Arial" w:eastAsia="Arial" w:hAnsi="Arial"/>
          <w:sz w:val="19"/>
          <w:szCs w:val="19"/>
          <w:color w:val="auto"/>
        </w:rPr>
        <w:t>” means a Revolving Credit Loan that bears interest based on the Canadian Prime Rate. All Canadian Prime Rate Loans shall be denominated in Canadian Dollars only.</w:t>
      </w:r>
    </w:p>
    <w:p>
      <w:pPr>
        <w:spacing w:after="0" w:line="157" w:lineRule="exact"/>
        <w:rPr>
          <w:sz w:val="20"/>
          <w:szCs w:val="20"/>
          <w:color w:val="auto"/>
        </w:rPr>
      </w:pPr>
    </w:p>
    <w:p>
      <w:pPr>
        <w:jc w:val="both"/>
        <w:ind w:firstLine="629"/>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Canadian Security Agreement</w:t>
      </w:r>
      <w:r>
        <w:rPr>
          <w:rFonts w:ascii="Arial" w:cs="Arial" w:eastAsia="Arial" w:hAnsi="Arial"/>
          <w:sz w:val="19"/>
          <w:szCs w:val="19"/>
          <w:color w:val="auto"/>
        </w:rPr>
        <w:t xml:space="preserve">” means the Security Agreement dated as of the date hereof by the Canadian Borrowers, each other Loan Parties registered or incorporated under the laws of Canada or any province or territory thereof and the Administrative Agent for the benefit of the Secured Parties, substantially in the form of </w:t>
      </w:r>
      <w:r>
        <w:rPr>
          <w:rFonts w:ascii="Arial" w:cs="Arial" w:eastAsia="Arial" w:hAnsi="Arial"/>
          <w:sz w:val="19"/>
          <w:szCs w:val="19"/>
          <w:u w:val="single" w:color="auto"/>
          <w:color w:val="auto"/>
        </w:rPr>
        <w:t>Exhibit C-2</w:t>
      </w:r>
      <w:r>
        <w:rPr>
          <w:rFonts w:ascii="Arial" w:cs="Arial" w:eastAsia="Arial" w:hAnsi="Arial"/>
          <w:sz w:val="19"/>
          <w:szCs w:val="19"/>
          <w:color w:val="auto"/>
        </w:rPr>
        <w:t>.</w:t>
      </w:r>
    </w:p>
    <w:p>
      <w:pPr>
        <w:spacing w:after="0" w:line="171" w:lineRule="exact"/>
        <w:rPr>
          <w:sz w:val="20"/>
          <w:szCs w:val="20"/>
          <w:color w:val="auto"/>
        </w:rPr>
      </w:pPr>
    </w:p>
    <w:p>
      <w:pPr>
        <w:jc w:val="both"/>
        <w:ind w:firstLine="629"/>
        <w:spacing w:after="0" w:line="26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Collateralize</w:t>
      </w:r>
      <w:r>
        <w:rPr>
          <w:rFonts w:ascii="Arial" w:cs="Arial" w:eastAsia="Arial" w:hAnsi="Arial"/>
          <w:sz w:val="18"/>
          <w:szCs w:val="18"/>
          <w:color w:val="auto"/>
        </w:rPr>
        <w:t>” means to pledge and deposit with or deliver to the Administrative Agent, (a) for the benefit of one or more of the Letter of Credit Issuer or the Revolving Credit Lenders, as collateral for Letter of Credit Obligations or obligations of the Revolving Credit Lenders to fund participations in respect of Letter of Credit Obligations, cash or deposit account balances or, if the Administrative Agent and the Letter of Credit Issuer shall agree in their sole discretion, other credit support, in each case pursuant to documentation in form and substance satisfactory to the Administrative Agent and the Letter of Credit Issuer, (b) for the benefit of the Administrative Agent, as collateral for Protective Advances or Swing Line Loans that have not been refunded by the Revolving Credit Lenders, cash or deposit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w:t>
      </w:r>
    </w:p>
    <w:p>
      <w:pPr>
        <w:sectPr>
          <w:pgSz w:w="11900" w:h="16838" w:orient="portrait"/>
          <w:cols w:equalWidth="0" w:num="1">
            <w:col w:w="11240"/>
          </w:cols>
          <w:pgMar w:left="320" w:top="1381" w:right="339" w:bottom="1440" w:gutter="0" w:footer="0" w:header="0"/>
        </w:sectPr>
      </w:pPr>
    </w:p>
    <w:bookmarkStart w:id="130" w:name="page131"/>
    <w:bookmarkEnd w:id="130"/>
    <w:p>
      <w:pPr>
        <w:jc w:val="both"/>
        <w:spacing w:after="0" w:line="250" w:lineRule="auto"/>
        <w:rPr>
          <w:sz w:val="20"/>
          <w:szCs w:val="20"/>
          <w:color w:val="auto"/>
        </w:rPr>
      </w:pPr>
      <w:r>
        <w:rPr>
          <w:rFonts w:ascii="Arial" w:cs="Arial" w:eastAsia="Arial" w:hAnsi="Arial"/>
          <w:sz w:val="19"/>
          <w:szCs w:val="19"/>
          <w:color w:val="auto"/>
        </w:rPr>
        <w:t>balances or, if the Administrative Agent shall agree in its sole discretion, other credit support, in each case pursuant to documentation in form and substance satisfactory to the Administrative Agent or (c) for the benefit of the Secured Parties during the continuance of an Event of Default or in connection with the Payment in Full, as collateral for any Obligations that are due or may become due, cash or deposit account balances or, if the Administrative Agent shall agree in its sole discretion, other credit support, in each case pursuant to documentation in form and substance satisfactory to the Administrative Agent. “Cash Collateral” shall have a meaning correlative to the foregoing and shall include the proceeds of such cash collateral and other credit support.</w:t>
      </w:r>
    </w:p>
    <w:p>
      <w:pPr>
        <w:spacing w:after="0" w:line="182" w:lineRule="exact"/>
        <w:rPr>
          <w:sz w:val="20"/>
          <w:szCs w:val="20"/>
          <w:color w:val="auto"/>
        </w:rPr>
      </w:pPr>
    </w:p>
    <w:p>
      <w:pPr>
        <w:jc w:val="both"/>
        <w:ind w:firstLine="629"/>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Cash Equivalents</w:t>
      </w:r>
      <w:r>
        <w:rPr>
          <w:rFonts w:ascii="Arial" w:cs="Arial" w:eastAsia="Arial" w:hAnsi="Arial"/>
          <w:sz w:val="19"/>
          <w:szCs w:val="19"/>
          <w:color w:val="auto"/>
        </w:rPr>
        <w:t>” means any of the following types of property, to the extent owned by the Company or any of its Subsidiaries free and clear of all Liens (other than Liens created under the Security Instruments):</w:t>
      </w:r>
    </w:p>
    <w:p>
      <w:pPr>
        <w:spacing w:after="0" w:line="157" w:lineRule="exact"/>
        <w:rPr>
          <w:sz w:val="20"/>
          <w:szCs w:val="20"/>
          <w:color w:val="auto"/>
        </w:rPr>
      </w:pPr>
    </w:p>
    <w:p>
      <w:pPr>
        <w:ind w:left="1260" w:hanging="626"/>
        <w:spacing w:after="0"/>
        <w:tabs>
          <w:tab w:leader="none" w:pos="1260" w:val="left"/>
        </w:tabs>
        <w:numPr>
          <w:ilvl w:val="0"/>
          <w:numId w:val="81"/>
        </w:numPr>
        <w:rPr>
          <w:rFonts w:ascii="Arial" w:cs="Arial" w:eastAsia="Arial" w:hAnsi="Arial"/>
          <w:sz w:val="19"/>
          <w:szCs w:val="19"/>
          <w:color w:val="auto"/>
        </w:rPr>
      </w:pPr>
      <w:r>
        <w:rPr>
          <w:rFonts w:ascii="Arial" w:cs="Arial" w:eastAsia="Arial" w:hAnsi="Arial"/>
          <w:sz w:val="19"/>
          <w:szCs w:val="19"/>
          <w:color w:val="auto"/>
        </w:rPr>
        <w:t>cash, denominated in Dollars, or in the case of the Canadian Borrowers, denominated in Canadian Dollars;</w:t>
      </w:r>
    </w:p>
    <w:p>
      <w:pPr>
        <w:spacing w:after="0" w:line="214" w:lineRule="exact"/>
        <w:rPr>
          <w:rFonts w:ascii="Arial" w:cs="Arial" w:eastAsia="Arial" w:hAnsi="Arial"/>
          <w:sz w:val="19"/>
          <w:szCs w:val="19"/>
          <w:color w:val="auto"/>
        </w:rPr>
      </w:pPr>
    </w:p>
    <w:p>
      <w:pPr>
        <w:jc w:val="both"/>
        <w:ind w:firstLine="634"/>
        <w:spacing w:after="0" w:line="254" w:lineRule="auto"/>
        <w:tabs>
          <w:tab w:leader="none" w:pos="1247" w:val="left"/>
        </w:tabs>
        <w:numPr>
          <w:ilvl w:val="0"/>
          <w:numId w:val="81"/>
        </w:numPr>
        <w:rPr>
          <w:rFonts w:ascii="Arial" w:cs="Arial" w:eastAsia="Arial" w:hAnsi="Arial"/>
          <w:sz w:val="19"/>
          <w:szCs w:val="19"/>
          <w:color w:val="auto"/>
        </w:rPr>
      </w:pPr>
      <w:r>
        <w:rPr>
          <w:rFonts w:ascii="Arial" w:cs="Arial" w:eastAsia="Arial" w:hAnsi="Arial"/>
          <w:sz w:val="19"/>
          <w:szCs w:val="19"/>
          <w:color w:val="auto"/>
        </w:rPr>
        <w:t>readily marketable direct obligations of the government of the United States or Canada or any agency or instrumentality thereof, or obligations the timely payment of principal and interest on which are fully and unconditionally guaranteed by the government of the United States or Canada or any state, province, territory or municipality thereof, in each case so long as such obligation has an investment grade rating by S&amp;P and Moody’s;</w:t>
      </w:r>
    </w:p>
    <w:p>
      <w:pPr>
        <w:spacing w:after="0" w:line="176" w:lineRule="exact"/>
        <w:rPr>
          <w:rFonts w:ascii="Arial" w:cs="Arial" w:eastAsia="Arial" w:hAnsi="Arial"/>
          <w:sz w:val="19"/>
          <w:szCs w:val="19"/>
          <w:color w:val="auto"/>
        </w:rPr>
      </w:pPr>
    </w:p>
    <w:p>
      <w:pPr>
        <w:ind w:firstLine="634"/>
        <w:spacing w:after="0" w:line="334" w:lineRule="auto"/>
        <w:tabs>
          <w:tab w:leader="none" w:pos="1249" w:val="left"/>
        </w:tabs>
        <w:numPr>
          <w:ilvl w:val="0"/>
          <w:numId w:val="81"/>
        </w:numPr>
        <w:rPr>
          <w:rFonts w:ascii="Arial" w:cs="Arial" w:eastAsia="Arial" w:hAnsi="Arial"/>
          <w:sz w:val="17"/>
          <w:szCs w:val="17"/>
          <w:color w:val="auto"/>
        </w:rPr>
      </w:pPr>
      <w:r>
        <w:rPr>
          <w:rFonts w:ascii="Arial" w:cs="Arial" w:eastAsia="Arial" w:hAnsi="Arial"/>
          <w:sz w:val="17"/>
          <w:szCs w:val="17"/>
          <w:color w:val="auto"/>
        </w:rPr>
        <w:t>commercial paper rated at least P1 (or the then equivalent grade) by Moody’s and A1 (or the then equivalent grade) by S&amp;P, or carrying an equivalent rating by a nationally recognized rating agency if at any time neither Moody’s nor S&amp;P shall be rating such obligations;</w:t>
      </w:r>
    </w:p>
    <w:p>
      <w:pPr>
        <w:spacing w:after="0" w:line="111" w:lineRule="exact"/>
        <w:rPr>
          <w:rFonts w:ascii="Arial" w:cs="Arial" w:eastAsia="Arial" w:hAnsi="Arial"/>
          <w:sz w:val="17"/>
          <w:szCs w:val="17"/>
          <w:color w:val="auto"/>
        </w:rPr>
      </w:pPr>
    </w:p>
    <w:p>
      <w:pPr>
        <w:jc w:val="both"/>
        <w:ind w:firstLine="634"/>
        <w:spacing w:after="0" w:line="254" w:lineRule="auto"/>
        <w:tabs>
          <w:tab w:leader="none" w:pos="1247" w:val="left"/>
        </w:tabs>
        <w:numPr>
          <w:ilvl w:val="0"/>
          <w:numId w:val="81"/>
        </w:numPr>
        <w:rPr>
          <w:rFonts w:ascii="Arial" w:cs="Arial" w:eastAsia="Arial" w:hAnsi="Arial"/>
          <w:sz w:val="19"/>
          <w:szCs w:val="19"/>
          <w:color w:val="auto"/>
        </w:rPr>
      </w:pPr>
      <w:r>
        <w:rPr>
          <w:rFonts w:ascii="Arial" w:cs="Arial" w:eastAsia="Arial" w:hAnsi="Arial"/>
          <w:sz w:val="19"/>
          <w:szCs w:val="19"/>
          <w:color w:val="auto"/>
        </w:rPr>
        <w:t>insured certificates of deposit or bankers’ acceptances of, or time deposits with any Lender or with any commercial bank that (i) is a member of the Federal Reserve System, (ii) issues (or the parent of which issues) commercial paper rated as described in the first portion of clause (c) above, (iii) is organized under the laws of the United States or of any state thereof and (iv) has combined capital and surplus of at least $500,000,000;</w:t>
      </w:r>
    </w:p>
    <w:p>
      <w:pPr>
        <w:spacing w:after="0" w:line="176" w:lineRule="exact"/>
        <w:rPr>
          <w:rFonts w:ascii="Arial" w:cs="Arial" w:eastAsia="Arial" w:hAnsi="Arial"/>
          <w:sz w:val="19"/>
          <w:szCs w:val="19"/>
          <w:color w:val="auto"/>
        </w:rPr>
      </w:pPr>
    </w:p>
    <w:p>
      <w:pPr>
        <w:jc w:val="both"/>
        <w:ind w:firstLine="634"/>
        <w:spacing w:after="0" w:line="259" w:lineRule="auto"/>
        <w:tabs>
          <w:tab w:leader="none" w:pos="1249" w:val="left"/>
        </w:tabs>
        <w:numPr>
          <w:ilvl w:val="0"/>
          <w:numId w:val="81"/>
        </w:numPr>
        <w:rPr>
          <w:rFonts w:ascii="Arial" w:cs="Arial" w:eastAsia="Arial" w:hAnsi="Arial"/>
          <w:sz w:val="19"/>
          <w:szCs w:val="19"/>
          <w:color w:val="auto"/>
        </w:rPr>
      </w:pPr>
      <w:r>
        <w:rPr>
          <w:rFonts w:ascii="Arial" w:cs="Arial" w:eastAsia="Arial" w:hAnsi="Arial"/>
          <w:sz w:val="19"/>
          <w:szCs w:val="19"/>
          <w:color w:val="auto"/>
        </w:rPr>
        <w:t>readily marketable general obligations of any corporation organized under the laws of any state of the United States of America or any province or territory of Canada, payable in the United States of America or Canada, as applicable, expressed to mature not later than twelve months following the date of issuance thereof and rated A or better by S&amp;P or A3 or better by Moody’s;</w:t>
      </w:r>
    </w:p>
    <w:p>
      <w:pPr>
        <w:spacing w:after="0" w:line="171" w:lineRule="exact"/>
        <w:rPr>
          <w:rFonts w:ascii="Arial" w:cs="Arial" w:eastAsia="Arial" w:hAnsi="Arial"/>
          <w:sz w:val="19"/>
          <w:szCs w:val="19"/>
          <w:color w:val="auto"/>
        </w:rPr>
      </w:pPr>
    </w:p>
    <w:p>
      <w:pPr>
        <w:ind w:firstLine="634"/>
        <w:spacing w:after="0" w:line="274" w:lineRule="auto"/>
        <w:tabs>
          <w:tab w:leader="none" w:pos="1254" w:val="left"/>
        </w:tabs>
        <w:numPr>
          <w:ilvl w:val="0"/>
          <w:numId w:val="81"/>
        </w:numPr>
        <w:rPr>
          <w:rFonts w:ascii="Arial" w:cs="Arial" w:eastAsia="Arial" w:hAnsi="Arial"/>
          <w:sz w:val="19"/>
          <w:szCs w:val="19"/>
          <w:color w:val="auto"/>
        </w:rPr>
      </w:pPr>
      <w:r>
        <w:rPr>
          <w:rFonts w:ascii="Arial" w:cs="Arial" w:eastAsia="Arial" w:hAnsi="Arial"/>
          <w:sz w:val="19"/>
          <w:szCs w:val="19"/>
          <w:color w:val="auto"/>
        </w:rPr>
        <w:t>readily marketable shares of investment companies or money market funds that, in each case, invest solely in the foregoing Investments described in clauses (a) through (e) above; and</w:t>
      </w:r>
    </w:p>
    <w:p>
      <w:pPr>
        <w:spacing w:after="0" w:line="156" w:lineRule="exact"/>
        <w:rPr>
          <w:rFonts w:ascii="Arial" w:cs="Arial" w:eastAsia="Arial" w:hAnsi="Arial"/>
          <w:sz w:val="19"/>
          <w:szCs w:val="19"/>
          <w:color w:val="auto"/>
        </w:rPr>
      </w:pPr>
    </w:p>
    <w:p>
      <w:pPr>
        <w:jc w:val="both"/>
        <w:ind w:firstLine="634"/>
        <w:spacing w:after="0" w:line="280" w:lineRule="auto"/>
        <w:tabs>
          <w:tab w:leader="none" w:pos="1247"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 the case of any Subsidiary of the Company organized or having its principal place of business outside the United States or Canada, investments denominated in the currency of the jurisdiction in which such Subsidiary is organized or has its principal place of business which are similar in nature and substantially the same in term and ratings to the items specified in clauses (a) through (f) above.</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CERCLA</w:t>
      </w:r>
      <w:r>
        <w:rPr>
          <w:rFonts w:ascii="Arial" w:cs="Arial" w:eastAsia="Arial" w:hAnsi="Arial"/>
          <w:sz w:val="19"/>
          <w:szCs w:val="19"/>
          <w:color w:val="auto"/>
        </w:rPr>
        <w:t>” means the Comprehensive Environmental Response, Compensation and Liability Act of 1980.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w:t>
      </w:r>
    </w:p>
    <w:p>
      <w:pPr>
        <w:sectPr>
          <w:pgSz w:w="11900" w:h="16838" w:orient="portrait"/>
          <w:cols w:equalWidth="0" w:num="1">
            <w:col w:w="11240"/>
          </w:cols>
          <w:pgMar w:left="320" w:top="1381" w:right="339" w:bottom="1440" w:gutter="0" w:footer="0" w:header="0"/>
        </w:sectPr>
      </w:pPr>
    </w:p>
    <w:bookmarkStart w:id="131" w:name="page132"/>
    <w:bookmarkEnd w:id="131"/>
    <w:p>
      <w:pPr>
        <w:jc w:val="both"/>
        <w:ind w:firstLine="629"/>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CERCLIS</w:t>
      </w:r>
      <w:r>
        <w:rPr>
          <w:rFonts w:ascii="Arial" w:cs="Arial" w:eastAsia="Arial" w:hAnsi="Arial"/>
          <w:sz w:val="19"/>
          <w:szCs w:val="19"/>
          <w:color w:val="auto"/>
        </w:rPr>
        <w:t>” means the Comprehensive Environmental Response, Compensation and Liability Information System maintained by the U.S. Environmental Protection Agency.</w:t>
      </w:r>
    </w:p>
    <w:p>
      <w:pPr>
        <w:spacing w:after="0" w:line="157"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CFC</w:t>
      </w:r>
      <w:r>
        <w:rPr>
          <w:rFonts w:ascii="Arial" w:cs="Arial" w:eastAsia="Arial" w:hAnsi="Arial"/>
          <w:sz w:val="19"/>
          <w:szCs w:val="19"/>
          <w:color w:val="auto"/>
        </w:rPr>
        <w:t>” has the meaning specified in the definition of “</w:t>
      </w:r>
      <w:r>
        <w:rPr>
          <w:rFonts w:ascii="Arial" w:cs="Arial" w:eastAsia="Arial" w:hAnsi="Arial"/>
          <w:sz w:val="19"/>
          <w:szCs w:val="19"/>
          <w:u w:val="single" w:color="auto"/>
          <w:color w:val="auto"/>
        </w:rPr>
        <w:t>Excluded Subsidiary</w:t>
      </w:r>
      <w:r>
        <w:rPr>
          <w:rFonts w:ascii="Arial" w:cs="Arial" w:eastAsia="Arial" w:hAnsi="Arial"/>
          <w:sz w:val="19"/>
          <w:szCs w:val="19"/>
          <w:color w:val="auto"/>
        </w:rPr>
        <w:t>”.</w:t>
      </w:r>
    </w:p>
    <w:p>
      <w:pPr>
        <w:spacing w:after="0" w:line="21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CFCHC</w:t>
      </w:r>
      <w:r>
        <w:rPr>
          <w:rFonts w:ascii="Arial" w:cs="Arial" w:eastAsia="Arial" w:hAnsi="Arial"/>
          <w:sz w:val="19"/>
          <w:szCs w:val="19"/>
          <w:color w:val="auto"/>
        </w:rPr>
        <w:t>” has the meaning specified in the definition of “</w:t>
      </w:r>
      <w:r>
        <w:rPr>
          <w:rFonts w:ascii="Arial" w:cs="Arial" w:eastAsia="Arial" w:hAnsi="Arial"/>
          <w:sz w:val="19"/>
          <w:szCs w:val="19"/>
          <w:u w:val="single" w:color="auto"/>
          <w:color w:val="auto"/>
        </w:rPr>
        <w:t>Excluded Subsidiary</w:t>
      </w:r>
      <w:r>
        <w:rPr>
          <w:rFonts w:ascii="Arial" w:cs="Arial" w:eastAsia="Arial" w:hAnsi="Arial"/>
          <w:sz w:val="19"/>
          <w:szCs w:val="19"/>
          <w:color w:val="auto"/>
        </w:rPr>
        <w:t>”.</w:t>
      </w:r>
    </w:p>
    <w:p>
      <w:pPr>
        <w:spacing w:after="0" w:line="214" w:lineRule="exact"/>
        <w:rPr>
          <w:sz w:val="20"/>
          <w:szCs w:val="20"/>
          <w:color w:val="auto"/>
        </w:rPr>
      </w:pPr>
    </w:p>
    <w:p>
      <w:pPr>
        <w:jc w:val="both"/>
        <w:ind w:firstLine="629"/>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Law</w:t>
      </w:r>
      <w:r>
        <w:rPr>
          <w:rFonts w:ascii="Arial" w:cs="Arial" w:eastAsia="Arial" w:hAnsi="Arial"/>
          <w:sz w:val="18"/>
          <w:szCs w:val="18"/>
          <w:color w:val="auto"/>
        </w:rPr>
        <w:t xml:space="preserve">” means the occurrence, after the date of this Agreement,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spacing w:after="0" w:line="172"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Change of Control</w:t>
      </w:r>
      <w:r>
        <w:rPr>
          <w:rFonts w:ascii="Arial" w:cs="Arial" w:eastAsia="Arial" w:hAnsi="Arial"/>
          <w:sz w:val="19"/>
          <w:szCs w:val="19"/>
          <w:color w:val="auto"/>
        </w:rPr>
        <w:t>” means an event or series of events by which:</w:t>
      </w:r>
    </w:p>
    <w:p>
      <w:pPr>
        <w:spacing w:after="0" w:line="214" w:lineRule="exact"/>
        <w:rPr>
          <w:sz w:val="20"/>
          <w:szCs w:val="20"/>
          <w:color w:val="auto"/>
        </w:rPr>
      </w:pPr>
    </w:p>
    <w:p>
      <w:pPr>
        <w:jc w:val="both"/>
        <w:ind w:firstLine="634"/>
        <w:spacing w:after="0" w:line="249" w:lineRule="auto"/>
        <w:tabs>
          <w:tab w:leader="none" w:pos="1249" w:val="left"/>
        </w:tabs>
        <w:numPr>
          <w:ilvl w:val="0"/>
          <w:numId w:val="82"/>
        </w:numPr>
        <w:rPr>
          <w:rFonts w:ascii="Arial" w:cs="Arial" w:eastAsia="Arial" w:hAnsi="Arial"/>
          <w:sz w:val="19"/>
          <w:szCs w:val="19"/>
          <w:color w:val="auto"/>
        </w:rPr>
      </w:pPr>
      <w:r>
        <w:rPr>
          <w:rFonts w:ascii="Arial" w:cs="Arial" w:eastAsia="Arial" w:hAnsi="Arial"/>
          <w:sz w:val="19"/>
          <w:szCs w:val="19"/>
          <w:color w:val="auto"/>
        </w:rPr>
        <w:t>any “person” or “group” (as such terms are used in Sections 13(d) and 14(d) of the Exchange Act, but excluding any employee benefit plan of the Company or its Subsidiaries, and any person or entity acting in its capacity as trustee, agent or other fiduciary or administrator of any such plan) becomes the “beneficial owner” (as defined in Rules 13d-4 and 13d-6 under the Exchange Act, except that a person or group shall be deemed to have “beneficial ownership” of all securities that such person or group has the right to acquire (such right, an “option right”), whether such right is exercisable immediately or only after the passage of time), directly or indirectly, of 35% or more of the Equity Interests of the Company on a fully-diluted basis (and taking into account all such Equity Interests that such person or group has the right to acquire pursuant to any option right); or</w:t>
      </w:r>
    </w:p>
    <w:p>
      <w:pPr>
        <w:spacing w:after="0" w:line="183" w:lineRule="exact"/>
        <w:rPr>
          <w:rFonts w:ascii="Arial" w:cs="Arial" w:eastAsia="Arial" w:hAnsi="Arial"/>
          <w:sz w:val="19"/>
          <w:szCs w:val="19"/>
          <w:color w:val="auto"/>
        </w:rPr>
      </w:pPr>
    </w:p>
    <w:p>
      <w:pPr>
        <w:jc w:val="both"/>
        <w:ind w:firstLine="634"/>
        <w:spacing w:after="0" w:line="267" w:lineRule="auto"/>
        <w:tabs>
          <w:tab w:leader="none" w:pos="1247" w:val="left"/>
        </w:tabs>
        <w:numPr>
          <w:ilvl w:val="0"/>
          <w:numId w:val="82"/>
        </w:numPr>
        <w:rPr>
          <w:rFonts w:ascii="Arial" w:cs="Arial" w:eastAsia="Arial" w:hAnsi="Arial"/>
          <w:sz w:val="18"/>
          <w:szCs w:val="18"/>
          <w:color w:val="auto"/>
        </w:rPr>
      </w:pPr>
      <w:r>
        <w:rPr>
          <w:rFonts w:ascii="Arial" w:cs="Arial" w:eastAsia="Arial" w:hAnsi="Arial"/>
          <w:sz w:val="18"/>
          <w:szCs w:val="18"/>
          <w:color w:val="auto"/>
        </w:rPr>
        <w:t>during any period of 24 consecutive months, a majority of the members of the board of directors or other equivalent governing body of the Company cease to be composed of individuals (i) who were members of that board or equivalent governing body on the first day of such period, (ii) whose election or nomination to that board or equivalent governing body was approved by individuals referred to in clause (i) above constituting at the time of such election or nomination at least a majority of that board or equivalent governing body or (iii) whose election or nomination to that board or other equivalent governing body was approved by individuals referred to in clauses (i) and (ii) above constituting at the time of such election or nomination at least a majority of that board or equivalent governing body; or</w:t>
      </w:r>
    </w:p>
    <w:p>
      <w:pPr>
        <w:spacing w:after="0" w:line="165" w:lineRule="exact"/>
        <w:rPr>
          <w:rFonts w:ascii="Arial" w:cs="Arial" w:eastAsia="Arial" w:hAnsi="Arial"/>
          <w:sz w:val="18"/>
          <w:szCs w:val="18"/>
          <w:color w:val="auto"/>
        </w:rPr>
      </w:pPr>
    </w:p>
    <w:p>
      <w:pPr>
        <w:jc w:val="both"/>
        <w:ind w:firstLine="634"/>
        <w:spacing w:after="0" w:line="259" w:lineRule="auto"/>
        <w:tabs>
          <w:tab w:leader="none" w:pos="1249" w:val="left"/>
        </w:tabs>
        <w:numPr>
          <w:ilvl w:val="0"/>
          <w:numId w:val="82"/>
        </w:numPr>
        <w:rPr>
          <w:rFonts w:ascii="Arial" w:cs="Arial" w:eastAsia="Arial" w:hAnsi="Arial"/>
          <w:sz w:val="19"/>
          <w:szCs w:val="19"/>
          <w:color w:val="auto"/>
        </w:rPr>
      </w:pPr>
      <w:r>
        <w:rPr>
          <w:rFonts w:ascii="Arial" w:cs="Arial" w:eastAsia="Arial" w:hAnsi="Arial"/>
          <w:sz w:val="19"/>
          <w:szCs w:val="19"/>
          <w:color w:val="auto"/>
        </w:rPr>
        <w:t>the Company shall fail to own and control, beneficially and of record (directly or indirectly), 100% of the issued and outstanding Equity Interests of each of its Restricted Subsidiaries, except where such failure is the result of a transaction permitted under the Loan Documents; or</w:t>
      </w:r>
    </w:p>
    <w:p>
      <w:pPr>
        <w:spacing w:after="0" w:line="171" w:lineRule="exact"/>
        <w:rPr>
          <w:rFonts w:ascii="Arial" w:cs="Arial" w:eastAsia="Arial" w:hAnsi="Arial"/>
          <w:sz w:val="19"/>
          <w:szCs w:val="19"/>
          <w:color w:val="auto"/>
        </w:rPr>
      </w:pPr>
    </w:p>
    <w:p>
      <w:pPr>
        <w:ind w:firstLine="634"/>
        <w:spacing w:after="0" w:line="274" w:lineRule="auto"/>
        <w:tabs>
          <w:tab w:leader="none" w:pos="1247" w:val="left"/>
        </w:tabs>
        <w:numPr>
          <w:ilvl w:val="0"/>
          <w:numId w:val="82"/>
        </w:numPr>
        <w:rPr>
          <w:rFonts w:ascii="Arial" w:cs="Arial" w:eastAsia="Arial" w:hAnsi="Arial"/>
          <w:sz w:val="19"/>
          <w:szCs w:val="19"/>
          <w:color w:val="auto"/>
        </w:rPr>
      </w:pPr>
      <w:r>
        <w:rPr>
          <w:rFonts w:ascii="Arial" w:cs="Arial" w:eastAsia="Arial" w:hAnsi="Arial"/>
          <w:sz w:val="19"/>
          <w:szCs w:val="19"/>
          <w:color w:val="auto"/>
        </w:rPr>
        <w:t>any “change of control” or similar event occurs under the Organic Documents of any Borrower or under any Material Contract to which any Borrower is a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13</w:t>
      </w:r>
    </w:p>
    <w:p>
      <w:pPr>
        <w:sectPr>
          <w:pgSz w:w="11900" w:h="16838" w:orient="portrait"/>
          <w:cols w:equalWidth="0" w:num="1">
            <w:col w:w="11240"/>
          </w:cols>
          <w:pgMar w:left="320" w:top="1381" w:right="339" w:bottom="1440" w:gutter="0" w:footer="0" w:header="0"/>
        </w:sectPr>
      </w:pPr>
    </w:p>
    <w:bookmarkStart w:id="132" w:name="page133"/>
    <w:bookmarkEnd w:id="132"/>
    <w:p>
      <w:pPr>
        <w:jc w:val="both"/>
        <w:ind w:firstLine="629"/>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Closing Date</w:t>
      </w:r>
      <w:r>
        <w:rPr>
          <w:rFonts w:ascii="Arial" w:cs="Arial" w:eastAsia="Arial" w:hAnsi="Arial"/>
          <w:sz w:val="19"/>
          <w:szCs w:val="19"/>
          <w:color w:val="auto"/>
        </w:rPr>
        <w:t xml:space="preserve">” means the first date all the conditions precedent in </w:t>
      </w:r>
      <w:r>
        <w:rPr>
          <w:rFonts w:ascii="Arial" w:cs="Arial" w:eastAsia="Arial" w:hAnsi="Arial"/>
          <w:sz w:val="19"/>
          <w:szCs w:val="19"/>
          <w:u w:val="single" w:color="auto"/>
          <w:color w:val="auto"/>
        </w:rPr>
        <w:t>Section 5.01</w:t>
      </w:r>
      <w:r>
        <w:rPr>
          <w:rFonts w:ascii="Arial" w:cs="Arial" w:eastAsia="Arial" w:hAnsi="Arial"/>
          <w:sz w:val="19"/>
          <w:szCs w:val="19"/>
          <w:color w:val="auto"/>
        </w:rPr>
        <w:t xml:space="preserve"> are satisfied or waived in accordance with </w:t>
      </w:r>
      <w:r>
        <w:rPr>
          <w:rFonts w:ascii="Arial" w:cs="Arial" w:eastAsia="Arial" w:hAnsi="Arial"/>
          <w:sz w:val="19"/>
          <w:szCs w:val="19"/>
          <w:u w:val="single" w:color="auto"/>
          <w:color w:val="auto"/>
        </w:rPr>
        <w:t>Section 11.01</w:t>
      </w:r>
      <w:r>
        <w:rPr>
          <w:rFonts w:ascii="Arial" w:cs="Arial" w:eastAsia="Arial" w:hAnsi="Arial"/>
          <w:sz w:val="19"/>
          <w:szCs w:val="19"/>
          <w:color w:val="auto"/>
        </w:rPr>
        <w:t xml:space="preserve"> (or, in the case of </w:t>
      </w:r>
      <w:r>
        <w:rPr>
          <w:rFonts w:ascii="Arial" w:cs="Arial" w:eastAsia="Arial" w:hAnsi="Arial"/>
          <w:sz w:val="19"/>
          <w:szCs w:val="19"/>
          <w:u w:val="single" w:color="auto"/>
          <w:color w:val="auto"/>
        </w:rPr>
        <w:t>Section 5.01(b)</w:t>
      </w:r>
      <w:r>
        <w:rPr>
          <w:rFonts w:ascii="Arial" w:cs="Arial" w:eastAsia="Arial" w:hAnsi="Arial"/>
          <w:sz w:val="19"/>
          <w:szCs w:val="19"/>
          <w:color w:val="auto"/>
        </w:rPr>
        <w:t>, waived by the Person entitled to receive the applicable payment).</w:t>
      </w:r>
    </w:p>
    <w:p>
      <w:pPr>
        <w:spacing w:after="0" w:line="157"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Code</w:t>
      </w:r>
      <w:r>
        <w:rPr>
          <w:rFonts w:ascii="Arial" w:cs="Arial" w:eastAsia="Arial" w:hAnsi="Arial"/>
          <w:sz w:val="19"/>
          <w:szCs w:val="19"/>
          <w:color w:val="auto"/>
        </w:rPr>
        <w:t>” means the Internal Revenue Code of 1986, as amended.</w:t>
      </w:r>
    </w:p>
    <w:p>
      <w:pPr>
        <w:spacing w:after="0" w:line="214" w:lineRule="exact"/>
        <w:rPr>
          <w:sz w:val="20"/>
          <w:szCs w:val="20"/>
          <w:color w:val="auto"/>
        </w:rPr>
      </w:pPr>
    </w:p>
    <w:p>
      <w:pPr>
        <w:jc w:val="both"/>
        <w:ind w:firstLine="629"/>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Collateral</w:t>
      </w:r>
      <w:r>
        <w:rPr>
          <w:rFonts w:ascii="Arial" w:cs="Arial" w:eastAsia="Arial" w:hAnsi="Arial"/>
          <w:sz w:val="19"/>
          <w:szCs w:val="19"/>
          <w:color w:val="auto"/>
        </w:rPr>
        <w:t>” means, collectively, certain property of the Loan Parties or any other Person in which the Administrative Agent or any Secured Party is granted a Lien under any Security Instrument as security for all or any portion of the Obligations or any other obligation arising under any Loan Document.</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Commitment Increase</w:t>
      </w:r>
      <w:r>
        <w:rPr>
          <w:rFonts w:ascii="Arial" w:cs="Arial" w:eastAsia="Arial" w:hAnsi="Arial"/>
          <w:sz w:val="19"/>
          <w:szCs w:val="19"/>
          <w:color w:val="auto"/>
        </w:rPr>
        <w:t xml:space="preserve">” has the meaning specified in </w:t>
      </w:r>
      <w:r>
        <w:rPr>
          <w:rFonts w:ascii="Arial" w:cs="Arial" w:eastAsia="Arial" w:hAnsi="Arial"/>
          <w:sz w:val="19"/>
          <w:szCs w:val="19"/>
          <w:u w:val="single" w:color="auto"/>
          <w:color w:val="auto"/>
        </w:rPr>
        <w:t>Section 2.18(a)</w:t>
      </w:r>
      <w:r>
        <w:rPr>
          <w:rFonts w:ascii="Arial" w:cs="Arial" w:eastAsia="Arial" w:hAnsi="Arial"/>
          <w:sz w:val="19"/>
          <w:szCs w:val="19"/>
          <w:color w:val="auto"/>
        </w:rPr>
        <w:t>.</w:t>
      </w:r>
    </w:p>
    <w:p>
      <w:pPr>
        <w:spacing w:after="0" w:line="214" w:lineRule="exact"/>
        <w:rPr>
          <w:sz w:val="20"/>
          <w:szCs w:val="20"/>
          <w:color w:val="auto"/>
        </w:rPr>
      </w:pPr>
    </w:p>
    <w:p>
      <w:pPr>
        <w:jc w:val="both"/>
        <w:ind w:firstLine="629"/>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Committed Loan Notice</w:t>
      </w:r>
      <w:r>
        <w:rPr>
          <w:rFonts w:ascii="Arial" w:cs="Arial" w:eastAsia="Arial" w:hAnsi="Arial"/>
          <w:sz w:val="19"/>
          <w:szCs w:val="19"/>
          <w:color w:val="auto"/>
        </w:rPr>
        <w:t xml:space="preserve">” means a notice of (a) a Borrowing, (b) a conversion of Loans from one Type to the other, or (c) a continuation of Eurocurrency Rate Loans, in each case, described in </w:t>
      </w:r>
      <w:r>
        <w:rPr>
          <w:rFonts w:ascii="Arial" w:cs="Arial" w:eastAsia="Arial" w:hAnsi="Arial"/>
          <w:sz w:val="19"/>
          <w:szCs w:val="19"/>
          <w:u w:val="single" w:color="auto"/>
          <w:color w:val="auto"/>
        </w:rPr>
        <w:t>Section 2.02</w:t>
      </w:r>
      <w:r>
        <w:rPr>
          <w:rFonts w:ascii="Arial" w:cs="Arial" w:eastAsia="Arial" w:hAnsi="Arial"/>
          <w:sz w:val="19"/>
          <w:szCs w:val="19"/>
          <w:color w:val="auto"/>
        </w:rPr>
        <w:t>.</w:t>
      </w:r>
    </w:p>
    <w:p>
      <w:pPr>
        <w:spacing w:after="0" w:line="157" w:lineRule="exact"/>
        <w:rPr>
          <w:sz w:val="20"/>
          <w:szCs w:val="20"/>
          <w:color w:val="auto"/>
        </w:rPr>
      </w:pPr>
    </w:p>
    <w:p>
      <w:pPr>
        <w:jc w:val="both"/>
        <w:ind w:firstLine="629"/>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Commodity Exchange Act</w:t>
      </w:r>
      <w:r>
        <w:rPr>
          <w:rFonts w:ascii="Arial" w:cs="Arial" w:eastAsia="Arial" w:hAnsi="Arial"/>
          <w:sz w:val="19"/>
          <w:szCs w:val="19"/>
          <w:color w:val="auto"/>
        </w:rPr>
        <w:t>” means the Commodity Exchange Act (7 U.S.C. § 1 et seq.), as amended from time to time, and any successor statute.</w:t>
      </w:r>
    </w:p>
    <w:p>
      <w:pPr>
        <w:spacing w:after="0" w:line="157"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Company</w:t>
      </w:r>
      <w:r>
        <w:rPr>
          <w:rFonts w:ascii="Arial" w:cs="Arial" w:eastAsia="Arial" w:hAnsi="Arial"/>
          <w:sz w:val="19"/>
          <w:szCs w:val="19"/>
          <w:color w:val="auto"/>
        </w:rPr>
        <w:t>” means Matrix.</w:t>
      </w:r>
    </w:p>
    <w:p>
      <w:pPr>
        <w:spacing w:after="0" w:line="21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Compliance Certificate</w:t>
      </w:r>
      <w:r>
        <w:rPr>
          <w:rFonts w:ascii="Arial" w:cs="Arial" w:eastAsia="Arial" w:hAnsi="Arial"/>
          <w:sz w:val="19"/>
          <w:szCs w:val="19"/>
          <w:color w:val="auto"/>
        </w:rPr>
        <w:t xml:space="preserve">” means a certificate substantially in the form of </w:t>
      </w:r>
      <w:r>
        <w:rPr>
          <w:rFonts w:ascii="Arial" w:cs="Arial" w:eastAsia="Arial" w:hAnsi="Arial"/>
          <w:sz w:val="19"/>
          <w:szCs w:val="19"/>
          <w:u w:val="single" w:color="auto"/>
          <w:color w:val="auto"/>
        </w:rPr>
        <w:t>Exhibit B</w:t>
      </w:r>
      <w:r>
        <w:rPr>
          <w:rFonts w:ascii="Arial" w:cs="Arial" w:eastAsia="Arial" w:hAnsi="Arial"/>
          <w:sz w:val="19"/>
          <w:szCs w:val="19"/>
          <w:color w:val="auto"/>
        </w:rPr>
        <w:t>.</w:t>
      </w:r>
    </w:p>
    <w:p>
      <w:pPr>
        <w:spacing w:after="0" w:line="21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Concentration Account</w:t>
      </w:r>
      <w:r>
        <w:rPr>
          <w:rFonts w:ascii="Arial" w:cs="Arial" w:eastAsia="Arial" w:hAnsi="Arial"/>
          <w:sz w:val="19"/>
          <w:szCs w:val="19"/>
          <w:color w:val="auto"/>
        </w:rPr>
        <w:t xml:space="preserve">” has the meaning specified in </w:t>
      </w:r>
      <w:r>
        <w:rPr>
          <w:rFonts w:ascii="Arial" w:cs="Arial" w:eastAsia="Arial" w:hAnsi="Arial"/>
          <w:sz w:val="19"/>
          <w:szCs w:val="19"/>
          <w:u w:val="single" w:color="auto"/>
          <w:color w:val="auto"/>
        </w:rPr>
        <w:t>Section 4.04(b)</w:t>
      </w:r>
      <w:r>
        <w:rPr>
          <w:rFonts w:ascii="Arial" w:cs="Arial" w:eastAsia="Arial" w:hAnsi="Arial"/>
          <w:sz w:val="19"/>
          <w:szCs w:val="19"/>
          <w:color w:val="auto"/>
        </w:rPr>
        <w:t>.</w:t>
      </w:r>
    </w:p>
    <w:p>
      <w:pPr>
        <w:spacing w:after="0" w:line="214" w:lineRule="exact"/>
        <w:rPr>
          <w:sz w:val="20"/>
          <w:szCs w:val="20"/>
          <w:color w:val="auto"/>
        </w:rPr>
      </w:pPr>
    </w:p>
    <w:p>
      <w:pPr>
        <w:jc w:val="both"/>
        <w:ind w:firstLine="629"/>
        <w:spacing w:after="0" w:line="25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Conforming Credit Product Obligations</w:t>
      </w:r>
      <w:r>
        <w:rPr>
          <w:rFonts w:ascii="Arial" w:cs="Arial" w:eastAsia="Arial" w:hAnsi="Arial"/>
          <w:sz w:val="19"/>
          <w:szCs w:val="19"/>
          <w:color w:val="auto"/>
        </w:rPr>
        <w:t>” means Credit Product Obligations (a) established pursuant to a Credit Product Notice delivered at a time no Event of Default shall be continuing and (b) up to a maximum amount (or, in the case of Credit Product Obligations arising under Swap Contracts, the Swap Termination Value thereunder) specified in such Credit Product Notice (whether delivered to establish or increase the amount thereof) to the extent that no Overadvance would exist if a Credit Product Reserve were established therefore on the date of such Credit Product Notice.</w:t>
      </w:r>
    </w:p>
    <w:p>
      <w:pPr>
        <w:spacing w:after="0" w:line="177" w:lineRule="exact"/>
        <w:rPr>
          <w:sz w:val="20"/>
          <w:szCs w:val="20"/>
          <w:color w:val="auto"/>
        </w:rPr>
      </w:pPr>
    </w:p>
    <w:p>
      <w:pPr>
        <w:jc w:val="both"/>
        <w:ind w:firstLine="629"/>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w:t>
      </w:r>
      <w:r>
        <w:rPr>
          <w:rFonts w:ascii="Arial" w:cs="Arial" w:eastAsia="Arial" w:hAnsi="Arial"/>
          <w:sz w:val="19"/>
          <w:szCs w:val="19"/>
          <w:color w:val="auto"/>
        </w:rPr>
        <w:t>” means the consolidation, in accordance with GAAP, of the financial condition or operating results of such Person and its Subsidiaries.</w:t>
      </w:r>
    </w:p>
    <w:p>
      <w:pPr>
        <w:spacing w:after="0" w:line="157" w:lineRule="exact"/>
        <w:rPr>
          <w:sz w:val="20"/>
          <w:szCs w:val="20"/>
          <w:color w:val="auto"/>
        </w:rPr>
      </w:pPr>
    </w:p>
    <w:p>
      <w:pPr>
        <w:jc w:val="both"/>
        <w:ind w:firstLine="629"/>
        <w:spacing w:after="0" w:line="28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Capital Expenditures</w:t>
      </w:r>
      <w:r>
        <w:rPr>
          <w:rFonts w:ascii="Arial" w:cs="Arial" w:eastAsia="Arial" w:hAnsi="Arial"/>
          <w:sz w:val="17"/>
          <w:szCs w:val="17"/>
          <w:color w:val="auto"/>
        </w:rPr>
        <w:t xml:space="preserve">” means, with respect to the Company and its Restricted Subsidiaries on a Consolidated basis, for any period the sum of (without duplication) all expenditures (whether paid in cash or accrued as liabilities) by the Company or any Restricted Subsidiary during such period for items that would be classified as “property, plant or equipment” or comparable items on the Consolidated balance sheet of the Company and its Restricted Subsidiaries, including without limitation all transactional costs incurred in connection with such expenditures provided the same have been capitalized;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Consolidated Capital Expenditures shall exclude any capital expenditures (a) financed with Indebtedness permitted hereunder other than Loans, (b) made with (i) Net Cash Proceeds from any Disposition described in </w:t>
      </w:r>
      <w:r>
        <w:rPr>
          <w:rFonts w:ascii="Arial" w:cs="Arial" w:eastAsia="Arial" w:hAnsi="Arial"/>
          <w:sz w:val="17"/>
          <w:szCs w:val="17"/>
          <w:u w:val="single" w:color="auto"/>
          <w:color w:val="auto"/>
        </w:rPr>
        <w:t>Section 8.05(b)</w:t>
      </w:r>
      <w:r>
        <w:rPr>
          <w:rFonts w:ascii="Arial" w:cs="Arial" w:eastAsia="Arial" w:hAnsi="Arial"/>
          <w:sz w:val="17"/>
          <w:szCs w:val="17"/>
          <w:color w:val="auto"/>
        </w:rPr>
        <w:t xml:space="preserve"> or (ii) proceeds of insurance arising from any casualty or other insured damage or from condemnation or similar awards with respect to any property or asset, in each case, to the extent such proceeds are reinvested within ninety days of receipt thereof,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14</w:t>
      </w:r>
    </w:p>
    <w:p>
      <w:pPr>
        <w:sectPr>
          <w:pgSz w:w="11900" w:h="16838" w:orient="portrait"/>
          <w:cols w:equalWidth="0" w:num="1">
            <w:col w:w="11240"/>
          </w:cols>
          <w:pgMar w:left="320" w:top="1381" w:right="339" w:bottom="1440" w:gutter="0" w:footer="0" w:header="0"/>
        </w:sectPr>
      </w:pPr>
    </w:p>
    <w:bookmarkStart w:id="133" w:name="page134"/>
    <w:bookmarkEnd w:id="133"/>
    <w:p>
      <w:pPr>
        <w:spacing w:after="0"/>
        <w:rPr>
          <w:sz w:val="20"/>
          <w:szCs w:val="20"/>
          <w:color w:val="auto"/>
        </w:rPr>
      </w:pPr>
      <w:r>
        <w:rPr>
          <w:rFonts w:ascii="Arial" w:cs="Arial" w:eastAsia="Arial" w:hAnsi="Arial"/>
          <w:sz w:val="19"/>
          <w:szCs w:val="19"/>
          <w:color w:val="auto"/>
        </w:rPr>
        <w:t>(c) constituting any portion of the purchase price of an Permitted Acquisition which is accounted for as a capital expenditure.</w:t>
      </w:r>
    </w:p>
    <w:p>
      <w:pPr>
        <w:spacing w:after="0" w:line="214" w:lineRule="exact"/>
        <w:rPr>
          <w:sz w:val="20"/>
          <w:szCs w:val="20"/>
          <w:color w:val="auto"/>
        </w:rPr>
      </w:pPr>
    </w:p>
    <w:p>
      <w:pPr>
        <w:jc w:val="both"/>
        <w:ind w:firstLine="629"/>
        <w:spacing w:after="0" w:line="28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Cash Balance</w:t>
      </w:r>
      <w:r>
        <w:rPr>
          <w:rFonts w:ascii="Arial" w:cs="Arial" w:eastAsia="Arial" w:hAnsi="Arial"/>
          <w:sz w:val="17"/>
          <w:szCs w:val="17"/>
          <w:color w:val="auto"/>
        </w:rPr>
        <w:t xml:space="preserve">” means, at any time, (a) the aggregate amount of unrestricted cash and Cash Equivalents held or controlled by the Borrowers and their Restricted Subsidiaries (other than amounts held in the Equity Repurchase Program Securities Account, in the JP Credit Card Cash Collateral Account or in a Qualified Account)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(b) the sum of (i) Cash Collateral that is Cash Collateralizing Obligations in accordance with this Agreement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(ii) any outstanding checks and similar payment items issued by Borrowers and their Restricted Subsidiaries in the ordinary course of business and pending electronic funds transfers of Borrowers and their Restricted Subsidiaries.</w:t>
      </w:r>
    </w:p>
    <w:p>
      <w:pPr>
        <w:spacing w:after="0" w:line="152" w:lineRule="exact"/>
        <w:rPr>
          <w:sz w:val="20"/>
          <w:szCs w:val="20"/>
          <w:color w:val="auto"/>
        </w:rPr>
      </w:pPr>
    </w:p>
    <w:p>
      <w:pPr>
        <w:jc w:val="both"/>
        <w:ind w:firstLine="629"/>
        <w:spacing w:after="0" w:line="27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EBITDA</w:t>
      </w:r>
      <w:r>
        <w:rPr>
          <w:rFonts w:ascii="Arial" w:cs="Arial" w:eastAsia="Arial" w:hAnsi="Arial"/>
          <w:sz w:val="17"/>
          <w:szCs w:val="17"/>
          <w:color w:val="auto"/>
        </w:rPr>
        <w:t xml:space="preserve">” means, for any period, the result of (a) Consolidated Net Income for such period;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to the extent deducted in determining such Consolidated Net Income, without duplication, (i) Consolidated Interest Charges (net of interest income for such period of the Company and its Restricted Subsidiaries) for such period,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(ii) federal, state, provincial, territorial local and foreign income tax expense for such period, net of income tax credits,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(iii) depreciation and amortization for such period,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(iv) non-cash compensation expense, or other non-cash expenses or charges, for such period arising from the granting of stock options, stock appreciation rights or similar equity arrangements,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(v) non-cash expenses or losses and other non-cash charges incurred during such period (excluding any non-cash charges representing an accrual of, or reserve for, cash charges to be paid within the next twelve months and reduced by any cash payments made during such period in respect of such non-cash items added back in a prior period);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(vi) expenses of up to $1,000,000 in the aggregate during the term of this Agreement incurred in connection with the Transaction,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(vii) any extraordinary gains or (losses) incurred other than those incurred in the ordinary course of business;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(b) the sum of (i) non-cash income, gains or profits during such period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(ii) to the extent included in calculating Consolidated Net Income for such period, the non-cash portion (as to the Company or the applicable Subsidiary) of any income that is generated by a Joint Venture for such period; </w:t>
      </w:r>
      <w:r>
        <w:rPr>
          <w:rFonts w:ascii="Arial" w:cs="Arial" w:eastAsia="Arial" w:hAnsi="Arial"/>
          <w:sz w:val="17"/>
          <w:szCs w:val="17"/>
          <w:i w:val="1"/>
          <w:iCs w:val="1"/>
          <w:color w:val="auto"/>
        </w:rPr>
        <w:t>in each case</w:t>
      </w:r>
      <w:r>
        <w:rPr>
          <w:rFonts w:ascii="Arial" w:cs="Arial" w:eastAsia="Arial" w:hAnsi="Arial"/>
          <w:sz w:val="17"/>
          <w:szCs w:val="17"/>
          <w:color w:val="auto"/>
        </w:rPr>
        <w:t xml:space="preserve"> for clauses (a) and (b) above as determined for the Company and its Restricted Subsidiaries on a Consolidated basis and subject to applicable Pro Forma Adjustments.</w:t>
      </w:r>
    </w:p>
    <w:p>
      <w:pPr>
        <w:spacing w:after="0" w:line="164" w:lineRule="exact"/>
        <w:rPr>
          <w:sz w:val="20"/>
          <w:szCs w:val="20"/>
          <w:color w:val="auto"/>
        </w:rPr>
      </w:pPr>
    </w:p>
    <w:p>
      <w:pPr>
        <w:jc w:val="both"/>
        <w:ind w:firstLine="629"/>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Fixed Charge Coverage Ratio</w:t>
      </w:r>
      <w:r>
        <w:rPr>
          <w:rFonts w:ascii="Arial" w:cs="Arial" w:eastAsia="Arial" w:hAnsi="Arial"/>
          <w:sz w:val="19"/>
          <w:szCs w:val="19"/>
          <w:color w:val="auto"/>
        </w:rPr>
        <w:t xml:space="preserve">” means the ratio, determined on a Consolidated basis for the Company and its Restricted Subsidiaries for the applicable Measurement Period, of (a) Consolidated EBITDA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Consolidated Capital Expenditures to (b) Consolidated Fixed Charges.</w:t>
      </w:r>
    </w:p>
    <w:p>
      <w:pPr>
        <w:spacing w:after="0" w:line="171" w:lineRule="exact"/>
        <w:rPr>
          <w:sz w:val="20"/>
          <w:szCs w:val="20"/>
          <w:color w:val="auto"/>
        </w:rPr>
      </w:pPr>
    </w:p>
    <w:p>
      <w:pPr>
        <w:jc w:val="both"/>
        <w:ind w:firstLine="629"/>
        <w:spacing w:after="0" w:line="24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Fixed Charges</w:t>
      </w:r>
      <w:r>
        <w:rPr>
          <w:rFonts w:ascii="Arial" w:cs="Arial" w:eastAsia="Arial" w:hAnsi="Arial"/>
          <w:sz w:val="19"/>
          <w:szCs w:val="19"/>
          <w:color w:val="auto"/>
        </w:rPr>
        <w:t xml:space="preserve">” means, for any period, for the Company and its Restricted Subsidiaries on a Consolidated basis, the sum of, without duplication, (a) Consolidated Interest Charges paid or required to be paid in cash during such period, (b) all principal repayments made or required to be made of Consolidated Funded Indebtedness during such period, but excluding (i) any such payments to the extent constituting a refinancing of such Consolidated Funded Indebtedness through the incurrence of additional Indebtedness otherwise expressly permitted under </w:t>
      </w:r>
      <w:r>
        <w:rPr>
          <w:rFonts w:ascii="Arial" w:cs="Arial" w:eastAsia="Arial" w:hAnsi="Arial"/>
          <w:sz w:val="19"/>
          <w:szCs w:val="19"/>
          <w:u w:val="single" w:color="auto"/>
          <w:color w:val="auto"/>
        </w:rPr>
        <w:t>Section 8.02</w:t>
      </w:r>
      <w:r>
        <w:rPr>
          <w:rFonts w:ascii="Arial" w:cs="Arial" w:eastAsia="Arial" w:hAnsi="Arial"/>
          <w:sz w:val="19"/>
          <w:szCs w:val="19"/>
          <w:color w:val="auto"/>
        </w:rPr>
        <w:t xml:space="preserve"> and (ii) repayments of Revolving Credit Loans, (c) the greater of (i) the aggregate amount of federal, state, provincial, territorial, local and foreign income taxes paid in cash (less any refunds actually received in cash with respect to taxes for the same period), in each case, of or by the Company and its Restricted Subsidiaries during such period and (ii) $0, and (d) all Restricted Payments made in cash during such period.</w:t>
      </w:r>
    </w:p>
    <w:p>
      <w:pPr>
        <w:spacing w:after="0" w:line="180" w:lineRule="exact"/>
        <w:rPr>
          <w:sz w:val="20"/>
          <w:szCs w:val="20"/>
          <w:color w:val="auto"/>
        </w:rPr>
      </w:pPr>
    </w:p>
    <w:p>
      <w:pPr>
        <w:jc w:val="both"/>
        <w:ind w:firstLine="629"/>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Funded Indebtedness</w:t>
      </w:r>
      <w:r>
        <w:rPr>
          <w:rFonts w:ascii="Arial" w:cs="Arial" w:eastAsia="Arial" w:hAnsi="Arial"/>
          <w:sz w:val="19"/>
          <w:szCs w:val="19"/>
          <w:color w:val="auto"/>
        </w:rPr>
        <w:t>” means, as of any date of determination, for the Company and its Restricted Subsidiaries on a Consolidated basis, the sum of (a) the outstanding principal amount of all obligations, whether current or long-term, for borrowed money (including Obligations hereunder)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15</w:t>
      </w:r>
    </w:p>
    <w:p>
      <w:pPr>
        <w:sectPr>
          <w:pgSz w:w="11900" w:h="16838" w:orient="portrait"/>
          <w:cols w:equalWidth="0" w:num="1">
            <w:col w:w="11240"/>
          </w:cols>
          <w:pgMar w:left="320" w:top="1381" w:right="339" w:bottom="1440" w:gutter="0" w:footer="0" w:header="0"/>
        </w:sectPr>
      </w:pPr>
    </w:p>
    <w:bookmarkStart w:id="134" w:name="page135"/>
    <w:bookmarkEnd w:id="134"/>
    <w:p>
      <w:pPr>
        <w:jc w:val="both"/>
        <w:spacing w:after="0" w:line="280" w:lineRule="auto"/>
        <w:rPr>
          <w:sz w:val="20"/>
          <w:szCs w:val="20"/>
          <w:color w:val="auto"/>
        </w:rPr>
      </w:pPr>
      <w:r>
        <w:rPr>
          <w:rFonts w:ascii="Arial" w:cs="Arial" w:eastAsia="Arial" w:hAnsi="Arial"/>
          <w:sz w:val="17"/>
          <w:szCs w:val="17"/>
          <w:color w:val="auto"/>
        </w:rPr>
        <w:t>all obligations evidenced by bonds, debentures, notes, loan agreements or other similar instruments, (b) all purchase money Indebtedness, (c) all direct obligations arising under standby and commercial letters of credit (excluding the undrawn amount thereof), bankers’ acceptances, bank guaranties (excluding the amounts available thereunder as to which demand for payment has not yet been made), surety bonds (excluding the amounts available thereunder as to which demand for payment has not yet been made) and similar instruments, (d) all obligations in respect of the deferred purchase price of property or services (other than trade accounts payable arising in the Ordinary Course of Business not more than sixty (60) days past due, (e) Attributable Indebtedness in respect of Capital Leases and Synthetic Lease Obligations, (f) without duplication, all Guarantees with respect to outstanding Indebtedness of the types specified in clauses (a) through (e) above of Persons other than the Company or any Subsidiary, and (g) all Indebtedness of the types referred to in clauses (a) through (f) above of any partnership or joint venture (other than a joint venture that is itself a corporation or limited liability company) in which the Company or a Restricted Subsidiary is a general partner or joint venturer, to the extent such Indebtedness is recourse to the Company or such Restricted Subsidiary.</w:t>
      </w:r>
    </w:p>
    <w:p>
      <w:pPr>
        <w:spacing w:after="0" w:line="159" w:lineRule="exact"/>
        <w:rPr>
          <w:sz w:val="20"/>
          <w:szCs w:val="20"/>
          <w:color w:val="auto"/>
        </w:rPr>
      </w:pPr>
    </w:p>
    <w:p>
      <w:pPr>
        <w:jc w:val="both"/>
        <w:ind w:firstLine="629"/>
        <w:spacing w:after="0" w:line="24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Interest Charges</w:t>
      </w:r>
      <w:r>
        <w:rPr>
          <w:rFonts w:ascii="Arial" w:cs="Arial" w:eastAsia="Arial" w:hAnsi="Arial"/>
          <w:sz w:val="19"/>
          <w:szCs w:val="19"/>
          <w:color w:val="auto"/>
        </w:rPr>
        <w:t xml:space="preserve">” means, with respect to the Company and its Restricted Subsidiaries for any period ending on the date of computation thereof, the gross interest expense of the Company and its Restricted Subsidiaries, including without limitation (a) the current amortized portion of all fees (including fees payable in respect of any Swap Contract in the nature of an interest rate hedge and all fees payable in respect of any Letter of Credit) payable in connection with the incurrence of Indebtedness to the extent included in gross interest expense and (b) the portion of any payments made in connection with Capital Leases allocable to interest expense, all determined on a Consolidated basis; </w:t>
      </w:r>
      <w:r>
        <w:rPr>
          <w:rFonts w:ascii="Arial" w:cs="Arial" w:eastAsia="Arial" w:hAnsi="Arial"/>
          <w:sz w:val="19"/>
          <w:szCs w:val="19"/>
          <w:u w:val="single" w:color="auto"/>
          <w:color w:val="auto"/>
        </w:rPr>
        <w:t>provided however</w:t>
      </w:r>
      <w:r>
        <w:rPr>
          <w:rFonts w:ascii="Arial" w:cs="Arial" w:eastAsia="Arial" w:hAnsi="Arial"/>
          <w:sz w:val="19"/>
          <w:szCs w:val="19"/>
          <w:color w:val="auto"/>
        </w:rPr>
        <w:t>, that Consolidated Interest Charges shall include the amount of payments in respect of Synthetic Lease Obligations that are in the nature of interest.</w:t>
      </w:r>
    </w:p>
    <w:p>
      <w:pPr>
        <w:spacing w:after="0" w:line="184" w:lineRule="exact"/>
        <w:rPr>
          <w:sz w:val="20"/>
          <w:szCs w:val="20"/>
          <w:color w:val="auto"/>
        </w:rPr>
      </w:pPr>
    </w:p>
    <w:p>
      <w:pPr>
        <w:jc w:val="both"/>
        <w:ind w:firstLine="629"/>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Net Income</w:t>
      </w:r>
      <w:r>
        <w:rPr>
          <w:rFonts w:ascii="Arial" w:cs="Arial" w:eastAsia="Arial" w:hAnsi="Arial"/>
          <w:sz w:val="18"/>
          <w:szCs w:val="18"/>
          <w:color w:val="auto"/>
        </w:rPr>
        <w:t xml:space="preserve">” means, for any period, for the Company and its Restricted Subsidiaries on a Consolidated basis, the net income after taxation of the Company and its Restricted Subsidiaries for that period excluding (a) net income, expenses, losses or gains realized in connection with (i) any sale, lease, conveyance or other disposition of any asset (other than in the Ordinary Course of Business), or (ii) repayment, repurchase or redemption of Indebtedness (including any cancellation or early extinguishment of Indebtedness), and (b) extraordinary or nonrecurring gain or income (or expense), in either case consented by the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there shall be excluded from Consolidated Net Income, without duplication, (x) the net income or loss of (x) any Person that is not a Restricted Subsidiary or that is accounted for by the equity method of accounting to the extent of the amount of dividends or distributions are not actually paid to the Company or a Restricted Subsidiary in cash, (y) any Person in which any other Person (other than the Company or a Subsidiary) has an ownership interest, except to the extent of the amount of dividends or other distributions actually paid in cash to the Company or a Restricted Subsidiary by such Person during such period and (z) any Person the ability of which to make Restricted Payments is restricted by any agreement or Organization Document, except to the extent of the amount of dividends or other distributions actually paid in cash to the Company or a Restricted Subsidiary by such Person during such period to the extent permitted to be paid.</w:t>
      </w:r>
    </w:p>
    <w:p>
      <w:pPr>
        <w:spacing w:after="0" w:line="173" w:lineRule="exact"/>
        <w:rPr>
          <w:sz w:val="20"/>
          <w:szCs w:val="20"/>
          <w:color w:val="auto"/>
        </w:rPr>
      </w:pPr>
    </w:p>
    <w:p>
      <w:pPr>
        <w:jc w:val="both"/>
        <w:ind w:firstLine="629"/>
        <w:spacing w:after="0" w:line="25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Total Assets</w:t>
      </w:r>
      <w:r>
        <w:rPr>
          <w:rFonts w:ascii="Arial" w:cs="Arial" w:eastAsia="Arial" w:hAnsi="Arial"/>
          <w:sz w:val="19"/>
          <w:szCs w:val="19"/>
          <w:color w:val="auto"/>
        </w:rPr>
        <w:t xml:space="preserve">” means, as of any date of determination, the total assets of the Company and the Restricted Subsidiaries on a consolidated basis in accordance with GAAP, as shown on the most recent balance sheet of the Company delivered pursuant to </w:t>
      </w:r>
      <w:r>
        <w:rPr>
          <w:rFonts w:ascii="Arial" w:cs="Arial" w:eastAsia="Arial" w:hAnsi="Arial"/>
          <w:sz w:val="19"/>
          <w:szCs w:val="19"/>
          <w:u w:val="single" w:color="auto"/>
          <w:color w:val="auto"/>
        </w:rPr>
        <w:t>Section 7.01</w:t>
      </w:r>
      <w:r>
        <w:rPr>
          <w:rFonts w:ascii="Arial" w:cs="Arial" w:eastAsia="Arial" w:hAnsi="Arial"/>
          <w:sz w:val="19"/>
          <w:szCs w:val="19"/>
          <w:color w:val="auto"/>
        </w:rPr>
        <w:t xml:space="preserve"> or, for the period prior to the time any such statements are so delivered pursuant to </w:t>
      </w:r>
      <w:r>
        <w:rPr>
          <w:rFonts w:ascii="Arial" w:cs="Arial" w:eastAsia="Arial" w:hAnsi="Arial"/>
          <w:sz w:val="19"/>
          <w:szCs w:val="19"/>
          <w:u w:val="single" w:color="auto"/>
          <w:color w:val="auto"/>
        </w:rPr>
        <w:t>Section 7.01</w:t>
      </w:r>
      <w:r>
        <w:rPr>
          <w:rFonts w:ascii="Arial" w:cs="Arial" w:eastAsia="Arial" w:hAnsi="Arial"/>
          <w:sz w:val="19"/>
          <w:szCs w:val="19"/>
          <w:color w:val="auto"/>
        </w:rPr>
        <w:t>, the pro forma financial statements otherwise previously delivered to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16</w:t>
      </w:r>
    </w:p>
    <w:p>
      <w:pPr>
        <w:sectPr>
          <w:pgSz w:w="11900" w:h="16838" w:orient="portrait"/>
          <w:cols w:equalWidth="0" w:num="1">
            <w:col w:w="11240"/>
          </w:cols>
          <w:pgMar w:left="320" w:top="1382" w:right="339" w:bottom="1440" w:gutter="0" w:footer="0" w:header="0"/>
        </w:sectPr>
      </w:pPr>
    </w:p>
    <w:bookmarkStart w:id="135" w:name="page136"/>
    <w:bookmarkEnd w:id="135"/>
    <w:p>
      <w:pPr>
        <w:jc w:val="both"/>
        <w:ind w:firstLine="629"/>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Contractual Obligation</w:t>
      </w:r>
      <w:r>
        <w:rPr>
          <w:rFonts w:ascii="Arial" w:cs="Arial" w:eastAsia="Arial" w:hAnsi="Arial"/>
          <w:sz w:val="19"/>
          <w:szCs w:val="19"/>
          <w:color w:val="auto"/>
        </w:rPr>
        <w:t>” means, as to any Person, any provision of any security issued by such Person or of any agreement, instrument or other undertaking to which such Person is a party or by which it or any of its property is bound.</w:t>
      </w:r>
    </w:p>
    <w:p>
      <w:pPr>
        <w:spacing w:after="0" w:line="157" w:lineRule="exact"/>
        <w:rPr>
          <w:sz w:val="20"/>
          <w:szCs w:val="20"/>
          <w:color w:val="auto"/>
        </w:rPr>
      </w:pPr>
    </w:p>
    <w:p>
      <w:pPr>
        <w:jc w:val="both"/>
        <w:ind w:firstLine="629"/>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Control</w:t>
      </w:r>
      <w:r>
        <w:rPr>
          <w:rFonts w:ascii="Arial" w:cs="Arial" w:eastAsia="Arial" w:hAnsi="Arial"/>
          <w:sz w:val="19"/>
          <w:szCs w:val="19"/>
          <w:color w:val="auto"/>
        </w:rPr>
        <w:t>” means the possession, directly or indirectly, of the power to direct or cause the direction of the management or policies of a Person, whether through the ability to exercise voting power, by contract or otherwise. “</w:t>
      </w:r>
      <w:r>
        <w:rPr>
          <w:rFonts w:ascii="Arial" w:cs="Arial" w:eastAsia="Arial" w:hAnsi="Arial"/>
          <w:sz w:val="19"/>
          <w:szCs w:val="19"/>
          <w:u w:val="single" w:color="auto"/>
          <w:color w:val="auto"/>
        </w:rPr>
        <w:t>Controlling</w:t>
      </w:r>
      <w:r>
        <w:rPr>
          <w:rFonts w:ascii="Arial" w:cs="Arial" w:eastAsia="Arial" w:hAnsi="Arial"/>
          <w:sz w:val="19"/>
          <w:szCs w:val="19"/>
          <w:color w:val="auto"/>
        </w:rPr>
        <w:t>” and “</w:t>
      </w:r>
      <w:r>
        <w:rPr>
          <w:rFonts w:ascii="Arial" w:cs="Arial" w:eastAsia="Arial" w:hAnsi="Arial"/>
          <w:sz w:val="19"/>
          <w:szCs w:val="19"/>
          <w:u w:val="single" w:color="auto"/>
          <w:color w:val="auto"/>
        </w:rPr>
        <w:t>Controlled</w:t>
      </w:r>
      <w:r>
        <w:rPr>
          <w:rFonts w:ascii="Arial" w:cs="Arial" w:eastAsia="Arial" w:hAnsi="Arial"/>
          <w:sz w:val="19"/>
          <w:szCs w:val="19"/>
          <w:color w:val="auto"/>
        </w:rPr>
        <w:t>” have meanings correlative thereto.</w:t>
      </w:r>
    </w:p>
    <w:p>
      <w:pPr>
        <w:spacing w:after="0" w:line="171" w:lineRule="exact"/>
        <w:rPr>
          <w:sz w:val="20"/>
          <w:szCs w:val="20"/>
          <w:color w:val="auto"/>
        </w:rPr>
      </w:pPr>
    </w:p>
    <w:p>
      <w:pPr>
        <w:jc w:val="both"/>
        <w:ind w:firstLine="629"/>
        <w:spacing w:after="0" w:line="25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Control Agreement</w:t>
      </w:r>
      <w:r>
        <w:rPr>
          <w:rFonts w:ascii="Arial" w:cs="Arial" w:eastAsia="Arial" w:hAnsi="Arial"/>
          <w:sz w:val="19"/>
          <w:szCs w:val="19"/>
          <w:color w:val="auto"/>
        </w:rPr>
        <w:t>” means, with respect to any Deposit Account, Securities Account or Commodity Account, an agreement, in form and substance satisfactory to the Administrative Agent, among the Administrative Agent, the financial institution or other Person at which such account is maintained and the Loan Party maintaining such account, effective to grant “control” (as defined under the applicable UCC or PPSA) over such account to the Administrative Agent.</w:t>
      </w:r>
    </w:p>
    <w:p>
      <w:pPr>
        <w:spacing w:after="0" w:line="177" w:lineRule="exact"/>
        <w:rPr>
          <w:sz w:val="20"/>
          <w:szCs w:val="20"/>
          <w:color w:val="auto"/>
        </w:rPr>
      </w:pPr>
    </w:p>
    <w:p>
      <w:pPr>
        <w:jc w:val="both"/>
        <w:ind w:firstLine="629"/>
        <w:spacing w:after="0" w:line="30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Controlled Account Bank</w:t>
      </w:r>
      <w:r>
        <w:rPr>
          <w:rFonts w:ascii="Arial" w:cs="Arial" w:eastAsia="Arial" w:hAnsi="Arial"/>
          <w:sz w:val="18"/>
          <w:szCs w:val="18"/>
          <w:color w:val="auto"/>
        </w:rPr>
        <w:t>” means each bank with whom Deposit Accounts are maintained in which any funds of any of the Loan Parties are concentrated and with whom a Control Agreement has been, or is required to be, executed in accordance with the terms hereof.</w:t>
      </w:r>
    </w:p>
    <w:p>
      <w:pPr>
        <w:spacing w:after="0" w:line="135" w:lineRule="exact"/>
        <w:rPr>
          <w:sz w:val="20"/>
          <w:szCs w:val="20"/>
          <w:color w:val="auto"/>
        </w:rPr>
      </w:pPr>
    </w:p>
    <w:p>
      <w:pPr>
        <w:jc w:val="both"/>
        <w:ind w:firstLine="629"/>
        <w:spacing w:after="0" w:line="30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Controlled Deposit Account</w:t>
      </w:r>
      <w:r>
        <w:rPr>
          <w:rFonts w:ascii="Arial" w:cs="Arial" w:eastAsia="Arial" w:hAnsi="Arial"/>
          <w:sz w:val="18"/>
          <w:szCs w:val="18"/>
          <w:color w:val="auto"/>
        </w:rPr>
        <w:t>” means each Deposit Account (including all funds on deposit therein) that is the subject of an effective Control Agreement and that is maintained by any Loan Party with a financial institution approved by the Administrative Agent.</w:t>
      </w:r>
    </w:p>
    <w:p>
      <w:pPr>
        <w:spacing w:after="0" w:line="135" w:lineRule="exact"/>
        <w:rPr>
          <w:sz w:val="20"/>
          <w:szCs w:val="20"/>
          <w:color w:val="auto"/>
        </w:rPr>
      </w:pPr>
    </w:p>
    <w:p>
      <w:pPr>
        <w:jc w:val="both"/>
        <w:ind w:firstLine="629"/>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Controlled Persons</w:t>
      </w:r>
      <w:r>
        <w:rPr>
          <w:rFonts w:ascii="Arial" w:cs="Arial" w:eastAsia="Arial" w:hAnsi="Arial"/>
          <w:sz w:val="19"/>
          <w:szCs w:val="19"/>
          <w:color w:val="auto"/>
        </w:rPr>
        <w:t>” means, with respect to any Person, (a) its Subsidiaries and Affiliates, (b) its officers, directors, employees and agents and (c) the officers, directors, employees and agents of such Subsidiaries and Affiliates.</w:t>
      </w:r>
    </w:p>
    <w:p>
      <w:pPr>
        <w:spacing w:after="0" w:line="157" w:lineRule="exact"/>
        <w:rPr>
          <w:sz w:val="20"/>
          <w:szCs w:val="20"/>
          <w:color w:val="auto"/>
        </w:rPr>
      </w:pPr>
    </w:p>
    <w:p>
      <w:pPr>
        <w:jc w:val="both"/>
        <w:ind w:firstLine="629"/>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Core Business</w:t>
      </w:r>
      <w:r>
        <w:rPr>
          <w:rFonts w:ascii="Arial" w:cs="Arial" w:eastAsia="Arial" w:hAnsi="Arial"/>
          <w:sz w:val="19"/>
          <w:szCs w:val="19"/>
          <w:color w:val="auto"/>
        </w:rPr>
        <w:t>” means any material line of business conducted by the Company and its Subsidiaries as of the Closing Date and any business directly related thereto.</w:t>
      </w:r>
    </w:p>
    <w:p>
      <w:pPr>
        <w:spacing w:after="0" w:line="157" w:lineRule="exact"/>
        <w:rPr>
          <w:sz w:val="20"/>
          <w:szCs w:val="20"/>
          <w:color w:val="auto"/>
        </w:rPr>
      </w:pPr>
    </w:p>
    <w:p>
      <w:pPr>
        <w:jc w:val="both"/>
        <w:ind w:firstLine="629"/>
        <w:spacing w:after="0" w:line="27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Cost</w:t>
      </w:r>
      <w:r>
        <w:rPr>
          <w:rFonts w:ascii="Arial" w:cs="Arial" w:eastAsia="Arial" w:hAnsi="Arial"/>
          <w:sz w:val="18"/>
          <w:szCs w:val="18"/>
          <w:color w:val="auto"/>
        </w:rPr>
        <w:t>” means (a) with respect to Inventory, the lower of (i) cost (as reflected in the general ledger of such Person) and (ii) market value, in each case, determined in accordance with GAAP calculated on a first-in, first-out basis and in accordance with the Loan Parties’ accounting practices as in effect on the Closing Date and (b) with respect to Equipment, Real Property and other property, the lower of (i) cost (as reflected in the general ledger of such Person) and (ii) market value, in each case, determined in accordance with GAAP.</w:t>
      </w:r>
    </w:p>
    <w:p>
      <w:pPr>
        <w:spacing w:after="0" w:line="160"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Covered Entity</w:t>
      </w:r>
      <w:r>
        <w:rPr>
          <w:rFonts w:ascii="Arial" w:cs="Arial" w:eastAsia="Arial" w:hAnsi="Arial"/>
          <w:sz w:val="19"/>
          <w:szCs w:val="19"/>
          <w:color w:val="auto"/>
        </w:rPr>
        <w:t xml:space="preserve">” has the meaning specified in </w:t>
      </w:r>
      <w:r>
        <w:rPr>
          <w:rFonts w:ascii="Arial" w:cs="Arial" w:eastAsia="Arial" w:hAnsi="Arial"/>
          <w:sz w:val="19"/>
          <w:szCs w:val="19"/>
          <w:u w:val="single" w:color="auto"/>
          <w:color w:val="auto"/>
        </w:rPr>
        <w:t>Section 11.21(b)</w:t>
      </w:r>
      <w:r>
        <w:rPr>
          <w:rFonts w:ascii="Arial" w:cs="Arial" w:eastAsia="Arial" w:hAnsi="Arial"/>
          <w:sz w:val="19"/>
          <w:szCs w:val="19"/>
          <w:color w:val="auto"/>
        </w:rPr>
        <w:t>.</w:t>
      </w:r>
    </w:p>
    <w:p>
      <w:pPr>
        <w:spacing w:after="0" w:line="21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Credit Exposure</w:t>
      </w:r>
      <w:r>
        <w:rPr>
          <w:rFonts w:ascii="Arial" w:cs="Arial" w:eastAsia="Arial" w:hAnsi="Arial"/>
          <w:sz w:val="17"/>
          <w:szCs w:val="17"/>
          <w:color w:val="auto"/>
        </w:rPr>
        <w:t>” means, as to any Lender at any time, the aggregate amount of such Lender’s Revolving Credit Exposure at such time.</w:t>
      </w:r>
    </w:p>
    <w:p>
      <w:pPr>
        <w:spacing w:after="0" w:line="237"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Credit Extension</w:t>
      </w:r>
      <w:r>
        <w:rPr>
          <w:rFonts w:ascii="Arial" w:cs="Arial" w:eastAsia="Arial" w:hAnsi="Arial"/>
          <w:sz w:val="19"/>
          <w:szCs w:val="19"/>
          <w:color w:val="auto"/>
        </w:rPr>
        <w:t>” means each of the following: (a) a Borrowing and (b) a Letter of Credit Extension.</w:t>
      </w:r>
    </w:p>
    <w:p>
      <w:pPr>
        <w:spacing w:after="0" w:line="214" w:lineRule="exact"/>
        <w:rPr>
          <w:sz w:val="20"/>
          <w:szCs w:val="20"/>
          <w:color w:val="auto"/>
        </w:rPr>
      </w:pPr>
    </w:p>
    <w:p>
      <w:pPr>
        <w:jc w:val="both"/>
        <w:ind w:firstLine="629"/>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Credit Judgment</w:t>
      </w:r>
      <w:r>
        <w:rPr>
          <w:rFonts w:ascii="Arial" w:cs="Arial" w:eastAsia="Arial" w:hAnsi="Arial"/>
          <w:sz w:val="19"/>
          <w:szCs w:val="19"/>
          <w:color w:val="auto"/>
        </w:rPr>
        <w:t>” means, with reference to the Administrative Agent, a determination made in good faith using reasonable business judgment (from the perspective of a secured, asset-based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17</w:t>
      </w:r>
    </w:p>
    <w:p>
      <w:pPr>
        <w:sectPr>
          <w:pgSz w:w="11900" w:h="16838" w:orient="portrait"/>
          <w:cols w:equalWidth="0" w:num="1">
            <w:col w:w="11240"/>
          </w:cols>
          <w:pgMar w:left="320" w:top="1381" w:right="339" w:bottom="1440" w:gutter="0" w:footer="0" w:header="0"/>
        </w:sectPr>
      </w:pPr>
    </w:p>
    <w:bookmarkStart w:id="136" w:name="page137"/>
    <w:bookmarkEnd w:id="136"/>
    <w:p>
      <w:pPr>
        <w:jc w:val="both"/>
        <w:ind w:firstLine="629"/>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Credit Product Arrangements</w:t>
      </w:r>
      <w:r>
        <w:rPr>
          <w:rFonts w:ascii="Arial" w:cs="Arial" w:eastAsia="Arial" w:hAnsi="Arial"/>
          <w:sz w:val="19"/>
          <w:szCs w:val="19"/>
          <w:color w:val="auto"/>
        </w:rPr>
        <w:t>” means, collectively, (a) Swap Contracts between a Loan Party and any Lender or Affiliate of a Lender and (b) Treasury Management and Other Services.</w:t>
      </w:r>
    </w:p>
    <w:p>
      <w:pPr>
        <w:spacing w:after="0" w:line="157" w:lineRule="exact"/>
        <w:rPr>
          <w:sz w:val="20"/>
          <w:szCs w:val="20"/>
          <w:color w:val="auto"/>
        </w:rPr>
      </w:pPr>
    </w:p>
    <w:p>
      <w:pPr>
        <w:jc w:val="both"/>
        <w:ind w:firstLine="629"/>
        <w:spacing w:after="0" w:line="30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Product Notice</w:t>
      </w:r>
      <w:r>
        <w:rPr>
          <w:rFonts w:ascii="Arial" w:cs="Arial" w:eastAsia="Arial" w:hAnsi="Arial"/>
          <w:sz w:val="18"/>
          <w:szCs w:val="18"/>
          <w:color w:val="auto"/>
        </w:rPr>
        <w:t xml:space="preserve">” means the written notice from a Credit Product Provider and the Borrower Agent to the Administrative Agent relating to Credit Product Arrangements in the form of </w:t>
      </w:r>
      <w:r>
        <w:rPr>
          <w:rFonts w:ascii="Arial" w:cs="Arial" w:eastAsia="Arial" w:hAnsi="Arial"/>
          <w:sz w:val="18"/>
          <w:szCs w:val="18"/>
          <w:u w:val="single" w:color="auto"/>
          <w:color w:val="auto"/>
        </w:rPr>
        <w:t>Exhibit G</w:t>
      </w:r>
      <w:r>
        <w:rPr>
          <w:rFonts w:ascii="Arial" w:cs="Arial" w:eastAsia="Arial" w:hAnsi="Arial"/>
          <w:sz w:val="18"/>
          <w:szCs w:val="18"/>
          <w:color w:val="auto"/>
        </w:rPr>
        <w:t xml:space="preserve"> hereto, or such other form as may be acceptable to the Administrative Agent.</w:t>
      </w:r>
    </w:p>
    <w:p>
      <w:pPr>
        <w:spacing w:after="0" w:line="135" w:lineRule="exact"/>
        <w:rPr>
          <w:sz w:val="20"/>
          <w:szCs w:val="20"/>
          <w:color w:val="auto"/>
        </w:rPr>
      </w:pPr>
    </w:p>
    <w:p>
      <w:pPr>
        <w:jc w:val="both"/>
        <w:ind w:firstLine="629"/>
        <w:spacing w:after="0" w:line="25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Credit Product Obligations</w:t>
      </w:r>
      <w:r>
        <w:rPr>
          <w:rFonts w:ascii="Arial" w:cs="Arial" w:eastAsia="Arial" w:hAnsi="Arial"/>
          <w:sz w:val="19"/>
          <w:szCs w:val="19"/>
          <w:color w:val="auto"/>
        </w:rPr>
        <w:t xml:space="preserve">” means Indebtedness and other obligations of any Loan Party (a) arising under Credit Product Arrangements, (b) owing to any Credit Product Provider and (c) only if owing to a Credit Product Provider other than BMO or its Affiliates, as to which a Credit Product Notice has been delivered to the Administrative Agent in which the Borrower Agent has expressly requested that such obligations be treated as Credit Product Obligations for purposes 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Credit Product Obligations shall not include Excluded Swap Obligations.</w:t>
      </w:r>
    </w:p>
    <w:p>
      <w:pPr>
        <w:spacing w:after="0" w:line="177" w:lineRule="exact"/>
        <w:rPr>
          <w:sz w:val="20"/>
          <w:szCs w:val="20"/>
          <w:color w:val="auto"/>
        </w:rPr>
      </w:pPr>
    </w:p>
    <w:p>
      <w:pPr>
        <w:jc w:val="both"/>
        <w:ind w:firstLine="629"/>
        <w:spacing w:after="0" w:line="25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Credit Product Provider</w:t>
      </w:r>
      <w:r>
        <w:rPr>
          <w:rFonts w:ascii="Arial" w:cs="Arial" w:eastAsia="Arial" w:hAnsi="Arial"/>
          <w:sz w:val="19"/>
          <w:szCs w:val="19"/>
          <w:color w:val="auto"/>
        </w:rPr>
        <w:t xml:space="preserve">” means BMO or any of its Affiliates, so long as such provider and the Borrower Agent deliver a Credit Product Notice to the Administrative Agent by the later of the Closing Date or, if not outstanding on the Closing Date, ten (10) days following the entering into of the applicable Credit Product Arrangement, (i) describing the Credit Product Arrangement and setting forth the maximum amount of Credit Product Obligations thereunder to be secured by the Collateral (and, if all or any portion of such Credit Product Obligations arise under Swap Contracts, the Swap Termination Value of such Credit Product Obligations) and the methodology to be used in calculating such amount and (ii) agreeing to be bound by </w:t>
      </w:r>
      <w:r>
        <w:rPr>
          <w:rFonts w:ascii="Arial" w:cs="Arial" w:eastAsia="Arial" w:hAnsi="Arial"/>
          <w:sz w:val="19"/>
          <w:szCs w:val="19"/>
          <w:u w:val="single" w:color="auto"/>
          <w:color w:val="auto"/>
        </w:rPr>
        <w:t>Section 10.12</w:t>
      </w:r>
      <w:r>
        <w:rPr>
          <w:rFonts w:ascii="Arial" w:cs="Arial" w:eastAsia="Arial" w:hAnsi="Arial"/>
          <w:sz w:val="19"/>
          <w:szCs w:val="19"/>
          <w:color w:val="auto"/>
        </w:rPr>
        <w:t>.</w:t>
      </w:r>
    </w:p>
    <w:p>
      <w:pPr>
        <w:spacing w:after="0" w:line="182" w:lineRule="exact"/>
        <w:rPr>
          <w:sz w:val="20"/>
          <w:szCs w:val="20"/>
          <w:color w:val="auto"/>
        </w:rPr>
      </w:pPr>
    </w:p>
    <w:p>
      <w:pPr>
        <w:jc w:val="both"/>
        <w:ind w:firstLine="629"/>
        <w:spacing w:after="0" w:line="29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Credit Product Reserve</w:t>
      </w:r>
      <w:r>
        <w:rPr>
          <w:rFonts w:ascii="Arial" w:cs="Arial" w:eastAsia="Arial" w:hAnsi="Arial"/>
          <w:sz w:val="17"/>
          <w:szCs w:val="17"/>
          <w:color w:val="auto"/>
        </w:rPr>
        <w:t>” means (a) reserves which shall be established by the Administrative Agent in an amount equal to not less than the last reported Swap Termination Value (as given in accordance with the definition of Credit Product Obligation) of the then outstanding Priority Swap Obligations for the account of the Loan Parties or their Affiliates, and (b) reserves established by the Administrative Agent from time to time in its discretion to reflect the reasonably anticipated liabilities in respect of the then outstanding Credit Product Obligations.</w:t>
      </w:r>
    </w:p>
    <w:p>
      <w:pPr>
        <w:spacing w:after="0" w:line="144" w:lineRule="exact"/>
        <w:rPr>
          <w:sz w:val="20"/>
          <w:szCs w:val="20"/>
          <w:color w:val="auto"/>
        </w:rPr>
      </w:pPr>
    </w:p>
    <w:p>
      <w:pPr>
        <w:jc w:val="both"/>
        <w:ind w:firstLine="629"/>
        <w:spacing w:after="0" w:line="25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Daily Simple SOFR</w:t>
      </w:r>
      <w:r>
        <w:rPr>
          <w:rFonts w:ascii="Arial" w:cs="Arial" w:eastAsia="Arial" w:hAnsi="Arial"/>
          <w:sz w:val="19"/>
          <w:szCs w:val="19"/>
          <w:color w:val="auto"/>
        </w:rPr>
        <w:t xml:space="preserve">” means, for any day, SOFR, with the conventions for this rate (which will include a lookback) being established by the Administrative Agent in accordance with the conventions for this rate recommended by the Relevant Governmental Body for determining “Daily Simple SOFR” for syndicated business loans; </w:t>
      </w:r>
      <w:r>
        <w:rPr>
          <w:rFonts w:ascii="Arial" w:cs="Arial" w:eastAsia="Arial" w:hAnsi="Arial"/>
          <w:sz w:val="19"/>
          <w:szCs w:val="19"/>
          <w:u w:val="single" w:color="auto"/>
          <w:color w:val="auto"/>
        </w:rPr>
        <w:t>provided</w:t>
      </w:r>
      <w:r>
        <w:rPr>
          <w:rFonts w:ascii="Arial" w:cs="Arial" w:eastAsia="Arial" w:hAnsi="Arial"/>
          <w:sz w:val="19"/>
          <w:szCs w:val="19"/>
          <w:color w:val="auto"/>
        </w:rPr>
        <w:t>, that if the Administrative Agent decides that any such convention is not administratively feasible for the Administrative Agent, then the Administrative Agent may establish another convention in its reasonable discretion.</w:t>
      </w:r>
    </w:p>
    <w:p>
      <w:pPr>
        <w:spacing w:after="0" w:line="204" w:lineRule="exact"/>
        <w:rPr>
          <w:sz w:val="20"/>
          <w:szCs w:val="20"/>
          <w:color w:val="auto"/>
        </w:rPr>
      </w:pPr>
    </w:p>
    <w:p>
      <w:pPr>
        <w:jc w:val="both"/>
        <w:ind w:firstLine="629"/>
        <w:spacing w:after="0" w:line="26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Daily Exchange Rate</w:t>
      </w:r>
      <w:r>
        <w:rPr>
          <w:rFonts w:ascii="Arial" w:cs="Arial" w:eastAsia="Arial" w:hAnsi="Arial"/>
          <w:sz w:val="18"/>
          <w:szCs w:val="18"/>
          <w:color w:val="auto"/>
        </w:rPr>
        <w:t>” means the daily average exchange rate as published by a reputable source chosen from time to time by the Administrative Agent and as determined by the Administrative Agent, provided that, if any such date of determination is not a Business Day, then it shall be the Daily Exchange Rate as of the most recently ended Business Day. “</w:t>
      </w:r>
      <w:r>
        <w:rPr>
          <w:rFonts w:ascii="Arial" w:cs="Arial" w:eastAsia="Arial" w:hAnsi="Arial"/>
          <w:sz w:val="18"/>
          <w:szCs w:val="18"/>
          <w:u w:val="single" w:color="auto"/>
          <w:color w:val="auto"/>
        </w:rPr>
        <w:t>Debtor Relief Laws</w:t>
      </w:r>
      <w:r>
        <w:rPr>
          <w:rFonts w:ascii="Arial" w:cs="Arial" w:eastAsia="Arial" w:hAnsi="Arial"/>
          <w:sz w:val="18"/>
          <w:szCs w:val="18"/>
          <w:color w:val="auto"/>
        </w:rPr>
        <w:t>” means the Bankruptcy Code of the United States, the Canadian Insolvency Laws, and all other liquidation, conservatorship, bankruptcy, assignment for the benefit of creditors, moratorium, rearrangement, receivership, insolvency, reorganization, or similar debtor relief Laws of the United States or Canada or other applicable jurisdictions from time to time in effect and affecting the rights of creditors generally.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3927475</wp:posOffset>
            </wp:positionH>
            <wp:positionV relativeFrom="paragraph">
              <wp:posOffset>-466090</wp:posOffset>
            </wp:positionV>
            <wp:extent cx="304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5">
                      <a:extLst>
                        <a:ext uri="{28A0092B-C50C-407E-A947-70E740481C1C}"/>
                      </a:extLst>
                    </a:blip>
                    <a:srcRect/>
                    <a:stretch>
                      <a:fillRect/>
                    </a:stretch>
                  </pic:blipFill>
                  <pic:spPr bwMode="auto">
                    <a:xfrm>
                      <a:off x="0" y="0"/>
                      <a:ext cx="30480" cy="8255"/>
                    </a:xfrm>
                    <a:prstGeom prst="rect">
                      <a:avLst/>
                    </a:prstGeom>
                    <a:noFill/>
                  </pic:spPr>
                </pic:pic>
              </a:graphicData>
            </a:graphic>
          </wp:anchor>
        </w:drawing>
      </w:r>
    </w:p>
    <w:p>
      <w:pPr>
        <w:spacing w:after="0" w:line="146" w:lineRule="exact"/>
        <w:rPr>
          <w:sz w:val="20"/>
          <w:szCs w:val="20"/>
          <w:color w:val="auto"/>
        </w:rPr>
      </w:pPr>
    </w:p>
    <w:p>
      <w:pPr>
        <w:jc w:val="both"/>
        <w:ind w:firstLine="629"/>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Deed of Hypothec</w:t>
      </w:r>
      <w:r>
        <w:rPr>
          <w:rFonts w:ascii="Arial" w:cs="Arial" w:eastAsia="Arial" w:hAnsi="Arial"/>
          <w:sz w:val="19"/>
          <w:szCs w:val="19"/>
          <w:color w:val="auto"/>
        </w:rPr>
        <w:t>” means the deed of hypothec creating a hypothec in favor of the Administrative Agent, as hypothecary representative for the benefit of the Secured Parties, pursuant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18</w:t>
      </w:r>
    </w:p>
    <w:p>
      <w:pPr>
        <w:sectPr>
          <w:pgSz w:w="11900" w:h="16838" w:orient="portrait"/>
          <w:cols w:equalWidth="0" w:num="1">
            <w:col w:w="11240"/>
          </w:cols>
          <w:pgMar w:left="320" w:top="1381" w:right="339" w:bottom="1440" w:gutter="0" w:footer="0" w:header="0"/>
        </w:sectPr>
      </w:pPr>
    </w:p>
    <w:bookmarkStart w:id="137" w:name="page138"/>
    <w:bookmarkEnd w:id="137"/>
    <w:p>
      <w:pPr>
        <w:jc w:val="both"/>
        <w:spacing w:after="0" w:line="259" w:lineRule="auto"/>
        <w:rPr>
          <w:sz w:val="20"/>
          <w:szCs w:val="20"/>
          <w:color w:val="auto"/>
        </w:rPr>
      </w:pPr>
      <w:r>
        <w:rPr>
          <w:rFonts w:ascii="Arial" w:cs="Arial" w:eastAsia="Arial" w:hAnsi="Arial"/>
          <w:sz w:val="19"/>
          <w:szCs w:val="19"/>
          <w:color w:val="auto"/>
        </w:rPr>
        <w:t>laws of the Province of Québec on the assets of any of the Canadian Borrowers or any other Loan Party existing under the laws of the Province of Québec, having its domicile (within the meaning of the Civil Code of Québec) in the Province of Québec or having a place of business or tangible property situated in the Province of Québec.</w:t>
      </w:r>
    </w:p>
    <w:p>
      <w:pPr>
        <w:spacing w:after="0" w:line="171" w:lineRule="exact"/>
        <w:rPr>
          <w:sz w:val="20"/>
          <w:szCs w:val="20"/>
          <w:color w:val="auto"/>
        </w:rPr>
      </w:pPr>
    </w:p>
    <w:p>
      <w:pPr>
        <w:jc w:val="both"/>
        <w:ind w:firstLine="629"/>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Default</w:t>
      </w:r>
      <w:r>
        <w:rPr>
          <w:rFonts w:ascii="Arial" w:cs="Arial" w:eastAsia="Arial" w:hAnsi="Arial"/>
          <w:sz w:val="19"/>
          <w:szCs w:val="19"/>
          <w:color w:val="auto"/>
        </w:rPr>
        <w:t>” means any event or condition that constitutes an Event of Default or that, with the giving of any notice, the passage of time, or both, would unless cured or waived be an Event of Default.</w:t>
      </w:r>
    </w:p>
    <w:p>
      <w:pPr>
        <w:spacing w:after="0" w:line="157" w:lineRule="exact"/>
        <w:rPr>
          <w:sz w:val="20"/>
          <w:szCs w:val="20"/>
          <w:color w:val="auto"/>
        </w:rPr>
      </w:pPr>
    </w:p>
    <w:p>
      <w:pPr>
        <w:jc w:val="both"/>
        <w:ind w:firstLine="629"/>
        <w:spacing w:after="0" w:line="26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 Rate</w:t>
      </w:r>
      <w:r>
        <w:rPr>
          <w:rFonts w:ascii="Arial" w:cs="Arial" w:eastAsia="Arial" w:hAnsi="Arial"/>
          <w:sz w:val="18"/>
          <w:szCs w:val="18"/>
          <w:color w:val="auto"/>
        </w:rPr>
        <w:t xml:space="preserve">” means an interest rate equal to the sum of (a) the Base Rate or the Canadian Prime Rate, as applicable,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the Applicable Margin with respect to Base Rate Loans,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(c) 2% per annum;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 with respect to any Eurocurrency Rate Loan, until the end of the Interest Period during which the Default Rate is first applicable, the Default Rate shall be an interest rate equal to the interest rate (including any Applicable Margin) otherwise applicable to such Eurocurrency Rate Loan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2% per annum, and thereafter as set forth in the portion of this sentence preceding this proviso, and (ii) with respect to Letter of Credit Fees, the Default Rate shall equal the Letter of Credit Fee, then in effect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2% per annum, </w:t>
      </w:r>
      <w:r>
        <w:rPr>
          <w:rFonts w:ascii="Arial" w:cs="Arial" w:eastAsia="Arial" w:hAnsi="Arial"/>
          <w:sz w:val="18"/>
          <w:szCs w:val="18"/>
          <w:i w:val="1"/>
          <w:iCs w:val="1"/>
          <w:color w:val="auto"/>
        </w:rPr>
        <w:t>in each case</w:t>
      </w:r>
      <w:r>
        <w:rPr>
          <w:rFonts w:ascii="Arial" w:cs="Arial" w:eastAsia="Arial" w:hAnsi="Arial"/>
          <w:sz w:val="18"/>
          <w:szCs w:val="18"/>
          <w:color w:val="auto"/>
        </w:rPr>
        <w:t xml:space="preserve"> to the fullest extent permitted by applicable Laws.</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Default Right</w:t>
      </w:r>
      <w:r>
        <w:rPr>
          <w:rFonts w:ascii="Arial" w:cs="Arial" w:eastAsia="Arial" w:hAnsi="Arial"/>
          <w:sz w:val="19"/>
          <w:szCs w:val="19"/>
          <w:color w:val="auto"/>
        </w:rPr>
        <w:t xml:space="preserve">” has the meaning specified in </w:t>
      </w:r>
      <w:r>
        <w:rPr>
          <w:rFonts w:ascii="Arial" w:cs="Arial" w:eastAsia="Arial" w:hAnsi="Arial"/>
          <w:sz w:val="19"/>
          <w:szCs w:val="19"/>
          <w:u w:val="single" w:color="auto"/>
          <w:color w:val="auto"/>
        </w:rPr>
        <w:t>Section 11.21(b)</w:t>
      </w:r>
      <w:r>
        <w:rPr>
          <w:rFonts w:ascii="Arial" w:cs="Arial" w:eastAsia="Arial" w:hAnsi="Arial"/>
          <w:sz w:val="19"/>
          <w:szCs w:val="19"/>
          <w:color w:val="auto"/>
        </w:rPr>
        <w:t>.</w:t>
      </w:r>
    </w:p>
    <w:p>
      <w:pPr>
        <w:spacing w:after="0" w:line="214" w:lineRule="exact"/>
        <w:rPr>
          <w:sz w:val="20"/>
          <w:szCs w:val="20"/>
          <w:color w:val="auto"/>
        </w:rPr>
      </w:pPr>
    </w:p>
    <w:p>
      <w:pPr>
        <w:jc w:val="both"/>
        <w:ind w:firstLine="6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Defaulting Lender</w:t>
      </w:r>
      <w:r>
        <w:rPr>
          <w:rFonts w:ascii="Arial" w:cs="Arial" w:eastAsia="Arial" w:hAnsi="Arial"/>
          <w:sz w:val="17"/>
          <w:szCs w:val="17"/>
          <w:color w:val="auto"/>
        </w:rPr>
        <w:t xml:space="preserve">” means, subject to </w:t>
      </w:r>
      <w:r>
        <w:rPr>
          <w:rFonts w:ascii="Arial" w:cs="Arial" w:eastAsia="Arial" w:hAnsi="Arial"/>
          <w:sz w:val="17"/>
          <w:szCs w:val="17"/>
          <w:u w:val="single" w:color="auto"/>
          <w:color w:val="auto"/>
        </w:rPr>
        <w:t>Section 2.17(b)</w:t>
      </w:r>
      <w:r>
        <w:rPr>
          <w:rFonts w:ascii="Arial" w:cs="Arial" w:eastAsia="Arial" w:hAnsi="Arial"/>
          <w:sz w:val="17"/>
          <w:szCs w:val="17"/>
          <w:color w:val="auto"/>
        </w:rPr>
        <w:t>, any Lender that (a) has failed to (i) fund all or any portion of its Loans within two Business Days of the date such Loans were required to be funded hereunder unless such Lender notifies the Administrative Agent and the Borrower Agent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Administrative Agent, the Letter of Credit Issuer, the Swing Line Lender or any other Lender any other amount required to be paid by it hereunder (including, in the case of any Revolving Credit Lender, in respect of its participations in Letters of Credit or Swing Line Loans) within two Business Days of the date when due, (b) has notified any Borrower, the Administrative Agent, the Letter of Credit Issuer or the Swing Line Lender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Business Days after written request by the Administrative Agent or the Borrower Agent, to confirm in writing to the Administrative Agent and the Borrower Agent that it will comply with its prospective funding obligations 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Lender shall cease to be a Defaulting Lender pursuant to this clause (c) upon receipt of such written confirmation by the Administrative Agent and the Borrower Agent), or (d) has, or has a direct or indirect parent company that has, (i) 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19</w:t>
      </w:r>
    </w:p>
    <w:p>
      <w:pPr>
        <w:sectPr>
          <w:pgSz w:w="11900" w:h="16838" w:orient="portrait"/>
          <w:cols w:equalWidth="0" w:num="1">
            <w:col w:w="11240"/>
          </w:cols>
          <w:pgMar w:left="320" w:top="1381" w:right="339" w:bottom="1440" w:gutter="0" w:footer="0" w:header="0"/>
        </w:sectPr>
      </w:pPr>
    </w:p>
    <w:bookmarkStart w:id="138" w:name="page139"/>
    <w:bookmarkEnd w:id="138"/>
    <w:p>
      <w:pPr>
        <w:jc w:val="both"/>
        <w:spacing w:after="0" w:line="273" w:lineRule="auto"/>
        <w:rPr>
          <w:sz w:val="20"/>
          <w:szCs w:val="20"/>
          <w:color w:val="auto"/>
        </w:rPr>
      </w:pPr>
      <w:r>
        <w:rPr>
          <w:rFonts w:ascii="Arial" w:cs="Arial" w:eastAsia="Arial" w:hAnsi="Arial"/>
          <w:sz w:val="18"/>
          <w:szCs w:val="18"/>
          <w:color w:val="auto"/>
        </w:rPr>
        <w:t xml:space="preserve">repudiate, disavow or disaffirm any contracts or agreements made with such Lender. Any determination by the Administrative Agent that a Lender is a Defaulting Lender under any one or more of clauses (a) through (d) above shall be conclusive and binding absent manifest error, and such Lender shall be deemed to be a Defaulting Lender (subject to </w:t>
      </w:r>
      <w:r>
        <w:rPr>
          <w:rFonts w:ascii="Arial" w:cs="Arial" w:eastAsia="Arial" w:hAnsi="Arial"/>
          <w:sz w:val="18"/>
          <w:szCs w:val="18"/>
          <w:u w:val="single" w:color="auto"/>
          <w:color w:val="auto"/>
        </w:rPr>
        <w:t>Section 2.17(b)</w:t>
      </w:r>
      <w:r>
        <w:rPr>
          <w:rFonts w:ascii="Arial" w:cs="Arial" w:eastAsia="Arial" w:hAnsi="Arial"/>
          <w:sz w:val="18"/>
          <w:szCs w:val="18"/>
          <w:color w:val="auto"/>
        </w:rPr>
        <w:t>) upon delivery of written notice of such determination by the Administrative Agent to the Borrower Agent, the Letter of Credit Issuer, the Swing Line Lender and each other Lender.</w:t>
      </w:r>
    </w:p>
    <w:p>
      <w:pPr>
        <w:spacing w:after="0" w:line="160" w:lineRule="exact"/>
        <w:rPr>
          <w:sz w:val="20"/>
          <w:szCs w:val="20"/>
          <w:color w:val="auto"/>
        </w:rPr>
      </w:pPr>
    </w:p>
    <w:p>
      <w:pPr>
        <w:jc w:val="both"/>
        <w:ind w:firstLine="629"/>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Designated Jurisdiction</w:t>
      </w:r>
      <w:r>
        <w:rPr>
          <w:rFonts w:ascii="Arial" w:cs="Arial" w:eastAsia="Arial" w:hAnsi="Arial"/>
          <w:sz w:val="19"/>
          <w:szCs w:val="19"/>
          <w:color w:val="auto"/>
        </w:rPr>
        <w:t>” means, at any time, any country, region or territory which is itself the target of Sanctions broadly restricting or prohibiting dealings with such country, region or territory (including, without limitation, the Crimea region of Ukraine, Cuba, Iran, North Korea, Sudan and Syria).</w:t>
      </w:r>
    </w:p>
    <w:p>
      <w:pPr>
        <w:spacing w:after="0" w:line="171" w:lineRule="exact"/>
        <w:rPr>
          <w:sz w:val="20"/>
          <w:szCs w:val="20"/>
          <w:color w:val="auto"/>
        </w:rPr>
      </w:pPr>
    </w:p>
    <w:p>
      <w:pPr>
        <w:jc w:val="both"/>
        <w:ind w:firstLine="629"/>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Dilution Percent</w:t>
      </w:r>
      <w:r>
        <w:rPr>
          <w:rFonts w:ascii="Arial" w:cs="Arial" w:eastAsia="Arial" w:hAnsi="Arial"/>
          <w:sz w:val="19"/>
          <w:szCs w:val="19"/>
          <w:color w:val="auto"/>
        </w:rPr>
        <w:t>” means the percent, for the most recently ended period of twelve consecutive months, equal to (a) bad debt write-downs or write-offs, discounts, returns, promotions, credits, credit memos and other dilutive items with respect to Accounts for such period, divided by (b) gross sales for such period.</w:t>
      </w:r>
    </w:p>
    <w:p>
      <w:pPr>
        <w:spacing w:after="0" w:line="171" w:lineRule="exact"/>
        <w:rPr>
          <w:sz w:val="20"/>
          <w:szCs w:val="20"/>
          <w:color w:val="auto"/>
        </w:rPr>
      </w:pPr>
    </w:p>
    <w:p>
      <w:pPr>
        <w:jc w:val="both"/>
        <w:ind w:firstLine="629"/>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Dilution Reserve</w:t>
      </w:r>
      <w:r>
        <w:rPr>
          <w:rFonts w:ascii="Arial" w:cs="Arial" w:eastAsia="Arial" w:hAnsi="Arial"/>
          <w:sz w:val="19"/>
          <w:szCs w:val="19"/>
          <w:color w:val="auto"/>
        </w:rPr>
        <w:t>” means, at any date of determination, (a) the percentage amount by which the Dilution Percent exceeds 5.0% times (b) the amount of Eligible Accounts of the Borrowers.</w:t>
      </w:r>
    </w:p>
    <w:p>
      <w:pPr>
        <w:spacing w:after="0" w:line="157" w:lineRule="exact"/>
        <w:rPr>
          <w:sz w:val="20"/>
          <w:szCs w:val="20"/>
          <w:color w:val="auto"/>
        </w:rPr>
      </w:pPr>
    </w:p>
    <w:p>
      <w:pPr>
        <w:jc w:val="both"/>
        <w:ind w:firstLine="629"/>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Direct Foreign Subsidiary</w:t>
      </w:r>
      <w:r>
        <w:rPr>
          <w:rFonts w:ascii="Arial" w:cs="Arial" w:eastAsia="Arial" w:hAnsi="Arial"/>
          <w:sz w:val="19"/>
          <w:szCs w:val="19"/>
          <w:color w:val="auto"/>
        </w:rPr>
        <w:t>” means a Subsidiary, other than a Domestic Subsidiary that is not a CFCHC, a majority of whose Voting Equity Interests are owned by the Company or a Domestic Subsidiary.</w:t>
      </w:r>
    </w:p>
    <w:p>
      <w:pPr>
        <w:spacing w:after="0" w:line="157" w:lineRule="exact"/>
        <w:rPr>
          <w:sz w:val="20"/>
          <w:szCs w:val="20"/>
          <w:color w:val="auto"/>
        </w:rPr>
      </w:pPr>
    </w:p>
    <w:p>
      <w:pPr>
        <w:jc w:val="both"/>
        <w:ind w:firstLine="629"/>
        <w:spacing w:after="0" w:line="25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Disposition</w:t>
      </w:r>
      <w:r>
        <w:rPr>
          <w:rFonts w:ascii="Arial" w:cs="Arial" w:eastAsia="Arial" w:hAnsi="Arial"/>
          <w:sz w:val="19"/>
          <w:szCs w:val="19"/>
          <w:color w:val="auto"/>
        </w:rPr>
        <w:t>” or “</w:t>
      </w:r>
      <w:r>
        <w:rPr>
          <w:rFonts w:ascii="Arial" w:cs="Arial" w:eastAsia="Arial" w:hAnsi="Arial"/>
          <w:sz w:val="19"/>
          <w:szCs w:val="19"/>
          <w:u w:val="single" w:color="auto"/>
          <w:color w:val="auto"/>
        </w:rPr>
        <w:t>Dispose</w:t>
      </w:r>
      <w:r>
        <w:rPr>
          <w:rFonts w:ascii="Arial" w:cs="Arial" w:eastAsia="Arial" w:hAnsi="Arial"/>
          <w:sz w:val="19"/>
          <w:szCs w:val="19"/>
          <w:color w:val="auto"/>
        </w:rPr>
        <w:t>” means the sale, transfer, license, lease or other disposition (including by Division, any sale and leaseback transaction, any casualty or condemnation or otherwise) of any property (including any Equity Interest), or part thereof, by any Person, and including any sale, assignment, transfer, forgiveness, write-off or other disposal, with or without recourse, of any Investment, notes or accounts receivable or any rights and claims associated therewith.</w:t>
      </w:r>
    </w:p>
    <w:p>
      <w:pPr>
        <w:spacing w:after="0" w:line="177" w:lineRule="exact"/>
        <w:rPr>
          <w:sz w:val="20"/>
          <w:szCs w:val="20"/>
          <w:color w:val="auto"/>
        </w:rPr>
      </w:pPr>
    </w:p>
    <w:p>
      <w:pPr>
        <w:jc w:val="both"/>
        <w:ind w:firstLine="629"/>
        <w:spacing w:after="0" w:line="27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Disqualified Equity Interest</w:t>
      </w:r>
      <w:r>
        <w:rPr>
          <w:rFonts w:ascii="Arial" w:cs="Arial" w:eastAsia="Arial" w:hAnsi="Arial"/>
          <w:sz w:val="17"/>
          <w:szCs w:val="17"/>
          <w:color w:val="auto"/>
        </w:rPr>
        <w:t xml:space="preserve">” means any Equity Interest that, by its terms (or by the terms of any security into which it is convertible or for which it is exchangeable), or upon the happening of any event, (a) matures (excluding any maturity as the result of an optional redemption by the issuer thereof) or is mandatorily redeemable, pursuant to a sinking fund obligation or otherwise, or is redeemable at the option of the holder thereof, in whole or in part, on or prior to the date that is 180 days after the Maturity Date, (b) is convertible into or exchangeable for debt securities (unless only occurring at the sole option of the issuer thereof), (c) (i) contains any repurchase obligation that may come into effect prior to, (ii) requires cash dividend payments (other than taxes) prior to, or (iii) provides the holders thereof with any rights to receive any cash upon the occurrence of a change of control or sale of assets prior to, in each case, the date that is 180 days after the Maturity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 with respect to any Equity Interests issued to any employee or to any plan for the benefit of employees of the Company or its Subsidiaries or by any such plan to such employees, such Equity Interest shall not constitute Disqualified Equity Interests solely because it may be required to be repurchased by the Company or one of its Subsidiaries in order to satisfy applicable statutory or regulatory obligations or as a result of such employee’s termination, resignation, death or disability and (ii) any class of Equity Interest of such Person that by its terms authorizes such Person to satisfy its obligations thereunder by delivery of an Equity Interest that is not a Disqualified Equity Interest, such Equity Interests shall not be deemed to be Disqualified Equity Interests and (iii) only the portion of such Equity Interests which so matures or is 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20</w:t>
      </w:r>
    </w:p>
    <w:p>
      <w:pPr>
        <w:sectPr>
          <w:pgSz w:w="11900" w:h="16838" w:orient="portrait"/>
          <w:cols w:equalWidth="0" w:num="1">
            <w:col w:w="11240"/>
          </w:cols>
          <w:pgMar w:left="320" w:top="1382" w:right="339" w:bottom="1440" w:gutter="0" w:footer="0" w:header="0"/>
        </w:sectPr>
      </w:pPr>
    </w:p>
    <w:bookmarkStart w:id="139" w:name="page140"/>
    <w:bookmarkEnd w:id="139"/>
    <w:p>
      <w:pPr>
        <w:jc w:val="both"/>
        <w:spacing w:after="0" w:line="274" w:lineRule="auto"/>
        <w:rPr>
          <w:sz w:val="20"/>
          <w:szCs w:val="20"/>
          <w:color w:val="auto"/>
        </w:rPr>
      </w:pPr>
      <w:r>
        <w:rPr>
          <w:rFonts w:ascii="Arial" w:cs="Arial" w:eastAsia="Arial" w:hAnsi="Arial"/>
          <w:sz w:val="19"/>
          <w:szCs w:val="19"/>
          <w:color w:val="auto"/>
        </w:rPr>
        <w:t>mandatorily redeemable, is so convertible or exchangeable or is so redeemable at the option of the holder thereof prior to such date shall be deemed to be Disqualified Equity Interests.</w:t>
      </w:r>
    </w:p>
    <w:p>
      <w:pPr>
        <w:spacing w:after="0" w:line="157" w:lineRule="exact"/>
        <w:rPr>
          <w:sz w:val="20"/>
          <w:szCs w:val="20"/>
          <w:color w:val="auto"/>
        </w:rPr>
      </w:pPr>
    </w:p>
    <w:p>
      <w:pPr>
        <w:jc w:val="both"/>
        <w:ind w:firstLine="629"/>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Division</w:t>
      </w:r>
      <w:r>
        <w:rPr>
          <w:rFonts w:ascii="Arial" w:cs="Arial" w:eastAsia="Arial" w:hAnsi="Arial"/>
          <w:sz w:val="19"/>
          <w:szCs w:val="19"/>
          <w:color w:val="auto"/>
        </w:rPr>
        <w:t>” means the creation of one or more new limited liability companies by means of any statutory division of a limited liability company pursuant to any applicable limited liability company act or similar statute of any jurisdiction. “</w:t>
      </w:r>
      <w:r>
        <w:rPr>
          <w:rFonts w:ascii="Arial" w:cs="Arial" w:eastAsia="Arial" w:hAnsi="Arial"/>
          <w:sz w:val="19"/>
          <w:szCs w:val="19"/>
          <w:u w:val="single" w:color="auto"/>
          <w:color w:val="auto"/>
        </w:rPr>
        <w:t>Divide</w:t>
      </w:r>
      <w:r>
        <w:rPr>
          <w:rFonts w:ascii="Arial" w:cs="Arial" w:eastAsia="Arial" w:hAnsi="Arial"/>
          <w:sz w:val="19"/>
          <w:szCs w:val="19"/>
          <w:color w:val="auto"/>
        </w:rPr>
        <w:t>” shall have the corresponding meaning.</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Dollar</w:t>
      </w:r>
      <w:r>
        <w:rPr>
          <w:rFonts w:ascii="Arial" w:cs="Arial" w:eastAsia="Arial" w:hAnsi="Arial"/>
          <w:sz w:val="19"/>
          <w:szCs w:val="19"/>
          <w:color w:val="auto"/>
        </w:rPr>
        <w:t>” and “</w:t>
      </w:r>
      <w:r>
        <w:rPr>
          <w:rFonts w:ascii="Arial" w:cs="Arial" w:eastAsia="Arial" w:hAnsi="Arial"/>
          <w:sz w:val="19"/>
          <w:szCs w:val="19"/>
          <w:u w:val="single" w:color="auto"/>
          <w:color w:val="auto"/>
        </w:rPr>
        <w:t>$</w:t>
      </w:r>
      <w:r>
        <w:rPr>
          <w:rFonts w:ascii="Arial" w:cs="Arial" w:eastAsia="Arial" w:hAnsi="Arial"/>
          <w:sz w:val="19"/>
          <w:szCs w:val="19"/>
          <w:color w:val="auto"/>
        </w:rPr>
        <w:t>” mean lawful money of the United States.</w:t>
      </w:r>
    </w:p>
    <w:p>
      <w:pPr>
        <w:spacing w:after="0" w:line="214" w:lineRule="exact"/>
        <w:rPr>
          <w:sz w:val="20"/>
          <w:szCs w:val="20"/>
          <w:color w:val="auto"/>
        </w:rPr>
      </w:pPr>
    </w:p>
    <w:p>
      <w:pPr>
        <w:jc w:val="both"/>
        <w:ind w:firstLine="629"/>
        <w:spacing w:after="0" w:line="29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Dollar Equivalent</w:t>
      </w:r>
      <w:r>
        <w:rPr>
          <w:rFonts w:ascii="Arial" w:cs="Arial" w:eastAsia="Arial" w:hAnsi="Arial"/>
          <w:sz w:val="17"/>
          <w:szCs w:val="17"/>
          <w:color w:val="auto"/>
        </w:rPr>
        <w:t>” means, at any time, (a) with respect to any amount denominated in Dollars, such amount in Dollars, (b) with respect to any amount denominated in Canadian Dollars, the equivalent amount thereof in Dollars as determined by the Administrative Agent at such time of calculation on the basis of the applicable Spot Rate and (c) with respect to any amount denominated in Australian Dollars, the equivalent amount thereof in Dollars as determined by the Administrative Agent at such time of calculation on the basis of the applicable Spot Rate.</w:t>
      </w:r>
    </w:p>
    <w:p>
      <w:pPr>
        <w:spacing w:after="0" w:line="144" w:lineRule="exact"/>
        <w:rPr>
          <w:sz w:val="20"/>
          <w:szCs w:val="20"/>
          <w:color w:val="auto"/>
        </w:rPr>
      </w:pPr>
    </w:p>
    <w:p>
      <w:pPr>
        <w:jc w:val="both"/>
        <w:ind w:firstLine="629"/>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Domestic Subsidiary</w:t>
      </w:r>
      <w:r>
        <w:rPr>
          <w:rFonts w:ascii="Arial" w:cs="Arial" w:eastAsia="Arial" w:hAnsi="Arial"/>
          <w:sz w:val="19"/>
          <w:szCs w:val="19"/>
          <w:color w:val="auto"/>
        </w:rPr>
        <w:t>” means any Subsidiary that is organized under the laws of any political subdivision of the United States (but excluding any territory or possession thereof).</w:t>
      </w:r>
    </w:p>
    <w:p>
      <w:pPr>
        <w:spacing w:after="0" w:line="157" w:lineRule="exact"/>
        <w:rPr>
          <w:sz w:val="20"/>
          <w:szCs w:val="20"/>
          <w:color w:val="auto"/>
        </w:rPr>
      </w:pPr>
    </w:p>
    <w:p>
      <w:pPr>
        <w:jc w:val="both"/>
        <w:ind w:firstLine="629"/>
        <w:spacing w:after="0" w:line="26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Dominion Trigger Period</w:t>
      </w:r>
      <w:r>
        <w:rPr>
          <w:rFonts w:ascii="Arial" w:cs="Arial" w:eastAsia="Arial" w:hAnsi="Arial"/>
          <w:sz w:val="18"/>
          <w:szCs w:val="18"/>
          <w:color w:val="auto"/>
        </w:rPr>
        <w:t>” means the period (a) commencing on the day that (i) an Event of Default occurs and is continuing or (ii) Availability is less than the greater of (x) 17.5% of the Aggregate Revolving Credit Commitments at such time and (y) $17,500,000 and</w:t>
      </w:r>
    </w:p>
    <w:p>
      <w:pPr>
        <w:spacing w:after="0" w:line="1" w:lineRule="exact"/>
        <w:rPr>
          <w:sz w:val="20"/>
          <w:szCs w:val="20"/>
          <w:color w:val="auto"/>
        </w:rPr>
      </w:pPr>
    </w:p>
    <w:p>
      <w:pPr>
        <w:jc w:val="both"/>
        <w:ind w:firstLine="5"/>
        <w:spacing w:after="0" w:line="248" w:lineRule="auto"/>
        <w:tabs>
          <w:tab w:leader="none" w:pos="274" w:val="left"/>
        </w:tabs>
        <w:numPr>
          <w:ilvl w:val="0"/>
          <w:numId w:val="83"/>
        </w:numPr>
        <w:rPr>
          <w:rFonts w:ascii="Arial" w:cs="Arial" w:eastAsia="Arial" w:hAnsi="Arial"/>
          <w:sz w:val="19"/>
          <w:szCs w:val="19"/>
          <w:color w:val="auto"/>
        </w:rPr>
      </w:pPr>
      <w:r>
        <w:rPr>
          <w:rFonts w:ascii="Arial" w:cs="Arial" w:eastAsia="Arial" w:hAnsi="Arial"/>
          <w:sz w:val="19"/>
          <w:szCs w:val="19"/>
          <w:color w:val="auto"/>
        </w:rPr>
        <w:t xml:space="preserve">continuing until the date that during the previous sixty (60) consecutive days, (i) no Event of Default has existed and (ii) Availability has been greater than the greater of (x) 17.5% of the Aggregate Revolving Credit Commitments at such time and (y) $17,500,000 at all times during such period;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 Dominion Trigger Period may not be cured as contemplated by clause (b) more than two (2) times in any fiscal year.</w:t>
      </w:r>
    </w:p>
    <w:p>
      <w:pPr>
        <w:spacing w:after="0" w:line="182" w:lineRule="exact"/>
        <w:rPr>
          <w:sz w:val="20"/>
          <w:szCs w:val="20"/>
          <w:color w:val="auto"/>
        </w:rPr>
      </w:pPr>
    </w:p>
    <w:p>
      <w:pPr>
        <w:jc w:val="both"/>
        <w:ind w:firstLine="629"/>
        <w:spacing w:after="0" w:line="25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Early Opt-in Effective Date</w:t>
      </w:r>
      <w:r>
        <w:rPr>
          <w:rFonts w:ascii="Arial" w:cs="Arial" w:eastAsia="Arial" w:hAnsi="Arial"/>
          <w:sz w:val="19"/>
          <w:szCs w:val="19"/>
          <w:color w:val="auto"/>
        </w:rPr>
        <w:t>” means, with respect to any Early Opt-in Election, the sixth (6th) Business Day after the date notice of such Early Opt-in Election is provided to the Lenders, so long as the Administrative Agent has not received, by 5:00 p.m. (New York City time) on the fifth (5th) Business Day after the date notice of such Early Opt-in Election is provided to the Lenders, written notice of objection to such Early Opt-in Election from Lenders comprising the Required Lenders.</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Early Opt-in Election</w:t>
      </w:r>
      <w:r>
        <w:rPr>
          <w:rFonts w:ascii="Arial" w:cs="Arial" w:eastAsia="Arial" w:hAnsi="Arial"/>
          <w:sz w:val="19"/>
          <w:szCs w:val="19"/>
          <w:color w:val="auto"/>
        </w:rPr>
        <w:t>” means the occurrence of:</w:t>
      </w:r>
    </w:p>
    <w:p>
      <w:pPr>
        <w:spacing w:after="0" w:line="240" w:lineRule="exact"/>
        <w:rPr>
          <w:sz w:val="20"/>
          <w:szCs w:val="20"/>
          <w:color w:val="auto"/>
        </w:rPr>
      </w:pPr>
    </w:p>
    <w:p>
      <w:pPr>
        <w:jc w:val="both"/>
        <w:ind w:left="640" w:hanging="6"/>
        <w:spacing w:after="0" w:line="294" w:lineRule="auto"/>
        <w:tabs>
          <w:tab w:leader="none" w:pos="1257" w:val="left"/>
        </w:tabs>
        <w:numPr>
          <w:ilvl w:val="0"/>
          <w:numId w:val="84"/>
        </w:numPr>
        <w:rPr>
          <w:rFonts w:ascii="Arial" w:cs="Arial" w:eastAsia="Arial" w:hAnsi="Arial"/>
          <w:sz w:val="17"/>
          <w:szCs w:val="17"/>
          <w:color w:val="auto"/>
        </w:rPr>
      </w:pPr>
      <w:r>
        <w:rPr>
          <w:rFonts w:ascii="Arial" w:cs="Arial" w:eastAsia="Arial" w:hAnsi="Arial"/>
          <w:sz w:val="17"/>
          <w:szCs w:val="17"/>
          <w:color w:val="auto"/>
        </w:rPr>
        <w:t>a notification by the Administrative Agent to (or the request by the Borrower to the Administrative Agent to notify) each of the other parties hereto that at least five currently outstanding U.S. dollar-denominated syndicated credit facilities at such time contain (as a result of amendment or as originally executed) a SOFR-based rate (including SOFR, a term SOFR or any other rate based upon SOFR) as a benchmark rate (and such syndicated credit facilities are identified in such notice and are publicly available for review), and</w:t>
      </w:r>
    </w:p>
    <w:p>
      <w:pPr>
        <w:spacing w:after="0" w:line="169" w:lineRule="exact"/>
        <w:rPr>
          <w:rFonts w:ascii="Arial" w:cs="Arial" w:eastAsia="Arial" w:hAnsi="Arial"/>
          <w:sz w:val="17"/>
          <w:szCs w:val="17"/>
          <w:color w:val="auto"/>
        </w:rPr>
      </w:pPr>
    </w:p>
    <w:p>
      <w:pPr>
        <w:ind w:left="640" w:hanging="6"/>
        <w:spacing w:after="0" w:line="274" w:lineRule="auto"/>
        <w:tabs>
          <w:tab w:leader="none" w:pos="1257" w:val="left"/>
        </w:tabs>
        <w:numPr>
          <w:ilvl w:val="0"/>
          <w:numId w:val="84"/>
        </w:numPr>
        <w:rPr>
          <w:rFonts w:ascii="Arial" w:cs="Arial" w:eastAsia="Arial" w:hAnsi="Arial"/>
          <w:sz w:val="19"/>
          <w:szCs w:val="19"/>
          <w:color w:val="auto"/>
        </w:rPr>
      </w:pPr>
      <w:r>
        <w:rPr>
          <w:rFonts w:ascii="Arial" w:cs="Arial" w:eastAsia="Arial" w:hAnsi="Arial"/>
          <w:sz w:val="19"/>
          <w:szCs w:val="19"/>
          <w:color w:val="auto"/>
        </w:rPr>
        <w:t>the joint election by the Administrative Agent and the Borrower to trigger a fallback from LIBOR and the provision by the Administrative Agent of written notice of such election to the Lenders.</w:t>
      </w:r>
    </w:p>
    <w:p>
      <w:pPr>
        <w:spacing w:after="0" w:line="183" w:lineRule="exact"/>
        <w:rPr>
          <w:sz w:val="20"/>
          <w:szCs w:val="20"/>
          <w:color w:val="auto"/>
        </w:rPr>
      </w:pPr>
    </w:p>
    <w:p>
      <w:pPr>
        <w:ind w:firstLine="629"/>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EEA Financial Institution</w:t>
      </w:r>
      <w:r>
        <w:rPr>
          <w:rFonts w:ascii="Arial" w:cs="Arial" w:eastAsia="Arial" w:hAnsi="Arial"/>
          <w:sz w:val="19"/>
          <w:szCs w:val="19"/>
          <w:color w:val="auto"/>
        </w:rPr>
        <w:t>” means (a) any credit institution or investment firm established in any EEA Member Country which is subject to the supervision of an EEA Resolution Authority, (b) any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21</w:t>
      </w:r>
    </w:p>
    <w:p>
      <w:pPr>
        <w:sectPr>
          <w:pgSz w:w="11900" w:h="16838" w:orient="portrait"/>
          <w:cols w:equalWidth="0" w:num="1">
            <w:col w:w="11240"/>
          </w:cols>
          <w:pgMar w:left="320" w:top="1382" w:right="339" w:bottom="1440" w:gutter="0" w:footer="0" w:header="0"/>
        </w:sectPr>
      </w:pPr>
    </w:p>
    <w:bookmarkStart w:id="140" w:name="page141"/>
    <w:bookmarkEnd w:id="140"/>
    <w:p>
      <w:pPr>
        <w:jc w:val="both"/>
        <w:spacing w:after="0" w:line="259" w:lineRule="auto"/>
        <w:rPr>
          <w:sz w:val="20"/>
          <w:szCs w:val="20"/>
          <w:color w:val="auto"/>
        </w:rPr>
      </w:pPr>
      <w:r>
        <w:rPr>
          <w:rFonts w:ascii="Arial" w:cs="Arial" w:eastAsia="Arial" w:hAnsi="Arial"/>
          <w:sz w:val="19"/>
          <w:szCs w:val="19"/>
          <w:color w:val="auto"/>
        </w:rPr>
        <w:t>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EEA Member Country</w:t>
      </w:r>
      <w:r>
        <w:rPr>
          <w:rFonts w:ascii="Arial" w:cs="Arial" w:eastAsia="Arial" w:hAnsi="Arial"/>
          <w:sz w:val="19"/>
          <w:szCs w:val="19"/>
          <w:color w:val="auto"/>
        </w:rPr>
        <w:t>” means any of the member states of the European Union, Iceland, Liechtenstein, and Norway.</w:t>
      </w:r>
    </w:p>
    <w:p>
      <w:pPr>
        <w:spacing w:after="0" w:line="214" w:lineRule="exact"/>
        <w:rPr>
          <w:sz w:val="20"/>
          <w:szCs w:val="20"/>
          <w:color w:val="auto"/>
        </w:rPr>
      </w:pPr>
    </w:p>
    <w:p>
      <w:pPr>
        <w:jc w:val="both"/>
        <w:ind w:firstLine="629"/>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EEA Resolution Authority</w:t>
      </w:r>
      <w:r>
        <w:rPr>
          <w:rFonts w:ascii="Arial" w:cs="Arial" w:eastAsia="Arial" w:hAnsi="Arial"/>
          <w:sz w:val="19"/>
          <w:szCs w:val="19"/>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57" w:lineRule="exact"/>
        <w:rPr>
          <w:sz w:val="20"/>
          <w:szCs w:val="20"/>
          <w:color w:val="auto"/>
        </w:rPr>
      </w:pPr>
    </w:p>
    <w:p>
      <w:pPr>
        <w:jc w:val="both"/>
        <w:ind w:firstLine="629"/>
        <w:spacing w:after="0" w:line="25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Eligible Accounts</w:t>
      </w:r>
      <w:r>
        <w:rPr>
          <w:rFonts w:ascii="Arial" w:cs="Arial" w:eastAsia="Arial" w:hAnsi="Arial"/>
          <w:sz w:val="19"/>
          <w:szCs w:val="19"/>
          <w:color w:val="auto"/>
        </w:rPr>
        <w:t>” means Accounts due to a Borrower that are determined by the Administrative Agent, in its Credit Judgment, to be Eligible Accounts. Except as otherwise agreed by the Administrative Agent at its sole option, and without limiting the ability of the Administrative Agent to exercise its Credit Judgment to determine whether an Account constitutes an Eligible Account, each of the following shall be deemed to be Accounts that are not Eligible Accounts:</w:t>
      </w:r>
    </w:p>
    <w:p>
      <w:pPr>
        <w:spacing w:after="0" w:line="177" w:lineRule="exact"/>
        <w:rPr>
          <w:sz w:val="20"/>
          <w:szCs w:val="20"/>
          <w:color w:val="auto"/>
        </w:rPr>
      </w:pPr>
    </w:p>
    <w:p>
      <w:pPr>
        <w:jc w:val="both"/>
        <w:ind w:firstLine="634"/>
        <w:spacing w:after="0" w:line="288" w:lineRule="auto"/>
        <w:tabs>
          <w:tab w:leader="none" w:pos="1249" w:val="left"/>
        </w:tabs>
        <w:numPr>
          <w:ilvl w:val="0"/>
          <w:numId w:val="85"/>
        </w:numPr>
        <w:rPr>
          <w:rFonts w:ascii="Arial" w:cs="Arial" w:eastAsia="Arial" w:hAnsi="Arial"/>
          <w:sz w:val="17"/>
          <w:szCs w:val="17"/>
          <w:color w:val="auto"/>
        </w:rPr>
      </w:pPr>
      <w:r>
        <w:rPr>
          <w:rFonts w:ascii="Arial" w:cs="Arial" w:eastAsia="Arial" w:hAnsi="Arial"/>
          <w:sz w:val="17"/>
          <w:szCs w:val="17"/>
          <w:color w:val="auto"/>
        </w:rPr>
        <w:t>Accounts that are not fully earned by performance (or otherwise represent a progress or milestone billing, a pre-billing or an otherwise contingent Account (it being agreed that, without limiting the foregoing, an Account shall be eligible under this clause if such Account is conditioned upon such Borrower’s satisfactory completion of any further performance under the agreement related to such Account, or if such Borrower has any remaining performance obligations (other than customary warranty obligations not then performable) under any such agreement related to such Account)) or not evidenced by a written invoice which has been delivered to the applicable Account Debtor;</w:t>
      </w:r>
    </w:p>
    <w:p>
      <w:pPr>
        <w:spacing w:after="0" w:line="151" w:lineRule="exact"/>
        <w:rPr>
          <w:rFonts w:ascii="Arial" w:cs="Arial" w:eastAsia="Arial" w:hAnsi="Arial"/>
          <w:sz w:val="17"/>
          <w:szCs w:val="17"/>
          <w:color w:val="auto"/>
        </w:rPr>
      </w:pPr>
    </w:p>
    <w:p>
      <w:pPr>
        <w:ind w:firstLine="634"/>
        <w:spacing w:after="0" w:line="274" w:lineRule="auto"/>
        <w:tabs>
          <w:tab w:leader="none" w:pos="1247" w:val="left"/>
        </w:tabs>
        <w:numPr>
          <w:ilvl w:val="0"/>
          <w:numId w:val="85"/>
        </w:numPr>
        <w:rPr>
          <w:rFonts w:ascii="Arial" w:cs="Arial" w:eastAsia="Arial" w:hAnsi="Arial"/>
          <w:sz w:val="19"/>
          <w:szCs w:val="19"/>
          <w:color w:val="auto"/>
        </w:rPr>
      </w:pPr>
      <w:r>
        <w:rPr>
          <w:rFonts w:ascii="Arial" w:cs="Arial" w:eastAsia="Arial" w:hAnsi="Arial"/>
          <w:sz w:val="19"/>
          <w:szCs w:val="19"/>
          <w:color w:val="auto"/>
        </w:rPr>
        <w:t>Accounts that have been outstanding for more than ninety (90) days from the invoice date or more than sixty (60) days past the original due date, whichever comes first;</w:t>
      </w:r>
    </w:p>
    <w:p>
      <w:pPr>
        <w:spacing w:after="0" w:line="156" w:lineRule="exact"/>
        <w:rPr>
          <w:rFonts w:ascii="Arial" w:cs="Arial" w:eastAsia="Arial" w:hAnsi="Arial"/>
          <w:sz w:val="19"/>
          <w:szCs w:val="19"/>
          <w:color w:val="auto"/>
        </w:rPr>
      </w:pPr>
    </w:p>
    <w:p>
      <w:pPr>
        <w:jc w:val="both"/>
        <w:ind w:firstLine="634"/>
        <w:spacing w:after="0" w:line="259" w:lineRule="auto"/>
        <w:tabs>
          <w:tab w:leader="none" w:pos="1249" w:val="left"/>
        </w:tabs>
        <w:numPr>
          <w:ilvl w:val="0"/>
          <w:numId w:val="85"/>
        </w:numPr>
        <w:rPr>
          <w:rFonts w:ascii="Arial" w:cs="Arial" w:eastAsia="Arial" w:hAnsi="Arial"/>
          <w:sz w:val="19"/>
          <w:szCs w:val="19"/>
          <w:color w:val="auto"/>
        </w:rPr>
      </w:pPr>
      <w:r>
        <w:rPr>
          <w:rFonts w:ascii="Arial" w:cs="Arial" w:eastAsia="Arial" w:hAnsi="Arial"/>
          <w:sz w:val="19"/>
          <w:szCs w:val="19"/>
          <w:color w:val="auto"/>
        </w:rPr>
        <w:t>Accounts due from any Account Debtor, fifty percent (50%) of whose Accounts or of those Accounts of its Affiliates are otherwise ineligible under the terms clause (b) above (whether by application of clause (b) under this definition and/or by cross-reference thereto under the definition of Eligible Time and Material Accounts, or both);</w:t>
      </w:r>
    </w:p>
    <w:p>
      <w:pPr>
        <w:spacing w:after="0" w:line="171" w:lineRule="exact"/>
        <w:rPr>
          <w:rFonts w:ascii="Arial" w:cs="Arial" w:eastAsia="Arial" w:hAnsi="Arial"/>
          <w:sz w:val="19"/>
          <w:szCs w:val="19"/>
          <w:color w:val="auto"/>
        </w:rPr>
      </w:pPr>
    </w:p>
    <w:p>
      <w:pPr>
        <w:jc w:val="both"/>
        <w:ind w:firstLine="634"/>
        <w:spacing w:after="0" w:line="259" w:lineRule="auto"/>
        <w:tabs>
          <w:tab w:leader="none" w:pos="1247" w:val="left"/>
        </w:tabs>
        <w:numPr>
          <w:ilvl w:val="0"/>
          <w:numId w:val="85"/>
        </w:numPr>
        <w:rPr>
          <w:rFonts w:ascii="Arial" w:cs="Arial" w:eastAsia="Arial" w:hAnsi="Arial"/>
          <w:sz w:val="19"/>
          <w:szCs w:val="19"/>
          <w:color w:val="auto"/>
        </w:rPr>
      </w:pPr>
      <w:r>
        <w:rPr>
          <w:rFonts w:ascii="Arial" w:cs="Arial" w:eastAsia="Arial" w:hAnsi="Arial"/>
          <w:sz w:val="19"/>
          <w:szCs w:val="19"/>
          <w:color w:val="auto"/>
        </w:rPr>
        <w:t>Accounts due from any Sanctioned Person or that otherwise involve transactions or dealings that are prohibited by or would cause the Administrative Agent, Swing Line Lender, Letter of Credit Issuer, any Lender or Loan Party to be in violation of Anti-Corruption Laws, Anti-Money Laundering Laws or Sanctions;</w:t>
      </w:r>
    </w:p>
    <w:p>
      <w:pPr>
        <w:spacing w:after="0" w:line="171" w:lineRule="exact"/>
        <w:rPr>
          <w:rFonts w:ascii="Arial" w:cs="Arial" w:eastAsia="Arial" w:hAnsi="Arial"/>
          <w:sz w:val="19"/>
          <w:szCs w:val="19"/>
          <w:color w:val="auto"/>
        </w:rPr>
      </w:pPr>
    </w:p>
    <w:p>
      <w:pPr>
        <w:jc w:val="both"/>
        <w:ind w:firstLine="634"/>
        <w:spacing w:after="0" w:line="250" w:lineRule="auto"/>
        <w:tabs>
          <w:tab w:leader="none" w:pos="1249" w:val="left"/>
        </w:tabs>
        <w:numPr>
          <w:ilvl w:val="0"/>
          <w:numId w:val="85"/>
        </w:numPr>
        <w:rPr>
          <w:rFonts w:ascii="Arial" w:cs="Arial" w:eastAsia="Arial" w:hAnsi="Arial"/>
          <w:sz w:val="19"/>
          <w:szCs w:val="19"/>
          <w:color w:val="auto"/>
        </w:rPr>
      </w:pPr>
      <w:r>
        <w:rPr>
          <w:rFonts w:ascii="Arial" w:cs="Arial" w:eastAsia="Arial" w:hAnsi="Arial"/>
          <w:sz w:val="19"/>
          <w:szCs w:val="19"/>
          <w:color w:val="auto"/>
        </w:rPr>
        <w:t>Accounts with respect to which (i) any representation or warranty set for in any Loan Document with respect thereto is not true and correct in all material respects, (ii) a Borrower does not have good, valid and marketable title thereto, free and clear of any Lien (other than junior Permitted Liens), (iii) is not subject to a perfected first priority Lien in favor of the Administrative Agent (and without limiting the foregoing, the proceeds of such Account may not be subject to any trust (whether arising by contract or Law) in respect of the application of such proceeds) or (iv) the applicable Account Debtor has not been instructed to (or does not in fact) remit payment to a deposit account of a Borrower subject to a Control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22</w:t>
      </w:r>
    </w:p>
    <w:p>
      <w:pPr>
        <w:sectPr>
          <w:pgSz w:w="11900" w:h="16838" w:orient="portrait"/>
          <w:cols w:equalWidth="0" w:num="1">
            <w:col w:w="11240"/>
          </w:cols>
          <w:pgMar w:left="320" w:top="1381" w:right="339" w:bottom="1440" w:gutter="0" w:footer="0" w:header="0"/>
        </w:sectPr>
      </w:pPr>
    </w:p>
    <w:bookmarkStart w:id="141" w:name="page142"/>
    <w:bookmarkEnd w:id="141"/>
    <w:p>
      <w:pPr>
        <w:jc w:val="both"/>
        <w:ind w:firstLine="634"/>
        <w:spacing w:after="0" w:line="254" w:lineRule="auto"/>
        <w:tabs>
          <w:tab w:leader="none" w:pos="1254" w:val="left"/>
        </w:tabs>
        <w:numPr>
          <w:ilvl w:val="0"/>
          <w:numId w:val="86"/>
        </w:numPr>
        <w:rPr>
          <w:rFonts w:ascii="Arial" w:cs="Arial" w:eastAsia="Arial" w:hAnsi="Arial"/>
          <w:sz w:val="19"/>
          <w:szCs w:val="19"/>
          <w:color w:val="auto"/>
        </w:rPr>
      </w:pPr>
      <w:r>
        <w:rPr>
          <w:rFonts w:ascii="Arial" w:cs="Arial" w:eastAsia="Arial" w:hAnsi="Arial"/>
          <w:sz w:val="19"/>
          <w:szCs w:val="19"/>
          <w:color w:val="auto"/>
        </w:rPr>
        <w:t>Accounts which are disputed or with respect to which a claim, counterclaim, offset or chargeback has been asserted, but only to the extent of such dispute, counterclaim, offset or chargeback, provided that in order for an Account to be eligible under this “but only” clause, such dispute, counterclaim, offset or chargeback must be reducible to liquidated sum (with the calculation thereof being acceptable to the Administrative Agent);</w:t>
      </w:r>
    </w:p>
    <w:p>
      <w:pPr>
        <w:spacing w:after="0" w:line="176" w:lineRule="exact"/>
        <w:rPr>
          <w:rFonts w:ascii="Arial" w:cs="Arial" w:eastAsia="Arial" w:hAnsi="Arial"/>
          <w:sz w:val="19"/>
          <w:szCs w:val="19"/>
          <w:color w:val="auto"/>
        </w:rPr>
      </w:pPr>
    </w:p>
    <w:p>
      <w:pPr>
        <w:jc w:val="both"/>
        <w:ind w:firstLine="634"/>
        <w:spacing w:after="0" w:line="259" w:lineRule="auto"/>
        <w:tabs>
          <w:tab w:leader="none" w:pos="1247" w:val="left"/>
        </w:tabs>
        <w:numPr>
          <w:ilvl w:val="0"/>
          <w:numId w:val="86"/>
        </w:numPr>
        <w:rPr>
          <w:rFonts w:ascii="Arial" w:cs="Arial" w:eastAsia="Arial" w:hAnsi="Arial"/>
          <w:sz w:val="19"/>
          <w:szCs w:val="19"/>
          <w:color w:val="auto"/>
        </w:rPr>
      </w:pPr>
      <w:r>
        <w:rPr>
          <w:rFonts w:ascii="Arial" w:cs="Arial" w:eastAsia="Arial" w:hAnsi="Arial"/>
          <w:sz w:val="19"/>
          <w:szCs w:val="19"/>
          <w:color w:val="auto"/>
        </w:rPr>
        <w:t>Accounts which (i) do not arise out of a sale of goods or rendition of services (in each case, excluding warranty contracts on a standalone basis) in the Ordinary Course of Business, (ii) do not arise upon credit terms usual to the business of the Borrowers, (iii) are not payable in Dollars, (iv) is not payable to a Borrower or (v) have been determined to be uncollectible;</w:t>
      </w:r>
    </w:p>
    <w:p>
      <w:pPr>
        <w:spacing w:after="0" w:line="171" w:lineRule="exact"/>
        <w:rPr>
          <w:rFonts w:ascii="Arial" w:cs="Arial" w:eastAsia="Arial" w:hAnsi="Arial"/>
          <w:sz w:val="19"/>
          <w:szCs w:val="19"/>
          <w:color w:val="auto"/>
        </w:rPr>
      </w:pPr>
    </w:p>
    <w:p>
      <w:pPr>
        <w:jc w:val="both"/>
        <w:ind w:firstLine="634"/>
        <w:spacing w:after="0" w:line="259" w:lineRule="auto"/>
        <w:tabs>
          <w:tab w:leader="none" w:pos="1247" w:val="left"/>
        </w:tabs>
        <w:numPr>
          <w:ilvl w:val="0"/>
          <w:numId w:val="86"/>
        </w:numPr>
        <w:rPr>
          <w:rFonts w:ascii="Arial" w:cs="Arial" w:eastAsia="Arial" w:hAnsi="Arial"/>
          <w:sz w:val="19"/>
          <w:szCs w:val="19"/>
          <w:color w:val="auto"/>
        </w:rPr>
      </w:pPr>
      <w:r>
        <w:rPr>
          <w:rFonts w:ascii="Arial" w:cs="Arial" w:eastAsia="Arial" w:hAnsi="Arial"/>
          <w:sz w:val="19"/>
          <w:szCs w:val="19"/>
          <w:color w:val="auto"/>
        </w:rPr>
        <w:t>Accounts (i) upon which a Borrower’s right to receive payment is not absolute or is contingent upon the fulfillment of any condition whatsoever, including cash on delivery and cash in advance transactions or (ii) as to which a Borrower is not able to bring suit or otherwise enforce its remedies against the related Account Debtor through judicial process;</w:t>
      </w:r>
    </w:p>
    <w:p>
      <w:pPr>
        <w:spacing w:after="0" w:line="171" w:lineRule="exact"/>
        <w:rPr>
          <w:rFonts w:ascii="Arial" w:cs="Arial" w:eastAsia="Arial" w:hAnsi="Arial"/>
          <w:sz w:val="19"/>
          <w:szCs w:val="19"/>
          <w:color w:val="auto"/>
        </w:rPr>
      </w:pPr>
    </w:p>
    <w:p>
      <w:pPr>
        <w:ind w:left="1260" w:hanging="626"/>
        <w:spacing w:after="0"/>
        <w:tabs>
          <w:tab w:leader="none" w:pos="1260" w:val="left"/>
        </w:tabs>
        <w:numPr>
          <w:ilvl w:val="0"/>
          <w:numId w:val="86"/>
        </w:numPr>
        <w:rPr>
          <w:rFonts w:ascii="Arial" w:cs="Arial" w:eastAsia="Arial" w:hAnsi="Arial"/>
          <w:sz w:val="19"/>
          <w:szCs w:val="19"/>
          <w:color w:val="auto"/>
        </w:rPr>
      </w:pPr>
      <w:r>
        <w:rPr>
          <w:rFonts w:ascii="Arial" w:cs="Arial" w:eastAsia="Arial" w:hAnsi="Arial"/>
          <w:sz w:val="19"/>
          <w:szCs w:val="19"/>
          <w:color w:val="auto"/>
        </w:rPr>
        <w:t>Accounts which are owed by any officer, director, agent or Affiliate any Borrower;</w:t>
      </w:r>
    </w:p>
    <w:p>
      <w:pPr>
        <w:spacing w:after="0" w:line="214" w:lineRule="exact"/>
        <w:rPr>
          <w:rFonts w:ascii="Arial" w:cs="Arial" w:eastAsia="Arial" w:hAnsi="Arial"/>
          <w:sz w:val="19"/>
          <w:szCs w:val="19"/>
          <w:color w:val="auto"/>
        </w:rPr>
      </w:pPr>
    </w:p>
    <w:p>
      <w:pPr>
        <w:jc w:val="both"/>
        <w:ind w:firstLine="634"/>
        <w:spacing w:after="0" w:line="254" w:lineRule="auto"/>
        <w:tabs>
          <w:tab w:leader="none" w:pos="1257" w:val="left"/>
        </w:tabs>
        <w:numPr>
          <w:ilvl w:val="0"/>
          <w:numId w:val="86"/>
        </w:numPr>
        <w:rPr>
          <w:rFonts w:ascii="Arial" w:cs="Arial" w:eastAsia="Arial" w:hAnsi="Arial"/>
          <w:sz w:val="19"/>
          <w:szCs w:val="19"/>
          <w:color w:val="auto"/>
        </w:rPr>
      </w:pPr>
      <w:r>
        <w:rPr>
          <w:rFonts w:ascii="Arial" w:cs="Arial" w:eastAsia="Arial" w:hAnsi="Arial"/>
          <w:sz w:val="19"/>
          <w:szCs w:val="19"/>
          <w:color w:val="auto"/>
        </w:rPr>
        <w:t>Accounts for which all material consents, approvals or authorizations of, or registrations or declarations with any Governmental Authority required to be obtained, effected or given in connection with the performance of such Account by the Account Debtor or in connection with the enforcement of such Account by the Administrative Agent have not been duly obtained, effected or given or are not in full force and effect;</w:t>
      </w:r>
    </w:p>
    <w:p>
      <w:pPr>
        <w:spacing w:after="0" w:line="176" w:lineRule="exact"/>
        <w:rPr>
          <w:rFonts w:ascii="Arial" w:cs="Arial" w:eastAsia="Arial" w:hAnsi="Arial"/>
          <w:sz w:val="19"/>
          <w:szCs w:val="19"/>
          <w:color w:val="auto"/>
        </w:rPr>
      </w:pPr>
    </w:p>
    <w:p>
      <w:pPr>
        <w:jc w:val="both"/>
        <w:ind w:firstLine="634"/>
        <w:spacing w:after="0" w:line="280" w:lineRule="auto"/>
        <w:tabs>
          <w:tab w:leader="none" w:pos="1247" w:val="left"/>
        </w:tabs>
        <w:numPr>
          <w:ilvl w:val="0"/>
          <w:numId w:val="86"/>
        </w:numPr>
        <w:rPr>
          <w:rFonts w:ascii="Arial" w:cs="Arial" w:eastAsia="Arial" w:hAnsi="Arial"/>
          <w:sz w:val="18"/>
          <w:szCs w:val="18"/>
          <w:color w:val="auto"/>
        </w:rPr>
      </w:pPr>
      <w:r>
        <w:rPr>
          <w:rFonts w:ascii="Arial" w:cs="Arial" w:eastAsia="Arial" w:hAnsi="Arial"/>
          <w:sz w:val="18"/>
          <w:szCs w:val="18"/>
          <w:color w:val="auto"/>
        </w:rPr>
        <w:t>Accounts due from an Account Debtor either which is the subject of any bankruptcy, insolvency or similar proceeding under any Debtor Relief Laws, has had a trustee or receiver appointed for all or a substantial part of its property, has made an assignment for the benefit of creditors or has suspended its business, or which is a party to any litigation, arbitration or other proceeding with a Loan Party;</w:t>
      </w:r>
    </w:p>
    <w:p>
      <w:pPr>
        <w:spacing w:after="0" w:line="154" w:lineRule="exact"/>
        <w:rPr>
          <w:rFonts w:ascii="Arial" w:cs="Arial" w:eastAsia="Arial" w:hAnsi="Arial"/>
          <w:sz w:val="18"/>
          <w:szCs w:val="18"/>
          <w:color w:val="auto"/>
        </w:rPr>
      </w:pPr>
    </w:p>
    <w:p>
      <w:pPr>
        <w:ind w:firstLine="634"/>
        <w:spacing w:after="0" w:line="334" w:lineRule="auto"/>
        <w:tabs>
          <w:tab w:leader="none" w:pos="1257" w:val="left"/>
        </w:tabs>
        <w:numPr>
          <w:ilvl w:val="0"/>
          <w:numId w:val="86"/>
        </w:numPr>
        <w:rPr>
          <w:rFonts w:ascii="Arial" w:cs="Arial" w:eastAsia="Arial" w:hAnsi="Arial"/>
          <w:sz w:val="17"/>
          <w:szCs w:val="17"/>
          <w:color w:val="auto"/>
        </w:rPr>
      </w:pPr>
      <w:r>
        <w:rPr>
          <w:rFonts w:ascii="Arial" w:cs="Arial" w:eastAsia="Arial" w:hAnsi="Arial"/>
          <w:sz w:val="17"/>
          <w:szCs w:val="17"/>
          <w:color w:val="auto"/>
        </w:rPr>
        <w:t>Accounts due from any Governmental Authority, except to the extent that the subject Account Debtor is the federal government of the United States of America and has complied with the Federal Assignment of Claims Act of 1940 and any similar state legislation;</w:t>
      </w:r>
    </w:p>
    <w:p>
      <w:pPr>
        <w:spacing w:after="0" w:line="111" w:lineRule="exact"/>
        <w:rPr>
          <w:rFonts w:ascii="Arial" w:cs="Arial" w:eastAsia="Arial" w:hAnsi="Arial"/>
          <w:sz w:val="17"/>
          <w:szCs w:val="17"/>
          <w:color w:val="auto"/>
        </w:rPr>
      </w:pPr>
    </w:p>
    <w:p>
      <w:pPr>
        <w:jc w:val="both"/>
        <w:ind w:firstLine="634"/>
        <w:spacing w:after="0" w:line="288" w:lineRule="auto"/>
        <w:tabs>
          <w:tab w:leader="none" w:pos="1248" w:val="left"/>
        </w:tabs>
        <w:numPr>
          <w:ilvl w:val="0"/>
          <w:numId w:val="86"/>
        </w:numPr>
        <w:rPr>
          <w:rFonts w:ascii="Arial" w:cs="Arial" w:eastAsia="Arial" w:hAnsi="Arial"/>
          <w:sz w:val="17"/>
          <w:szCs w:val="17"/>
          <w:color w:val="auto"/>
        </w:rPr>
      </w:pPr>
      <w:r>
        <w:rPr>
          <w:rFonts w:ascii="Arial" w:cs="Arial" w:eastAsia="Arial" w:hAnsi="Arial"/>
          <w:sz w:val="17"/>
          <w:szCs w:val="17"/>
          <w:color w:val="auto"/>
        </w:rPr>
        <w:t>Accounts (i) owing from any Account Debtor that is also a supplier to or creditor of a Borrower, unless such Person has waived in writing any right of setoff in a manner reasonably acceptable to the Administrative Agent but only to the extent of the aggregate amount of such Borrower’s liability to such Account Debtor, (ii) to the extent representing any manufacturer’s or supplier’s allowances, credits, discounts, incentive plans or similar arrangements entitling such Borrower to discounts on future purchase therefrom, (iii) to the extent constituting amounts owed with respect to loans or advances, or (iv) to the extent relating to payment of interest, fees, late charges or Taxes;</w:t>
      </w:r>
    </w:p>
    <w:p>
      <w:pPr>
        <w:spacing w:after="0" w:line="151" w:lineRule="exact"/>
        <w:rPr>
          <w:rFonts w:ascii="Arial" w:cs="Arial" w:eastAsia="Arial" w:hAnsi="Arial"/>
          <w:sz w:val="17"/>
          <w:szCs w:val="17"/>
          <w:color w:val="auto"/>
        </w:rPr>
      </w:pPr>
    </w:p>
    <w:p>
      <w:pPr>
        <w:ind w:firstLine="634"/>
        <w:spacing w:after="0" w:line="274" w:lineRule="auto"/>
        <w:tabs>
          <w:tab w:leader="none" w:pos="1247" w:val="left"/>
        </w:tabs>
        <w:numPr>
          <w:ilvl w:val="0"/>
          <w:numId w:val="86"/>
        </w:numPr>
        <w:rPr>
          <w:rFonts w:ascii="Arial" w:cs="Arial" w:eastAsia="Arial" w:hAnsi="Arial"/>
          <w:sz w:val="19"/>
          <w:szCs w:val="19"/>
          <w:color w:val="auto"/>
        </w:rPr>
      </w:pPr>
      <w:r>
        <w:rPr>
          <w:rFonts w:ascii="Arial" w:cs="Arial" w:eastAsia="Arial" w:hAnsi="Arial"/>
          <w:sz w:val="19"/>
          <w:szCs w:val="19"/>
          <w:color w:val="auto"/>
        </w:rPr>
        <w:t>Accounts arising out of sales on a bill-and-hold, guaranteed sale, sale-or-return, sale on approval or consignment basis or subject to any right of return, setoff or charge back</w:t>
      </w:r>
    </w:p>
    <w:p>
      <w:pPr>
        <w:spacing w:after="0" w:line="156" w:lineRule="exact"/>
        <w:rPr>
          <w:rFonts w:ascii="Arial" w:cs="Arial" w:eastAsia="Arial" w:hAnsi="Arial"/>
          <w:sz w:val="19"/>
          <w:szCs w:val="19"/>
          <w:color w:val="auto"/>
        </w:rPr>
      </w:pPr>
    </w:p>
    <w:p>
      <w:pPr>
        <w:ind w:firstLine="634"/>
        <w:spacing w:after="0" w:line="274" w:lineRule="auto"/>
        <w:tabs>
          <w:tab w:leader="none" w:pos="1247" w:val="left"/>
        </w:tabs>
        <w:numPr>
          <w:ilvl w:val="0"/>
          <w:numId w:val="86"/>
        </w:numPr>
        <w:rPr>
          <w:rFonts w:ascii="Arial" w:cs="Arial" w:eastAsia="Arial" w:hAnsi="Arial"/>
          <w:sz w:val="19"/>
          <w:szCs w:val="19"/>
          <w:color w:val="auto"/>
        </w:rPr>
      </w:pPr>
      <w:r>
        <w:rPr>
          <w:rFonts w:ascii="Arial" w:cs="Arial" w:eastAsia="Arial" w:hAnsi="Arial"/>
          <w:sz w:val="19"/>
          <w:szCs w:val="19"/>
          <w:color w:val="auto"/>
        </w:rPr>
        <w:t>Accounts where any return, rejection or repossession of any services or asset has occurred the sale or provision of which gave rise to such Account, or whether the underlying agreement has been canceled by the Account Debtor;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23</w:t>
      </w:r>
    </w:p>
    <w:p>
      <w:pPr>
        <w:sectPr>
          <w:pgSz w:w="11900" w:h="16838" w:orient="portrait"/>
          <w:cols w:equalWidth="0" w:num="1">
            <w:col w:w="11240"/>
          </w:cols>
          <w:pgMar w:left="320" w:top="1381" w:right="339" w:bottom="1440" w:gutter="0" w:footer="0" w:header="0"/>
        </w:sectPr>
      </w:pPr>
    </w:p>
    <w:bookmarkStart w:id="142" w:name="page143"/>
    <w:bookmarkEnd w:id="142"/>
    <w:p>
      <w:pPr>
        <w:jc w:val="both"/>
        <w:ind w:firstLine="634"/>
        <w:spacing w:after="0" w:line="252" w:lineRule="auto"/>
        <w:tabs>
          <w:tab w:leader="none" w:pos="1247" w:val="left"/>
        </w:tabs>
        <w:numPr>
          <w:ilvl w:val="0"/>
          <w:numId w:val="87"/>
        </w:numPr>
        <w:rPr>
          <w:rFonts w:ascii="Arial" w:cs="Arial" w:eastAsia="Arial" w:hAnsi="Arial"/>
          <w:sz w:val="19"/>
          <w:szCs w:val="19"/>
          <w:color w:val="auto"/>
        </w:rPr>
      </w:pPr>
      <w:r>
        <w:rPr>
          <w:rFonts w:ascii="Arial" w:cs="Arial" w:eastAsia="Arial" w:hAnsi="Arial"/>
          <w:sz w:val="19"/>
          <w:szCs w:val="19"/>
          <w:color w:val="auto"/>
        </w:rPr>
        <w:t>Accounts arising out of sales or services to any Account Debtor organized or having its principal office or substantially all assets outside the United States or Canada unless either (i) such Accounts are fully backed by an irrevocable letter of credit on terms, and issued by a financial institution, acceptable to the Administrative Agent and such irrevocable letter of credit is in the possession of the Administrative Agent, or (ii) such Accounts are supported by credit insurance on terms and from providers acceptable to the Administrative Agent, including naming the Administrative Agent as an additional insured and loss payee;</w:t>
      </w:r>
    </w:p>
    <w:p>
      <w:pPr>
        <w:spacing w:after="0" w:line="177" w:lineRule="exact"/>
        <w:rPr>
          <w:rFonts w:ascii="Arial" w:cs="Arial" w:eastAsia="Arial" w:hAnsi="Arial"/>
          <w:sz w:val="19"/>
          <w:szCs w:val="19"/>
          <w:color w:val="auto"/>
        </w:rPr>
      </w:pPr>
    </w:p>
    <w:p>
      <w:pPr>
        <w:ind w:left="1260" w:hanging="626"/>
        <w:spacing w:after="0"/>
        <w:tabs>
          <w:tab w:leader="none" w:pos="1260" w:val="left"/>
        </w:tabs>
        <w:numPr>
          <w:ilvl w:val="0"/>
          <w:numId w:val="87"/>
        </w:numPr>
        <w:rPr>
          <w:rFonts w:ascii="Arial" w:cs="Arial" w:eastAsia="Arial" w:hAnsi="Arial"/>
          <w:sz w:val="19"/>
          <w:szCs w:val="19"/>
          <w:color w:val="auto"/>
        </w:rPr>
      </w:pPr>
      <w:r>
        <w:rPr>
          <w:rFonts w:ascii="Arial" w:cs="Arial" w:eastAsia="Arial" w:hAnsi="Arial"/>
          <w:sz w:val="19"/>
          <w:szCs w:val="19"/>
          <w:color w:val="auto"/>
        </w:rPr>
        <w:t>Accounts that are evidenced by any judgment, Instrument or Chattel Paper;</w:t>
      </w:r>
    </w:p>
    <w:p>
      <w:pPr>
        <w:spacing w:after="0" w:line="214" w:lineRule="exact"/>
        <w:rPr>
          <w:rFonts w:ascii="Arial" w:cs="Arial" w:eastAsia="Arial" w:hAnsi="Arial"/>
          <w:sz w:val="19"/>
          <w:szCs w:val="19"/>
          <w:color w:val="auto"/>
        </w:rPr>
      </w:pPr>
    </w:p>
    <w:p>
      <w:pPr>
        <w:jc w:val="both"/>
        <w:ind w:firstLine="634"/>
        <w:spacing w:after="0" w:line="259" w:lineRule="auto"/>
        <w:tabs>
          <w:tab w:leader="none" w:pos="1254" w:val="left"/>
        </w:tabs>
        <w:numPr>
          <w:ilvl w:val="0"/>
          <w:numId w:val="87"/>
        </w:numPr>
        <w:rPr>
          <w:rFonts w:ascii="Arial" w:cs="Arial" w:eastAsia="Arial" w:hAnsi="Arial"/>
          <w:sz w:val="19"/>
          <w:szCs w:val="19"/>
          <w:color w:val="auto"/>
        </w:rPr>
      </w:pPr>
      <w:r>
        <w:rPr>
          <w:rFonts w:ascii="Arial" w:cs="Arial" w:eastAsia="Arial" w:hAnsi="Arial"/>
          <w:sz w:val="19"/>
          <w:szCs w:val="19"/>
          <w:color w:val="auto"/>
        </w:rPr>
        <w:t>Accounts due from an Account Debtor and its Affiliates, the aggregate of which Accounts (including Eligible Accounts and Eligible Time and Material Accounts) due from such Account Debtor and its Affiliates represents more than twenty percent (20%) of all then outstanding Accounts owed to the Borrowers, but only to the extent of such excess;</w:t>
      </w:r>
    </w:p>
    <w:p>
      <w:pPr>
        <w:spacing w:after="0" w:line="171" w:lineRule="exact"/>
        <w:rPr>
          <w:rFonts w:ascii="Arial" w:cs="Arial" w:eastAsia="Arial" w:hAnsi="Arial"/>
          <w:sz w:val="19"/>
          <w:szCs w:val="19"/>
          <w:color w:val="auto"/>
        </w:rPr>
      </w:pPr>
    </w:p>
    <w:p>
      <w:pPr>
        <w:ind w:firstLine="634"/>
        <w:spacing w:after="0" w:line="274" w:lineRule="auto"/>
        <w:tabs>
          <w:tab w:leader="none" w:pos="1252" w:val="left"/>
        </w:tabs>
        <w:numPr>
          <w:ilvl w:val="0"/>
          <w:numId w:val="87"/>
        </w:numPr>
        <w:rPr>
          <w:rFonts w:ascii="Arial" w:cs="Arial" w:eastAsia="Arial" w:hAnsi="Arial"/>
          <w:sz w:val="19"/>
          <w:szCs w:val="19"/>
          <w:color w:val="auto"/>
        </w:rPr>
      </w:pPr>
      <w:r>
        <w:rPr>
          <w:rFonts w:ascii="Arial" w:cs="Arial" w:eastAsia="Arial" w:hAnsi="Arial"/>
          <w:sz w:val="19"/>
          <w:szCs w:val="19"/>
          <w:color w:val="auto"/>
        </w:rPr>
        <w:t>Accounts that remain open after the applicable Account Debtor has made a partial payment in respect of the applicable invoice (whether or not the applicable Account Debtor has provided an explanation for such partial payment);</w:t>
      </w:r>
    </w:p>
    <w:p>
      <w:pPr>
        <w:spacing w:after="0" w:line="156" w:lineRule="exact"/>
        <w:rPr>
          <w:rFonts w:ascii="Arial" w:cs="Arial" w:eastAsia="Arial" w:hAnsi="Arial"/>
          <w:sz w:val="19"/>
          <w:szCs w:val="19"/>
          <w:color w:val="auto"/>
        </w:rPr>
      </w:pPr>
    </w:p>
    <w:p>
      <w:pPr>
        <w:ind w:firstLine="634"/>
        <w:spacing w:after="0" w:line="274" w:lineRule="auto"/>
        <w:tabs>
          <w:tab w:leader="none" w:pos="1257" w:val="left"/>
        </w:tabs>
        <w:numPr>
          <w:ilvl w:val="0"/>
          <w:numId w:val="87"/>
        </w:numPr>
        <w:rPr>
          <w:rFonts w:ascii="Arial" w:cs="Arial" w:eastAsia="Arial" w:hAnsi="Arial"/>
          <w:sz w:val="19"/>
          <w:szCs w:val="19"/>
          <w:color w:val="auto"/>
        </w:rPr>
      </w:pPr>
      <w:r>
        <w:rPr>
          <w:rFonts w:ascii="Arial" w:cs="Arial" w:eastAsia="Arial" w:hAnsi="Arial"/>
          <w:sz w:val="19"/>
          <w:szCs w:val="19"/>
          <w:color w:val="auto"/>
        </w:rPr>
        <w:t>Accounts where the applicable Account Debtor tendered a check or other item of payment in full or partial satisfaction and such check or other item of payment has been returned by the financial institution on which it is drawn;</w:t>
      </w:r>
    </w:p>
    <w:p>
      <w:pPr>
        <w:spacing w:after="0" w:line="156" w:lineRule="exact"/>
        <w:rPr>
          <w:rFonts w:ascii="Arial" w:cs="Arial" w:eastAsia="Arial" w:hAnsi="Arial"/>
          <w:sz w:val="19"/>
          <w:szCs w:val="19"/>
          <w:color w:val="auto"/>
        </w:rPr>
      </w:pPr>
    </w:p>
    <w:p>
      <w:pPr>
        <w:ind w:firstLine="634"/>
        <w:spacing w:after="0" w:line="274" w:lineRule="auto"/>
        <w:tabs>
          <w:tab w:leader="none" w:pos="1247" w:val="left"/>
        </w:tabs>
        <w:numPr>
          <w:ilvl w:val="0"/>
          <w:numId w:val="87"/>
        </w:numPr>
        <w:rPr>
          <w:rFonts w:ascii="Arial" w:cs="Arial" w:eastAsia="Arial" w:hAnsi="Arial"/>
          <w:sz w:val="19"/>
          <w:szCs w:val="19"/>
          <w:color w:val="auto"/>
        </w:rPr>
      </w:pPr>
      <w:r>
        <w:rPr>
          <w:rFonts w:ascii="Arial" w:cs="Arial" w:eastAsia="Arial" w:hAnsi="Arial"/>
          <w:sz w:val="19"/>
          <w:szCs w:val="19"/>
          <w:color w:val="auto"/>
        </w:rPr>
        <w:t>Accounts arising from the sale or rental of goods where such goods are the subject of a Capital Lease or any purchase money financing arrangement;</w:t>
      </w:r>
    </w:p>
    <w:p>
      <w:pPr>
        <w:spacing w:after="0" w:line="156" w:lineRule="exact"/>
        <w:rPr>
          <w:rFonts w:ascii="Arial" w:cs="Arial" w:eastAsia="Arial" w:hAnsi="Arial"/>
          <w:sz w:val="19"/>
          <w:szCs w:val="19"/>
          <w:color w:val="auto"/>
        </w:rPr>
      </w:pPr>
    </w:p>
    <w:p>
      <w:pPr>
        <w:ind w:firstLine="634"/>
        <w:spacing w:after="0" w:line="274" w:lineRule="auto"/>
        <w:tabs>
          <w:tab w:leader="none" w:pos="1247" w:val="left"/>
        </w:tabs>
        <w:numPr>
          <w:ilvl w:val="0"/>
          <w:numId w:val="87"/>
        </w:numPr>
        <w:rPr>
          <w:rFonts w:ascii="Arial" w:cs="Arial" w:eastAsia="Arial" w:hAnsi="Arial"/>
          <w:sz w:val="19"/>
          <w:szCs w:val="19"/>
          <w:color w:val="auto"/>
        </w:rPr>
      </w:pPr>
      <w:r>
        <w:rPr>
          <w:rFonts w:ascii="Arial" w:cs="Arial" w:eastAsia="Arial" w:hAnsi="Arial"/>
          <w:sz w:val="19"/>
          <w:szCs w:val="19"/>
          <w:color w:val="auto"/>
        </w:rPr>
        <w:t>Accounts for which payment has been received by the applicable Borrower but such payment has not been applied to the applicable Account;</w:t>
      </w:r>
    </w:p>
    <w:p>
      <w:pPr>
        <w:spacing w:after="0" w:line="156" w:lineRule="exact"/>
        <w:rPr>
          <w:rFonts w:ascii="Arial" w:cs="Arial" w:eastAsia="Arial" w:hAnsi="Arial"/>
          <w:sz w:val="19"/>
          <w:szCs w:val="19"/>
          <w:color w:val="auto"/>
        </w:rPr>
      </w:pPr>
    </w:p>
    <w:p>
      <w:pPr>
        <w:jc w:val="both"/>
        <w:ind w:firstLine="634"/>
        <w:spacing w:after="0" w:line="254" w:lineRule="auto"/>
        <w:tabs>
          <w:tab w:leader="none" w:pos="1250" w:val="left"/>
        </w:tabs>
        <w:numPr>
          <w:ilvl w:val="0"/>
          <w:numId w:val="87"/>
        </w:numPr>
        <w:rPr>
          <w:rFonts w:ascii="Arial" w:cs="Arial" w:eastAsia="Arial" w:hAnsi="Arial"/>
          <w:sz w:val="19"/>
          <w:szCs w:val="19"/>
          <w:color w:val="auto"/>
        </w:rPr>
      </w:pPr>
      <w:r>
        <w:rPr>
          <w:rFonts w:ascii="Arial" w:cs="Arial" w:eastAsia="Arial" w:hAnsi="Arial"/>
          <w:sz w:val="19"/>
          <w:szCs w:val="19"/>
          <w:color w:val="auto"/>
        </w:rPr>
        <w:t>Accounts for which amounts (including any amounts constituting retainage) remain owing to any providers of materials or laborers (other than employees of a Loan Party, which amounts owing to employees may be subject to an Availability Reserve) who provided materials or services, or both, related to the sale of goods or performance of services that gave rise to the applicable Account, unless (at the Administrative Agent’s election) such amounts have been specifically and fully Reserved;</w:t>
      </w:r>
    </w:p>
    <w:p>
      <w:pPr>
        <w:spacing w:after="0" w:line="176" w:lineRule="exact"/>
        <w:rPr>
          <w:rFonts w:ascii="Arial" w:cs="Arial" w:eastAsia="Arial" w:hAnsi="Arial"/>
          <w:sz w:val="19"/>
          <w:szCs w:val="19"/>
          <w:color w:val="auto"/>
        </w:rPr>
      </w:pPr>
    </w:p>
    <w:p>
      <w:pPr>
        <w:ind w:firstLine="634"/>
        <w:spacing w:after="0" w:line="302" w:lineRule="auto"/>
        <w:tabs>
          <w:tab w:leader="none" w:pos="1247" w:val="left"/>
        </w:tabs>
        <w:numPr>
          <w:ilvl w:val="0"/>
          <w:numId w:val="87"/>
        </w:numPr>
        <w:rPr>
          <w:rFonts w:ascii="Arial" w:cs="Arial" w:eastAsia="Arial" w:hAnsi="Arial"/>
          <w:sz w:val="18"/>
          <w:szCs w:val="18"/>
          <w:color w:val="auto"/>
        </w:rPr>
      </w:pPr>
      <w:r>
        <w:rPr>
          <w:rFonts w:ascii="Arial" w:cs="Arial" w:eastAsia="Arial" w:hAnsi="Arial"/>
          <w:sz w:val="18"/>
          <w:szCs w:val="18"/>
          <w:color w:val="auto"/>
        </w:rPr>
        <w:t>such Account is owed by an Account Debtor as to which a Borrower has entered into a factoring or similar agreement with respect to any of the Accounts owing by such Account Debtor to a Borrower (regardless of whether such Account has been factored);</w:t>
      </w:r>
    </w:p>
    <w:p>
      <w:pPr>
        <w:spacing w:after="0" w:line="134" w:lineRule="exact"/>
        <w:rPr>
          <w:rFonts w:ascii="Arial" w:cs="Arial" w:eastAsia="Arial" w:hAnsi="Arial"/>
          <w:sz w:val="18"/>
          <w:szCs w:val="18"/>
          <w:color w:val="auto"/>
        </w:rPr>
      </w:pPr>
    </w:p>
    <w:p>
      <w:pPr>
        <w:ind w:firstLine="634"/>
        <w:spacing w:after="0" w:line="302" w:lineRule="auto"/>
        <w:tabs>
          <w:tab w:leader="none" w:pos="1247" w:val="left"/>
        </w:tabs>
        <w:numPr>
          <w:ilvl w:val="0"/>
          <w:numId w:val="87"/>
        </w:numPr>
        <w:rPr>
          <w:rFonts w:ascii="Arial" w:cs="Arial" w:eastAsia="Arial" w:hAnsi="Arial"/>
          <w:sz w:val="18"/>
          <w:szCs w:val="18"/>
          <w:color w:val="auto"/>
        </w:rPr>
      </w:pPr>
      <w:r>
        <w:rPr>
          <w:rFonts w:ascii="Arial" w:cs="Arial" w:eastAsia="Arial" w:hAnsi="Arial"/>
          <w:sz w:val="18"/>
          <w:szCs w:val="18"/>
          <w:color w:val="auto"/>
        </w:rPr>
        <w:t>Accounts for which the underlying sale and other documentation governing such Account is not governed by the laws of the United States or in the case of any Accounts of a Canadian Borrower, any state thereof or Canada or any province or territory thereof;</w:t>
      </w:r>
    </w:p>
    <w:p>
      <w:pPr>
        <w:spacing w:after="0" w:line="134" w:lineRule="exact"/>
        <w:rPr>
          <w:rFonts w:ascii="Arial" w:cs="Arial" w:eastAsia="Arial" w:hAnsi="Arial"/>
          <w:sz w:val="18"/>
          <w:szCs w:val="18"/>
          <w:color w:val="auto"/>
        </w:rPr>
      </w:pPr>
    </w:p>
    <w:p>
      <w:pPr>
        <w:ind w:left="1260" w:hanging="626"/>
        <w:spacing w:after="0"/>
        <w:tabs>
          <w:tab w:leader="none" w:pos="1260" w:val="left"/>
        </w:tabs>
        <w:numPr>
          <w:ilvl w:val="0"/>
          <w:numId w:val="87"/>
        </w:numPr>
        <w:rPr>
          <w:rFonts w:ascii="Arial" w:cs="Arial" w:eastAsia="Arial" w:hAnsi="Arial"/>
          <w:sz w:val="19"/>
          <w:szCs w:val="19"/>
          <w:color w:val="auto"/>
        </w:rPr>
      </w:pPr>
      <w:r>
        <w:rPr>
          <w:rFonts w:ascii="Arial" w:cs="Arial" w:eastAsia="Arial" w:hAnsi="Arial"/>
          <w:sz w:val="19"/>
          <w:szCs w:val="19"/>
          <w:color w:val="auto"/>
        </w:rPr>
        <w:t>Accounts (or any portion thereof) representing retainage; or</w:t>
      </w:r>
    </w:p>
    <w:p>
      <w:pPr>
        <w:spacing w:after="0" w:line="214" w:lineRule="exact"/>
        <w:rPr>
          <w:sz w:val="20"/>
          <w:szCs w:val="20"/>
          <w:color w:val="auto"/>
        </w:rPr>
      </w:pPr>
    </w:p>
    <w:p>
      <w:pPr>
        <w:ind w:firstLine="634"/>
        <w:spacing w:after="0" w:line="274" w:lineRule="auto"/>
        <w:tabs>
          <w:tab w:leader="none" w:pos="1256" w:val="left"/>
        </w:tabs>
        <w:numPr>
          <w:ilvl w:val="0"/>
          <w:numId w:val="88"/>
        </w:numPr>
        <w:rPr>
          <w:rFonts w:ascii="Arial" w:cs="Arial" w:eastAsia="Arial" w:hAnsi="Arial"/>
          <w:sz w:val="19"/>
          <w:szCs w:val="19"/>
          <w:color w:val="auto"/>
        </w:rPr>
      </w:pPr>
      <w:r>
        <w:rPr>
          <w:rFonts w:ascii="Arial" w:cs="Arial" w:eastAsia="Arial" w:hAnsi="Arial"/>
          <w:sz w:val="19"/>
          <w:szCs w:val="19"/>
          <w:color w:val="auto"/>
        </w:rPr>
        <w:t>Accounts arising from a sale of goods or performance of services subject to a payment or performance bond, any other Bonding Obligation or otherwise supported by a Surety; and without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24</w:t>
      </w:r>
    </w:p>
    <w:p>
      <w:pPr>
        <w:sectPr>
          <w:pgSz w:w="11900" w:h="16838" w:orient="portrait"/>
          <w:cols w:equalWidth="0" w:num="1">
            <w:col w:w="11240"/>
          </w:cols>
          <w:pgMar w:left="320" w:top="1381" w:right="339" w:bottom="1440" w:gutter="0" w:footer="0" w:header="0"/>
        </w:sectPr>
      </w:pPr>
    </w:p>
    <w:bookmarkStart w:id="143" w:name="page144"/>
    <w:bookmarkEnd w:id="143"/>
    <w:p>
      <w:pPr>
        <w:spacing w:after="0"/>
        <w:rPr>
          <w:sz w:val="20"/>
          <w:szCs w:val="20"/>
          <w:color w:val="auto"/>
        </w:rPr>
      </w:pPr>
      <w:r>
        <w:rPr>
          <w:rFonts w:ascii="Arial" w:cs="Arial" w:eastAsia="Arial" w:hAnsi="Arial"/>
          <w:sz w:val="17"/>
          <w:szCs w:val="17"/>
          <w:color w:val="auto"/>
        </w:rPr>
        <w:t>limiting the foregoing, any Account whose proceeds would constitute (once paid) Bonded AR Proceeds shall not constitute an Eligible Account.</w:t>
      </w:r>
    </w:p>
    <w:p>
      <w:pPr>
        <w:spacing w:after="0" w:line="237" w:lineRule="exact"/>
        <w:rPr>
          <w:sz w:val="20"/>
          <w:szCs w:val="20"/>
          <w:color w:val="auto"/>
        </w:rPr>
      </w:pPr>
    </w:p>
    <w:p>
      <w:pPr>
        <w:jc w:val="both"/>
        <w:ind w:firstLine="629"/>
        <w:spacing w:after="0" w:line="25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Eligible Assignee</w:t>
      </w:r>
      <w:r>
        <w:rPr>
          <w:rFonts w:ascii="Arial" w:cs="Arial" w:eastAsia="Arial" w:hAnsi="Arial"/>
          <w:sz w:val="19"/>
          <w:szCs w:val="19"/>
          <w:color w:val="auto"/>
        </w:rPr>
        <w:t xml:space="preserve">” means (a) a Lender or any of its Affiliates; (b) an Approved Fund; and (c) any other Person (other than a natural person) approved by (i) the Administrative Agent, the Letter of Credit Issuer and the Swing Line Lender (each such approval not to be unreasonably withheld or delayed), and (ii) unless an Event of Default has occurred and is continuing, the Borrower Agent (such approval not to be unreasonably withheld or delayed);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notwithstanding the foregoing, absent the written consent of the Administrative Agent, “Eligible Assignee” shall not include a Loan Party or any of the Loan Parties’ Affiliates or any counterparty to any Subordination Provisions or such counterparty’s Affiliates.</w:t>
      </w:r>
    </w:p>
    <w:p>
      <w:pPr>
        <w:spacing w:after="0" w:line="182" w:lineRule="exact"/>
        <w:rPr>
          <w:sz w:val="20"/>
          <w:szCs w:val="20"/>
          <w:color w:val="auto"/>
        </w:rPr>
      </w:pPr>
    </w:p>
    <w:p>
      <w:pPr>
        <w:jc w:val="both"/>
        <w:ind w:firstLine="629"/>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Eligible Borrowing Base Assets</w:t>
      </w:r>
      <w:r>
        <w:rPr>
          <w:rFonts w:ascii="Arial" w:cs="Arial" w:eastAsia="Arial" w:hAnsi="Arial"/>
          <w:sz w:val="19"/>
          <w:szCs w:val="19"/>
          <w:color w:val="auto"/>
        </w:rPr>
        <w:t>” means all Eligible Inventory, Eligible Accounts, Eligible Time and Material Accounts, Eligible Cash and Eligible Equipment.</w:t>
      </w:r>
    </w:p>
    <w:p>
      <w:pPr>
        <w:spacing w:after="0" w:line="157" w:lineRule="exact"/>
        <w:rPr>
          <w:sz w:val="20"/>
          <w:szCs w:val="20"/>
          <w:color w:val="auto"/>
        </w:rPr>
      </w:pPr>
    </w:p>
    <w:p>
      <w:pPr>
        <w:jc w:val="both"/>
        <w:ind w:firstLine="629"/>
        <w:spacing w:after="0" w:line="25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Eligible Cash</w:t>
      </w:r>
      <w:r>
        <w:rPr>
          <w:rFonts w:ascii="Arial" w:cs="Arial" w:eastAsia="Arial" w:hAnsi="Arial"/>
          <w:sz w:val="19"/>
          <w:szCs w:val="19"/>
          <w:color w:val="auto"/>
        </w:rPr>
        <w:t xml:space="preserve">” means unrestricted cash and cash equivalents of the Borrowers from time to time deposited in a Qualified Account. In no event may (i) any Bonded AR Proceeds constitute Eligible Cash at any time that </w:t>
      </w:r>
      <w:r>
        <w:rPr>
          <w:rFonts w:ascii="Arial" w:cs="Arial" w:eastAsia="Arial" w:hAnsi="Arial"/>
          <w:sz w:val="19"/>
          <w:szCs w:val="19"/>
          <w:u w:val="single" w:color="auto"/>
          <w:color w:val="auto"/>
        </w:rPr>
        <w:t>Section 4.04(b)</w:t>
      </w:r>
      <w:r>
        <w:rPr>
          <w:rFonts w:ascii="Arial" w:cs="Arial" w:eastAsia="Arial" w:hAnsi="Arial"/>
          <w:sz w:val="19"/>
          <w:szCs w:val="19"/>
          <w:color w:val="auto"/>
        </w:rPr>
        <w:t xml:space="preserve"> requires that such Bonded AR Proceeds be held in a segregated Controlled Deposit Account and not commingled with other non-Bonded AR Proceeds, or (ii) any amounts held in the Equity Repurchase Program Securities Account constitute Eligible Cash.</w:t>
      </w:r>
    </w:p>
    <w:p>
      <w:pPr>
        <w:spacing w:after="0" w:line="177" w:lineRule="exact"/>
        <w:rPr>
          <w:sz w:val="20"/>
          <w:szCs w:val="20"/>
          <w:color w:val="auto"/>
        </w:rPr>
      </w:pPr>
    </w:p>
    <w:p>
      <w:pPr>
        <w:jc w:val="both"/>
        <w:ind w:firstLine="629"/>
        <w:spacing w:after="0" w:line="27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Equipment</w:t>
      </w:r>
      <w:r>
        <w:rPr>
          <w:rFonts w:ascii="Arial" w:cs="Arial" w:eastAsia="Arial" w:hAnsi="Arial"/>
          <w:sz w:val="18"/>
          <w:szCs w:val="18"/>
          <w:color w:val="auto"/>
        </w:rPr>
        <w:t>” means Equipment owned by a Borrower as of the Closing Date that continues to be owned by such Borrower thereafter and is determined by the Administrative Agent, in its Credit Judgment, to be Eligible Equipment. Except as otherwise agreed by the Administrative Agent at its sole option, and without limiting the ability of the Administrative Agent to exercise its Credit Judgment to determine whether Equipment constitutes Eligible Equipment, each of the following shall be deemed to be Equipment that is not Eligible Equipment:</w:t>
      </w:r>
    </w:p>
    <w:p>
      <w:pPr>
        <w:spacing w:after="0" w:line="160" w:lineRule="exact"/>
        <w:rPr>
          <w:sz w:val="20"/>
          <w:szCs w:val="20"/>
          <w:color w:val="auto"/>
        </w:rPr>
      </w:pPr>
    </w:p>
    <w:p>
      <w:pPr>
        <w:ind w:left="1260" w:hanging="626"/>
        <w:spacing w:after="0"/>
        <w:tabs>
          <w:tab w:leader="none" w:pos="1260" w:val="left"/>
        </w:tabs>
        <w:numPr>
          <w:ilvl w:val="0"/>
          <w:numId w:val="89"/>
        </w:numPr>
        <w:rPr>
          <w:rFonts w:ascii="Arial" w:cs="Arial" w:eastAsia="Arial" w:hAnsi="Arial"/>
          <w:sz w:val="19"/>
          <w:szCs w:val="19"/>
          <w:color w:val="auto"/>
        </w:rPr>
      </w:pPr>
      <w:r>
        <w:rPr>
          <w:rFonts w:ascii="Arial" w:cs="Arial" w:eastAsia="Arial" w:hAnsi="Arial"/>
          <w:sz w:val="19"/>
          <w:szCs w:val="19"/>
          <w:color w:val="auto"/>
        </w:rPr>
        <w:t>Equipment as to which a Borrower does not have good, valid, and marketable title;</w:t>
      </w:r>
    </w:p>
    <w:p>
      <w:pPr>
        <w:spacing w:after="0" w:line="214" w:lineRule="exact"/>
        <w:rPr>
          <w:rFonts w:ascii="Arial" w:cs="Arial" w:eastAsia="Arial" w:hAnsi="Arial"/>
          <w:sz w:val="19"/>
          <w:szCs w:val="19"/>
          <w:color w:val="auto"/>
        </w:rPr>
      </w:pPr>
    </w:p>
    <w:p>
      <w:pPr>
        <w:ind w:firstLine="634"/>
        <w:spacing w:after="0" w:line="274" w:lineRule="auto"/>
        <w:tabs>
          <w:tab w:leader="none" w:pos="1247" w:val="left"/>
        </w:tabs>
        <w:numPr>
          <w:ilvl w:val="0"/>
          <w:numId w:val="89"/>
        </w:numPr>
        <w:rPr>
          <w:rFonts w:ascii="Arial" w:cs="Arial" w:eastAsia="Arial" w:hAnsi="Arial"/>
          <w:sz w:val="19"/>
          <w:szCs w:val="19"/>
          <w:color w:val="auto"/>
        </w:rPr>
      </w:pPr>
      <w:r>
        <w:rPr>
          <w:rFonts w:ascii="Arial" w:cs="Arial" w:eastAsia="Arial" w:hAnsi="Arial"/>
          <w:sz w:val="19"/>
          <w:szCs w:val="19"/>
          <w:color w:val="auto"/>
        </w:rPr>
        <w:t>Equipment as to which a Borrower does not have actual and exclusive possession thereof (either directly or, in the Ordinary Course of Business, through a bailee, processor, or agent of such Borrower);</w:t>
      </w:r>
    </w:p>
    <w:p>
      <w:pPr>
        <w:spacing w:after="0" w:line="156" w:lineRule="exact"/>
        <w:rPr>
          <w:rFonts w:ascii="Arial" w:cs="Arial" w:eastAsia="Arial" w:hAnsi="Arial"/>
          <w:sz w:val="19"/>
          <w:szCs w:val="19"/>
          <w:color w:val="auto"/>
        </w:rPr>
      </w:pPr>
    </w:p>
    <w:p>
      <w:pPr>
        <w:jc w:val="both"/>
        <w:ind w:firstLine="634"/>
        <w:spacing w:after="0" w:line="264" w:lineRule="auto"/>
        <w:tabs>
          <w:tab w:leader="none" w:pos="1249" w:val="left"/>
        </w:tabs>
        <w:numPr>
          <w:ilvl w:val="0"/>
          <w:numId w:val="89"/>
        </w:numPr>
        <w:rPr>
          <w:rFonts w:ascii="Arial" w:cs="Arial" w:eastAsia="Arial" w:hAnsi="Arial"/>
          <w:sz w:val="18"/>
          <w:szCs w:val="18"/>
          <w:color w:val="auto"/>
        </w:rPr>
      </w:pPr>
      <w:r>
        <w:rPr>
          <w:rFonts w:ascii="Arial" w:cs="Arial" w:eastAsia="Arial" w:hAnsi="Arial"/>
          <w:sz w:val="18"/>
          <w:szCs w:val="18"/>
          <w:color w:val="auto"/>
        </w:rPr>
        <w:t xml:space="preserve">except for (i) at any time during the first sixty (60) days following the Closing Date, and (ii) at any time thereafter, (A) Equipment being utilized by a Loan Party at a customer project site in the Ordinary Course of Business, or (B) Equipment located on Real Property for which a Lien Waiver is not required hereunder, Equipment located on Real Property not owned by a Borrower, or owned by a Borrower but subject to a third party mortgage or similar encumbrance, unless subject to a Lien Waiver to the extent required hereunder for such Equipment,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(1) the Administrative Agent may elect to waive such requirement hereunder for such Equipment (and for the avoidance of doubt, such waiver shall not preclude the Administrative Agent from electing to impose a Rent and Charges Reserve in connection with such Equipment), or (2) even if a Lien Waiver is not required hereunder, the Administrative Agent may elect to impose a Rent and Charges Reserve at any time for such Equipment located on any Real Property for which a Lien Waiver has not been delivered;</w:t>
      </w:r>
    </w:p>
    <w:p>
      <w:pPr>
        <w:spacing w:after="0" w:line="171" w:lineRule="exact"/>
        <w:rPr>
          <w:rFonts w:ascii="Arial" w:cs="Arial" w:eastAsia="Arial" w:hAnsi="Arial"/>
          <w:sz w:val="18"/>
          <w:szCs w:val="18"/>
          <w:color w:val="auto"/>
        </w:rPr>
      </w:pPr>
    </w:p>
    <w:p>
      <w:pPr>
        <w:ind w:left="1260" w:hanging="626"/>
        <w:spacing w:after="0"/>
        <w:tabs>
          <w:tab w:leader="none" w:pos="1260" w:val="left"/>
        </w:tabs>
        <w:numPr>
          <w:ilvl w:val="0"/>
          <w:numId w:val="89"/>
        </w:numPr>
        <w:rPr>
          <w:rFonts w:ascii="Arial" w:cs="Arial" w:eastAsia="Arial" w:hAnsi="Arial"/>
          <w:sz w:val="19"/>
          <w:szCs w:val="19"/>
          <w:color w:val="auto"/>
        </w:rPr>
      </w:pPr>
      <w:r>
        <w:rPr>
          <w:rFonts w:ascii="Arial" w:cs="Arial" w:eastAsia="Arial" w:hAnsi="Arial"/>
          <w:sz w:val="19"/>
          <w:szCs w:val="19"/>
          <w:color w:val="auto"/>
        </w:rPr>
        <w:t>Equipment that is materially damaged, defective or otherwise unfit for use in its intended purpose;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25</w:t>
      </w:r>
    </w:p>
    <w:p>
      <w:pPr>
        <w:sectPr>
          <w:pgSz w:w="11900" w:h="16838" w:orient="portrait"/>
          <w:cols w:equalWidth="0" w:num="1">
            <w:col w:w="11240"/>
          </w:cols>
          <w:pgMar w:left="320" w:top="1381" w:right="339" w:bottom="1440" w:gutter="0" w:footer="0" w:header="0"/>
        </w:sectPr>
      </w:pPr>
    </w:p>
    <w:bookmarkStart w:id="144" w:name="page145"/>
    <w:bookmarkEnd w:id="144"/>
    <w:p>
      <w:pPr>
        <w:jc w:val="both"/>
        <w:ind w:firstLine="634"/>
        <w:spacing w:after="0" w:line="252" w:lineRule="auto"/>
        <w:tabs>
          <w:tab w:leader="none" w:pos="1249" w:val="left"/>
        </w:tabs>
        <w:numPr>
          <w:ilvl w:val="0"/>
          <w:numId w:val="90"/>
        </w:numPr>
        <w:rPr>
          <w:rFonts w:ascii="Arial" w:cs="Arial" w:eastAsia="Arial" w:hAnsi="Arial"/>
          <w:sz w:val="19"/>
          <w:szCs w:val="19"/>
          <w:color w:val="auto"/>
        </w:rPr>
      </w:pPr>
      <w:r>
        <w:rPr>
          <w:rFonts w:ascii="Arial" w:cs="Arial" w:eastAsia="Arial" w:hAnsi="Arial"/>
          <w:sz w:val="19"/>
          <w:szCs w:val="19"/>
          <w:color w:val="auto"/>
        </w:rPr>
        <w:t xml:space="preserve">Equipment that is not subject to a valid and perfected first-priority Lien of the Administrative Agent, subject to no other Liens (unless subject to a Lien Waiver), or otherwise does not comply with each of the representations and warranties and covenants applicable to Equipment made by the Borrowers in this Agreement and each applicable Security Instrument;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with respect to any Eligible Rolling Stock, the perfection (as opposed to the attachment or any other aspect) of the Administrative Agent’s Lien thereon may be deferred to the date (to the extent expressly) provided in </w:t>
      </w:r>
      <w:r>
        <w:rPr>
          <w:rFonts w:ascii="Arial" w:cs="Arial" w:eastAsia="Arial" w:hAnsi="Arial"/>
          <w:sz w:val="19"/>
          <w:szCs w:val="19"/>
          <w:u w:val="single" w:color="auto"/>
          <w:color w:val="auto"/>
        </w:rPr>
        <w:t>Schedule 7.21</w:t>
      </w:r>
      <w:r>
        <w:rPr>
          <w:rFonts w:ascii="Arial" w:cs="Arial" w:eastAsia="Arial" w:hAnsi="Arial"/>
          <w:sz w:val="19"/>
          <w:szCs w:val="19"/>
          <w:color w:val="auto"/>
        </w:rPr>
        <w:t>;</w:t>
      </w:r>
    </w:p>
    <w:p>
      <w:pPr>
        <w:spacing w:after="0" w:line="177" w:lineRule="exact"/>
        <w:rPr>
          <w:rFonts w:ascii="Arial" w:cs="Arial" w:eastAsia="Arial" w:hAnsi="Arial"/>
          <w:sz w:val="19"/>
          <w:szCs w:val="19"/>
          <w:color w:val="auto"/>
        </w:rPr>
      </w:pPr>
    </w:p>
    <w:p>
      <w:pPr>
        <w:ind w:left="1260" w:hanging="626"/>
        <w:spacing w:after="0"/>
        <w:tabs>
          <w:tab w:leader="none" w:pos="1260" w:val="left"/>
        </w:tabs>
        <w:numPr>
          <w:ilvl w:val="0"/>
          <w:numId w:val="90"/>
        </w:numPr>
        <w:rPr>
          <w:rFonts w:ascii="Arial" w:cs="Arial" w:eastAsia="Arial" w:hAnsi="Arial"/>
          <w:sz w:val="19"/>
          <w:szCs w:val="19"/>
          <w:color w:val="auto"/>
        </w:rPr>
      </w:pPr>
      <w:r>
        <w:rPr>
          <w:rFonts w:ascii="Arial" w:cs="Arial" w:eastAsia="Arial" w:hAnsi="Arial"/>
          <w:sz w:val="19"/>
          <w:szCs w:val="19"/>
          <w:color w:val="auto"/>
        </w:rPr>
        <w:t>Equipment that is Rolling Stock, unless constituting Eligible Rolling Stock; or</w:t>
      </w:r>
    </w:p>
    <w:p>
      <w:pPr>
        <w:spacing w:after="0" w:line="214" w:lineRule="exact"/>
        <w:rPr>
          <w:rFonts w:ascii="Arial" w:cs="Arial" w:eastAsia="Arial" w:hAnsi="Arial"/>
          <w:sz w:val="19"/>
          <w:szCs w:val="19"/>
          <w:color w:val="auto"/>
        </w:rPr>
      </w:pPr>
    </w:p>
    <w:p>
      <w:pPr>
        <w:ind w:left="1260" w:hanging="626"/>
        <w:spacing w:after="0"/>
        <w:tabs>
          <w:tab w:leader="none" w:pos="1260" w:val="left"/>
        </w:tabs>
        <w:numPr>
          <w:ilvl w:val="0"/>
          <w:numId w:val="90"/>
        </w:numPr>
        <w:rPr>
          <w:rFonts w:ascii="Arial" w:cs="Arial" w:eastAsia="Arial" w:hAnsi="Arial"/>
          <w:sz w:val="19"/>
          <w:szCs w:val="19"/>
          <w:color w:val="auto"/>
        </w:rPr>
      </w:pPr>
      <w:r>
        <w:rPr>
          <w:rFonts w:ascii="Arial" w:cs="Arial" w:eastAsia="Arial" w:hAnsi="Arial"/>
          <w:sz w:val="19"/>
          <w:szCs w:val="19"/>
          <w:color w:val="auto"/>
        </w:rPr>
        <w:t>Equipment that is Bonded Equipment.</w:t>
      </w:r>
    </w:p>
    <w:p>
      <w:pPr>
        <w:spacing w:after="0" w:line="214" w:lineRule="exact"/>
        <w:rPr>
          <w:sz w:val="20"/>
          <w:szCs w:val="20"/>
          <w:color w:val="auto"/>
        </w:rPr>
      </w:pPr>
    </w:p>
    <w:p>
      <w:pPr>
        <w:jc w:val="both"/>
        <w:ind w:firstLine="629"/>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Eligible Inventory</w:t>
      </w:r>
      <w:r>
        <w:rPr>
          <w:rFonts w:ascii="Arial" w:cs="Arial" w:eastAsia="Arial" w:hAnsi="Arial"/>
          <w:sz w:val="19"/>
          <w:szCs w:val="19"/>
          <w:color w:val="auto"/>
        </w:rPr>
        <w:t>” means Inventory of a Borrower that is determined by the Administrative Agent, in its Credit Judgment, to be Eligible Inventory. Except as otherwise agreed by the Administrative Agent at its sole option, the following items of Inventory shall not be included in Eligible Inventory:</w:t>
      </w:r>
    </w:p>
    <w:p>
      <w:pPr>
        <w:spacing w:after="0" w:line="171" w:lineRule="exact"/>
        <w:rPr>
          <w:sz w:val="20"/>
          <w:szCs w:val="20"/>
          <w:color w:val="auto"/>
        </w:rPr>
      </w:pPr>
    </w:p>
    <w:p>
      <w:pPr>
        <w:ind w:left="1260" w:hanging="626"/>
        <w:spacing w:after="0"/>
        <w:tabs>
          <w:tab w:leader="none" w:pos="1260" w:val="left"/>
        </w:tabs>
        <w:numPr>
          <w:ilvl w:val="0"/>
          <w:numId w:val="91"/>
        </w:numPr>
        <w:rPr>
          <w:rFonts w:ascii="Arial" w:cs="Arial" w:eastAsia="Arial" w:hAnsi="Arial"/>
          <w:sz w:val="19"/>
          <w:szCs w:val="19"/>
          <w:color w:val="auto"/>
        </w:rPr>
      </w:pPr>
      <w:r>
        <w:rPr>
          <w:rFonts w:ascii="Arial" w:cs="Arial" w:eastAsia="Arial" w:hAnsi="Arial"/>
          <w:sz w:val="19"/>
          <w:szCs w:val="19"/>
          <w:color w:val="auto"/>
        </w:rPr>
        <w:t>Inventory that is not solely owned by a Borrower or a Borrower does not have good and valid title thereto;</w:t>
      </w:r>
    </w:p>
    <w:p>
      <w:pPr>
        <w:spacing w:after="0" w:line="214" w:lineRule="exact"/>
        <w:rPr>
          <w:rFonts w:ascii="Arial" w:cs="Arial" w:eastAsia="Arial" w:hAnsi="Arial"/>
          <w:sz w:val="19"/>
          <w:szCs w:val="19"/>
          <w:color w:val="auto"/>
        </w:rPr>
      </w:pPr>
    </w:p>
    <w:p>
      <w:pPr>
        <w:ind w:left="1260" w:hanging="626"/>
        <w:spacing w:after="0"/>
        <w:tabs>
          <w:tab w:leader="none" w:pos="12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Inventory that (i) does not consist of finished goods or raw materials or (ii) is not readily saleable in the Ordinary Course of</w:t>
      </w:r>
    </w:p>
    <w:p>
      <w:pPr>
        <w:spacing w:after="0" w:line="3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9"/>
          <w:szCs w:val="19"/>
          <w:color w:val="auto"/>
        </w:rPr>
        <w:t>Business;</w:t>
      </w:r>
    </w:p>
    <w:p>
      <w:pPr>
        <w:spacing w:after="0" w:line="198" w:lineRule="exact"/>
        <w:rPr>
          <w:rFonts w:ascii="Arial" w:cs="Arial" w:eastAsia="Arial" w:hAnsi="Arial"/>
          <w:sz w:val="18"/>
          <w:szCs w:val="18"/>
          <w:color w:val="auto"/>
        </w:rPr>
      </w:pPr>
    </w:p>
    <w:p>
      <w:pPr>
        <w:ind w:firstLine="634"/>
        <w:spacing w:after="0" w:line="274" w:lineRule="auto"/>
        <w:tabs>
          <w:tab w:leader="none" w:pos="1249" w:val="left"/>
        </w:tabs>
        <w:numPr>
          <w:ilvl w:val="0"/>
          <w:numId w:val="91"/>
        </w:numPr>
        <w:rPr>
          <w:rFonts w:ascii="Arial" w:cs="Arial" w:eastAsia="Arial" w:hAnsi="Arial"/>
          <w:sz w:val="19"/>
          <w:szCs w:val="19"/>
          <w:color w:val="auto"/>
        </w:rPr>
      </w:pPr>
      <w:r>
        <w:rPr>
          <w:rFonts w:ascii="Arial" w:cs="Arial" w:eastAsia="Arial" w:hAnsi="Arial"/>
          <w:sz w:val="19"/>
          <w:szCs w:val="19"/>
          <w:color w:val="auto"/>
        </w:rPr>
        <w:t>Inventory that does not comply with each of the covenants, representations and warranties respecting Inventory made by the Borrowers in the Loan Documents;</w:t>
      </w:r>
    </w:p>
    <w:p>
      <w:pPr>
        <w:spacing w:after="0" w:line="156" w:lineRule="exact"/>
        <w:rPr>
          <w:rFonts w:ascii="Arial" w:cs="Arial" w:eastAsia="Arial" w:hAnsi="Arial"/>
          <w:sz w:val="19"/>
          <w:szCs w:val="19"/>
          <w:color w:val="auto"/>
        </w:rPr>
      </w:pPr>
    </w:p>
    <w:p>
      <w:pPr>
        <w:ind w:left="1260" w:hanging="626"/>
        <w:spacing w:after="0"/>
        <w:tabs>
          <w:tab w:leader="none" w:pos="1260" w:val="left"/>
        </w:tabs>
        <w:numPr>
          <w:ilvl w:val="0"/>
          <w:numId w:val="91"/>
        </w:numPr>
        <w:rPr>
          <w:rFonts w:ascii="Arial" w:cs="Arial" w:eastAsia="Arial" w:hAnsi="Arial"/>
          <w:sz w:val="19"/>
          <w:szCs w:val="19"/>
          <w:color w:val="auto"/>
        </w:rPr>
      </w:pPr>
      <w:r>
        <w:rPr>
          <w:rFonts w:ascii="Arial" w:cs="Arial" w:eastAsia="Arial" w:hAnsi="Arial"/>
          <w:sz w:val="19"/>
          <w:szCs w:val="19"/>
          <w:color w:val="auto"/>
        </w:rPr>
        <w:t>Inventory that is leased by or is on consignment to a Borrower (whether as lessor, lessee, consignor or consignee);</w:t>
      </w:r>
    </w:p>
    <w:p>
      <w:pPr>
        <w:spacing w:after="0" w:line="214" w:lineRule="exact"/>
        <w:rPr>
          <w:rFonts w:ascii="Arial" w:cs="Arial" w:eastAsia="Arial" w:hAnsi="Arial"/>
          <w:sz w:val="19"/>
          <w:szCs w:val="19"/>
          <w:color w:val="auto"/>
        </w:rPr>
      </w:pPr>
    </w:p>
    <w:p>
      <w:pPr>
        <w:ind w:left="1260" w:hanging="626"/>
        <w:spacing w:after="0"/>
        <w:tabs>
          <w:tab w:leader="none" w:pos="1260" w:val="left"/>
        </w:tabs>
        <w:numPr>
          <w:ilvl w:val="0"/>
          <w:numId w:val="91"/>
        </w:numPr>
        <w:rPr>
          <w:rFonts w:ascii="Arial" w:cs="Arial" w:eastAsia="Arial" w:hAnsi="Arial"/>
          <w:sz w:val="17"/>
          <w:szCs w:val="17"/>
          <w:color w:val="auto"/>
        </w:rPr>
      </w:pPr>
      <w:r>
        <w:rPr>
          <w:rFonts w:ascii="Arial" w:cs="Arial" w:eastAsia="Arial" w:hAnsi="Arial"/>
          <w:sz w:val="17"/>
          <w:szCs w:val="17"/>
          <w:color w:val="auto"/>
        </w:rPr>
        <w:t>Inventory that is not located in the United States of America or Canada (excluding territories or possessions of the United States</w:t>
      </w:r>
    </w:p>
    <w:p>
      <w:pPr>
        <w:spacing w:after="0" w:line="43"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9"/>
          <w:szCs w:val="19"/>
          <w:color w:val="auto"/>
        </w:rPr>
        <w:t>or Canada);</w:t>
      </w:r>
    </w:p>
    <w:p>
      <w:pPr>
        <w:spacing w:after="0" w:line="198" w:lineRule="exact"/>
        <w:rPr>
          <w:rFonts w:ascii="Arial" w:cs="Arial" w:eastAsia="Arial" w:hAnsi="Arial"/>
          <w:sz w:val="17"/>
          <w:szCs w:val="17"/>
          <w:color w:val="auto"/>
        </w:rPr>
      </w:pPr>
    </w:p>
    <w:p>
      <w:pPr>
        <w:jc w:val="both"/>
        <w:ind w:firstLine="634"/>
        <w:spacing w:after="0" w:line="273" w:lineRule="auto"/>
        <w:tabs>
          <w:tab w:leader="none" w:pos="1254" w:val="left"/>
        </w:tabs>
        <w:numPr>
          <w:ilvl w:val="0"/>
          <w:numId w:val="91"/>
        </w:numPr>
        <w:rPr>
          <w:rFonts w:ascii="Arial" w:cs="Arial" w:eastAsia="Arial" w:hAnsi="Arial"/>
          <w:sz w:val="17"/>
          <w:szCs w:val="17"/>
          <w:color w:val="auto"/>
        </w:rPr>
      </w:pPr>
      <w:r>
        <w:rPr>
          <w:rFonts w:ascii="Arial" w:cs="Arial" w:eastAsia="Arial" w:hAnsi="Arial"/>
          <w:sz w:val="17"/>
          <w:szCs w:val="17"/>
          <w:color w:val="auto"/>
        </w:rPr>
        <w:t xml:space="preserve">Inventory that is not at a location that is owned by a Borrower;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such Inventory that is located on leased premises or in the possession of a warehouseman, bailee, processor, repairman, mechanic or similar other Person in the ordinary course of business shall not be excluded from Eligible Inventory under this clause (f), so long as at any time following the sixtieth (60</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day after the Closing Date, the lessor or such Person possessing such Inventory has delivered a Lien Waiver to the Administrative Agent to the extent required hereunder for such Inventory,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(A) the Administrative Agent may elect to waive such requirement hereunder for such Inventory (and for the avoidance of doubt, such waiver shall not preclude the Administrative Agent from electing to impose a Rent and Charges Reserve in connection with such Inventory), or (B) even if a Lien Waiver is not required hereunder, the Administrative Agent may elect to impose a Rent and Charges Reserve at any time for such Inventory located on any Real Property for which a Lien Waiver has not been delivered;</w:t>
      </w:r>
    </w:p>
    <w:p>
      <w:pPr>
        <w:spacing w:after="0" w:line="162" w:lineRule="exact"/>
        <w:rPr>
          <w:rFonts w:ascii="Arial" w:cs="Arial" w:eastAsia="Arial" w:hAnsi="Arial"/>
          <w:sz w:val="17"/>
          <w:szCs w:val="17"/>
          <w:color w:val="auto"/>
        </w:rPr>
      </w:pPr>
    </w:p>
    <w:p>
      <w:pPr>
        <w:jc w:val="both"/>
        <w:ind w:firstLine="634"/>
        <w:spacing w:after="0" w:line="259" w:lineRule="auto"/>
        <w:tabs>
          <w:tab w:leader="none" w:pos="1247" w:val="left"/>
        </w:tabs>
        <w:numPr>
          <w:ilvl w:val="0"/>
          <w:numId w:val="91"/>
        </w:numPr>
        <w:rPr>
          <w:rFonts w:ascii="Arial" w:cs="Arial" w:eastAsia="Arial" w:hAnsi="Arial"/>
          <w:sz w:val="19"/>
          <w:szCs w:val="19"/>
          <w:color w:val="auto"/>
        </w:rPr>
      </w:pPr>
      <w:r>
        <w:rPr>
          <w:rFonts w:ascii="Arial" w:cs="Arial" w:eastAsia="Arial" w:hAnsi="Arial"/>
          <w:sz w:val="19"/>
          <w:szCs w:val="19"/>
          <w:color w:val="auto"/>
        </w:rPr>
        <w:t>Inventory held at any location (owned or a third-party location) with an aggregate Cost of Inventory at such location of less than the Dollar Equivalent of $100,000, notwithstanding receipt of a Lien Waiver or implementation of a Rent and Charge Reserve as provided under clause (f)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26</w:t>
      </w:r>
    </w:p>
    <w:p>
      <w:pPr>
        <w:sectPr>
          <w:pgSz w:w="11900" w:h="16838" w:orient="portrait"/>
          <w:cols w:equalWidth="0" w:num="1">
            <w:col w:w="11240"/>
          </w:cols>
          <w:pgMar w:left="320" w:top="1382" w:right="339" w:bottom="1440" w:gutter="0" w:footer="0" w:header="0"/>
        </w:sectPr>
      </w:pPr>
    </w:p>
    <w:bookmarkStart w:id="145" w:name="page146"/>
    <w:bookmarkEnd w:id="145"/>
    <w:p>
      <w:pPr>
        <w:ind w:firstLine="634"/>
        <w:spacing w:after="0" w:line="274" w:lineRule="auto"/>
        <w:tabs>
          <w:tab w:leader="none" w:pos="1247" w:val="left"/>
        </w:tabs>
        <w:numPr>
          <w:ilvl w:val="0"/>
          <w:numId w:val="92"/>
        </w:numPr>
        <w:rPr>
          <w:rFonts w:ascii="Arial" w:cs="Arial" w:eastAsia="Arial" w:hAnsi="Arial"/>
          <w:sz w:val="19"/>
          <w:szCs w:val="19"/>
          <w:color w:val="auto"/>
        </w:rPr>
      </w:pPr>
      <w:r>
        <w:rPr>
          <w:rFonts w:ascii="Arial" w:cs="Arial" w:eastAsia="Arial" w:hAnsi="Arial"/>
          <w:sz w:val="19"/>
          <w:szCs w:val="19"/>
          <w:color w:val="auto"/>
        </w:rPr>
        <w:t>Inventory that is in transit, except between locations of Borrowers (or between locations of Borrowers and processors or vendors in the Ordinary Course of Business);</w:t>
      </w:r>
    </w:p>
    <w:p>
      <w:pPr>
        <w:spacing w:after="0" w:line="156" w:lineRule="exact"/>
        <w:rPr>
          <w:rFonts w:ascii="Arial" w:cs="Arial" w:eastAsia="Arial" w:hAnsi="Arial"/>
          <w:sz w:val="19"/>
          <w:szCs w:val="19"/>
          <w:color w:val="auto"/>
        </w:rPr>
      </w:pPr>
    </w:p>
    <w:p>
      <w:pPr>
        <w:ind w:firstLine="634"/>
        <w:spacing w:after="0" w:line="274" w:lineRule="auto"/>
        <w:tabs>
          <w:tab w:leader="none" w:pos="1257" w:val="left"/>
        </w:tabs>
        <w:numPr>
          <w:ilvl w:val="0"/>
          <w:numId w:val="92"/>
        </w:numPr>
        <w:rPr>
          <w:rFonts w:ascii="Arial" w:cs="Arial" w:eastAsia="Arial" w:hAnsi="Arial"/>
          <w:sz w:val="19"/>
          <w:szCs w:val="19"/>
          <w:color w:val="auto"/>
        </w:rPr>
      </w:pPr>
      <w:r>
        <w:rPr>
          <w:rFonts w:ascii="Arial" w:cs="Arial" w:eastAsia="Arial" w:hAnsi="Arial"/>
          <w:sz w:val="19"/>
          <w:szCs w:val="19"/>
          <w:color w:val="auto"/>
        </w:rPr>
        <w:t>Inventory that is comprised of goods which (i) are damaged, defective, “seconds” or otherwise unmerchantable, (ii) have been returned or are to be returned to the vendor or (iii) are discontinued products, obsolete or slow moving;</w:t>
      </w:r>
    </w:p>
    <w:p>
      <w:pPr>
        <w:spacing w:after="0" w:line="156" w:lineRule="exact"/>
        <w:rPr>
          <w:rFonts w:ascii="Arial" w:cs="Arial" w:eastAsia="Arial" w:hAnsi="Arial"/>
          <w:sz w:val="19"/>
          <w:szCs w:val="19"/>
          <w:color w:val="auto"/>
        </w:rPr>
      </w:pPr>
    </w:p>
    <w:p>
      <w:pPr>
        <w:ind w:left="1260" w:hanging="626"/>
        <w:spacing w:after="0"/>
        <w:tabs>
          <w:tab w:leader="none" w:pos="1260" w:val="left"/>
        </w:tabs>
        <w:numPr>
          <w:ilvl w:val="0"/>
          <w:numId w:val="92"/>
        </w:numPr>
        <w:rPr>
          <w:rFonts w:ascii="Arial" w:cs="Arial" w:eastAsia="Arial" w:hAnsi="Arial"/>
          <w:sz w:val="19"/>
          <w:szCs w:val="19"/>
          <w:color w:val="auto"/>
        </w:rPr>
      </w:pPr>
      <w:r>
        <w:rPr>
          <w:rFonts w:ascii="Arial" w:cs="Arial" w:eastAsia="Arial" w:hAnsi="Arial"/>
          <w:sz w:val="19"/>
          <w:szCs w:val="19"/>
          <w:color w:val="auto"/>
        </w:rPr>
        <w:t>Inventory consisting of work-in-process (unless work-in-progress approved by the Administrative Agent) or spare parts;</w:t>
      </w:r>
    </w:p>
    <w:p>
      <w:pPr>
        <w:spacing w:after="0" w:line="214" w:lineRule="exact"/>
        <w:rPr>
          <w:rFonts w:ascii="Arial" w:cs="Arial" w:eastAsia="Arial" w:hAnsi="Arial"/>
          <w:sz w:val="19"/>
          <w:szCs w:val="19"/>
          <w:color w:val="auto"/>
        </w:rPr>
      </w:pPr>
    </w:p>
    <w:p>
      <w:pPr>
        <w:ind w:firstLine="634"/>
        <w:spacing w:after="0" w:line="274" w:lineRule="auto"/>
        <w:tabs>
          <w:tab w:leader="none" w:pos="1247" w:val="left"/>
        </w:tabs>
        <w:numPr>
          <w:ilvl w:val="0"/>
          <w:numId w:val="92"/>
        </w:numPr>
        <w:rPr>
          <w:rFonts w:ascii="Arial" w:cs="Arial" w:eastAsia="Arial" w:hAnsi="Arial"/>
          <w:sz w:val="19"/>
          <w:szCs w:val="19"/>
          <w:color w:val="auto"/>
        </w:rPr>
      </w:pPr>
      <w:r>
        <w:rPr>
          <w:rFonts w:ascii="Arial" w:cs="Arial" w:eastAsia="Arial" w:hAnsi="Arial"/>
          <w:sz w:val="19"/>
          <w:szCs w:val="19"/>
          <w:color w:val="auto"/>
        </w:rPr>
        <w:t>Inventory consisting of promotional, marketing, packaging and shipping materials or supplies used or consumed in the Borrowers’ business and other similar non-merchandise categories;</w:t>
      </w:r>
    </w:p>
    <w:p>
      <w:pPr>
        <w:spacing w:after="0" w:line="156" w:lineRule="exact"/>
        <w:rPr>
          <w:rFonts w:ascii="Arial" w:cs="Arial" w:eastAsia="Arial" w:hAnsi="Arial"/>
          <w:sz w:val="19"/>
          <w:szCs w:val="19"/>
          <w:color w:val="auto"/>
        </w:rPr>
      </w:pPr>
    </w:p>
    <w:p>
      <w:pPr>
        <w:ind w:firstLine="634"/>
        <w:spacing w:after="0" w:line="274" w:lineRule="auto"/>
        <w:tabs>
          <w:tab w:leader="none" w:pos="1257" w:val="left"/>
        </w:tabs>
        <w:numPr>
          <w:ilvl w:val="0"/>
          <w:numId w:val="92"/>
        </w:numPr>
        <w:rPr>
          <w:rFonts w:ascii="Arial" w:cs="Arial" w:eastAsia="Arial" w:hAnsi="Arial"/>
          <w:sz w:val="19"/>
          <w:szCs w:val="19"/>
          <w:color w:val="auto"/>
        </w:rPr>
      </w:pPr>
      <w:r>
        <w:rPr>
          <w:rFonts w:ascii="Arial" w:cs="Arial" w:eastAsia="Arial" w:hAnsi="Arial"/>
          <w:sz w:val="19"/>
          <w:szCs w:val="19"/>
          <w:color w:val="auto"/>
        </w:rPr>
        <w:t>Inventory that is not in compliance with all standards imposed by any Governmental Authority having regulatory authority over such Inventory, its use or sale;</w:t>
      </w:r>
    </w:p>
    <w:p>
      <w:pPr>
        <w:spacing w:after="0" w:line="156" w:lineRule="exact"/>
        <w:rPr>
          <w:rFonts w:ascii="Arial" w:cs="Arial" w:eastAsia="Arial" w:hAnsi="Arial"/>
          <w:sz w:val="19"/>
          <w:szCs w:val="19"/>
          <w:color w:val="auto"/>
        </w:rPr>
      </w:pPr>
    </w:p>
    <w:p>
      <w:pPr>
        <w:ind w:firstLine="634"/>
        <w:spacing w:after="0" w:line="274" w:lineRule="auto"/>
        <w:tabs>
          <w:tab w:leader="none" w:pos="1248" w:val="left"/>
        </w:tabs>
        <w:numPr>
          <w:ilvl w:val="0"/>
          <w:numId w:val="92"/>
        </w:numPr>
        <w:rPr>
          <w:rFonts w:ascii="Arial" w:cs="Arial" w:eastAsia="Arial" w:hAnsi="Arial"/>
          <w:sz w:val="19"/>
          <w:szCs w:val="19"/>
          <w:color w:val="auto"/>
        </w:rPr>
      </w:pPr>
      <w:r>
        <w:rPr>
          <w:rFonts w:ascii="Arial" w:cs="Arial" w:eastAsia="Arial" w:hAnsi="Arial"/>
          <w:sz w:val="19"/>
          <w:szCs w:val="19"/>
          <w:color w:val="auto"/>
        </w:rPr>
        <w:t>Inventory that is subject to any warehouse receipt, bill of lading or negotiable Document that has not been issued to or in the name of the Administrative Agent;</w:t>
      </w:r>
    </w:p>
    <w:p>
      <w:pPr>
        <w:spacing w:after="0" w:line="156" w:lineRule="exact"/>
        <w:rPr>
          <w:rFonts w:ascii="Arial" w:cs="Arial" w:eastAsia="Arial" w:hAnsi="Arial"/>
          <w:sz w:val="19"/>
          <w:szCs w:val="19"/>
          <w:color w:val="auto"/>
        </w:rPr>
      </w:pPr>
    </w:p>
    <w:p>
      <w:pPr>
        <w:ind w:left="1260" w:hanging="626"/>
        <w:spacing w:after="0"/>
        <w:tabs>
          <w:tab w:leader="none" w:pos="1260" w:val="left"/>
        </w:tabs>
        <w:numPr>
          <w:ilvl w:val="0"/>
          <w:numId w:val="92"/>
        </w:numPr>
        <w:rPr>
          <w:rFonts w:ascii="Arial" w:cs="Arial" w:eastAsia="Arial" w:hAnsi="Arial"/>
          <w:sz w:val="19"/>
          <w:szCs w:val="19"/>
          <w:color w:val="auto"/>
        </w:rPr>
      </w:pPr>
      <w:r>
        <w:rPr>
          <w:rFonts w:ascii="Arial" w:cs="Arial" w:eastAsia="Arial" w:hAnsi="Arial"/>
          <w:sz w:val="19"/>
          <w:szCs w:val="19"/>
          <w:color w:val="auto"/>
        </w:rPr>
        <w:t>Inventory consisting of or containing Hazardous Materials;</w:t>
      </w:r>
    </w:p>
    <w:p>
      <w:pPr>
        <w:spacing w:after="0" w:line="214" w:lineRule="exact"/>
        <w:rPr>
          <w:rFonts w:ascii="Arial" w:cs="Arial" w:eastAsia="Arial" w:hAnsi="Arial"/>
          <w:sz w:val="19"/>
          <w:szCs w:val="19"/>
          <w:color w:val="auto"/>
        </w:rPr>
      </w:pPr>
    </w:p>
    <w:p>
      <w:pPr>
        <w:ind w:firstLine="634"/>
        <w:spacing w:after="0" w:line="274" w:lineRule="auto"/>
        <w:tabs>
          <w:tab w:leader="none" w:pos="1247" w:val="left"/>
        </w:tabs>
        <w:numPr>
          <w:ilvl w:val="0"/>
          <w:numId w:val="92"/>
        </w:numPr>
        <w:rPr>
          <w:rFonts w:ascii="Arial" w:cs="Arial" w:eastAsia="Arial" w:hAnsi="Arial"/>
          <w:sz w:val="19"/>
          <w:szCs w:val="19"/>
          <w:color w:val="auto"/>
        </w:rPr>
      </w:pPr>
      <w:r>
        <w:rPr>
          <w:rFonts w:ascii="Arial" w:cs="Arial" w:eastAsia="Arial" w:hAnsi="Arial"/>
          <w:sz w:val="19"/>
          <w:szCs w:val="19"/>
          <w:color w:val="auto"/>
        </w:rPr>
        <w:t xml:space="preserve">Inventory that is not subject to a perfected first priority Lien in favor of the Administrative Agent (subject only to Permitted Liens set forth in clauses (c), (d) or (m) of </w:t>
      </w:r>
      <w:r>
        <w:rPr>
          <w:rFonts w:ascii="Arial" w:cs="Arial" w:eastAsia="Arial" w:hAnsi="Arial"/>
          <w:sz w:val="19"/>
          <w:szCs w:val="19"/>
          <w:u w:val="single" w:color="auto"/>
          <w:color w:val="auto"/>
        </w:rPr>
        <w:t>Section 8.02</w:t>
      </w:r>
      <w:r>
        <w:rPr>
          <w:rFonts w:ascii="Arial" w:cs="Arial" w:eastAsia="Arial" w:hAnsi="Arial"/>
          <w:sz w:val="19"/>
          <w:szCs w:val="19"/>
          <w:color w:val="auto"/>
        </w:rPr>
        <w:t xml:space="preserve"> hereof);</w:t>
      </w:r>
    </w:p>
    <w:p>
      <w:pPr>
        <w:spacing w:after="0" w:line="156" w:lineRule="exact"/>
        <w:rPr>
          <w:rFonts w:ascii="Arial" w:cs="Arial" w:eastAsia="Arial" w:hAnsi="Arial"/>
          <w:sz w:val="19"/>
          <w:szCs w:val="19"/>
          <w:color w:val="auto"/>
        </w:rPr>
      </w:pPr>
    </w:p>
    <w:p>
      <w:pPr>
        <w:ind w:left="1260" w:hanging="626"/>
        <w:spacing w:after="0"/>
        <w:tabs>
          <w:tab w:leader="none" w:pos="1260" w:val="left"/>
        </w:tabs>
        <w:numPr>
          <w:ilvl w:val="0"/>
          <w:numId w:val="92"/>
        </w:numPr>
        <w:rPr>
          <w:rFonts w:ascii="Arial" w:cs="Arial" w:eastAsia="Arial" w:hAnsi="Arial"/>
          <w:sz w:val="19"/>
          <w:szCs w:val="19"/>
          <w:color w:val="auto"/>
        </w:rPr>
      </w:pPr>
      <w:r>
        <w:rPr>
          <w:rFonts w:ascii="Arial" w:cs="Arial" w:eastAsia="Arial" w:hAnsi="Arial"/>
          <w:sz w:val="19"/>
          <w:szCs w:val="19"/>
          <w:color w:val="auto"/>
        </w:rPr>
        <w:t>Inventory that is not insured in compliance with the provisions of this Agreement and the other Loan Documents;</w:t>
      </w:r>
    </w:p>
    <w:p>
      <w:pPr>
        <w:spacing w:after="0" w:line="214" w:lineRule="exact"/>
        <w:rPr>
          <w:rFonts w:ascii="Arial" w:cs="Arial" w:eastAsia="Arial" w:hAnsi="Arial"/>
          <w:sz w:val="19"/>
          <w:szCs w:val="19"/>
          <w:color w:val="auto"/>
        </w:rPr>
      </w:pPr>
    </w:p>
    <w:p>
      <w:pPr>
        <w:ind w:left="1260" w:hanging="626"/>
        <w:spacing w:after="0"/>
        <w:tabs>
          <w:tab w:leader="none" w:pos="1260" w:val="left"/>
        </w:tabs>
        <w:numPr>
          <w:ilvl w:val="0"/>
          <w:numId w:val="92"/>
        </w:numPr>
        <w:rPr>
          <w:rFonts w:ascii="Arial" w:cs="Arial" w:eastAsia="Arial" w:hAnsi="Arial"/>
          <w:sz w:val="19"/>
          <w:szCs w:val="19"/>
          <w:color w:val="auto"/>
        </w:rPr>
      </w:pPr>
      <w:r>
        <w:rPr>
          <w:rFonts w:ascii="Arial" w:cs="Arial" w:eastAsia="Arial" w:hAnsi="Arial"/>
          <w:sz w:val="19"/>
          <w:szCs w:val="19"/>
          <w:color w:val="auto"/>
        </w:rPr>
        <w:t>Inventory not on a perpetual schedule;</w:t>
      </w:r>
    </w:p>
    <w:p>
      <w:pPr>
        <w:spacing w:after="0" w:line="214" w:lineRule="exact"/>
        <w:rPr>
          <w:rFonts w:ascii="Arial" w:cs="Arial" w:eastAsia="Arial" w:hAnsi="Arial"/>
          <w:sz w:val="19"/>
          <w:szCs w:val="19"/>
          <w:color w:val="auto"/>
        </w:rPr>
      </w:pPr>
    </w:p>
    <w:p>
      <w:pPr>
        <w:ind w:left="1260" w:hanging="626"/>
        <w:spacing w:after="0"/>
        <w:tabs>
          <w:tab w:leader="none" w:pos="1260" w:val="left"/>
        </w:tabs>
        <w:numPr>
          <w:ilvl w:val="0"/>
          <w:numId w:val="92"/>
        </w:numPr>
        <w:rPr>
          <w:rFonts w:ascii="Arial" w:cs="Arial" w:eastAsia="Arial" w:hAnsi="Arial"/>
          <w:sz w:val="19"/>
          <w:szCs w:val="19"/>
          <w:color w:val="auto"/>
        </w:rPr>
      </w:pPr>
      <w:r>
        <w:rPr>
          <w:rFonts w:ascii="Arial" w:cs="Arial" w:eastAsia="Arial" w:hAnsi="Arial"/>
          <w:sz w:val="19"/>
          <w:szCs w:val="19"/>
          <w:color w:val="auto"/>
        </w:rPr>
        <w:t>Inventory that consists of bill and hold goods or goods that have been sold but not yet delivered;</w:t>
      </w:r>
    </w:p>
    <w:p>
      <w:pPr>
        <w:spacing w:after="0" w:line="214" w:lineRule="exact"/>
        <w:rPr>
          <w:rFonts w:ascii="Arial" w:cs="Arial" w:eastAsia="Arial" w:hAnsi="Arial"/>
          <w:sz w:val="19"/>
          <w:szCs w:val="19"/>
          <w:color w:val="auto"/>
        </w:rPr>
      </w:pPr>
    </w:p>
    <w:p>
      <w:pPr>
        <w:jc w:val="both"/>
        <w:ind w:firstLine="634"/>
        <w:spacing w:after="0" w:line="259" w:lineRule="auto"/>
        <w:tabs>
          <w:tab w:leader="none" w:pos="1252" w:val="left"/>
        </w:tabs>
        <w:numPr>
          <w:ilvl w:val="0"/>
          <w:numId w:val="92"/>
        </w:numPr>
        <w:rPr>
          <w:rFonts w:ascii="Arial" w:cs="Arial" w:eastAsia="Arial" w:hAnsi="Arial"/>
          <w:sz w:val="19"/>
          <w:szCs w:val="19"/>
          <w:color w:val="auto"/>
        </w:rPr>
      </w:pPr>
      <w:r>
        <w:rPr>
          <w:rFonts w:ascii="Arial" w:cs="Arial" w:eastAsia="Arial" w:hAnsi="Arial"/>
          <w:sz w:val="19"/>
          <w:szCs w:val="19"/>
          <w:color w:val="auto"/>
        </w:rPr>
        <w:t>Inventory that is subject to any License or other arrangement that restricts such Borrowers’ or the Administrative Agent’s right to dispose of such Inventory, unless (i) Administrative Agent has received an appropriate Lien Waiver; and (ii) such Borrowers have not received notice of a dispute in respect of any such License or other arrangement; or</w:t>
      </w:r>
    </w:p>
    <w:p>
      <w:pPr>
        <w:spacing w:after="0" w:line="171" w:lineRule="exact"/>
        <w:rPr>
          <w:rFonts w:ascii="Arial" w:cs="Arial" w:eastAsia="Arial" w:hAnsi="Arial"/>
          <w:sz w:val="19"/>
          <w:szCs w:val="19"/>
          <w:color w:val="auto"/>
        </w:rPr>
      </w:pPr>
    </w:p>
    <w:p>
      <w:pPr>
        <w:ind w:left="1260" w:hanging="626"/>
        <w:spacing w:after="0"/>
        <w:tabs>
          <w:tab w:leader="none" w:pos="1260" w:val="left"/>
        </w:tabs>
        <w:numPr>
          <w:ilvl w:val="0"/>
          <w:numId w:val="92"/>
        </w:numPr>
        <w:rPr>
          <w:rFonts w:ascii="Arial" w:cs="Arial" w:eastAsia="Arial" w:hAnsi="Arial"/>
          <w:sz w:val="19"/>
          <w:szCs w:val="19"/>
          <w:color w:val="auto"/>
        </w:rPr>
      </w:pPr>
      <w:r>
        <w:rPr>
          <w:rFonts w:ascii="Arial" w:cs="Arial" w:eastAsia="Arial" w:hAnsi="Arial"/>
          <w:sz w:val="19"/>
          <w:szCs w:val="19"/>
          <w:color w:val="auto"/>
        </w:rPr>
        <w:t>Inventory that is Bonded Inventory.</w:t>
      </w:r>
    </w:p>
    <w:p>
      <w:pPr>
        <w:spacing w:after="0" w:line="214" w:lineRule="exact"/>
        <w:rPr>
          <w:sz w:val="20"/>
          <w:szCs w:val="20"/>
          <w:color w:val="auto"/>
        </w:rPr>
      </w:pPr>
    </w:p>
    <w:p>
      <w:pPr>
        <w:jc w:val="both"/>
        <w:ind w:firstLine="629"/>
        <w:spacing w:after="0" w:line="26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Rolling Stock</w:t>
      </w:r>
      <w:r>
        <w:rPr>
          <w:rFonts w:ascii="Arial" w:cs="Arial" w:eastAsia="Arial" w:hAnsi="Arial"/>
          <w:sz w:val="18"/>
          <w:szCs w:val="18"/>
          <w:color w:val="auto"/>
        </w:rPr>
        <w:t>” means Eligible Equipment consisting of Rolling Stock that (a) meets, in all material respects, all applicable material safety or regulatory standards applicable to it for the use for which it is intended or for which it is being used; (b) the ownership of which is evidenced by a Certificate of Title that has the name of a Borrower noted thereon as the owner of it and is otherwise properly registered (with all registration fees paid) in one of the states of the United States to such Borrower that is entitled to operate such Rolling Stock in the state that has issued such Certificate of Title in accordance with all applicable laws (other than any Rolling Stock the ownership of which is not required to be evidenced by a Certificate of Title under the laws applicable to it) and the Administrative Agent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27</w:t>
      </w:r>
    </w:p>
    <w:p>
      <w:pPr>
        <w:sectPr>
          <w:pgSz w:w="11900" w:h="16838" w:orient="portrait"/>
          <w:cols w:equalWidth="0" w:num="1">
            <w:col w:w="11240"/>
          </w:cols>
          <w:pgMar w:left="320" w:top="1382" w:right="339" w:bottom="1440" w:gutter="0" w:footer="0" w:header="0"/>
        </w:sectPr>
      </w:pPr>
    </w:p>
    <w:bookmarkStart w:id="146" w:name="page147"/>
    <w:bookmarkEnd w:id="146"/>
    <w:p>
      <w:pPr>
        <w:jc w:val="both"/>
        <w:spacing w:after="0" w:line="285" w:lineRule="auto"/>
        <w:rPr>
          <w:sz w:val="20"/>
          <w:szCs w:val="20"/>
          <w:color w:val="auto"/>
        </w:rPr>
      </w:pPr>
      <w:r>
        <w:rPr>
          <w:rFonts w:ascii="Arial" w:cs="Arial" w:eastAsia="Arial" w:hAnsi="Arial"/>
          <w:sz w:val="17"/>
          <w:szCs w:val="17"/>
          <w:color w:val="auto"/>
        </w:rPr>
        <w:t>received such evidence thereof as it may require; (c) at the request of the Administrative Agent, the Certificate of Title (if in paper format) with respect to any such Rolling Stock is delivered to the Administrative Agent; (d) meets, in all material respects, all applicable material standards of all motor vehicle laws or other statutes and regulations established by any Governmental Authority and is not subject to any licensing or similar requirement that would limit the right of the Administrative Agent to sell or otherwise dispose of such Rolling Stock; (e) is used or usable in the ordinary course of a Borrower’s business and has not been damaged in any material respect or in an inoperable condition that continues for any period of more than thirty (30) consecutive days; and (f) is insured in accordance with the requirements of this Agreement.</w:t>
      </w:r>
    </w:p>
    <w:p>
      <w:pPr>
        <w:spacing w:after="0" w:line="155" w:lineRule="exact"/>
        <w:rPr>
          <w:sz w:val="20"/>
          <w:szCs w:val="20"/>
          <w:color w:val="auto"/>
        </w:rPr>
      </w:pPr>
    </w:p>
    <w:p>
      <w:pPr>
        <w:jc w:val="both"/>
        <w:ind w:firstLine="629"/>
        <w:spacing w:after="0" w:line="28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Eligible Time and Material Accounts</w:t>
      </w:r>
      <w:r>
        <w:rPr>
          <w:rFonts w:ascii="Arial" w:cs="Arial" w:eastAsia="Arial" w:hAnsi="Arial"/>
          <w:sz w:val="17"/>
          <w:szCs w:val="17"/>
          <w:color w:val="auto"/>
        </w:rPr>
        <w:t xml:space="preserve">” means, with respect to any Borrower as of any date of determination, each Account of such Borrower (other than Eligible Accounts) arising in the Ordinary Course of Business with respect to a fixed-price or cost-plus contract that requires Borrower to satisfy specified progress milestones or performance standards between such Borrower and its customer, </w:t>
      </w:r>
      <w:r>
        <w:rPr>
          <w:rFonts w:ascii="Arial" w:cs="Arial" w:eastAsia="Arial" w:hAnsi="Arial"/>
          <w:sz w:val="17"/>
          <w:szCs w:val="17"/>
          <w:i w:val="1"/>
          <w:iCs w:val="1"/>
          <w:color w:val="auto"/>
        </w:rPr>
        <w:t>in each case</w:t>
      </w:r>
      <w:r>
        <w:rPr>
          <w:rFonts w:ascii="Arial" w:cs="Arial" w:eastAsia="Arial" w:hAnsi="Arial"/>
          <w:sz w:val="17"/>
          <w:szCs w:val="17"/>
          <w:color w:val="auto"/>
        </w:rPr>
        <w:t xml:space="preserve"> that</w:t>
      </w:r>
    </w:p>
    <w:p>
      <w:pPr>
        <w:spacing w:after="0" w:line="1" w:lineRule="exact"/>
        <w:rPr>
          <w:sz w:val="20"/>
          <w:szCs w:val="20"/>
          <w:color w:val="auto"/>
        </w:rPr>
      </w:pPr>
    </w:p>
    <w:p>
      <w:pPr>
        <w:jc w:val="both"/>
        <w:ind w:firstLine="5"/>
        <w:spacing w:after="0" w:line="279" w:lineRule="auto"/>
        <w:tabs>
          <w:tab w:leader="none" w:pos="246" w:val="left"/>
        </w:tabs>
        <w:numPr>
          <w:ilvl w:val="0"/>
          <w:numId w:val="93"/>
        </w:numPr>
        <w:rPr>
          <w:rFonts w:ascii="Arial" w:cs="Arial" w:eastAsia="Arial" w:hAnsi="Arial"/>
          <w:sz w:val="17"/>
          <w:szCs w:val="17"/>
          <w:color w:val="auto"/>
        </w:rPr>
      </w:pPr>
      <w:r>
        <w:rPr>
          <w:rFonts w:ascii="Arial" w:cs="Arial" w:eastAsia="Arial" w:hAnsi="Arial"/>
          <w:sz w:val="17"/>
          <w:szCs w:val="17"/>
          <w:color w:val="auto"/>
        </w:rPr>
        <w:t>is in accordance in all material respects with the applicable billing procedures, performance thresholds and other provisions of an executed contract or other documentation satisfactory to Administrative Agent in its sole discretion with the applicable Account Debtor, (ii) has been verified to Administrative Agent’s satisfaction pursuant to field examinations and other verifications from time to time performed on behalf of Administrative Agent pursuant to the terms of this Agreement, (iii) the services or goods represented by the Account and also, any other services then required to be performed and any other goods then required to be delivered, in each case through the date of determination under the related contract, in each case have been performed or delivered, or both (as applicable) and accepted by the Account Debtor, (iv) is otherwise satisfactory to Administrative Agent in its sole discretion and (v) would otherwise constitute an Eligible Account but for only the fact that such Account arises from a milestone or progress billing. In addition, no Account shall constitute an Eligible Time and Material Account if:</w:t>
      </w:r>
    </w:p>
    <w:p>
      <w:pPr>
        <w:spacing w:after="0" w:line="159" w:lineRule="exact"/>
        <w:rPr>
          <w:rFonts w:ascii="Arial" w:cs="Arial" w:eastAsia="Arial" w:hAnsi="Arial"/>
          <w:sz w:val="17"/>
          <w:szCs w:val="17"/>
          <w:color w:val="auto"/>
        </w:rPr>
      </w:pPr>
    </w:p>
    <w:p>
      <w:pPr>
        <w:ind w:firstLine="634"/>
        <w:spacing w:after="0" w:line="274" w:lineRule="auto"/>
        <w:tabs>
          <w:tab w:leader="none" w:pos="1249" w:val="left"/>
        </w:tabs>
        <w:numPr>
          <w:ilvl w:val="1"/>
          <w:numId w:val="93"/>
        </w:numPr>
        <w:rPr>
          <w:rFonts w:ascii="Arial" w:cs="Arial" w:eastAsia="Arial" w:hAnsi="Arial"/>
          <w:sz w:val="19"/>
          <w:szCs w:val="19"/>
          <w:color w:val="auto"/>
        </w:rPr>
      </w:pPr>
      <w:r>
        <w:rPr>
          <w:rFonts w:ascii="Arial" w:cs="Arial" w:eastAsia="Arial" w:hAnsi="Arial"/>
          <w:sz w:val="19"/>
          <w:szCs w:val="19"/>
          <w:color w:val="auto"/>
        </w:rPr>
        <w:t>such Account is not billable solely upon either the time the applicable Borrower spent multiplied by an hourly rate or a specified price (or a cost plus formulation) with respect to goods provided;</w:t>
      </w:r>
    </w:p>
    <w:p>
      <w:pPr>
        <w:spacing w:after="0" w:line="156" w:lineRule="exact"/>
        <w:rPr>
          <w:rFonts w:ascii="Arial" w:cs="Arial" w:eastAsia="Arial" w:hAnsi="Arial"/>
          <w:sz w:val="19"/>
          <w:szCs w:val="19"/>
          <w:color w:val="auto"/>
        </w:rPr>
      </w:pPr>
    </w:p>
    <w:p>
      <w:pPr>
        <w:ind w:firstLine="634"/>
        <w:spacing w:after="0" w:line="274" w:lineRule="auto"/>
        <w:tabs>
          <w:tab w:leader="none" w:pos="1247" w:val="left"/>
        </w:tabs>
        <w:numPr>
          <w:ilvl w:val="1"/>
          <w:numId w:val="93"/>
        </w:numPr>
        <w:rPr>
          <w:rFonts w:ascii="Arial" w:cs="Arial" w:eastAsia="Arial" w:hAnsi="Arial"/>
          <w:sz w:val="19"/>
          <w:szCs w:val="19"/>
          <w:color w:val="auto"/>
        </w:rPr>
      </w:pPr>
      <w:r>
        <w:rPr>
          <w:rFonts w:ascii="Arial" w:cs="Arial" w:eastAsia="Arial" w:hAnsi="Arial"/>
          <w:sz w:val="19"/>
          <w:szCs w:val="19"/>
          <w:color w:val="auto"/>
        </w:rPr>
        <w:t>such Account arises from a contract in which such Borrower would collect in excess of $100,000 in the aggregate pursuant to its terms, but only to the extent of any such excess;</w:t>
      </w:r>
    </w:p>
    <w:p>
      <w:pPr>
        <w:spacing w:after="0" w:line="156" w:lineRule="exact"/>
        <w:rPr>
          <w:rFonts w:ascii="Arial" w:cs="Arial" w:eastAsia="Arial" w:hAnsi="Arial"/>
          <w:sz w:val="19"/>
          <w:szCs w:val="19"/>
          <w:color w:val="auto"/>
        </w:rPr>
      </w:pPr>
    </w:p>
    <w:p>
      <w:pPr>
        <w:jc w:val="both"/>
        <w:ind w:firstLine="634"/>
        <w:spacing w:after="0" w:line="259" w:lineRule="auto"/>
        <w:tabs>
          <w:tab w:leader="none" w:pos="1249" w:val="left"/>
        </w:tabs>
        <w:numPr>
          <w:ilvl w:val="1"/>
          <w:numId w:val="93"/>
        </w:numPr>
        <w:rPr>
          <w:rFonts w:ascii="Arial" w:cs="Arial" w:eastAsia="Arial" w:hAnsi="Arial"/>
          <w:sz w:val="19"/>
          <w:szCs w:val="19"/>
          <w:color w:val="auto"/>
        </w:rPr>
      </w:pPr>
      <w:r>
        <w:rPr>
          <w:rFonts w:ascii="Arial" w:cs="Arial" w:eastAsia="Arial" w:hAnsi="Arial"/>
          <w:sz w:val="19"/>
          <w:szCs w:val="19"/>
          <w:color w:val="auto"/>
        </w:rPr>
        <w:t>it arises from a sale of goods or performance of services subject to a performance or payment bond (or any other Bonding Obligation) or otherwise supported by a Surety, unless an agreement between Administrative Agent and such bonding company or Surety has been entered into which is in form and substance acceptable to Administrative Agent at its sole option;</w:t>
      </w:r>
    </w:p>
    <w:p>
      <w:pPr>
        <w:spacing w:after="0" w:line="171" w:lineRule="exact"/>
        <w:rPr>
          <w:rFonts w:ascii="Arial" w:cs="Arial" w:eastAsia="Arial" w:hAnsi="Arial"/>
          <w:sz w:val="19"/>
          <w:szCs w:val="19"/>
          <w:color w:val="auto"/>
        </w:rPr>
      </w:pPr>
    </w:p>
    <w:p>
      <w:pPr>
        <w:jc w:val="both"/>
        <w:ind w:firstLine="634"/>
        <w:spacing w:after="0" w:line="259" w:lineRule="auto"/>
        <w:tabs>
          <w:tab w:leader="none" w:pos="1247" w:val="left"/>
        </w:tabs>
        <w:numPr>
          <w:ilvl w:val="1"/>
          <w:numId w:val="93"/>
        </w:numPr>
        <w:rPr>
          <w:rFonts w:ascii="Arial" w:cs="Arial" w:eastAsia="Arial" w:hAnsi="Arial"/>
          <w:sz w:val="19"/>
          <w:szCs w:val="19"/>
          <w:color w:val="auto"/>
        </w:rPr>
      </w:pPr>
      <w:r>
        <w:rPr>
          <w:rFonts w:ascii="Arial" w:cs="Arial" w:eastAsia="Arial" w:hAnsi="Arial"/>
          <w:sz w:val="19"/>
          <w:szCs w:val="19"/>
          <w:color w:val="auto"/>
        </w:rPr>
        <w:t>such Account requires a period of more than three (3) months (or such longer time period as may be approved by the Administrative Agent at its sole option) for the applicable Borrower to start and complete the sale of underlying goods or performance of services;</w:t>
      </w:r>
    </w:p>
    <w:p>
      <w:pPr>
        <w:spacing w:after="0" w:line="171" w:lineRule="exact"/>
        <w:rPr>
          <w:rFonts w:ascii="Arial" w:cs="Arial" w:eastAsia="Arial" w:hAnsi="Arial"/>
          <w:sz w:val="19"/>
          <w:szCs w:val="19"/>
          <w:color w:val="auto"/>
        </w:rPr>
      </w:pPr>
    </w:p>
    <w:p>
      <w:pPr>
        <w:ind w:left="1260" w:hanging="626"/>
        <w:spacing w:after="0"/>
        <w:tabs>
          <w:tab w:leader="none" w:pos="1260" w:val="left"/>
        </w:tabs>
        <w:numPr>
          <w:ilvl w:val="1"/>
          <w:numId w:val="93"/>
        </w:numPr>
        <w:rPr>
          <w:rFonts w:ascii="Arial" w:cs="Arial" w:eastAsia="Arial" w:hAnsi="Arial"/>
          <w:sz w:val="19"/>
          <w:szCs w:val="19"/>
          <w:color w:val="auto"/>
        </w:rPr>
      </w:pPr>
      <w:r>
        <w:rPr>
          <w:rFonts w:ascii="Arial" w:cs="Arial" w:eastAsia="Arial" w:hAnsi="Arial"/>
          <w:sz w:val="19"/>
          <w:szCs w:val="19"/>
          <w:color w:val="auto"/>
        </w:rPr>
        <w:t>such Account represents billings less than cost; or</w:t>
      </w:r>
    </w:p>
    <w:p>
      <w:pPr>
        <w:spacing w:after="0" w:line="214" w:lineRule="exact"/>
        <w:rPr>
          <w:rFonts w:ascii="Arial" w:cs="Arial" w:eastAsia="Arial" w:hAnsi="Arial"/>
          <w:sz w:val="19"/>
          <w:szCs w:val="19"/>
          <w:color w:val="auto"/>
        </w:rPr>
      </w:pPr>
    </w:p>
    <w:p>
      <w:pPr>
        <w:ind w:firstLine="634"/>
        <w:spacing w:after="0" w:line="274" w:lineRule="auto"/>
        <w:tabs>
          <w:tab w:leader="none" w:pos="1254" w:val="left"/>
        </w:tabs>
        <w:numPr>
          <w:ilvl w:val="1"/>
          <w:numId w:val="93"/>
        </w:numPr>
        <w:rPr>
          <w:rFonts w:ascii="Arial" w:cs="Arial" w:eastAsia="Arial" w:hAnsi="Arial"/>
          <w:sz w:val="19"/>
          <w:szCs w:val="19"/>
          <w:color w:val="auto"/>
        </w:rPr>
      </w:pPr>
      <w:r>
        <w:rPr>
          <w:rFonts w:ascii="Arial" w:cs="Arial" w:eastAsia="Arial" w:hAnsi="Arial"/>
          <w:sz w:val="19"/>
          <w:szCs w:val="19"/>
          <w:color w:val="auto"/>
        </w:rPr>
        <w:t>such Account is not subject to Administrative Agent’s first priority perfected security interest or is subject to any other Lien (other than junior Permitted Liens). Without limiting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28</w:t>
      </w:r>
    </w:p>
    <w:p>
      <w:pPr>
        <w:sectPr>
          <w:pgSz w:w="11900" w:h="16838" w:orient="portrait"/>
          <w:cols w:equalWidth="0" w:num="1">
            <w:col w:w="11240"/>
          </w:cols>
          <w:pgMar w:left="320" w:top="1381" w:right="339" w:bottom="1440" w:gutter="0" w:footer="0" w:header="0"/>
        </w:sectPr>
      </w:pPr>
    </w:p>
    <w:bookmarkStart w:id="147" w:name="page148"/>
    <w:bookmarkEnd w:id="147"/>
    <w:p>
      <w:pPr>
        <w:jc w:val="both"/>
        <w:spacing w:after="0" w:line="274" w:lineRule="auto"/>
        <w:rPr>
          <w:sz w:val="20"/>
          <w:szCs w:val="20"/>
          <w:color w:val="auto"/>
        </w:rPr>
      </w:pPr>
      <w:r>
        <w:rPr>
          <w:rFonts w:ascii="Arial" w:cs="Arial" w:eastAsia="Arial" w:hAnsi="Arial"/>
          <w:sz w:val="19"/>
          <w:szCs w:val="19"/>
          <w:color w:val="auto"/>
        </w:rPr>
        <w:t>foregoing, the proceeds of such Account may not be subject to any trust (whether arising by contract or Law) in respect of the application of such proceeds.</w:t>
      </w:r>
    </w:p>
    <w:p>
      <w:pPr>
        <w:spacing w:after="0" w:line="157" w:lineRule="exact"/>
        <w:rPr>
          <w:sz w:val="20"/>
          <w:szCs w:val="20"/>
          <w:color w:val="auto"/>
        </w:rPr>
      </w:pPr>
    </w:p>
    <w:p>
      <w:pPr>
        <w:jc w:val="both"/>
        <w:ind w:firstLine="629"/>
        <w:spacing w:after="0" w:line="25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Environmental Laws</w:t>
      </w:r>
      <w:r>
        <w:rPr>
          <w:rFonts w:ascii="Arial" w:cs="Arial" w:eastAsia="Arial" w:hAnsi="Arial"/>
          <w:sz w:val="19"/>
          <w:szCs w:val="19"/>
          <w:color w:val="auto"/>
        </w:rPr>
        <w:t>” means any and all federal, state, provincial, territorial, local, and foreign statutes, laws, regulations, ordinances, rules, judgments, orders, decrees, permits, concessions, grants, franchises, licenses, agreements or governmental restrictions relating to pollution and the protection of the environment or the release of any materials into the environment, including those related to hazardous substances or wastes, air emissions and discharges to waste or public systems.</w:t>
      </w:r>
    </w:p>
    <w:p>
      <w:pPr>
        <w:spacing w:after="0" w:line="177" w:lineRule="exact"/>
        <w:rPr>
          <w:sz w:val="20"/>
          <w:szCs w:val="20"/>
          <w:color w:val="auto"/>
        </w:rPr>
      </w:pPr>
    </w:p>
    <w:p>
      <w:pPr>
        <w:jc w:val="both"/>
        <w:ind w:firstLine="629"/>
        <w:spacing w:after="0" w:line="28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Environmental Liability</w:t>
      </w:r>
      <w:r>
        <w:rPr>
          <w:rFonts w:ascii="Arial" w:cs="Arial" w:eastAsia="Arial" w:hAnsi="Arial"/>
          <w:sz w:val="17"/>
          <w:szCs w:val="17"/>
          <w:color w:val="auto"/>
        </w:rPr>
        <w:t>” means any liability, contingent or otherwise (including any liability for damages, costs of environmental remediation, fines, penalties or indemnities), of a Loan Party or any of its Subsidiaries directly or indirectly resulting from or based upon (a) violation of any Environmental Law, (b) the generation, use, handling, transportation, storage, treatment or disposal of any Hazardous Materials,</w:t>
      </w:r>
    </w:p>
    <w:p>
      <w:pPr>
        <w:spacing w:after="0" w:line="1" w:lineRule="exact"/>
        <w:rPr>
          <w:sz w:val="20"/>
          <w:szCs w:val="20"/>
          <w:color w:val="auto"/>
        </w:rPr>
      </w:pPr>
    </w:p>
    <w:p>
      <w:pPr>
        <w:ind w:firstLine="5"/>
        <w:spacing w:after="0" w:line="284" w:lineRule="auto"/>
        <w:tabs>
          <w:tab w:leader="none" w:pos="293" w:val="left"/>
        </w:tabs>
        <w:numPr>
          <w:ilvl w:val="0"/>
          <w:numId w:val="94"/>
        </w:numPr>
        <w:rPr>
          <w:rFonts w:ascii="Arial" w:cs="Arial" w:eastAsia="Arial" w:hAnsi="Arial"/>
          <w:sz w:val="18"/>
          <w:szCs w:val="18"/>
          <w:color w:val="auto"/>
        </w:rPr>
      </w:pPr>
      <w:r>
        <w:rPr>
          <w:rFonts w:ascii="Arial" w:cs="Arial" w:eastAsia="Arial" w:hAnsi="Arial"/>
          <w:sz w:val="18"/>
          <w:szCs w:val="18"/>
          <w:color w:val="auto"/>
        </w:rPr>
        <w:t>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150" w:lineRule="exact"/>
        <w:rPr>
          <w:sz w:val="20"/>
          <w:szCs w:val="20"/>
          <w:color w:val="auto"/>
        </w:rPr>
      </w:pPr>
    </w:p>
    <w:p>
      <w:pPr>
        <w:jc w:val="both"/>
        <w:ind w:firstLine="629"/>
        <w:spacing w:after="0" w:line="26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Interests</w:t>
      </w:r>
      <w:r>
        <w:rPr>
          <w:rFonts w:ascii="Arial" w:cs="Arial" w:eastAsia="Arial" w:hAnsi="Arial"/>
          <w:sz w:val="18"/>
          <w:szCs w:val="18"/>
          <w:color w:val="auto"/>
        </w:rPr>
        <w:t>” means, with respect to any Person, all of the shares of capital stock of or partnership or membership interest in (or other ownership or profit interests in) such Person, all of the warrants, options or other rights for the purchase or acquisition from such Person of shares of capital stock of or partnership or membership interest in (or other ownership or profit interests in) such Person, all of the securities convertible into or exchangeable for shares of capital stock of or partnership or membership interest in (or other ownership or profit interests in) such Person or warrants, rights or options for the purchase or acquisition from such Person of such shares, interests or units (or such other interests), and all of the other ownership or profit interests in such Person, whether voting or nonvoting, and whether or not such shares, units, warrants, options, rights or other interests are outstanding on any date of determination.</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ERISA</w:t>
      </w:r>
      <w:r>
        <w:rPr>
          <w:rFonts w:ascii="Arial" w:cs="Arial" w:eastAsia="Arial" w:hAnsi="Arial"/>
          <w:sz w:val="19"/>
          <w:szCs w:val="19"/>
          <w:color w:val="auto"/>
        </w:rPr>
        <w:t>” means the Employee Retirement Income Security Act of 1974.</w:t>
      </w:r>
    </w:p>
    <w:p>
      <w:pPr>
        <w:spacing w:after="0" w:line="214" w:lineRule="exact"/>
        <w:rPr>
          <w:sz w:val="20"/>
          <w:szCs w:val="20"/>
          <w:color w:val="auto"/>
        </w:rPr>
      </w:pPr>
    </w:p>
    <w:p>
      <w:pPr>
        <w:jc w:val="both"/>
        <w:ind w:firstLine="629"/>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ERISA Affiliate</w:t>
      </w:r>
      <w:r>
        <w:rPr>
          <w:rFonts w:ascii="Arial" w:cs="Arial" w:eastAsia="Arial" w:hAnsi="Arial"/>
          <w:sz w:val="19"/>
          <w:szCs w:val="19"/>
          <w:color w:val="auto"/>
        </w:rPr>
        <w:t>” means any trade or business (whether or not incorporated) under common control with any Loan Party within the meaning of Section 414(b) or (c) of the Code (and Sections 414(m) and (o) of the Code for purposes of provisions relating to Section 412 of the Code).</w:t>
      </w:r>
    </w:p>
    <w:p>
      <w:pPr>
        <w:spacing w:after="0" w:line="171" w:lineRule="exact"/>
        <w:rPr>
          <w:sz w:val="20"/>
          <w:szCs w:val="20"/>
          <w:color w:val="auto"/>
        </w:rPr>
      </w:pPr>
    </w:p>
    <w:p>
      <w:pPr>
        <w:jc w:val="both"/>
        <w:ind w:firstLine="629"/>
        <w:spacing w:after="0" w:line="27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ERISA Event</w:t>
      </w:r>
      <w:r>
        <w:rPr>
          <w:rFonts w:ascii="Arial" w:cs="Arial" w:eastAsia="Arial" w:hAnsi="Arial"/>
          <w:sz w:val="17"/>
          <w:szCs w:val="17"/>
          <w:color w:val="auto"/>
        </w:rPr>
        <w:t>” means (a) a Reportable Event with respect to a Pension Plan; (b) the withdrawal of any Loan Party or any ERISA Affiliate from a Pension Plan subject to Section 4063 of ERISA during a plan year in which such entity was a “substantial employer” as defined in Section 4001(a)(3) of ERISA or a cessation of operations that is treated as such a withdrawal under Section 4062(e) of ERISA; (c) a complete or partial withdrawal by any Loan Party or any ERISA Affiliate from a Multiemployer Plan or notification that a Multiemployer Plan is insolvent;</w:t>
      </w:r>
    </w:p>
    <w:p>
      <w:pPr>
        <w:spacing w:after="0" w:line="2" w:lineRule="exact"/>
        <w:rPr>
          <w:sz w:val="20"/>
          <w:szCs w:val="20"/>
          <w:color w:val="auto"/>
        </w:rPr>
      </w:pPr>
    </w:p>
    <w:p>
      <w:pPr>
        <w:jc w:val="both"/>
        <w:ind w:firstLine="5"/>
        <w:spacing w:after="0" w:line="246" w:lineRule="auto"/>
        <w:tabs>
          <w:tab w:leader="none" w:pos="280" w:val="left"/>
        </w:tabs>
        <w:numPr>
          <w:ilvl w:val="0"/>
          <w:numId w:val="95"/>
        </w:numPr>
        <w:rPr>
          <w:rFonts w:ascii="Arial" w:cs="Arial" w:eastAsia="Arial" w:hAnsi="Arial"/>
          <w:sz w:val="19"/>
          <w:szCs w:val="19"/>
          <w:color w:val="auto"/>
        </w:rPr>
      </w:pPr>
      <w:r>
        <w:rPr>
          <w:rFonts w:ascii="Arial" w:cs="Arial" w:eastAsia="Arial" w:hAnsi="Arial"/>
          <w:sz w:val="19"/>
          <w:szCs w:val="19"/>
          <w:color w:val="auto"/>
        </w:rPr>
        <w:t>with respect to a Pension Plan, the filing by any Loan Party or any other ERISA Affiliate of a notice of intent to terminate (or treatment of a plan amendment as termination) under Section 4041 of ERISA or Section 4041A of ERISA; (e) the institution by the PBGC of proceedings to terminate a Pension Plan; (f) any event or condition which constitutes grounds under Section 4042 of ERISA for the termination of, or the appointment of a trustee to administer, any Pension Plan; (g) the determination that any Pension Plan is considered an at-risk plan or a plan in endangered or critical status within the meaning of Sections 430, 431 and 432 of the Code or Sections 303, 304 and 305 of ERISA; (h) the imposition of any liability under Title IV of ERISA, other than for PBGC premiums due but not delinquent under Section 4007 of ERISA, upon any Loan Party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29</w:t>
      </w:r>
    </w:p>
    <w:p>
      <w:pPr>
        <w:sectPr>
          <w:pgSz w:w="11900" w:h="16838" w:orient="portrait"/>
          <w:cols w:equalWidth="0" w:num="1">
            <w:col w:w="11240"/>
          </w:cols>
          <w:pgMar w:left="320" w:top="1381" w:right="339" w:bottom="1440" w:gutter="0" w:footer="0" w:header="0"/>
        </w:sectPr>
      </w:pPr>
    </w:p>
    <w:bookmarkStart w:id="148" w:name="page149"/>
    <w:bookmarkEnd w:id="148"/>
    <w:p>
      <w:pPr>
        <w:jc w:val="both"/>
        <w:spacing w:after="0" w:line="254" w:lineRule="auto"/>
        <w:rPr>
          <w:sz w:val="20"/>
          <w:szCs w:val="20"/>
          <w:color w:val="auto"/>
        </w:rPr>
      </w:pPr>
      <w:r>
        <w:rPr>
          <w:rFonts w:ascii="Arial" w:cs="Arial" w:eastAsia="Arial" w:hAnsi="Arial"/>
          <w:sz w:val="19"/>
          <w:szCs w:val="19"/>
          <w:color w:val="auto"/>
        </w:rPr>
        <w:t>any ERISA Affiliate; or (i) the failure of any Loan Party or an ERISA Affiliate to make any required contribution to any Pension Plan when due. Notwithstanding the foregoing, a complete withdrawal (within the meaning of Section 4203 of ERISA) shall not occur for any Loan Party or ERISA Affiliate that has an obligation to contribute under a Multiemployer Plan for work performed in the building and construction industry, unless the requirements of Section 4203(b) of ERISA are met.</w:t>
      </w:r>
    </w:p>
    <w:p>
      <w:pPr>
        <w:spacing w:after="0" w:line="177" w:lineRule="exact"/>
        <w:rPr>
          <w:sz w:val="20"/>
          <w:szCs w:val="20"/>
          <w:color w:val="auto"/>
        </w:rPr>
      </w:pPr>
    </w:p>
    <w:p>
      <w:pPr>
        <w:jc w:val="both"/>
        <w:ind w:firstLine="629"/>
        <w:spacing w:after="0" w:line="28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EU Bail-In Legislation Schedule</w:t>
      </w:r>
      <w:r>
        <w:rPr>
          <w:rFonts w:ascii="Arial" w:cs="Arial" w:eastAsia="Arial" w:hAnsi="Arial"/>
          <w:sz w:val="19"/>
          <w:szCs w:val="19"/>
          <w:color w:val="auto"/>
        </w:rPr>
        <w:t>” means the EU Bail-In Legislation Schedule published by the Loan Market Association (or any successor thereto), as in effect from time to time.</w:t>
      </w:r>
      <w:r>
        <w:rPr>
          <w:rFonts w:ascii="Arial" w:cs="Arial" w:eastAsia="Arial" w:hAnsi="Arial"/>
          <w:sz w:val="24"/>
          <w:szCs w:val="24"/>
          <w:color w:val="auto"/>
          <w:vertAlign w:val="superscript"/>
        </w:rPr>
        <w:t>1</w:t>
      </w:r>
    </w:p>
    <w:p>
      <w:pPr>
        <w:spacing w:after="0" w:line="66"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Eurocurrency liabilities</w:t>
      </w:r>
      <w:r>
        <w:rPr>
          <w:rFonts w:ascii="Arial" w:cs="Arial" w:eastAsia="Arial" w:hAnsi="Arial"/>
          <w:sz w:val="19"/>
          <w:szCs w:val="19"/>
          <w:color w:val="auto"/>
        </w:rPr>
        <w:t xml:space="preserve">” has the meaning specified in </w:t>
      </w:r>
      <w:r>
        <w:rPr>
          <w:rFonts w:ascii="Arial" w:cs="Arial" w:eastAsia="Arial" w:hAnsi="Arial"/>
          <w:sz w:val="19"/>
          <w:szCs w:val="19"/>
          <w:u w:val="single" w:color="auto"/>
          <w:color w:val="auto"/>
        </w:rPr>
        <w:t>Section 3.04(e)</w:t>
      </w:r>
      <w:r>
        <w:rPr>
          <w:rFonts w:ascii="Arial" w:cs="Arial" w:eastAsia="Arial" w:hAnsi="Arial"/>
          <w:sz w:val="19"/>
          <w:szCs w:val="19"/>
          <w:color w:val="auto"/>
        </w:rPr>
        <w:t>.</w:t>
      </w:r>
    </w:p>
    <w:p>
      <w:pPr>
        <w:spacing w:after="0" w:line="21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Eurocurrency Rate</w:t>
      </w:r>
      <w:r>
        <w:rPr>
          <w:rFonts w:ascii="Arial" w:cs="Arial" w:eastAsia="Arial" w:hAnsi="Arial"/>
          <w:sz w:val="19"/>
          <w:szCs w:val="19"/>
          <w:color w:val="auto"/>
        </w:rPr>
        <w:t>” means:</w:t>
      </w:r>
    </w:p>
    <w:p>
      <w:pPr>
        <w:spacing w:after="0" w:line="214" w:lineRule="exact"/>
        <w:rPr>
          <w:sz w:val="20"/>
          <w:szCs w:val="20"/>
          <w:color w:val="auto"/>
        </w:rPr>
      </w:pPr>
    </w:p>
    <w:p>
      <w:pPr>
        <w:ind w:left="1880" w:hanging="301"/>
        <w:spacing w:after="0"/>
        <w:tabs>
          <w:tab w:leader="none" w:pos="1880" w:val="left"/>
        </w:tabs>
        <w:numPr>
          <w:ilvl w:val="0"/>
          <w:numId w:val="96"/>
        </w:numPr>
        <w:rPr>
          <w:rFonts w:ascii="Arial" w:cs="Arial" w:eastAsia="Arial" w:hAnsi="Arial"/>
          <w:sz w:val="19"/>
          <w:szCs w:val="19"/>
          <w:color w:val="auto"/>
        </w:rPr>
      </w:pPr>
      <w:r>
        <w:rPr>
          <w:rFonts w:ascii="Arial" w:cs="Arial" w:eastAsia="Arial" w:hAnsi="Arial"/>
          <w:sz w:val="19"/>
          <w:szCs w:val="19"/>
          <w:color w:val="auto"/>
        </w:rPr>
        <w:t>for any Interest Period, with respect to any Credit Extension:</w:t>
      </w:r>
    </w:p>
    <w:p>
      <w:pPr>
        <w:spacing w:after="0" w:line="214" w:lineRule="exact"/>
        <w:rPr>
          <w:rFonts w:ascii="Arial" w:cs="Arial" w:eastAsia="Arial" w:hAnsi="Arial"/>
          <w:sz w:val="19"/>
          <w:szCs w:val="19"/>
          <w:color w:val="auto"/>
        </w:rPr>
      </w:pPr>
    </w:p>
    <w:p>
      <w:pPr>
        <w:ind w:left="2520" w:hanging="312"/>
        <w:spacing w:after="0"/>
        <w:tabs>
          <w:tab w:leader="none" w:pos="2520" w:val="left"/>
        </w:tabs>
        <w:numPr>
          <w:ilvl w:val="1"/>
          <w:numId w:val="96"/>
        </w:numPr>
        <w:rPr>
          <w:rFonts w:ascii="Arial" w:cs="Arial" w:eastAsia="Arial" w:hAnsi="Arial"/>
          <w:sz w:val="19"/>
          <w:szCs w:val="19"/>
          <w:color w:val="auto"/>
        </w:rPr>
      </w:pPr>
      <w:r>
        <w:rPr>
          <w:rFonts w:ascii="Arial" w:cs="Arial" w:eastAsia="Arial" w:hAnsi="Arial"/>
          <w:sz w:val="19"/>
          <w:szCs w:val="19"/>
          <w:color w:val="auto"/>
        </w:rPr>
        <w:t>denominated in Dollars, the LIBOR Rate; and</w:t>
      </w:r>
    </w:p>
    <w:p>
      <w:pPr>
        <w:spacing w:after="0" w:line="214" w:lineRule="exact"/>
        <w:rPr>
          <w:rFonts w:ascii="Arial" w:cs="Arial" w:eastAsia="Arial" w:hAnsi="Arial"/>
          <w:sz w:val="19"/>
          <w:szCs w:val="19"/>
          <w:color w:val="auto"/>
        </w:rPr>
      </w:pPr>
    </w:p>
    <w:p>
      <w:pPr>
        <w:jc w:val="both"/>
        <w:ind w:left="2520" w:hanging="312"/>
        <w:spacing w:after="0" w:line="249" w:lineRule="auto"/>
        <w:tabs>
          <w:tab w:leader="none" w:pos="2519" w:val="left"/>
        </w:tabs>
        <w:numPr>
          <w:ilvl w:val="1"/>
          <w:numId w:val="96"/>
        </w:numPr>
        <w:rPr>
          <w:rFonts w:ascii="Arial" w:cs="Arial" w:eastAsia="Arial" w:hAnsi="Arial"/>
          <w:sz w:val="19"/>
          <w:szCs w:val="19"/>
          <w:color w:val="auto"/>
        </w:rPr>
      </w:pPr>
      <w:r>
        <w:rPr>
          <w:rFonts w:ascii="Arial" w:cs="Arial" w:eastAsia="Arial" w:hAnsi="Arial"/>
          <w:sz w:val="19"/>
          <w:szCs w:val="19"/>
          <w:color w:val="auto"/>
        </w:rPr>
        <w:t>denominated in Canadian Dollars, the rate per annum equal to the Canadian Dollar Offered Rate (“</w:t>
      </w:r>
      <w:r>
        <w:rPr>
          <w:rFonts w:ascii="Arial" w:cs="Arial" w:eastAsia="Arial" w:hAnsi="Arial"/>
          <w:sz w:val="19"/>
          <w:szCs w:val="19"/>
          <w:u w:val="single" w:color="auto"/>
          <w:color w:val="auto"/>
        </w:rPr>
        <w:t>CDOR</w:t>
      </w:r>
      <w:r>
        <w:rPr>
          <w:rFonts w:ascii="Arial" w:cs="Arial" w:eastAsia="Arial" w:hAnsi="Arial"/>
          <w:sz w:val="19"/>
          <w:szCs w:val="19"/>
          <w:color w:val="auto"/>
        </w:rPr>
        <w:t>”), or a comparable or successor rate which rate is approved by the Administrative Agent, as published on the applicable Bloomberg screen page (or such other commercially available source providing such quotations as may be designated by the Administrative Agent from time to time) (in such case, the “</w:t>
      </w:r>
      <w:r>
        <w:rPr>
          <w:rFonts w:ascii="Arial" w:cs="Arial" w:eastAsia="Arial" w:hAnsi="Arial"/>
          <w:sz w:val="19"/>
          <w:szCs w:val="19"/>
          <w:u w:val="single" w:color="auto"/>
          <w:color w:val="auto"/>
        </w:rPr>
        <w:t>CDOR Rate</w:t>
      </w:r>
      <w:r>
        <w:rPr>
          <w:rFonts w:ascii="Arial" w:cs="Arial" w:eastAsia="Arial" w:hAnsi="Arial"/>
          <w:sz w:val="19"/>
          <w:szCs w:val="19"/>
          <w:color w:val="auto"/>
        </w:rPr>
        <w:t>”) at or about 10:00 a.m. (Toronto, Ontario time) on the first day of such Interest Period (or such other day as is generally treated as the rate fixing day by market practice in such interbank market, as determined by the Administrative Agent) (or if such day is not a Business Day, then on the immediately preceding Business Day) with a term equivalent to such Interest Period; and</w:t>
      </w:r>
    </w:p>
    <w:p>
      <w:pPr>
        <w:spacing w:after="0" w:line="179" w:lineRule="exact"/>
        <w:rPr>
          <w:rFonts w:ascii="Arial" w:cs="Arial" w:eastAsia="Arial" w:hAnsi="Arial"/>
          <w:sz w:val="19"/>
          <w:szCs w:val="19"/>
          <w:color w:val="auto"/>
        </w:rPr>
      </w:pPr>
    </w:p>
    <w:p>
      <w:pPr>
        <w:jc w:val="both"/>
        <w:ind w:left="1900" w:hanging="321"/>
        <w:spacing w:after="0" w:line="280" w:lineRule="auto"/>
        <w:tabs>
          <w:tab w:leader="none" w:pos="1888" w:val="left"/>
        </w:tabs>
        <w:numPr>
          <w:ilvl w:val="0"/>
          <w:numId w:val="96"/>
        </w:numPr>
        <w:rPr>
          <w:rFonts w:ascii="Arial" w:cs="Arial" w:eastAsia="Arial" w:hAnsi="Arial"/>
          <w:sz w:val="18"/>
          <w:szCs w:val="18"/>
          <w:color w:val="auto"/>
        </w:rPr>
      </w:pPr>
      <w:r>
        <w:rPr>
          <w:rFonts w:ascii="Arial" w:cs="Arial" w:eastAsia="Arial" w:hAnsi="Arial"/>
          <w:sz w:val="18"/>
          <w:szCs w:val="18"/>
          <w:color w:val="auto"/>
        </w:rPr>
        <w:t>for any interest calculation with respect to a Base Rate Loan on any date, the rate per annum equal to ICE LIBOR, at approximately 11:00 a.m., London time determined two (2) London Banking Days prior to such date for Dollar deposits being delivered in the London interbank market for a term of one month commencing that day;</w:t>
      </w:r>
    </w:p>
    <w:p>
      <w:pPr>
        <w:spacing w:after="0" w:line="154"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provided that, (i) to the extent a comparable or successor rate is approved by the Administrative Agent in connection with any rate set forth in this definition, the approved rate shall be applied in a manner consistent with market practice, except to the extent such market practice is not administratively feasible for the Administrative Agent, such approved rate shall be applied in a manner as otherwise reasonably determined by the Administrative Agent and (ii) if any component of the Eurocurrency Rate shall be less than the Floor at any time, such rate shall be deemed equal to the Floor for purposes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123190</wp:posOffset>
            </wp:positionV>
            <wp:extent cx="166560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6">
                      <a:extLst>
                        <a:ext uri="{28A0092B-C50C-407E-A947-70E740481C1C}"/>
                      </a:extLst>
                    </a:blip>
                    <a:srcRect/>
                    <a:stretch>
                      <a:fillRect/>
                    </a:stretch>
                  </pic:blipFill>
                  <pic:spPr bwMode="auto">
                    <a:xfrm>
                      <a:off x="0" y="0"/>
                      <a:ext cx="1665605" cy="8255"/>
                    </a:xfrm>
                    <a:prstGeom prst="rect">
                      <a:avLst/>
                    </a:prstGeom>
                    <a:noFill/>
                  </pic:spPr>
                </pic:pic>
              </a:graphicData>
            </a:graphic>
          </wp:anchor>
        </w:drawing>
      </w:r>
    </w:p>
    <w:p>
      <w:pPr>
        <w:spacing w:after="0" w:line="267" w:lineRule="exact"/>
        <w:rPr>
          <w:sz w:val="20"/>
          <w:szCs w:val="20"/>
          <w:color w:val="auto"/>
        </w:rPr>
      </w:pPr>
    </w:p>
    <w:p>
      <w:pPr>
        <w:ind w:firstLine="5"/>
        <w:spacing w:after="0" w:line="225" w:lineRule="auto"/>
        <w:tabs>
          <w:tab w:leader="none" w:pos="124" w:val="left"/>
        </w:tabs>
        <w:numPr>
          <w:ilvl w:val="0"/>
          <w:numId w:val="97"/>
        </w:numPr>
        <w:rPr>
          <w:rFonts w:ascii="Arial" w:cs="Arial" w:eastAsia="Arial" w:hAnsi="Arial"/>
          <w:sz w:val="23"/>
          <w:szCs w:val="23"/>
          <w:color w:val="auto"/>
          <w:vertAlign w:val="superscript"/>
        </w:rPr>
      </w:pPr>
      <w:r>
        <w:rPr>
          <w:rFonts w:ascii="Arial" w:cs="Arial" w:eastAsia="Arial" w:hAnsi="Arial"/>
          <w:sz w:val="17"/>
          <w:szCs w:val="17"/>
          <w:color w:val="auto"/>
        </w:rPr>
        <w:t>The EU Bail-In Legislation Schedule may be found at http://www.lma.eu.com/uploads/files/EU%20BAIL-IN%20LEGISLATION%20SCHEDULE%2022-Dec-2015%2010-46%20.pdf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30</w:t>
      </w:r>
    </w:p>
    <w:p>
      <w:pPr>
        <w:sectPr>
          <w:pgSz w:w="11900" w:h="16838" w:orient="portrait"/>
          <w:cols w:equalWidth="0" w:num="1">
            <w:col w:w="11240"/>
          </w:cols>
          <w:pgMar w:left="320" w:top="1381" w:right="339" w:bottom="1440" w:gutter="0" w:footer="0" w:header="0"/>
        </w:sectPr>
      </w:pPr>
    </w:p>
    <w:bookmarkStart w:id="149" w:name="page150"/>
    <w:bookmarkEnd w:id="149"/>
    <w:p>
      <w:pPr>
        <w:ind w:left="640"/>
        <w:spacing w:after="0"/>
        <w:tabs>
          <w:tab w:leader="none" w:pos="1240" w:val="left"/>
        </w:tabs>
        <w:rPr>
          <w:sz w:val="20"/>
          <w:szCs w:val="20"/>
          <w:color w:val="auto"/>
        </w:rPr>
      </w:pPr>
      <w:r>
        <w:rPr>
          <w:rFonts w:ascii="Arial" w:cs="Arial" w:eastAsia="Arial" w:hAnsi="Arial"/>
          <w:sz w:val="19"/>
          <w:szCs w:val="19"/>
          <w:b w:val="1"/>
          <w:bCs w:val="1"/>
          <w:color w:val="auto"/>
        </w:rPr>
        <w:t>1.1</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Eurocurrency Rate Loan</w:t>
      </w:r>
      <w:r>
        <w:rPr>
          <w:rFonts w:ascii="Arial" w:cs="Arial" w:eastAsia="Arial" w:hAnsi="Arial"/>
          <w:sz w:val="17"/>
          <w:szCs w:val="17"/>
          <w:color w:val="auto"/>
        </w:rPr>
        <w:t xml:space="preserve">” means a Loan that bears interest at a rate based on </w:t>
      </w:r>
      <w:r>
        <w:rPr>
          <w:rFonts w:ascii="Arial" w:cs="Arial" w:eastAsia="Arial" w:hAnsi="Arial"/>
          <w:sz w:val="17"/>
          <w:szCs w:val="17"/>
          <w:u w:val="single" w:color="auto"/>
          <w:color w:val="auto"/>
        </w:rPr>
        <w:t>clause (a</w:t>
      </w:r>
      <w:r>
        <w:rPr>
          <w:rFonts w:ascii="Arial" w:cs="Arial" w:eastAsia="Arial" w:hAnsi="Arial"/>
          <w:sz w:val="17"/>
          <w:szCs w:val="17"/>
          <w:color w:val="auto"/>
        </w:rPr>
        <w:t>) of the definition of “Eurocurrency Rate”.</w:t>
      </w:r>
    </w:p>
    <w:p>
      <w:pPr>
        <w:spacing w:after="0" w:line="26" w:lineRule="exact"/>
        <w:rPr>
          <w:sz w:val="20"/>
          <w:szCs w:val="20"/>
          <w:color w:val="auto"/>
        </w:rPr>
      </w:pPr>
    </w:p>
    <w:p>
      <w:pPr>
        <w:spacing w:after="0"/>
        <w:rPr>
          <w:sz w:val="20"/>
          <w:szCs w:val="20"/>
          <w:color w:val="auto"/>
        </w:rPr>
      </w:pPr>
      <w:r>
        <w:rPr>
          <w:rFonts w:ascii="Arial" w:cs="Arial" w:eastAsia="Arial" w:hAnsi="Arial"/>
          <w:sz w:val="19"/>
          <w:szCs w:val="19"/>
          <w:color w:val="auto"/>
        </w:rPr>
        <w:t>Eurocurrency Rate Loans may be denominated in Dollars or up to the Canadian Dollar Sublimit, denominated in Canadian Dollars.</w:t>
      </w:r>
    </w:p>
    <w:p>
      <w:pPr>
        <w:spacing w:after="0" w:line="198"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Event of Default</w:t>
      </w:r>
      <w:r>
        <w:rPr>
          <w:rFonts w:ascii="Arial" w:cs="Arial" w:eastAsia="Arial" w:hAnsi="Arial"/>
          <w:sz w:val="19"/>
          <w:szCs w:val="19"/>
          <w:color w:val="auto"/>
        </w:rPr>
        <w:t xml:space="preserve">” has the meaning specified in </w:t>
      </w:r>
      <w:r>
        <w:rPr>
          <w:rFonts w:ascii="Arial" w:cs="Arial" w:eastAsia="Arial" w:hAnsi="Arial"/>
          <w:sz w:val="19"/>
          <w:szCs w:val="19"/>
          <w:u w:val="single" w:color="auto"/>
          <w:color w:val="auto"/>
        </w:rPr>
        <w:t>Section 9.01</w:t>
      </w:r>
      <w:r>
        <w:rPr>
          <w:rFonts w:ascii="Arial" w:cs="Arial" w:eastAsia="Arial" w:hAnsi="Arial"/>
          <w:sz w:val="19"/>
          <w:szCs w:val="19"/>
          <w:color w:val="auto"/>
        </w:rPr>
        <w:t>.</w:t>
      </w:r>
    </w:p>
    <w:p>
      <w:pPr>
        <w:spacing w:after="0" w:line="21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Exchange Act</w:t>
      </w:r>
      <w:r>
        <w:rPr>
          <w:rFonts w:ascii="Arial" w:cs="Arial" w:eastAsia="Arial" w:hAnsi="Arial"/>
          <w:sz w:val="19"/>
          <w:szCs w:val="19"/>
          <w:color w:val="auto"/>
        </w:rPr>
        <w:t>” means the Securities Exchange Act of 1934 and the regulations promulgated thereunder.</w:t>
      </w:r>
    </w:p>
    <w:p>
      <w:pPr>
        <w:spacing w:after="0" w:line="214" w:lineRule="exact"/>
        <w:rPr>
          <w:sz w:val="20"/>
          <w:szCs w:val="20"/>
          <w:color w:val="auto"/>
        </w:rPr>
      </w:pPr>
    </w:p>
    <w:p>
      <w:pPr>
        <w:jc w:val="both"/>
        <w:ind w:firstLine="629"/>
        <w:spacing w:after="0" w:line="25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Excluded Deposit Account</w:t>
      </w:r>
      <w:r>
        <w:rPr>
          <w:rFonts w:ascii="Arial" w:cs="Arial" w:eastAsia="Arial" w:hAnsi="Arial"/>
          <w:sz w:val="19"/>
          <w:szCs w:val="19"/>
          <w:color w:val="auto"/>
        </w:rPr>
        <w:t>” means (a) Trust Accounts, (b) zero balance disbursement accounts, (c) other Deposit Accounts maintained in the Ordinary Course of Business containing cash amounts that do not exceed at any time the Dollar Equivalent of $250,000 for any such account and the Dollar Equivalent of $750,000 in the aggregate for all such accounts under this clause (c), (d) other Deposit Accounts maintained with foreign banks or other foreign financial institutions outside of the United States and Canada that do not exceed at any time the Dollar Equivalent of $4,500,000 in the aggregate for all such accounts under this clause (d) and (e) for the one hundred twenty (120) day period after the Closing Date, the JPM Credit Card Cash Collateral Account.</w:t>
      </w:r>
    </w:p>
    <w:p>
      <w:pPr>
        <w:spacing w:after="0" w:line="182" w:lineRule="exact"/>
        <w:rPr>
          <w:sz w:val="20"/>
          <w:szCs w:val="20"/>
          <w:color w:val="auto"/>
        </w:rPr>
      </w:pPr>
    </w:p>
    <w:p>
      <w:pPr>
        <w:jc w:val="both"/>
        <w:ind w:firstLine="629"/>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Equity Interests</w:t>
      </w:r>
      <w:r>
        <w:rPr>
          <w:rFonts w:ascii="Arial" w:cs="Arial" w:eastAsia="Arial" w:hAnsi="Arial"/>
          <w:sz w:val="18"/>
          <w:szCs w:val="18"/>
          <w:color w:val="auto"/>
        </w:rPr>
        <w:t>” means (a) any of the outstanding Voting Equity Interests of any CFC or CFCHC that is a Direct Foreign Subsidiary of a Loan Party in excess of 65% of all the Voting Equity Interests of such CFC or CFCHC, (b) any Voting Equity Interests of any CFC or CFCHC that is not a Direct Foreign Subsidiary of a Loan Party, (c) the Equity Interests of a Subsidiary that is not a wholly-owned Subsidiary the pledge of which would violate a contractual obligation to the owners of the other Equity Interests of such Subsidiary (other than any such owners that are the Company or Affiliates of the Company) that is binding on or relating to such Equity Interests, or the applicable organizational documents, joint venture agreement or shareholders’ agreement of such Subsidiary, and (d) Equity Interests of any Immaterial Subsidiary or Unrestricted Subsidiaries. Notwithstanding the foregoing, no Voting Equity Interests or other Equity Interests of any Borrower or any other Loan Party hereto on the Closing Date shall constitute Excluded Equity Interests.</w:t>
      </w:r>
    </w:p>
    <w:p>
      <w:pPr>
        <w:spacing w:after="0" w:line="172" w:lineRule="exact"/>
        <w:rPr>
          <w:sz w:val="20"/>
          <w:szCs w:val="20"/>
          <w:color w:val="auto"/>
        </w:rPr>
      </w:pPr>
    </w:p>
    <w:p>
      <w:pPr>
        <w:jc w:val="both"/>
        <w:ind w:firstLine="629"/>
        <w:spacing w:after="0" w:line="25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Excluded Subsidiary</w:t>
      </w:r>
      <w:r>
        <w:rPr>
          <w:rFonts w:ascii="Arial" w:cs="Arial" w:eastAsia="Arial" w:hAnsi="Arial"/>
          <w:sz w:val="19"/>
          <w:szCs w:val="19"/>
          <w:color w:val="auto"/>
        </w:rPr>
        <w:t>” means (a) each Immaterial Subsidiary, (b)(i) any Subsidiary that is a “controlled foreign corporation” within the meaning of Section 957 of the Code (a “</w:t>
      </w:r>
      <w:r>
        <w:rPr>
          <w:rFonts w:ascii="Arial" w:cs="Arial" w:eastAsia="Arial" w:hAnsi="Arial"/>
          <w:sz w:val="19"/>
          <w:szCs w:val="19"/>
          <w:u w:val="single" w:color="auto"/>
          <w:color w:val="auto"/>
        </w:rPr>
        <w:t>CFC</w:t>
      </w:r>
      <w:r>
        <w:rPr>
          <w:rFonts w:ascii="Arial" w:cs="Arial" w:eastAsia="Arial" w:hAnsi="Arial"/>
          <w:sz w:val="19"/>
          <w:szCs w:val="19"/>
          <w:color w:val="auto"/>
        </w:rPr>
        <w:t>”), (ii) any Subsidiary that owns no material assets other than the Equity Interests or indebtedness of one or more CFCs and/or one or more CFCHCs (a “</w:t>
      </w:r>
      <w:r>
        <w:rPr>
          <w:rFonts w:ascii="Arial" w:cs="Arial" w:eastAsia="Arial" w:hAnsi="Arial"/>
          <w:sz w:val="19"/>
          <w:szCs w:val="19"/>
          <w:u w:val="single" w:color="auto"/>
          <w:color w:val="auto"/>
        </w:rPr>
        <w:t>CFCHC</w:t>
      </w:r>
      <w:r>
        <w:rPr>
          <w:rFonts w:ascii="Arial" w:cs="Arial" w:eastAsia="Arial" w:hAnsi="Arial"/>
          <w:sz w:val="19"/>
          <w:szCs w:val="19"/>
          <w:color w:val="auto"/>
        </w:rPr>
        <w:t xml:space="preserve">”) and (iii) any direct or indirect Subsidiary of any CFC or CFCHC and (c) any Unrestricted Subsidiary;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notwithstanding the foregoing, neither any Borrower nor any other Loan Party party hereto on the Closing Date shall be an Excluded Subsidiary.</w:t>
      </w:r>
    </w:p>
    <w:p>
      <w:pPr>
        <w:spacing w:after="0" w:line="177" w:lineRule="exact"/>
        <w:rPr>
          <w:sz w:val="20"/>
          <w:szCs w:val="20"/>
          <w:color w:val="auto"/>
        </w:rPr>
      </w:pPr>
    </w:p>
    <w:p>
      <w:pPr>
        <w:jc w:val="both"/>
        <w:ind w:firstLine="629"/>
        <w:spacing w:after="0" w:line="24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Excluded Swap Obligation</w:t>
      </w:r>
      <w:r>
        <w:rPr>
          <w:rFonts w:ascii="Arial" w:cs="Arial" w:eastAsia="Arial" w:hAnsi="Arial"/>
          <w:sz w:val="19"/>
          <w:szCs w:val="19"/>
          <w:color w:val="auto"/>
        </w:rPr>
        <w:t>” means, with respect to any Loan Party, any Swap Obligation if, and to the extent that, all or a portion of the Guarantee of such Loan Party of, or the grant by such Loan Party of a Lien to secure, such Swap Obligation (or any Guarantee thereof) is or becomes illegal under the Commodity Exchange Act or any rule, regulation or order of the Commodity Futures Trading Commission (or the application or official interpretation of any thereof) by virtue of such Loan Party’s failure for any reason to constitute an “eligible contract participant” as defined in the Commodity Exchange Act and the regulations thereunder at the time the Guarantee of such Loan Party or the grant of such Lien becomes effective with respect to such Swap Obligation. If a Swap Obligation arises under a master agreement governing more than one swap, such exclusion shall apply only to the portion of such Swap Obligation that is attributable to swaps for which such Guarantee or Lien is or becomes illegal.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31</w:t>
      </w:r>
    </w:p>
    <w:p>
      <w:pPr>
        <w:sectPr>
          <w:pgSz w:w="11900" w:h="16838" w:orient="portrait"/>
          <w:cols w:equalWidth="0" w:num="1">
            <w:col w:w="11240"/>
          </w:cols>
          <w:pgMar w:left="320" w:top="1376" w:right="339" w:bottom="1440" w:gutter="0" w:footer="0" w:header="0"/>
        </w:sectPr>
      </w:pPr>
    </w:p>
    <w:bookmarkStart w:id="150" w:name="page151"/>
    <w:bookmarkEnd w:id="150"/>
    <w:p>
      <w:pPr>
        <w:jc w:val="both"/>
        <w:ind w:firstLine="629"/>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Taxes</w:t>
      </w:r>
      <w:r>
        <w:rPr>
          <w:rFonts w:ascii="Arial" w:cs="Arial" w:eastAsia="Arial" w:hAnsi="Arial"/>
          <w:sz w:val="18"/>
          <w:szCs w:val="18"/>
          <w:color w:val="auto"/>
        </w:rPr>
        <w:t xml:space="preserve">” 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Lending Office located in, the jurisdiction imposing such Tax (or any political subdivision thereof) or (ii) that are Other Connection Taxes, (b) in the case of a Lender, U.S. or Canadian federal withholding Taxes imposed on amounts payable to or for the account of such Lender with respect to an applicable interest in a Loan or Revolving Credit Commitment pursuant to a law in effect on the date on which (i) such Lender acquires such interest in the Loan or Revolving Credit Commitment (other than pursuant to an assignment request by the Borrower Agent under </w:t>
      </w:r>
      <w:r>
        <w:rPr>
          <w:rFonts w:ascii="Arial" w:cs="Arial" w:eastAsia="Arial" w:hAnsi="Arial"/>
          <w:sz w:val="18"/>
          <w:szCs w:val="18"/>
          <w:u w:val="single" w:color="auto"/>
          <w:color w:val="auto"/>
        </w:rPr>
        <w:t>Section 11.13</w:t>
      </w:r>
      <w:r>
        <w:rPr>
          <w:rFonts w:ascii="Arial" w:cs="Arial" w:eastAsia="Arial" w:hAnsi="Arial"/>
          <w:sz w:val="18"/>
          <w:szCs w:val="18"/>
          <w:color w:val="auto"/>
        </w:rPr>
        <w:t xml:space="preserve">) or (ii) such Lender changes its Lending Office, except in each case to the extent that, pursuant to </w:t>
      </w:r>
      <w:r>
        <w:rPr>
          <w:rFonts w:ascii="Arial" w:cs="Arial" w:eastAsia="Arial" w:hAnsi="Arial"/>
          <w:sz w:val="18"/>
          <w:szCs w:val="18"/>
          <w:u w:val="single" w:color="auto"/>
          <w:color w:val="auto"/>
        </w:rPr>
        <w:t>Section 3.01(a)(ii)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(c)</w:t>
      </w:r>
      <w:r>
        <w:rPr>
          <w:rFonts w:ascii="Arial" w:cs="Arial" w:eastAsia="Arial" w:hAnsi="Arial"/>
          <w:sz w:val="18"/>
          <w:szCs w:val="18"/>
          <w:color w:val="auto"/>
        </w:rPr>
        <w:t xml:space="preserve">, amounts with respect to such Taxes were payable either to such Lender’s assignor immediately before such Lender became a party hereto or to such Lender immediately before it changed its Lending Office, (c) Taxes attributable to such Recipient’s failure to comply with </w:t>
      </w:r>
      <w:r>
        <w:rPr>
          <w:rFonts w:ascii="Arial" w:cs="Arial" w:eastAsia="Arial" w:hAnsi="Arial"/>
          <w:sz w:val="18"/>
          <w:szCs w:val="18"/>
          <w:u w:val="single" w:color="auto"/>
          <w:color w:val="auto"/>
        </w:rPr>
        <w:t>Section 3.01(e)</w:t>
      </w:r>
      <w:r>
        <w:rPr>
          <w:rFonts w:ascii="Arial" w:cs="Arial" w:eastAsia="Arial" w:hAnsi="Arial"/>
          <w:sz w:val="18"/>
          <w:szCs w:val="18"/>
          <w:color w:val="auto"/>
        </w:rPr>
        <w:t xml:space="preserve"> and (d) any U.S. federal withholding Taxes imposed pursuant to FATCA.</w:t>
      </w:r>
    </w:p>
    <w:p>
      <w:pPr>
        <w:spacing w:after="0" w:line="176" w:lineRule="exact"/>
        <w:rPr>
          <w:sz w:val="20"/>
          <w:szCs w:val="20"/>
          <w:color w:val="auto"/>
        </w:rPr>
      </w:pPr>
    </w:p>
    <w:p>
      <w:pPr>
        <w:jc w:val="both"/>
        <w:ind w:firstLine="629"/>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Executive Order</w:t>
      </w:r>
      <w:r>
        <w:rPr>
          <w:rFonts w:ascii="Arial" w:cs="Arial" w:eastAsia="Arial" w:hAnsi="Arial"/>
          <w:sz w:val="19"/>
          <w:szCs w:val="19"/>
          <w:color w:val="auto"/>
        </w:rPr>
        <w:t>” means Executive Order No. 13224 of September 23, 2001, entitled “Blocking Property and Prohibiting Transactions With Persons Who Commit, Threaten to Commit, or Support Terrorism.”</w:t>
      </w:r>
    </w:p>
    <w:p>
      <w:pPr>
        <w:spacing w:after="0" w:line="157" w:lineRule="exact"/>
        <w:rPr>
          <w:sz w:val="20"/>
          <w:szCs w:val="20"/>
          <w:color w:val="auto"/>
        </w:rPr>
      </w:pPr>
    </w:p>
    <w:p>
      <w:pPr>
        <w:jc w:val="both"/>
        <w:ind w:firstLine="629"/>
        <w:spacing w:after="0" w:line="30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Agreement</w:t>
      </w:r>
      <w:r>
        <w:rPr>
          <w:rFonts w:ascii="Arial" w:cs="Arial" w:eastAsia="Arial" w:hAnsi="Arial"/>
          <w:sz w:val="18"/>
          <w:szCs w:val="18"/>
          <w:color w:val="auto"/>
        </w:rPr>
        <w:t>” means that certain Fifth Amended and Restated Credit Agreement dated as of November 2, 2020, among the Borrowers, JPMorgan Chase Bank, N.A. as administrative agent, and a syndicate of lenders, as amended through the Closing Date.</w:t>
      </w:r>
    </w:p>
    <w:p>
      <w:pPr>
        <w:spacing w:after="0" w:line="135" w:lineRule="exact"/>
        <w:rPr>
          <w:sz w:val="20"/>
          <w:szCs w:val="20"/>
          <w:color w:val="auto"/>
        </w:rPr>
      </w:pPr>
    </w:p>
    <w:p>
      <w:pPr>
        <w:jc w:val="both"/>
        <w:ind w:firstLine="6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Extraordinary Expenses</w:t>
      </w:r>
      <w:r>
        <w:rPr>
          <w:rFonts w:ascii="Arial" w:cs="Arial" w:eastAsia="Arial" w:hAnsi="Arial"/>
          <w:sz w:val="17"/>
          <w:szCs w:val="17"/>
          <w:color w:val="auto"/>
        </w:rPr>
        <w:t>” means all costs, expenses, liabilities or advances that Administrative Agent may incur or make during a Default or Event of Default, or during the pendency of an proceeding of any Loan Party under any Debtor Relief Laws, including those relating to (a) any audit, inspection, repossession, storage, repair, appraisal, insurance, manufacture, preparation or advertising for sale, sale, collection, or other preservation of or realization upon any Collateral; (b) any action, arbitration or other proceeding (whether instituted by or against Administrative Agent, any Lender, any Loan Party, any representative of creditors of a Loan Party or any other Person) in any way relating to any Collateral (including the validity, perfection, priority or avoidability of Administrative Agent’s Liens with respect to any Collateral), Loan Documents, Letters of Credit or Obligations, including any lender liability or other claims; (c) the exercise, protection or enforcement of any rights or remedies of Administrative Agent in, or the monitoring of, any proceeding applicable to any Loan Party under any Debtor Relief Laws;</w:t>
      </w:r>
    </w:p>
    <w:p>
      <w:pPr>
        <w:spacing w:after="0" w:line="1" w:lineRule="exact"/>
        <w:rPr>
          <w:sz w:val="20"/>
          <w:szCs w:val="20"/>
          <w:color w:val="auto"/>
        </w:rPr>
      </w:pPr>
    </w:p>
    <w:p>
      <w:pPr>
        <w:jc w:val="both"/>
        <w:ind w:firstLine="5"/>
        <w:spacing w:after="0" w:line="247" w:lineRule="auto"/>
        <w:tabs>
          <w:tab w:leader="none" w:pos="305" w:val="left"/>
        </w:tabs>
        <w:numPr>
          <w:ilvl w:val="0"/>
          <w:numId w:val="98"/>
        </w:numPr>
        <w:rPr>
          <w:rFonts w:ascii="Arial" w:cs="Arial" w:eastAsia="Arial" w:hAnsi="Arial"/>
          <w:sz w:val="19"/>
          <w:szCs w:val="19"/>
          <w:color w:val="auto"/>
        </w:rPr>
      </w:pPr>
      <w:r>
        <w:rPr>
          <w:rFonts w:ascii="Arial" w:cs="Arial" w:eastAsia="Arial" w:hAnsi="Arial"/>
          <w:sz w:val="19"/>
          <w:szCs w:val="19"/>
          <w:color w:val="auto"/>
        </w:rPr>
        <w:t>settlement or satisfaction of any taxes, charges or Liens with respect to any Collateral; (e) any enforcement action; (f) negotiation and documentation of any modification, waiver, workout, restructuring or forbearance with respect to any Loan Documents or Obligations; and (g) Protective Advances. Such costs, expenses and advances include transfer fees, Other Taxes, storage fees, insurance costs, permit fees, utility reservation and standby fees, legal fees, appraisal fees, brokers’ fees and commissions, auctioneers’ fees and commissions, accountants’ fees, environmental study fees, wages and salaries paid to employees of any Loan Party or independent contractors in liquidating any Collateral, and travel expenses.</w:t>
      </w:r>
    </w:p>
    <w:p>
      <w:pPr>
        <w:spacing w:after="0" w:line="182"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FASB ASC</w:t>
      </w:r>
      <w:r>
        <w:rPr>
          <w:rFonts w:ascii="Arial" w:cs="Arial" w:eastAsia="Arial" w:hAnsi="Arial"/>
          <w:sz w:val="19"/>
          <w:szCs w:val="19"/>
          <w:color w:val="auto"/>
        </w:rPr>
        <w:t>” means the Accounting Standards Codification of the Financial Accounting Standards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32</w:t>
      </w:r>
    </w:p>
    <w:p>
      <w:pPr>
        <w:sectPr>
          <w:pgSz w:w="11900" w:h="16838" w:orient="portrait"/>
          <w:cols w:equalWidth="0" w:num="1">
            <w:col w:w="11240"/>
          </w:cols>
          <w:pgMar w:left="320" w:top="1381" w:right="339" w:bottom="1440" w:gutter="0" w:footer="0" w:header="0"/>
        </w:sectPr>
      </w:pPr>
    </w:p>
    <w:bookmarkStart w:id="151" w:name="page152"/>
    <w:bookmarkEnd w:id="151"/>
    <w:p>
      <w:pPr>
        <w:jc w:val="both"/>
        <w:ind w:firstLine="629"/>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FATCA</w:t>
      </w:r>
      <w:r>
        <w:rPr>
          <w:rFonts w:ascii="Arial" w:cs="Arial" w:eastAsia="Arial" w:hAnsi="Arial"/>
          <w:sz w:val="19"/>
          <w:szCs w:val="19"/>
          <w:color w:val="auto"/>
        </w:rPr>
        <w:t>” means Sections 1471 through 1474 of the Code, as of the date of this Agreement (or any amended or successor version that is substantively comparable and not materially more onerous to comply with) and any current or future regulations or official interpretations thereof and any agreements entered into pursuant to Section 1471(b)(1) of the Code.</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Facility Termination Date</w:t>
      </w:r>
      <w:r>
        <w:rPr>
          <w:rFonts w:ascii="Arial" w:cs="Arial" w:eastAsia="Arial" w:hAnsi="Arial"/>
          <w:sz w:val="19"/>
          <w:szCs w:val="19"/>
          <w:color w:val="auto"/>
        </w:rPr>
        <w:t>” means the date as of which Payment in Full has occurred.</w:t>
      </w:r>
    </w:p>
    <w:p>
      <w:pPr>
        <w:spacing w:after="0" w:line="214" w:lineRule="exact"/>
        <w:rPr>
          <w:sz w:val="20"/>
          <w:szCs w:val="20"/>
          <w:color w:val="auto"/>
        </w:rPr>
      </w:pPr>
    </w:p>
    <w:p>
      <w:pPr>
        <w:jc w:val="both"/>
        <w:ind w:firstLine="629"/>
        <w:spacing w:after="0" w:line="30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Fair Market Value</w:t>
      </w:r>
      <w:r>
        <w:rPr>
          <w:rFonts w:ascii="Arial" w:cs="Arial" w:eastAsia="Arial" w:hAnsi="Arial"/>
          <w:sz w:val="17"/>
          <w:szCs w:val="17"/>
          <w:color w:val="auto"/>
        </w:rPr>
        <w:t>” means, with respect to any asset or any group of assets, as of any date of determination, the value of the consideration obtainable in a sale of such assets at such date of determination assuming a sale by a willing seller to a willing purchaser dealing at arm’s length and arranged in an orderly manner over a reasonable period of time giving regard to the nature and characteristics of such asset.</w:t>
      </w:r>
    </w:p>
    <w:p>
      <w:pPr>
        <w:spacing w:after="0" w:line="136"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FCPA</w:t>
      </w:r>
      <w:r>
        <w:rPr>
          <w:rFonts w:ascii="Arial" w:cs="Arial" w:eastAsia="Arial" w:hAnsi="Arial"/>
          <w:sz w:val="19"/>
          <w:szCs w:val="19"/>
          <w:color w:val="auto"/>
        </w:rPr>
        <w:t>” means the U.S. Foreign Corrupt Practices Act.</w:t>
      </w:r>
    </w:p>
    <w:p>
      <w:pPr>
        <w:spacing w:after="0" w:line="214" w:lineRule="exact"/>
        <w:rPr>
          <w:sz w:val="20"/>
          <w:szCs w:val="20"/>
          <w:color w:val="auto"/>
        </w:rPr>
      </w:pPr>
    </w:p>
    <w:p>
      <w:pPr>
        <w:jc w:val="both"/>
        <w:ind w:firstLine="629"/>
        <w:spacing w:after="0" w:line="28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Federal Funds Rate</w:t>
      </w:r>
      <w:r>
        <w:rPr>
          <w:rFonts w:ascii="Arial" w:cs="Arial" w:eastAsia="Arial" w:hAnsi="Arial"/>
          <w:sz w:val="17"/>
          <w:szCs w:val="17"/>
          <w:color w:val="auto"/>
        </w:rPr>
        <w:t xml:space="preserve">” means, for any day, the rate per annum (but in no event, less than 0%) equal to the weighted average of the rates on overnight federal funds transactions with members of the Federal Reserve System on such day, as published by the Federal Reserve Bank of New York on the Business Day next succeeding such day;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if such day is not a Business Day, the Federal Funds Rate for such day shall be such rate on such transactions on the next preceding Business Day as so published on the next succeeding Business Day, and (b) if no such rate is so published on such next succeeding Business Day, the Federal Funds Rate for such day shall be the average rate (rounded upward, if necessary, to a whole multiple of 1/100 of 1%) charged to BMO on such day on such transactions as determined by the Administrative Agent.</w:t>
      </w:r>
    </w:p>
    <w:p>
      <w:pPr>
        <w:spacing w:after="0" w:line="15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Fee Letter</w:t>
      </w:r>
      <w:r>
        <w:rPr>
          <w:rFonts w:ascii="Arial" w:cs="Arial" w:eastAsia="Arial" w:hAnsi="Arial"/>
          <w:sz w:val="19"/>
          <w:szCs w:val="19"/>
          <w:color w:val="auto"/>
        </w:rPr>
        <w:t>” means the letter agreement, dated as of the Closing Date among the Borrowers and the Administrative Agent.</w:t>
      </w:r>
    </w:p>
    <w:p>
      <w:pPr>
        <w:spacing w:after="0" w:line="214" w:lineRule="exact"/>
        <w:rPr>
          <w:sz w:val="20"/>
          <w:szCs w:val="20"/>
          <w:color w:val="auto"/>
        </w:rPr>
      </w:pPr>
    </w:p>
    <w:p>
      <w:pPr>
        <w:jc w:val="both"/>
        <w:ind w:firstLine="629"/>
        <w:spacing w:after="0" w:line="28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Field Exam</w:t>
      </w:r>
      <w:r>
        <w:rPr>
          <w:rFonts w:ascii="Arial" w:cs="Arial" w:eastAsia="Arial" w:hAnsi="Arial"/>
          <w:sz w:val="17"/>
          <w:szCs w:val="17"/>
          <w:color w:val="auto"/>
        </w:rPr>
        <w:t>” means any visit and inspection of the properties, assets and records of any Loan Party during the term of this Agreement, which shall include access to such properties, assets and records sufficient to permit the Administrative Agent or its representatives to examine, audit and make extracts from any Loan Party’s books and records, make examinations and audits of any Loan Party’s other financial matters and Collateral as Administrative Agent deems appropriate in its Credit Judgment, and discussions with its officers, employees, agents, advisors and independent accountants regarding such Loan Party’s business, financial condition, assets, prospects and results of operations.</w:t>
      </w:r>
    </w:p>
    <w:p>
      <w:pPr>
        <w:spacing w:after="0" w:line="152" w:lineRule="exact"/>
        <w:rPr>
          <w:sz w:val="20"/>
          <w:szCs w:val="20"/>
          <w:color w:val="auto"/>
        </w:rPr>
      </w:pPr>
    </w:p>
    <w:p>
      <w:pPr>
        <w:jc w:val="both"/>
        <w:ind w:firstLine="629"/>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Field Exam Trigger Event</w:t>
      </w:r>
      <w:r>
        <w:rPr>
          <w:rFonts w:ascii="Arial" w:cs="Arial" w:eastAsia="Arial" w:hAnsi="Arial"/>
          <w:sz w:val="19"/>
          <w:szCs w:val="19"/>
          <w:color w:val="auto"/>
        </w:rPr>
        <w:t>” means Availability is less than the greater of (a) 15% of the Aggregate Revolving Credit Commitments at such time and (b) $15,000,000.</w:t>
      </w:r>
    </w:p>
    <w:p>
      <w:pPr>
        <w:spacing w:after="0" w:line="157" w:lineRule="exact"/>
        <w:rPr>
          <w:sz w:val="20"/>
          <w:szCs w:val="20"/>
          <w:color w:val="auto"/>
        </w:rPr>
      </w:pPr>
    </w:p>
    <w:p>
      <w:pPr>
        <w:jc w:val="both"/>
        <w:ind w:firstLine="629"/>
        <w:spacing w:after="0" w:line="26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Fixed Charge Trigger Period</w:t>
      </w:r>
      <w:r>
        <w:rPr>
          <w:rFonts w:ascii="Arial" w:cs="Arial" w:eastAsia="Arial" w:hAnsi="Arial"/>
          <w:sz w:val="18"/>
          <w:szCs w:val="18"/>
          <w:color w:val="auto"/>
        </w:rPr>
        <w:t>” means the period (a) commencing on the day that (i) an Event of Default occurs and is continuing or (ii) Availability is less than the greater of (x) 15% of the Aggregate Revolving Credit Commitments at such time and (y) $15,000,000 and</w:t>
      </w:r>
    </w:p>
    <w:p>
      <w:pPr>
        <w:spacing w:after="0" w:line="1" w:lineRule="exact"/>
        <w:rPr>
          <w:sz w:val="20"/>
          <w:szCs w:val="20"/>
          <w:color w:val="auto"/>
        </w:rPr>
      </w:pPr>
    </w:p>
    <w:p>
      <w:pPr>
        <w:jc w:val="both"/>
        <w:ind w:firstLine="5"/>
        <w:spacing w:after="0" w:line="250" w:lineRule="auto"/>
        <w:tabs>
          <w:tab w:leader="none" w:pos="273" w:val="left"/>
        </w:tabs>
        <w:numPr>
          <w:ilvl w:val="0"/>
          <w:numId w:val="99"/>
        </w:numPr>
        <w:rPr>
          <w:rFonts w:ascii="Arial" w:cs="Arial" w:eastAsia="Arial" w:hAnsi="Arial"/>
          <w:sz w:val="19"/>
          <w:szCs w:val="19"/>
          <w:color w:val="auto"/>
        </w:rPr>
      </w:pPr>
      <w:r>
        <w:rPr>
          <w:rFonts w:ascii="Arial" w:cs="Arial" w:eastAsia="Arial" w:hAnsi="Arial"/>
          <w:sz w:val="19"/>
          <w:szCs w:val="19"/>
          <w:color w:val="auto"/>
        </w:rPr>
        <w:t>continuing until the date that during the previous thirty (30) consecutive days, (i) no Event of Default has existed and (ii) Availability has been greater than the greater of (x) 15% of the Aggregate Revolving Credit Commitments at such time and (y) $15,000,000 at all times during such period.</w:t>
      </w:r>
    </w:p>
    <w:p>
      <w:pPr>
        <w:spacing w:after="0" w:line="180"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Floor</w:t>
      </w:r>
      <w:r>
        <w:rPr>
          <w:rFonts w:ascii="Arial" w:cs="Arial" w:eastAsia="Arial" w:hAnsi="Arial"/>
          <w:sz w:val="19"/>
          <w:szCs w:val="19"/>
          <w:color w:val="auto"/>
        </w:rPr>
        <w:t>” means 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33</w:t>
      </w:r>
    </w:p>
    <w:p>
      <w:pPr>
        <w:sectPr>
          <w:pgSz w:w="11900" w:h="16838" w:orient="portrait"/>
          <w:cols w:equalWidth="0" w:num="1">
            <w:col w:w="11240"/>
          </w:cols>
          <w:pgMar w:left="320" w:top="1382" w:right="339" w:bottom="1440" w:gutter="0" w:footer="0" w:header="0"/>
        </w:sectPr>
      </w:pPr>
    </w:p>
    <w:bookmarkStart w:id="152" w:name="page153"/>
    <w:bookmarkEnd w:id="152"/>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FLSA</w:t>
      </w:r>
      <w:r>
        <w:rPr>
          <w:rFonts w:ascii="Arial" w:cs="Arial" w:eastAsia="Arial" w:hAnsi="Arial"/>
          <w:sz w:val="19"/>
          <w:szCs w:val="19"/>
          <w:color w:val="auto"/>
        </w:rPr>
        <w:t>” means the Fair Labor Standards Act of 1938.</w:t>
      </w:r>
    </w:p>
    <w:p>
      <w:pPr>
        <w:spacing w:after="0" w:line="214" w:lineRule="exact"/>
        <w:rPr>
          <w:sz w:val="20"/>
          <w:szCs w:val="20"/>
          <w:color w:val="auto"/>
        </w:rPr>
      </w:pPr>
    </w:p>
    <w:p>
      <w:pPr>
        <w:jc w:val="both"/>
        <w:ind w:firstLine="629"/>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Foreign Benefit Law</w:t>
      </w:r>
      <w:r>
        <w:rPr>
          <w:rFonts w:ascii="Arial" w:cs="Arial" w:eastAsia="Arial" w:hAnsi="Arial"/>
          <w:sz w:val="19"/>
          <w:szCs w:val="19"/>
          <w:color w:val="auto"/>
        </w:rPr>
        <w:t>” means any law or regulation, other than United States law, governing or applicable to any employee benefit plan, program, scheme or arrangement that is not subject to United States law.</w:t>
      </w:r>
    </w:p>
    <w:p>
      <w:pPr>
        <w:spacing w:after="0" w:line="157"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Foreign Government Scheme or Arrangement</w:t>
      </w:r>
      <w:r>
        <w:rPr>
          <w:rFonts w:ascii="Arial" w:cs="Arial" w:eastAsia="Arial" w:hAnsi="Arial"/>
          <w:sz w:val="19"/>
          <w:szCs w:val="19"/>
          <w:color w:val="auto"/>
        </w:rPr>
        <w:t xml:space="preserve">” has the meaning specified in </w:t>
      </w:r>
      <w:r>
        <w:rPr>
          <w:rFonts w:ascii="Arial" w:cs="Arial" w:eastAsia="Arial" w:hAnsi="Arial"/>
          <w:sz w:val="19"/>
          <w:szCs w:val="19"/>
          <w:u w:val="single" w:color="auto"/>
          <w:color w:val="auto"/>
        </w:rPr>
        <w:t>Section 6.12(e)</w:t>
      </w:r>
      <w:r>
        <w:rPr>
          <w:rFonts w:ascii="Arial" w:cs="Arial" w:eastAsia="Arial" w:hAnsi="Arial"/>
          <w:sz w:val="19"/>
          <w:szCs w:val="19"/>
          <w:color w:val="auto"/>
        </w:rPr>
        <w:t>.</w:t>
      </w:r>
    </w:p>
    <w:p>
      <w:pPr>
        <w:spacing w:after="0" w:line="214" w:lineRule="exact"/>
        <w:rPr>
          <w:sz w:val="20"/>
          <w:szCs w:val="20"/>
          <w:color w:val="auto"/>
        </w:rPr>
      </w:pPr>
    </w:p>
    <w:p>
      <w:pPr>
        <w:jc w:val="both"/>
        <w:ind w:firstLine="629"/>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Foreign Lender</w:t>
      </w:r>
      <w:r>
        <w:rPr>
          <w:rFonts w:ascii="Arial" w:cs="Arial" w:eastAsia="Arial" w:hAnsi="Arial"/>
          <w:sz w:val="19"/>
          <w:szCs w:val="19"/>
          <w:color w:val="auto"/>
        </w:rPr>
        <w:t>” means (a) if the applicable Borrower is a U.S. Person, a Lender that is not a U.S. Person, and (b) if the applicable Borrower is not a U.S. Person, a Lender that is resident or organized under the laws of a jurisdiction other than that in which such Borrower is resident for tax purposes.</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Foreign Plan</w:t>
      </w:r>
      <w:r>
        <w:rPr>
          <w:rFonts w:ascii="Arial" w:cs="Arial" w:eastAsia="Arial" w:hAnsi="Arial"/>
          <w:sz w:val="19"/>
          <w:szCs w:val="19"/>
          <w:color w:val="auto"/>
        </w:rPr>
        <w:t xml:space="preserve">” has the meaning specified in </w:t>
      </w:r>
      <w:r>
        <w:rPr>
          <w:rFonts w:ascii="Arial" w:cs="Arial" w:eastAsia="Arial" w:hAnsi="Arial"/>
          <w:sz w:val="19"/>
          <w:szCs w:val="19"/>
          <w:u w:val="single" w:color="auto"/>
          <w:color w:val="auto"/>
        </w:rPr>
        <w:t>Section 6.12(e)</w:t>
      </w:r>
      <w:r>
        <w:rPr>
          <w:rFonts w:ascii="Arial" w:cs="Arial" w:eastAsia="Arial" w:hAnsi="Arial"/>
          <w:sz w:val="19"/>
          <w:szCs w:val="19"/>
          <w:color w:val="auto"/>
        </w:rPr>
        <w:t>.</w:t>
      </w:r>
    </w:p>
    <w:p>
      <w:pPr>
        <w:spacing w:after="0" w:line="21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Foreign Subsidiary</w:t>
      </w:r>
      <w:r>
        <w:rPr>
          <w:rFonts w:ascii="Arial" w:cs="Arial" w:eastAsia="Arial" w:hAnsi="Arial"/>
          <w:sz w:val="19"/>
          <w:szCs w:val="19"/>
          <w:color w:val="auto"/>
        </w:rPr>
        <w:t>” means any Subsidiary that is not a Domestic Subsidiary.</w:t>
      </w:r>
    </w:p>
    <w:p>
      <w:pPr>
        <w:spacing w:after="0" w:line="214" w:lineRule="exact"/>
        <w:rPr>
          <w:sz w:val="20"/>
          <w:szCs w:val="20"/>
          <w:color w:val="auto"/>
        </w:rPr>
      </w:pPr>
    </w:p>
    <w:p>
      <w:pPr>
        <w:jc w:val="both"/>
        <w:ind w:firstLine="629"/>
        <w:spacing w:after="0" w:line="24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Fronting Exposure</w:t>
      </w:r>
      <w:r>
        <w:rPr>
          <w:rFonts w:ascii="Arial" w:cs="Arial" w:eastAsia="Arial" w:hAnsi="Arial"/>
          <w:sz w:val="19"/>
          <w:szCs w:val="19"/>
          <w:color w:val="auto"/>
        </w:rPr>
        <w:t>” means, at any time there is a Defaulting Lender that is a Revolving Credit Lender, (a) with respect to the Letter of Credit Issuer, such Defaulting Lender’s Applicable Percentage of the outstanding Letter of Credit Obligations other than Letter of Credit Obligations as to which such Defaulting Lender’s participation obligation has been reallocated to other Revolving Credit Lenders or Cash Collateralized in accordance with the terms hereof, (b) with respect to the Swing Line Lender, such Defaulting Lender’s Applicable Percentage of Swing Line Loans other than Swing Line Loans as to which such Defaulting Lender’s participation obligation has been reallocated to other Revolving Credit Lenders and (c) with respect to the Administrative Agent, such Defaulting Lender’s Applicable Percentage of Protective Advances other than Protective Advances as to which such Defaulting Lender’s participation obligation has been reallocated to other Revolving Credit Lenders.</w:t>
      </w:r>
    </w:p>
    <w:p>
      <w:pPr>
        <w:spacing w:after="0" w:line="180" w:lineRule="exact"/>
        <w:rPr>
          <w:sz w:val="20"/>
          <w:szCs w:val="20"/>
          <w:color w:val="auto"/>
        </w:rPr>
      </w:pPr>
    </w:p>
    <w:p>
      <w:pPr>
        <w:jc w:val="both"/>
        <w:ind w:firstLine="629"/>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Fund</w:t>
      </w:r>
      <w:r>
        <w:rPr>
          <w:rFonts w:ascii="Arial" w:cs="Arial" w:eastAsia="Arial" w:hAnsi="Arial"/>
          <w:sz w:val="19"/>
          <w:szCs w:val="19"/>
          <w:color w:val="auto"/>
        </w:rPr>
        <w:t>” means any Person (other than a natural Person) that is (or will be) engaged in making, purchasing, holding or otherwise investing in commercial loans and similar extensions of credit in the ordinary course of its activities.</w:t>
      </w:r>
    </w:p>
    <w:p>
      <w:pPr>
        <w:spacing w:after="0" w:line="15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generally accepted accounting principles as in effect from time to time in the United States, consistently applied.</w:t>
      </w:r>
    </w:p>
    <w:p>
      <w:pPr>
        <w:spacing w:after="0" w:line="226" w:lineRule="exact"/>
        <w:rPr>
          <w:sz w:val="20"/>
          <w:szCs w:val="20"/>
          <w:color w:val="auto"/>
        </w:rPr>
      </w:pPr>
    </w:p>
    <w:p>
      <w:pPr>
        <w:jc w:val="both"/>
        <w:ind w:firstLine="629"/>
        <w:spacing w:after="0" w:line="25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Governmental Authority</w:t>
      </w:r>
      <w:r>
        <w:rPr>
          <w:rFonts w:ascii="Arial" w:cs="Arial" w:eastAsia="Arial" w:hAnsi="Arial"/>
          <w:sz w:val="19"/>
          <w:szCs w:val="19"/>
          <w:color w:val="auto"/>
        </w:rPr>
        <w:t>” means the government of the United States, Canada or any other nation, or of any political subdivision thereof, whether state, provincial, territorial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77" w:lineRule="exact"/>
        <w:rPr>
          <w:sz w:val="20"/>
          <w:szCs w:val="20"/>
          <w:color w:val="auto"/>
        </w:rPr>
      </w:pPr>
    </w:p>
    <w:p>
      <w:pPr>
        <w:jc w:val="both"/>
        <w:ind w:firstLine="629"/>
        <w:spacing w:after="0" w:line="25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Guarantee</w:t>
      </w:r>
      <w:r>
        <w:rPr>
          <w:rFonts w:ascii="Arial" w:cs="Arial" w:eastAsia="Arial" w:hAnsi="Arial"/>
          <w:sz w:val="19"/>
          <w:szCs w:val="19"/>
          <w:color w:val="auto"/>
        </w:rPr>
        <w:t>” means, as to any Person, any (a) any obligation, contingent or otherwise, of such Person guaranteeing or having the economic effect of guaranteeing any Indebtedness or other obligation payable or performable by another Person (the “primary obligor”) in any manner, whether directly or indirectly, and including any obligation of such Person, direct or indirect, (i) to purchase or pay (or advance or supply funds for the purchase or payment of) such Indebtedness or other obligation, (ii) to purchase or lease property, securities or services for the purpose of assuring the obligee in respect of such Indebtedness or other obligation of the payment or performance of such Indebtedness or other obligation,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34</w:t>
      </w:r>
    </w:p>
    <w:p>
      <w:pPr>
        <w:sectPr>
          <w:pgSz w:w="11900" w:h="16838" w:orient="portrait"/>
          <w:cols w:equalWidth="0" w:num="1">
            <w:col w:w="11240"/>
          </w:cols>
          <w:pgMar w:left="320" w:top="1382" w:right="339" w:bottom="1440" w:gutter="0" w:footer="0" w:header="0"/>
        </w:sectPr>
      </w:pPr>
    </w:p>
    <w:bookmarkStart w:id="153" w:name="page154"/>
    <w:bookmarkEnd w:id="153"/>
    <w:p>
      <w:pPr>
        <w:jc w:val="both"/>
        <w:ind w:firstLine="5"/>
        <w:spacing w:after="0" w:line="264" w:lineRule="auto"/>
        <w:tabs>
          <w:tab w:leader="none" w:pos="3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to maintain working capital, equity capital or any other financial statement condition or liquidity or level of income or cash flow of the primary obligor so as to enable the primary obligor to pay such Indebtedness or other obligation, or (iv) entered into for the purpose of assuring in any other manner the obligee in respect of such Indebtedness or other obligation of the payment or performance thereof or to protect such obligee against loss in respect thereof (in whole or in part), or (b) any Lien on any assets of such Person securing any Indebtedness or other obligation of any other Person, whether or not such Indebtedness or other obligation is assumed by such Person (or any right, contingent or otherwise, of any holder of such Indebtedness to obtain any such Lien).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 The term “Guarantee” as a verb has a corresponding meaning.</w:t>
      </w:r>
    </w:p>
    <w:p>
      <w:pPr>
        <w:spacing w:after="0" w:line="167" w:lineRule="exact"/>
        <w:rPr>
          <w:sz w:val="20"/>
          <w:szCs w:val="20"/>
          <w:color w:val="auto"/>
        </w:rPr>
      </w:pPr>
    </w:p>
    <w:p>
      <w:pPr>
        <w:jc w:val="both"/>
        <w:ind w:firstLine="629"/>
        <w:spacing w:after="0" w:line="25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Guarantor</w:t>
      </w:r>
      <w:r>
        <w:rPr>
          <w:rFonts w:ascii="Arial" w:cs="Arial" w:eastAsia="Arial" w:hAnsi="Arial"/>
          <w:sz w:val="19"/>
          <w:szCs w:val="19"/>
          <w:color w:val="auto"/>
        </w:rPr>
        <w:t xml:space="preserve">” means Matrix Service International, Matrix International Engineering, Matrix Applied, MSI, Matrix PDM, Matrix PDM Canada, Matrix Delaware, Matrix SME Delaware and each other Person identified as a “Guarantor” on the signature page hereto and each other Person who executes or becomes a party to this Agreement as a guarantor pursuant to </w:t>
      </w:r>
      <w:r>
        <w:rPr>
          <w:rFonts w:ascii="Arial" w:cs="Arial" w:eastAsia="Arial" w:hAnsi="Arial"/>
          <w:sz w:val="19"/>
          <w:szCs w:val="19"/>
          <w:u w:val="single" w:color="auto"/>
          <w:color w:val="auto"/>
        </w:rPr>
        <w:t>Article XII</w:t>
      </w:r>
      <w:r>
        <w:rPr>
          <w:rFonts w:ascii="Arial" w:cs="Arial" w:eastAsia="Arial" w:hAnsi="Arial"/>
          <w:sz w:val="19"/>
          <w:szCs w:val="19"/>
          <w:color w:val="auto"/>
        </w:rPr>
        <w:t xml:space="preserve"> or otherwise executes and delivers a guaranty agreement acceptable to the Administrative Agent guaranteeing any of the Obligations.</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Guarantor Payment</w:t>
      </w:r>
      <w:r>
        <w:rPr>
          <w:rFonts w:ascii="Arial" w:cs="Arial" w:eastAsia="Arial" w:hAnsi="Arial"/>
          <w:sz w:val="19"/>
          <w:szCs w:val="19"/>
          <w:color w:val="auto"/>
        </w:rPr>
        <w:t xml:space="preserve">” has the meaning specified in </w:t>
      </w:r>
      <w:r>
        <w:rPr>
          <w:rFonts w:ascii="Arial" w:cs="Arial" w:eastAsia="Arial" w:hAnsi="Arial"/>
          <w:sz w:val="19"/>
          <w:szCs w:val="19"/>
          <w:u w:val="single" w:color="auto"/>
          <w:color w:val="auto"/>
        </w:rPr>
        <w:t>Section 2.15(c)</w:t>
      </w:r>
      <w:r>
        <w:rPr>
          <w:rFonts w:ascii="Arial" w:cs="Arial" w:eastAsia="Arial" w:hAnsi="Arial"/>
          <w:sz w:val="19"/>
          <w:szCs w:val="19"/>
          <w:color w:val="auto"/>
        </w:rPr>
        <w:t>.</w:t>
      </w:r>
    </w:p>
    <w:p>
      <w:pPr>
        <w:spacing w:after="0" w:line="214" w:lineRule="exact"/>
        <w:rPr>
          <w:sz w:val="20"/>
          <w:szCs w:val="20"/>
          <w:color w:val="auto"/>
        </w:rPr>
      </w:pPr>
    </w:p>
    <w:p>
      <w:pPr>
        <w:jc w:val="both"/>
        <w:ind w:firstLine="629"/>
        <w:spacing w:after="0" w:line="30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Guaranty</w:t>
      </w:r>
      <w:r>
        <w:rPr>
          <w:rFonts w:ascii="Arial" w:cs="Arial" w:eastAsia="Arial" w:hAnsi="Arial"/>
          <w:sz w:val="18"/>
          <w:szCs w:val="18"/>
          <w:color w:val="auto"/>
        </w:rPr>
        <w:t>” means the guaranty to be delivered by the initial Guarantors on the Closing Date pursuant to Article XII, or otherwise by executing and delivering a guaranty agreement acceptable to the Administrative Agent guaranteeing any of the Obligations.</w:t>
      </w:r>
    </w:p>
    <w:p>
      <w:pPr>
        <w:spacing w:after="0" w:line="135" w:lineRule="exact"/>
        <w:rPr>
          <w:sz w:val="20"/>
          <w:szCs w:val="20"/>
          <w:color w:val="auto"/>
        </w:rPr>
      </w:pPr>
    </w:p>
    <w:p>
      <w:pPr>
        <w:jc w:val="both"/>
        <w:ind w:firstLine="629"/>
        <w:spacing w:after="0" w:line="28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Materials</w:t>
      </w:r>
      <w:r>
        <w:rPr>
          <w:rFonts w:ascii="Arial" w:cs="Arial" w:eastAsia="Arial" w:hAnsi="Arial"/>
          <w:sz w:val="18"/>
          <w:szCs w:val="18"/>
          <w:color w:val="auto"/>
        </w:rPr>
        <w:t>” means all explosive or radioactive substances or wastes and all hazardous or toxic substances, wastes or other pollutants, including petroleum or petroleum distillates, asbestos or asbestos-containing materials, polychlorinated biphenyls, radon gas, infectious or medical wastes and all other substances or wastes of any nature regulated pursuant to any Environmental Law.</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Honor Date</w:t>
      </w:r>
      <w:r>
        <w:rPr>
          <w:rFonts w:ascii="Arial" w:cs="Arial" w:eastAsia="Arial" w:hAnsi="Arial"/>
          <w:sz w:val="19"/>
          <w:szCs w:val="19"/>
          <w:color w:val="auto"/>
        </w:rPr>
        <w:t xml:space="preserve">” has the meaning specified in </w:t>
      </w:r>
      <w:r>
        <w:rPr>
          <w:rFonts w:ascii="Arial" w:cs="Arial" w:eastAsia="Arial" w:hAnsi="Arial"/>
          <w:sz w:val="19"/>
          <w:szCs w:val="19"/>
          <w:u w:val="single" w:color="auto"/>
          <w:color w:val="auto"/>
        </w:rPr>
        <w:t>Section 2.03(c)(i)</w:t>
      </w:r>
      <w:r>
        <w:rPr>
          <w:rFonts w:ascii="Arial" w:cs="Arial" w:eastAsia="Arial" w:hAnsi="Arial"/>
          <w:sz w:val="19"/>
          <w:szCs w:val="19"/>
          <w:color w:val="auto"/>
        </w:rPr>
        <w:t>.</w:t>
      </w:r>
    </w:p>
    <w:p>
      <w:pPr>
        <w:spacing w:after="0" w:line="214" w:lineRule="exact"/>
        <w:rPr>
          <w:sz w:val="20"/>
          <w:szCs w:val="20"/>
          <w:color w:val="auto"/>
        </w:rPr>
      </w:pPr>
    </w:p>
    <w:p>
      <w:pPr>
        <w:jc w:val="both"/>
        <w:ind w:firstLine="629"/>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Immaterial Subsidiary</w:t>
      </w:r>
      <w:r>
        <w:rPr>
          <w:rFonts w:ascii="Arial" w:cs="Arial" w:eastAsia="Arial" w:hAnsi="Arial"/>
          <w:sz w:val="17"/>
          <w:szCs w:val="17"/>
          <w:color w:val="auto"/>
        </w:rPr>
        <w:t>” means any Restricted Subsidiary (other than any Borrower) the gross revenue or total assets of which accounts for not more than (i) 2.5% of the consolidated gross revenues (after intercompany eliminations) of the Company and the Restricted Subsidiaries and (ii) 2.5% of Consolidated Total Assets (after intercompany eliminations), in each case, as of the last day of the most recently completed fiscal quarter as reflected on the financial statements for such quarter. If the Restricted Subsidiaries that constitute Immaterial Subsidiaries pursuant to the previous sentence account for, in the aggregate, more than (i) 2.5% of such consolidated gross revenues (after intercompany eliminations) or</w:t>
      </w:r>
    </w:p>
    <w:p>
      <w:pPr>
        <w:spacing w:after="0" w:line="3" w:lineRule="exact"/>
        <w:rPr>
          <w:sz w:val="20"/>
          <w:szCs w:val="20"/>
          <w:color w:val="auto"/>
        </w:rPr>
      </w:pPr>
    </w:p>
    <w:p>
      <w:pPr>
        <w:jc w:val="both"/>
        <w:ind w:firstLine="5"/>
        <w:spacing w:after="0" w:line="263" w:lineRule="auto"/>
        <w:tabs>
          <w:tab w:leader="none" w:pos="29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2.5% of Consolidated Total Assets (after intercompany eliminations), each as described in the previous sentence, then the term “Immaterial Subsidiary” shall exclude each such Restricted Subsidiary (starting with the Restricted Subsidiary that accounts for the most consolidated gross revenues or Consolidated Total Assets and then in descending order) necessary to limit the Immaterial Subsidiaries as a group to the lesser of 2.5% of the consolidated gross revenues and 2.5% of Consolidated Total Assets, each as described in the previous sentence. As of the Closing Date, each of Matrix International Holding Company, Ltd., a private company formed under the laws of England and Wales, Mobile Aquatic Solutions, Inc., an Oklahoma corporation, DEVCO USA, LLC, an Oklahoma limited liability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35</w:t>
      </w:r>
    </w:p>
    <w:p>
      <w:pPr>
        <w:sectPr>
          <w:pgSz w:w="11900" w:h="16838" w:orient="portrait"/>
          <w:cols w:equalWidth="0" w:num="1">
            <w:col w:w="11240"/>
          </w:cols>
          <w:pgMar w:left="320" w:top="1382" w:right="339" w:bottom="1440" w:gutter="0" w:footer="0" w:header="0"/>
        </w:sectPr>
      </w:pPr>
    </w:p>
    <w:bookmarkStart w:id="154" w:name="page155"/>
    <w:bookmarkEnd w:id="154"/>
    <w:p>
      <w:pPr>
        <w:spacing w:after="0"/>
        <w:rPr>
          <w:sz w:val="20"/>
          <w:szCs w:val="20"/>
          <w:color w:val="auto"/>
        </w:rPr>
      </w:pPr>
      <w:r>
        <w:rPr>
          <w:rFonts w:ascii="Arial" w:cs="Arial" w:eastAsia="Arial" w:hAnsi="Arial"/>
          <w:sz w:val="19"/>
          <w:szCs w:val="19"/>
          <w:color w:val="auto"/>
        </w:rPr>
        <w:t>and River Consulting, LLC, a Louisiana limited liability company constitutes the only Immaterial Subsidiaries.</w:t>
      </w:r>
    </w:p>
    <w:p>
      <w:pPr>
        <w:spacing w:after="0" w:line="214" w:lineRule="exact"/>
        <w:rPr>
          <w:sz w:val="20"/>
          <w:szCs w:val="20"/>
          <w:color w:val="auto"/>
        </w:rPr>
      </w:pPr>
    </w:p>
    <w:p>
      <w:pPr>
        <w:ind w:firstLine="629"/>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Indebtedness</w:t>
      </w:r>
      <w:r>
        <w:rPr>
          <w:rFonts w:ascii="Arial" w:cs="Arial" w:eastAsia="Arial" w:hAnsi="Arial"/>
          <w:sz w:val="19"/>
          <w:szCs w:val="19"/>
          <w:color w:val="auto"/>
        </w:rPr>
        <w:t>” means, as to any Person at a particular time, without duplication, all of the following, whether or not included as indebtedness or liabilities in accordance with GAAP:</w:t>
      </w:r>
    </w:p>
    <w:p>
      <w:pPr>
        <w:spacing w:after="0" w:line="157" w:lineRule="exact"/>
        <w:rPr>
          <w:sz w:val="20"/>
          <w:szCs w:val="20"/>
          <w:color w:val="auto"/>
        </w:rPr>
      </w:pPr>
    </w:p>
    <w:p>
      <w:pPr>
        <w:ind w:firstLine="634"/>
        <w:spacing w:after="0" w:line="274" w:lineRule="auto"/>
        <w:tabs>
          <w:tab w:leader="none" w:pos="1249" w:val="left"/>
        </w:tabs>
        <w:numPr>
          <w:ilvl w:val="0"/>
          <w:numId w:val="102"/>
        </w:numPr>
        <w:rPr>
          <w:rFonts w:ascii="Arial" w:cs="Arial" w:eastAsia="Arial" w:hAnsi="Arial"/>
          <w:sz w:val="19"/>
          <w:szCs w:val="19"/>
          <w:color w:val="auto"/>
        </w:rPr>
      </w:pPr>
      <w:r>
        <w:rPr>
          <w:rFonts w:ascii="Arial" w:cs="Arial" w:eastAsia="Arial" w:hAnsi="Arial"/>
          <w:sz w:val="19"/>
          <w:szCs w:val="19"/>
          <w:color w:val="auto"/>
        </w:rPr>
        <w:t>all obligations of such Person for borrowed money and all obligations of such Person evidenced by bonds, debentures, notes, loan agreements or other similar instruments or upon which interest is customarily paid;</w:t>
      </w:r>
    </w:p>
    <w:p>
      <w:pPr>
        <w:spacing w:after="0" w:line="156" w:lineRule="exact"/>
        <w:rPr>
          <w:rFonts w:ascii="Arial" w:cs="Arial" w:eastAsia="Arial" w:hAnsi="Arial"/>
          <w:sz w:val="19"/>
          <w:szCs w:val="19"/>
          <w:color w:val="auto"/>
        </w:rPr>
      </w:pPr>
    </w:p>
    <w:p>
      <w:pPr>
        <w:jc w:val="both"/>
        <w:ind w:firstLine="634"/>
        <w:spacing w:after="0" w:line="280" w:lineRule="auto"/>
        <w:tabs>
          <w:tab w:leader="none" w:pos="1247"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all direct or contingent obligations of such Person arising under or in respect of letters of credit (including standby and commercial), bankers’ acceptances, bank guaranties, surety bonds and other financial products and services (including treasury management and commercial credit card, merchant card and purchase or procurement card services and including all Bonding Obligations);</w:t>
      </w:r>
    </w:p>
    <w:p>
      <w:pPr>
        <w:spacing w:after="0" w:line="154" w:lineRule="exact"/>
        <w:rPr>
          <w:rFonts w:ascii="Arial" w:cs="Arial" w:eastAsia="Arial" w:hAnsi="Arial"/>
          <w:sz w:val="18"/>
          <w:szCs w:val="18"/>
          <w:color w:val="auto"/>
        </w:rPr>
      </w:pPr>
    </w:p>
    <w:p>
      <w:pPr>
        <w:ind w:left="1260" w:hanging="626"/>
        <w:spacing w:after="0"/>
        <w:tabs>
          <w:tab w:leader="none" w:pos="1260" w:val="left"/>
        </w:tabs>
        <w:numPr>
          <w:ilvl w:val="0"/>
          <w:numId w:val="102"/>
        </w:numPr>
        <w:rPr>
          <w:rFonts w:ascii="Arial" w:cs="Arial" w:eastAsia="Arial" w:hAnsi="Arial"/>
          <w:sz w:val="19"/>
          <w:szCs w:val="19"/>
          <w:color w:val="auto"/>
        </w:rPr>
      </w:pPr>
      <w:r>
        <w:rPr>
          <w:rFonts w:ascii="Arial" w:cs="Arial" w:eastAsia="Arial" w:hAnsi="Arial"/>
          <w:sz w:val="19"/>
          <w:szCs w:val="19"/>
          <w:color w:val="auto"/>
        </w:rPr>
        <w:t>net obligations of such Person under any Swap Contract;</w:t>
      </w:r>
    </w:p>
    <w:p>
      <w:pPr>
        <w:spacing w:after="0" w:line="214" w:lineRule="exact"/>
        <w:rPr>
          <w:rFonts w:ascii="Arial" w:cs="Arial" w:eastAsia="Arial" w:hAnsi="Arial"/>
          <w:sz w:val="19"/>
          <w:szCs w:val="19"/>
          <w:color w:val="auto"/>
        </w:rPr>
      </w:pPr>
    </w:p>
    <w:p>
      <w:pPr>
        <w:ind w:firstLine="634"/>
        <w:spacing w:after="0" w:line="274" w:lineRule="auto"/>
        <w:tabs>
          <w:tab w:leader="none" w:pos="1247" w:val="left"/>
        </w:tabs>
        <w:numPr>
          <w:ilvl w:val="0"/>
          <w:numId w:val="102"/>
        </w:numPr>
        <w:rPr>
          <w:rFonts w:ascii="Arial" w:cs="Arial" w:eastAsia="Arial" w:hAnsi="Arial"/>
          <w:sz w:val="19"/>
          <w:szCs w:val="19"/>
          <w:color w:val="auto"/>
        </w:rPr>
      </w:pPr>
      <w:r>
        <w:rPr>
          <w:rFonts w:ascii="Arial" w:cs="Arial" w:eastAsia="Arial" w:hAnsi="Arial"/>
          <w:sz w:val="19"/>
          <w:szCs w:val="19"/>
          <w:color w:val="auto"/>
        </w:rPr>
        <w:t>all obligations of such Person to pay the deferred purchase price of property or services (other than trade accounts payable arising in the Ordinary Course of Business not more than sixty (60) days past due);</w:t>
      </w:r>
    </w:p>
    <w:p>
      <w:pPr>
        <w:spacing w:after="0" w:line="156" w:lineRule="exact"/>
        <w:rPr>
          <w:rFonts w:ascii="Arial" w:cs="Arial" w:eastAsia="Arial" w:hAnsi="Arial"/>
          <w:sz w:val="19"/>
          <w:szCs w:val="19"/>
          <w:color w:val="auto"/>
        </w:rPr>
      </w:pPr>
    </w:p>
    <w:p>
      <w:pPr>
        <w:jc w:val="both"/>
        <w:ind w:firstLine="634"/>
        <w:spacing w:after="0" w:line="259" w:lineRule="auto"/>
        <w:tabs>
          <w:tab w:leader="none" w:pos="1249" w:val="left"/>
        </w:tabs>
        <w:numPr>
          <w:ilvl w:val="0"/>
          <w:numId w:val="102"/>
        </w:numPr>
        <w:rPr>
          <w:rFonts w:ascii="Arial" w:cs="Arial" w:eastAsia="Arial" w:hAnsi="Arial"/>
          <w:sz w:val="19"/>
          <w:szCs w:val="19"/>
          <w:color w:val="auto"/>
        </w:rPr>
      </w:pPr>
      <w:r>
        <w:rPr>
          <w:rFonts w:ascii="Arial" w:cs="Arial" w:eastAsia="Arial" w:hAnsi="Arial"/>
          <w:sz w:val="19"/>
          <w:szCs w:val="19"/>
          <w:color w:val="auto"/>
        </w:rPr>
        <w:t>indebtedness secured by a Lien on property owned or being purchased by such Person (including indebtedness arising under conditional sales or other title retention agreements), whether or not such indebtedness shall have been assumed by such Person or is limited in recourse;</w:t>
      </w:r>
    </w:p>
    <w:p>
      <w:pPr>
        <w:spacing w:after="0" w:line="171" w:lineRule="exact"/>
        <w:rPr>
          <w:rFonts w:ascii="Arial" w:cs="Arial" w:eastAsia="Arial" w:hAnsi="Arial"/>
          <w:sz w:val="19"/>
          <w:szCs w:val="19"/>
          <w:color w:val="auto"/>
        </w:rPr>
      </w:pPr>
    </w:p>
    <w:p>
      <w:pPr>
        <w:ind w:left="1260" w:hanging="626"/>
        <w:spacing w:after="0"/>
        <w:tabs>
          <w:tab w:leader="none" w:pos="1260" w:val="left"/>
        </w:tabs>
        <w:numPr>
          <w:ilvl w:val="0"/>
          <w:numId w:val="102"/>
        </w:numPr>
        <w:rPr>
          <w:rFonts w:ascii="Arial" w:cs="Arial" w:eastAsia="Arial" w:hAnsi="Arial"/>
          <w:sz w:val="19"/>
          <w:szCs w:val="19"/>
          <w:color w:val="auto"/>
        </w:rPr>
      </w:pPr>
      <w:r>
        <w:rPr>
          <w:rFonts w:ascii="Arial" w:cs="Arial" w:eastAsia="Arial" w:hAnsi="Arial"/>
          <w:sz w:val="19"/>
          <w:szCs w:val="19"/>
          <w:color w:val="auto"/>
        </w:rPr>
        <w:t>obligations under Capital Leases and Synthetic Lease Obligations of such Person;</w:t>
      </w:r>
    </w:p>
    <w:p>
      <w:pPr>
        <w:spacing w:after="0" w:line="214" w:lineRule="exact"/>
        <w:rPr>
          <w:rFonts w:ascii="Arial" w:cs="Arial" w:eastAsia="Arial" w:hAnsi="Arial"/>
          <w:sz w:val="19"/>
          <w:szCs w:val="19"/>
          <w:color w:val="auto"/>
        </w:rPr>
      </w:pPr>
    </w:p>
    <w:p>
      <w:pPr>
        <w:ind w:firstLine="634"/>
        <w:spacing w:after="0" w:line="274" w:lineRule="auto"/>
        <w:tabs>
          <w:tab w:leader="none" w:pos="1247" w:val="left"/>
        </w:tabs>
        <w:numPr>
          <w:ilvl w:val="0"/>
          <w:numId w:val="102"/>
        </w:numPr>
        <w:rPr>
          <w:rFonts w:ascii="Arial" w:cs="Arial" w:eastAsia="Arial" w:hAnsi="Arial"/>
          <w:sz w:val="19"/>
          <w:szCs w:val="19"/>
          <w:color w:val="auto"/>
        </w:rPr>
      </w:pPr>
      <w:r>
        <w:rPr>
          <w:rFonts w:ascii="Arial" w:cs="Arial" w:eastAsia="Arial" w:hAnsi="Arial"/>
          <w:sz w:val="19"/>
          <w:szCs w:val="19"/>
          <w:color w:val="auto"/>
        </w:rPr>
        <w:t>all obligations of such Person with respect to the redemption, repayment or other repurchase or payment in respect of any Disqualified Equity Interest; and</w:t>
      </w:r>
    </w:p>
    <w:p>
      <w:pPr>
        <w:spacing w:after="0" w:line="156" w:lineRule="exact"/>
        <w:rPr>
          <w:rFonts w:ascii="Arial" w:cs="Arial" w:eastAsia="Arial" w:hAnsi="Arial"/>
          <w:sz w:val="19"/>
          <w:szCs w:val="19"/>
          <w:color w:val="auto"/>
        </w:rPr>
      </w:pPr>
    </w:p>
    <w:p>
      <w:pPr>
        <w:ind w:left="1260" w:hanging="626"/>
        <w:spacing w:after="0"/>
        <w:tabs>
          <w:tab w:leader="none" w:pos="1260" w:val="left"/>
        </w:tabs>
        <w:numPr>
          <w:ilvl w:val="0"/>
          <w:numId w:val="102"/>
        </w:numPr>
        <w:rPr>
          <w:rFonts w:ascii="Arial" w:cs="Arial" w:eastAsia="Arial" w:hAnsi="Arial"/>
          <w:sz w:val="19"/>
          <w:szCs w:val="19"/>
          <w:color w:val="auto"/>
        </w:rPr>
      </w:pPr>
      <w:r>
        <w:rPr>
          <w:rFonts w:ascii="Arial" w:cs="Arial" w:eastAsia="Arial" w:hAnsi="Arial"/>
          <w:sz w:val="19"/>
          <w:szCs w:val="19"/>
          <w:color w:val="auto"/>
        </w:rPr>
        <w:t>all Guarantees of such Person in respect of any of the foregoing.</w:t>
      </w:r>
    </w:p>
    <w:p>
      <w:pPr>
        <w:spacing w:after="0" w:line="214" w:lineRule="exact"/>
        <w:rPr>
          <w:sz w:val="20"/>
          <w:szCs w:val="20"/>
          <w:color w:val="auto"/>
        </w:rPr>
      </w:pPr>
    </w:p>
    <w:p>
      <w:pPr>
        <w:jc w:val="both"/>
        <w:ind w:firstLine="629"/>
        <w:spacing w:after="0" w:line="252" w:lineRule="auto"/>
        <w:rPr>
          <w:sz w:val="20"/>
          <w:szCs w:val="20"/>
          <w:color w:val="auto"/>
        </w:rPr>
      </w:pPr>
      <w:r>
        <w:rPr>
          <w:rFonts w:ascii="Arial" w:cs="Arial" w:eastAsia="Arial" w:hAnsi="Arial"/>
          <w:sz w:val="19"/>
          <w:szCs w:val="19"/>
          <w:color w:val="auto"/>
        </w:rPr>
        <w:t>For all purposes hereof, the Indebtedness of any Person shall include the Indebtedness of any partnership or joint venture (other than a joint venture that is itself a corporation or limited liability company) in which such Person is a general partner or a joint venturer, to the extent such Indebtedness is recourse to such Person. The amount of any net obligation under any Swap Contract on any date shall be deemed to be the Swap Termination Value thereof as of such date. The amount of any Capital Lease or Synthetic Lease Obligation as of any date shall be deemed to be the amount of Attributable Indebtedness in respect thereof as of such date.</w:t>
      </w:r>
    </w:p>
    <w:p>
      <w:pPr>
        <w:spacing w:after="0" w:line="177" w:lineRule="exact"/>
        <w:rPr>
          <w:sz w:val="20"/>
          <w:szCs w:val="20"/>
          <w:color w:val="auto"/>
        </w:rPr>
      </w:pPr>
    </w:p>
    <w:p>
      <w:pPr>
        <w:jc w:val="both"/>
        <w:ind w:firstLine="629"/>
        <w:spacing w:after="0" w:line="33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Indemnified Taxes</w:t>
      </w:r>
      <w:r>
        <w:rPr>
          <w:rFonts w:ascii="Arial" w:cs="Arial" w:eastAsia="Arial" w:hAnsi="Arial"/>
          <w:sz w:val="17"/>
          <w:szCs w:val="17"/>
          <w:color w:val="auto"/>
        </w:rPr>
        <w:t>” means (a) Taxes, other than Excluded Taxes, imposed on or with respect to any payment made by or on account of any obligation of any Loan Party under any Loan Document and (b) to the extent not otherwise described in clause (a), Other Taxes.</w:t>
      </w:r>
    </w:p>
    <w:p>
      <w:pPr>
        <w:spacing w:after="0" w:line="112"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Indemnitees</w:t>
      </w:r>
      <w:r>
        <w:rPr>
          <w:rFonts w:ascii="Arial" w:cs="Arial" w:eastAsia="Arial" w:hAnsi="Arial"/>
          <w:sz w:val="19"/>
          <w:szCs w:val="19"/>
          <w:color w:val="auto"/>
        </w:rPr>
        <w:t xml:space="preserve">” has the meaning specified in </w:t>
      </w:r>
      <w:r>
        <w:rPr>
          <w:rFonts w:ascii="Arial" w:cs="Arial" w:eastAsia="Arial" w:hAnsi="Arial"/>
          <w:sz w:val="19"/>
          <w:szCs w:val="19"/>
          <w:u w:val="single" w:color="auto"/>
          <w:color w:val="auto"/>
        </w:rPr>
        <w:t>Section 11.04(b)</w:t>
      </w:r>
      <w:r>
        <w:rPr>
          <w:rFonts w:ascii="Arial" w:cs="Arial" w:eastAsia="Arial" w:hAnsi="Arial"/>
          <w:sz w:val="19"/>
          <w:szCs w:val="19"/>
          <w:color w:val="auto"/>
        </w:rPr>
        <w:t>.</w:t>
      </w:r>
    </w:p>
    <w:p>
      <w:pPr>
        <w:spacing w:after="0" w:line="21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Information</w:t>
      </w:r>
      <w:r>
        <w:rPr>
          <w:rFonts w:ascii="Arial" w:cs="Arial" w:eastAsia="Arial" w:hAnsi="Arial"/>
          <w:sz w:val="19"/>
          <w:szCs w:val="19"/>
          <w:color w:val="auto"/>
        </w:rPr>
        <w:t xml:space="preserve">” has the meaning specified in </w:t>
      </w:r>
      <w:r>
        <w:rPr>
          <w:rFonts w:ascii="Arial" w:cs="Arial" w:eastAsia="Arial" w:hAnsi="Arial"/>
          <w:sz w:val="19"/>
          <w:szCs w:val="19"/>
          <w:u w:val="single" w:color="auto"/>
          <w:color w:val="auto"/>
        </w:rPr>
        <w:t>Section 11.07</w:t>
      </w:r>
      <w:r>
        <w:rPr>
          <w:rFonts w:ascii="Arial" w:cs="Arial" w:eastAsia="Arial" w:hAnsi="Arial"/>
          <w:sz w:val="19"/>
          <w:szCs w:val="19"/>
          <w:color w:val="auto"/>
        </w:rPr>
        <w:t>.</w:t>
      </w:r>
    </w:p>
    <w:p>
      <w:pPr>
        <w:spacing w:after="0" w:line="21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Insolvency Event</w:t>
      </w:r>
      <w:r>
        <w:rPr>
          <w:rFonts w:ascii="Arial" w:cs="Arial" w:eastAsia="Arial" w:hAnsi="Arial"/>
          <w:sz w:val="19"/>
          <w:szCs w:val="19"/>
          <w:color w:val="auto"/>
        </w:rPr>
        <w:t>” means, with respect to any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36</w:t>
      </w:r>
    </w:p>
    <w:p>
      <w:pPr>
        <w:sectPr>
          <w:pgSz w:w="11900" w:h="16838" w:orient="portrait"/>
          <w:cols w:equalWidth="0" w:num="1">
            <w:col w:w="11240"/>
          </w:cols>
          <w:pgMar w:left="320" w:top="1382" w:right="339" w:bottom="1440" w:gutter="0" w:footer="0" w:header="0"/>
        </w:sectPr>
      </w:pPr>
    </w:p>
    <w:bookmarkStart w:id="155" w:name="page156"/>
    <w:bookmarkEnd w:id="155"/>
    <w:p>
      <w:pPr>
        <w:ind w:firstLine="634"/>
        <w:spacing w:after="0" w:line="274" w:lineRule="auto"/>
        <w:tabs>
          <w:tab w:leader="none" w:pos="1249" w:val="left"/>
        </w:tabs>
        <w:numPr>
          <w:ilvl w:val="0"/>
          <w:numId w:val="103"/>
        </w:numPr>
        <w:rPr>
          <w:rFonts w:ascii="Arial" w:cs="Arial" w:eastAsia="Arial" w:hAnsi="Arial"/>
          <w:sz w:val="19"/>
          <w:szCs w:val="19"/>
          <w:color w:val="auto"/>
        </w:rPr>
      </w:pPr>
      <w:r>
        <w:rPr>
          <w:rFonts w:ascii="Arial" w:cs="Arial" w:eastAsia="Arial" w:hAnsi="Arial"/>
          <w:sz w:val="19"/>
          <w:szCs w:val="19"/>
          <w:color w:val="auto"/>
        </w:rPr>
        <w:t>the commencement of: (i) a voluntary case by such Person under the Bankruptcy Code or (ii) the seeking of relief by such Person under other Debtor Relief Laws;</w:t>
      </w:r>
    </w:p>
    <w:p>
      <w:pPr>
        <w:spacing w:after="0" w:line="156" w:lineRule="exact"/>
        <w:rPr>
          <w:rFonts w:ascii="Arial" w:cs="Arial" w:eastAsia="Arial" w:hAnsi="Arial"/>
          <w:sz w:val="19"/>
          <w:szCs w:val="19"/>
          <w:color w:val="auto"/>
        </w:rPr>
      </w:pPr>
    </w:p>
    <w:p>
      <w:pPr>
        <w:ind w:firstLine="634"/>
        <w:spacing w:after="0" w:line="334" w:lineRule="auto"/>
        <w:tabs>
          <w:tab w:leader="none" w:pos="1247" w:val="left"/>
        </w:tabs>
        <w:numPr>
          <w:ilvl w:val="0"/>
          <w:numId w:val="103"/>
        </w:numPr>
        <w:rPr>
          <w:rFonts w:ascii="Arial" w:cs="Arial" w:eastAsia="Arial" w:hAnsi="Arial"/>
          <w:sz w:val="17"/>
          <w:szCs w:val="17"/>
          <w:color w:val="auto"/>
        </w:rPr>
      </w:pPr>
      <w:r>
        <w:rPr>
          <w:rFonts w:ascii="Arial" w:cs="Arial" w:eastAsia="Arial" w:hAnsi="Arial"/>
          <w:sz w:val="17"/>
          <w:szCs w:val="17"/>
          <w:color w:val="auto"/>
        </w:rPr>
        <w:t>the commencement of an involuntary case or proceeding against such Person under the Bankruptcy Code or other Debtor Relief Laws and the petition or other filing is not controverted or dismissed within sixty (60) days after commencement of the case or proceeding;</w:t>
      </w:r>
    </w:p>
    <w:p>
      <w:pPr>
        <w:spacing w:after="0" w:line="111" w:lineRule="exact"/>
        <w:rPr>
          <w:rFonts w:ascii="Arial" w:cs="Arial" w:eastAsia="Arial" w:hAnsi="Arial"/>
          <w:sz w:val="17"/>
          <w:szCs w:val="17"/>
          <w:color w:val="auto"/>
        </w:rPr>
      </w:pPr>
    </w:p>
    <w:p>
      <w:pPr>
        <w:ind w:firstLine="634"/>
        <w:spacing w:after="0" w:line="302" w:lineRule="auto"/>
        <w:tabs>
          <w:tab w:leader="none" w:pos="1249"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 custodian (as defined in the Bankruptcy Code or equal term under any other Debtor Relief Law, including a receiver, interim receiver, receiver manager, trustee or monitor) is appointed for, or takes charge of, all or substantially all of the property of such Person;</w:t>
      </w:r>
    </w:p>
    <w:p>
      <w:pPr>
        <w:spacing w:after="0" w:line="134" w:lineRule="exact"/>
        <w:rPr>
          <w:rFonts w:ascii="Arial" w:cs="Arial" w:eastAsia="Arial" w:hAnsi="Arial"/>
          <w:sz w:val="18"/>
          <w:szCs w:val="18"/>
          <w:color w:val="auto"/>
        </w:rPr>
      </w:pPr>
    </w:p>
    <w:p>
      <w:pPr>
        <w:jc w:val="both"/>
        <w:ind w:firstLine="634"/>
        <w:spacing w:after="0" w:line="252" w:lineRule="auto"/>
        <w:tabs>
          <w:tab w:leader="none" w:pos="1247" w:val="left"/>
        </w:tabs>
        <w:numPr>
          <w:ilvl w:val="0"/>
          <w:numId w:val="103"/>
        </w:numPr>
        <w:rPr>
          <w:rFonts w:ascii="Arial" w:cs="Arial" w:eastAsia="Arial" w:hAnsi="Arial"/>
          <w:sz w:val="19"/>
          <w:szCs w:val="19"/>
          <w:color w:val="auto"/>
        </w:rPr>
      </w:pPr>
      <w:r>
        <w:rPr>
          <w:rFonts w:ascii="Arial" w:cs="Arial" w:eastAsia="Arial" w:hAnsi="Arial"/>
          <w:sz w:val="19"/>
          <w:szCs w:val="19"/>
          <w:color w:val="auto"/>
        </w:rPr>
        <w:t>such Person commences (including by way of applying for or consenting to the appointment of, or the taking charge by, a rehabilitator, receiver, interim receiver, custodian, trustee, monitor, conservator or liquidator (or any equal term under any other Debtor Relief Laws) (collectively, a “conservator”) of such Person or all or any substantial portion of its property) any other proceeding under any reorganization, arrangement, adjustment of debt, relief of debtors, dissolution, insolvency, liquidation, rehabilitation, conservatorship or similar law of any jurisdiction whether now or hereafter in effect relating to such Person;</w:t>
      </w:r>
    </w:p>
    <w:p>
      <w:pPr>
        <w:spacing w:after="0" w:line="177" w:lineRule="exact"/>
        <w:rPr>
          <w:rFonts w:ascii="Arial" w:cs="Arial" w:eastAsia="Arial" w:hAnsi="Arial"/>
          <w:sz w:val="19"/>
          <w:szCs w:val="19"/>
          <w:color w:val="auto"/>
        </w:rPr>
      </w:pPr>
    </w:p>
    <w:p>
      <w:pPr>
        <w:ind w:left="1260" w:hanging="626"/>
        <w:spacing w:after="0"/>
        <w:tabs>
          <w:tab w:leader="none" w:pos="1260" w:val="left"/>
        </w:tabs>
        <w:numPr>
          <w:ilvl w:val="0"/>
          <w:numId w:val="103"/>
        </w:numPr>
        <w:rPr>
          <w:rFonts w:ascii="Arial" w:cs="Arial" w:eastAsia="Arial" w:hAnsi="Arial"/>
          <w:sz w:val="19"/>
          <w:szCs w:val="19"/>
          <w:color w:val="auto"/>
        </w:rPr>
      </w:pPr>
      <w:r>
        <w:rPr>
          <w:rFonts w:ascii="Arial" w:cs="Arial" w:eastAsia="Arial" w:hAnsi="Arial"/>
          <w:sz w:val="19"/>
          <w:szCs w:val="19"/>
          <w:color w:val="auto"/>
        </w:rPr>
        <w:t>such Person is adjudicated by a court of competent jurisdiction to be insolvent or bankrupt;</w:t>
      </w:r>
    </w:p>
    <w:p>
      <w:pPr>
        <w:spacing w:after="0" w:line="214" w:lineRule="exact"/>
        <w:rPr>
          <w:rFonts w:ascii="Arial" w:cs="Arial" w:eastAsia="Arial" w:hAnsi="Arial"/>
          <w:sz w:val="19"/>
          <w:szCs w:val="19"/>
          <w:color w:val="auto"/>
        </w:rPr>
      </w:pPr>
    </w:p>
    <w:p>
      <w:pPr>
        <w:ind w:left="1260" w:hanging="626"/>
        <w:spacing w:after="0"/>
        <w:tabs>
          <w:tab w:leader="none" w:pos="12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 xml:space="preserve">any order of relief or other order approving any such case or proceeding referred to in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above is entered;</w:t>
      </w:r>
    </w:p>
    <w:p>
      <w:pPr>
        <w:spacing w:after="0" w:line="225" w:lineRule="exact"/>
        <w:rPr>
          <w:rFonts w:ascii="Arial" w:cs="Arial" w:eastAsia="Arial" w:hAnsi="Arial"/>
          <w:sz w:val="18"/>
          <w:szCs w:val="18"/>
          <w:color w:val="auto"/>
        </w:rPr>
      </w:pPr>
    </w:p>
    <w:p>
      <w:pPr>
        <w:ind w:firstLine="634"/>
        <w:spacing w:after="0" w:line="274" w:lineRule="auto"/>
        <w:tabs>
          <w:tab w:leader="none" w:pos="1247" w:val="left"/>
        </w:tabs>
        <w:numPr>
          <w:ilvl w:val="0"/>
          <w:numId w:val="103"/>
        </w:numPr>
        <w:rPr>
          <w:rFonts w:ascii="Arial" w:cs="Arial" w:eastAsia="Arial" w:hAnsi="Arial"/>
          <w:sz w:val="19"/>
          <w:szCs w:val="19"/>
          <w:color w:val="auto"/>
        </w:rPr>
      </w:pPr>
      <w:r>
        <w:rPr>
          <w:rFonts w:ascii="Arial" w:cs="Arial" w:eastAsia="Arial" w:hAnsi="Arial"/>
          <w:sz w:val="19"/>
          <w:szCs w:val="19"/>
          <w:color w:val="auto"/>
        </w:rPr>
        <w:t>such Person suffers any appointment of any conservator or the like for it or any substantial part of its property that continues undischarged or unstayed for a period of sixty (60) days; or</w:t>
      </w:r>
    </w:p>
    <w:p>
      <w:pPr>
        <w:spacing w:after="0" w:line="156" w:lineRule="exact"/>
        <w:rPr>
          <w:rFonts w:ascii="Arial" w:cs="Arial" w:eastAsia="Arial" w:hAnsi="Arial"/>
          <w:sz w:val="19"/>
          <w:szCs w:val="19"/>
          <w:color w:val="auto"/>
        </w:rPr>
      </w:pPr>
    </w:p>
    <w:p>
      <w:pPr>
        <w:ind w:firstLine="634"/>
        <w:spacing w:after="0" w:line="274" w:lineRule="auto"/>
        <w:tabs>
          <w:tab w:leader="none" w:pos="1247" w:val="left"/>
        </w:tabs>
        <w:numPr>
          <w:ilvl w:val="0"/>
          <w:numId w:val="103"/>
        </w:numPr>
        <w:rPr>
          <w:rFonts w:ascii="Arial" w:cs="Arial" w:eastAsia="Arial" w:hAnsi="Arial"/>
          <w:sz w:val="19"/>
          <w:szCs w:val="19"/>
          <w:color w:val="auto"/>
        </w:rPr>
      </w:pPr>
      <w:r>
        <w:rPr>
          <w:rFonts w:ascii="Arial" w:cs="Arial" w:eastAsia="Arial" w:hAnsi="Arial"/>
          <w:sz w:val="19"/>
          <w:szCs w:val="19"/>
          <w:color w:val="auto"/>
        </w:rPr>
        <w:t>such Person makes a compromise, arrangement or assignment for the benefit of creditors or generally does not pay its debts as such debts become due.</w:t>
      </w:r>
    </w:p>
    <w:p>
      <w:pPr>
        <w:spacing w:after="0" w:line="157" w:lineRule="exact"/>
        <w:rPr>
          <w:sz w:val="20"/>
          <w:szCs w:val="20"/>
          <w:color w:val="auto"/>
        </w:rPr>
      </w:pPr>
    </w:p>
    <w:p>
      <w:pPr>
        <w:jc w:val="both"/>
        <w:ind w:firstLine="629"/>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Intellectual Property</w:t>
      </w:r>
      <w:r>
        <w:rPr>
          <w:rFonts w:ascii="Arial" w:cs="Arial" w:eastAsia="Arial" w:hAnsi="Arial"/>
          <w:sz w:val="17"/>
          <w:szCs w:val="17"/>
          <w:color w:val="auto"/>
        </w:rPr>
        <w:t>” means all past, present and future: trade secrets, know-how and other proprietary information; trademarks, uniform resource locations (URLs), internet domain names, service marks, sound marks, trade dress, trade names, business names, designs, logos, slogans (and all translations, adaptations, derivations and combinations of the foregoing) indicia and other source and/or business identifiers, and the goodwill of the business relating thereto and all registrations or applications for registrations which have heretofore been or may hereafter be issued thereon throughout the world; copyrights (including copyrights for computer programs) and copyright registrations or applications for registrations which have heretofore been or may hereafter be issued throughout the world and all tangible property embodying the copyrights, unpatented inventions (whether or not patentable); patent applications and patents; industrial design applications and registered industrial designs; license agreements related to any of the foregoing and income therefrom; books, records, writings, computer tapes or disks, flow diagrams, specification sheets, computer software, source codes, object codes, executable code, data, databases and other physical manifestations, embodiments or incorporations of any of the foregoing; the right to sue for all past, present and future infringements of any of the foregoing; all other intellectual property; and all common law and other rights throughout the world in and to all of the foregoing.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37</w:t>
      </w:r>
    </w:p>
    <w:p>
      <w:pPr>
        <w:sectPr>
          <w:pgSz w:w="11900" w:h="16838" w:orient="portrait"/>
          <w:cols w:equalWidth="0" w:num="1">
            <w:col w:w="11240"/>
          </w:cols>
          <w:pgMar w:left="320" w:top="1382" w:right="339" w:bottom="1440" w:gutter="0" w:footer="0" w:header="0"/>
        </w:sectPr>
      </w:pPr>
    </w:p>
    <w:bookmarkStart w:id="156" w:name="page157"/>
    <w:bookmarkEnd w:id="156"/>
    <w:p>
      <w:pPr>
        <w:jc w:val="both"/>
        <w:ind w:firstLine="629"/>
        <w:spacing w:after="0" w:line="26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Payment Date</w:t>
      </w:r>
      <w:r>
        <w:rPr>
          <w:rFonts w:ascii="Arial" w:cs="Arial" w:eastAsia="Arial" w:hAnsi="Arial"/>
          <w:sz w:val="18"/>
          <w:szCs w:val="18"/>
          <w:color w:val="auto"/>
        </w:rPr>
        <w:t xml:space="preserve">” means, (a) as to any Eurocurrency Rate Loan, (i) the last day of each Interest Period applicable to such Eurocurrency Rate Loan;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any Interest Period for a Eurocurrency Rate Loan is greater than three (3) months, the respective dates that fall every three (3) months after the beginning of such Interest Period shall also be Interest Payment Dates, (ii) any date that such Loan is prepaid or converted, in whole or in part, and (iii) the Maturity Date; and (b) as to any Base Rate Loan (including a Swing Line Loan) or Canadian Prime Rate Loan, (i) the first day of each month with respect to interest accrued through the last day of the immediately preceding month, (ii) any date that such Loan is prepaid or converted, in whole or in part, and (iii) the Maturity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interest accruing at the Default Rate shall be payable from time to time upon demand of the Administrative Agent.</w:t>
      </w:r>
    </w:p>
    <w:p>
      <w:pPr>
        <w:spacing w:after="0" w:line="170" w:lineRule="exact"/>
        <w:rPr>
          <w:sz w:val="20"/>
          <w:szCs w:val="20"/>
          <w:color w:val="auto"/>
        </w:rPr>
      </w:pPr>
    </w:p>
    <w:p>
      <w:pPr>
        <w:jc w:val="both"/>
        <w:ind w:firstLine="629"/>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Interest Period</w:t>
      </w:r>
      <w:r>
        <w:rPr>
          <w:rFonts w:ascii="Arial" w:cs="Arial" w:eastAsia="Arial" w:hAnsi="Arial"/>
          <w:sz w:val="19"/>
          <w:szCs w:val="19"/>
          <w:color w:val="auto"/>
        </w:rPr>
        <w:t xml:space="preserve">” means, as to each Eurocurrency Rate Loan, the period commencing on the date such Eurocurrency Rate Loan is disbursed or converted to or continued as an Eurocurrency Rate Loan and ending, in each case, on the date one (1) month or three (3) months thereafter, as selected by the Borrower Agent in its Committed Loan Notice;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w:t>
      </w:r>
    </w:p>
    <w:p>
      <w:pPr>
        <w:spacing w:after="0" w:line="171" w:lineRule="exact"/>
        <w:rPr>
          <w:sz w:val="20"/>
          <w:szCs w:val="20"/>
          <w:color w:val="auto"/>
        </w:rPr>
      </w:pPr>
    </w:p>
    <w:p>
      <w:pPr>
        <w:jc w:val="both"/>
        <w:ind w:firstLine="634"/>
        <w:spacing w:after="0" w:line="259" w:lineRule="auto"/>
        <w:tabs>
          <w:tab w:leader="none" w:pos="1249" w:val="left"/>
        </w:tabs>
        <w:numPr>
          <w:ilvl w:val="0"/>
          <w:numId w:val="104"/>
        </w:numPr>
        <w:rPr>
          <w:rFonts w:ascii="Arial" w:cs="Arial" w:eastAsia="Arial" w:hAnsi="Arial"/>
          <w:sz w:val="19"/>
          <w:szCs w:val="19"/>
          <w:color w:val="auto"/>
        </w:rPr>
      </w:pPr>
      <w:r>
        <w:rPr>
          <w:rFonts w:ascii="Arial" w:cs="Arial" w:eastAsia="Arial" w:hAnsi="Arial"/>
          <w:sz w:val="19"/>
          <w:szCs w:val="19"/>
          <w:color w:val="auto"/>
        </w:rPr>
        <w:t>any Interest Period that would otherwise end on a day that is not a Business Day shall be extended to the next succeeding Business Day unless such Business Day falls in another calendar month, in which case such Interest Period shall end on the next preceding Business Day;</w:t>
      </w:r>
    </w:p>
    <w:p>
      <w:pPr>
        <w:spacing w:after="0" w:line="171" w:lineRule="exact"/>
        <w:rPr>
          <w:rFonts w:ascii="Arial" w:cs="Arial" w:eastAsia="Arial" w:hAnsi="Arial"/>
          <w:sz w:val="19"/>
          <w:szCs w:val="19"/>
          <w:color w:val="auto"/>
        </w:rPr>
      </w:pPr>
    </w:p>
    <w:p>
      <w:pPr>
        <w:jc w:val="both"/>
        <w:ind w:firstLine="634"/>
        <w:spacing w:after="0" w:line="259" w:lineRule="auto"/>
        <w:tabs>
          <w:tab w:leader="none" w:pos="1247" w:val="left"/>
        </w:tabs>
        <w:numPr>
          <w:ilvl w:val="0"/>
          <w:numId w:val="104"/>
        </w:numPr>
        <w:rPr>
          <w:rFonts w:ascii="Arial" w:cs="Arial" w:eastAsia="Arial" w:hAnsi="Arial"/>
          <w:sz w:val="19"/>
          <w:szCs w:val="19"/>
          <w:color w:val="auto"/>
        </w:rPr>
      </w:pPr>
      <w:r>
        <w:rPr>
          <w:rFonts w:ascii="Arial" w:cs="Arial" w:eastAsia="Arial" w:hAnsi="Arial"/>
          <w:sz w:val="19"/>
          <w:szCs w:val="19"/>
          <w:color w:val="auto"/>
        </w:rPr>
        <w:t>any Interest Period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171" w:lineRule="exact"/>
        <w:rPr>
          <w:rFonts w:ascii="Arial" w:cs="Arial" w:eastAsia="Arial" w:hAnsi="Arial"/>
          <w:sz w:val="19"/>
          <w:szCs w:val="19"/>
          <w:color w:val="auto"/>
        </w:rPr>
      </w:pPr>
    </w:p>
    <w:p>
      <w:pPr>
        <w:ind w:left="1260" w:hanging="626"/>
        <w:spacing w:after="0"/>
        <w:tabs>
          <w:tab w:leader="none" w:pos="1260" w:val="left"/>
        </w:tabs>
        <w:numPr>
          <w:ilvl w:val="0"/>
          <w:numId w:val="104"/>
        </w:numPr>
        <w:rPr>
          <w:rFonts w:ascii="Arial" w:cs="Arial" w:eastAsia="Arial" w:hAnsi="Arial"/>
          <w:sz w:val="19"/>
          <w:szCs w:val="19"/>
          <w:color w:val="auto"/>
        </w:rPr>
      </w:pPr>
      <w:r>
        <w:rPr>
          <w:rFonts w:ascii="Arial" w:cs="Arial" w:eastAsia="Arial" w:hAnsi="Arial"/>
          <w:sz w:val="19"/>
          <w:szCs w:val="19"/>
          <w:color w:val="auto"/>
        </w:rPr>
        <w:t>no Interest Period shall extend beyond the Maturity Date.</w:t>
      </w:r>
    </w:p>
    <w:p>
      <w:pPr>
        <w:spacing w:after="0" w:line="214" w:lineRule="exact"/>
        <w:rPr>
          <w:sz w:val="20"/>
          <w:szCs w:val="20"/>
          <w:color w:val="auto"/>
        </w:rPr>
      </w:pPr>
    </w:p>
    <w:p>
      <w:pPr>
        <w:jc w:val="both"/>
        <w:ind w:firstLine="629"/>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w:t>
      </w:r>
      <w:r>
        <w:rPr>
          <w:rFonts w:ascii="Arial" w:cs="Arial" w:eastAsia="Arial" w:hAnsi="Arial"/>
          <w:sz w:val="18"/>
          <w:szCs w:val="18"/>
          <w:color w:val="auto"/>
        </w:rPr>
        <w:t xml:space="preserve">” means, as to any Person, any direct or indirect acquisition or investment by such Person, whether by means of (a) an Acquisition with respect to another Person or (b) a loan, advance or capital contribution to, Guarantee or assumption of debt of, or purchase or other acquisition of any other debt or equity participation or interest in, another Person, including any partnership or joint venture interest in such other Person and any arrangement pursuant to which the investor Guarantees Indebtedness of such other Person. For purposes of compliance with </w:t>
      </w:r>
      <w:r>
        <w:rPr>
          <w:rFonts w:ascii="Arial" w:cs="Arial" w:eastAsia="Arial" w:hAnsi="Arial"/>
          <w:sz w:val="18"/>
          <w:szCs w:val="18"/>
          <w:u w:val="single" w:color="auto"/>
          <w:color w:val="auto"/>
        </w:rPr>
        <w:t>Section 8.03</w:t>
      </w:r>
      <w:r>
        <w:rPr>
          <w:rFonts w:ascii="Arial" w:cs="Arial" w:eastAsia="Arial" w:hAnsi="Arial"/>
          <w:sz w:val="18"/>
          <w:szCs w:val="18"/>
          <w:color w:val="auto"/>
        </w:rPr>
        <w:t>, the amount of any Investment (i) shall be the amount actually invested, without adjustment for subsequent increases or decreases in the value of such Investment, less all returns of principal or equity thereon (and without adjustment by reason of the financial condition of such other Person), (ii) if made by the transfer or exchange of property other than cash, shall be deemed to be the original principal or capital amount equal to the Fair Market Value of such property at the time of such transfer or exchange and (iii) if made in the form of a Guaranty or acquisition or assumption of Indebtedness, shall be deemed the maximum principal amount of such Indebtedness or maximum value of the obligation guaranteed when made, as applicable.</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IP Rights</w:t>
      </w:r>
      <w:r>
        <w:rPr>
          <w:rFonts w:ascii="Arial" w:cs="Arial" w:eastAsia="Arial" w:hAnsi="Arial"/>
          <w:sz w:val="19"/>
          <w:szCs w:val="19"/>
          <w:color w:val="auto"/>
        </w:rPr>
        <w:t>” rights of any Person to use any Intellectual Property.</w:t>
      </w:r>
    </w:p>
    <w:p>
      <w:pPr>
        <w:spacing w:after="0" w:line="214" w:lineRule="exact"/>
        <w:rPr>
          <w:sz w:val="20"/>
          <w:szCs w:val="20"/>
          <w:color w:val="auto"/>
        </w:rPr>
      </w:pPr>
    </w:p>
    <w:p>
      <w:pPr>
        <w:jc w:val="both"/>
        <w:ind w:firstLine="629"/>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ISP</w:t>
      </w:r>
      <w:r>
        <w:rPr>
          <w:rFonts w:ascii="Arial" w:cs="Arial" w:eastAsia="Arial" w:hAnsi="Arial"/>
          <w:sz w:val="19"/>
          <w:szCs w:val="19"/>
          <w:color w:val="auto"/>
        </w:rPr>
        <w:t>” means, with respect to any Letter of Credit, the “International Standby Practices 1998” published by the Institute of International Banking Law &amp; Practice (or such later version thereof as may be in effect at the time of issuance).</w:t>
      </w:r>
    </w:p>
    <w:p>
      <w:pPr>
        <w:spacing w:after="0" w:line="157" w:lineRule="exact"/>
        <w:rPr>
          <w:sz w:val="20"/>
          <w:szCs w:val="20"/>
          <w:color w:val="auto"/>
        </w:rPr>
      </w:pPr>
    </w:p>
    <w:p>
      <w:pPr>
        <w:jc w:val="both"/>
        <w:ind w:firstLine="629"/>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Issuer Documents</w:t>
      </w:r>
      <w:r>
        <w:rPr>
          <w:rFonts w:ascii="Arial" w:cs="Arial" w:eastAsia="Arial" w:hAnsi="Arial"/>
          <w:sz w:val="19"/>
          <w:szCs w:val="19"/>
          <w:color w:val="auto"/>
        </w:rPr>
        <w:t>” means with respect to any Letter of Credit, the Letter of Credit Application, and any other document, agreement and instrument entered into by the Letter of Credit Issuer and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38</w:t>
      </w:r>
    </w:p>
    <w:p>
      <w:pPr>
        <w:sectPr>
          <w:pgSz w:w="11900" w:h="16838" w:orient="portrait"/>
          <w:cols w:equalWidth="0" w:num="1">
            <w:col w:w="11240"/>
          </w:cols>
          <w:pgMar w:left="320" w:top="1381" w:right="339" w:bottom="1440" w:gutter="0" w:footer="0" w:header="0"/>
        </w:sectPr>
      </w:pPr>
    </w:p>
    <w:bookmarkStart w:id="157" w:name="page158"/>
    <w:bookmarkEnd w:id="157"/>
    <w:p>
      <w:pPr>
        <w:spacing w:after="0"/>
        <w:rPr>
          <w:sz w:val="20"/>
          <w:szCs w:val="20"/>
          <w:color w:val="auto"/>
        </w:rPr>
      </w:pPr>
      <w:r>
        <w:rPr>
          <w:rFonts w:ascii="Arial" w:cs="Arial" w:eastAsia="Arial" w:hAnsi="Arial"/>
          <w:sz w:val="19"/>
          <w:szCs w:val="19"/>
          <w:color w:val="auto"/>
        </w:rPr>
        <w:t>Borrower (or any Subsidiary) or in favor the Letter of Credit Issuer and relating to any such Letter of Credit.</w:t>
      </w:r>
    </w:p>
    <w:p>
      <w:pPr>
        <w:spacing w:after="0" w:line="214" w:lineRule="exact"/>
        <w:rPr>
          <w:sz w:val="20"/>
          <w:szCs w:val="20"/>
          <w:color w:val="auto"/>
        </w:rPr>
      </w:pPr>
    </w:p>
    <w:p>
      <w:pPr>
        <w:jc w:val="both"/>
        <w:ind w:firstLine="629"/>
        <w:spacing w:after="0" w:line="30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Joint Venture</w:t>
      </w:r>
      <w:r>
        <w:rPr>
          <w:rFonts w:ascii="Arial" w:cs="Arial" w:eastAsia="Arial" w:hAnsi="Arial"/>
          <w:sz w:val="17"/>
          <w:szCs w:val="17"/>
          <w:color w:val="auto"/>
        </w:rPr>
        <w:t>” means a Person (other than a Subsidiary, natural person or Governmental Authority) that is (a) formed to be or represents a joint venture between the Company or one of its Subsidiaries and other Person(s) (regardless of the type of entity used), and (b) formed for the purpose of bidding for, undertaking or handling specific projects or for the purpose of acquiring Equity Interests of any other Person.</w:t>
      </w:r>
    </w:p>
    <w:p>
      <w:pPr>
        <w:spacing w:after="0" w:line="136" w:lineRule="exact"/>
        <w:rPr>
          <w:sz w:val="20"/>
          <w:szCs w:val="20"/>
          <w:color w:val="auto"/>
        </w:rPr>
      </w:pPr>
    </w:p>
    <w:p>
      <w:pPr>
        <w:jc w:val="both"/>
        <w:ind w:firstLine="629"/>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JPM Credit Card Cash Collateral Account</w:t>
      </w:r>
      <w:r>
        <w:rPr>
          <w:rFonts w:ascii="Arial" w:cs="Arial" w:eastAsia="Arial" w:hAnsi="Arial"/>
          <w:sz w:val="19"/>
          <w:szCs w:val="19"/>
          <w:color w:val="auto"/>
        </w:rPr>
        <w:t>” means that deposit account in the name of Borrower held at JPMorgan Chase Bank, N.A., that contains no more than $2,600,000 to secure commercial credit card services and automated clearinghouse services.</w:t>
      </w:r>
    </w:p>
    <w:p>
      <w:pPr>
        <w:spacing w:after="0" w:line="157"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Judgement Currency</w:t>
      </w:r>
      <w:r>
        <w:rPr>
          <w:rFonts w:ascii="Arial" w:cs="Arial" w:eastAsia="Arial" w:hAnsi="Arial"/>
          <w:sz w:val="19"/>
          <w:szCs w:val="19"/>
          <w:color w:val="auto"/>
        </w:rPr>
        <w:t xml:space="preserve">” has the meaning specified in </w:t>
      </w:r>
      <w:r>
        <w:rPr>
          <w:rFonts w:ascii="Arial" w:cs="Arial" w:eastAsia="Arial" w:hAnsi="Arial"/>
          <w:sz w:val="19"/>
          <w:szCs w:val="19"/>
          <w:u w:val="single" w:color="auto"/>
          <w:color w:val="auto"/>
        </w:rPr>
        <w:t>Section 11.22</w:t>
      </w:r>
      <w:r>
        <w:rPr>
          <w:rFonts w:ascii="Arial" w:cs="Arial" w:eastAsia="Arial" w:hAnsi="Arial"/>
          <w:sz w:val="19"/>
          <w:szCs w:val="19"/>
          <w:color w:val="auto"/>
        </w:rPr>
        <w:t>.</w:t>
      </w:r>
    </w:p>
    <w:p>
      <w:pPr>
        <w:spacing w:after="0" w:line="214" w:lineRule="exact"/>
        <w:rPr>
          <w:sz w:val="20"/>
          <w:szCs w:val="20"/>
          <w:color w:val="auto"/>
        </w:rPr>
      </w:pPr>
    </w:p>
    <w:p>
      <w:pPr>
        <w:jc w:val="both"/>
        <w:ind w:firstLine="629"/>
        <w:spacing w:after="0" w:line="25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Laws</w:t>
      </w:r>
      <w:r>
        <w:rPr>
          <w:rFonts w:ascii="Arial" w:cs="Arial" w:eastAsia="Arial" w:hAnsi="Arial"/>
          <w:sz w:val="19"/>
          <w:szCs w:val="19"/>
          <w:color w:val="auto"/>
        </w:rPr>
        <w:t>” means, collectively, all international, foreign, federal, state and local statutes (including Canadian provincial and federal statutes), treaties, rules,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w:t>
      </w:r>
    </w:p>
    <w:p>
      <w:pPr>
        <w:spacing w:after="0" w:line="177" w:lineRule="exact"/>
        <w:rPr>
          <w:sz w:val="20"/>
          <w:szCs w:val="20"/>
          <w:color w:val="auto"/>
        </w:rPr>
      </w:pPr>
    </w:p>
    <w:p>
      <w:pPr>
        <w:jc w:val="both"/>
        <w:ind w:firstLine="629"/>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Lender</w:t>
      </w:r>
      <w:r>
        <w:rPr>
          <w:rFonts w:ascii="Arial" w:cs="Arial" w:eastAsia="Arial" w:hAnsi="Arial"/>
          <w:sz w:val="19"/>
          <w:szCs w:val="19"/>
          <w:color w:val="auto"/>
        </w:rPr>
        <w:t>” has the meaning specified in the introductory paragraph hereto and, as the context requires, includes the Letter of Credit Issuer and the Swing Line Lender.</w:t>
      </w:r>
    </w:p>
    <w:p>
      <w:pPr>
        <w:spacing w:after="0" w:line="157" w:lineRule="exact"/>
        <w:rPr>
          <w:sz w:val="20"/>
          <w:szCs w:val="20"/>
          <w:color w:val="auto"/>
        </w:rPr>
      </w:pPr>
    </w:p>
    <w:p>
      <w:pPr>
        <w:jc w:val="both"/>
        <w:ind w:firstLine="629"/>
        <w:spacing w:after="0" w:line="30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Lending Office</w:t>
      </w:r>
      <w:r>
        <w:rPr>
          <w:rFonts w:ascii="Arial" w:cs="Arial" w:eastAsia="Arial" w:hAnsi="Arial"/>
          <w:sz w:val="18"/>
          <w:szCs w:val="18"/>
          <w:color w:val="auto"/>
        </w:rPr>
        <w:t>” means, as to any Lender, the office or offices of such Lender described as such in such Lender’s Administrative Questionnaire, or such other office or offices as a Lender may from time to time notify the Borrower Agent and the Administrative Agent.</w:t>
      </w:r>
    </w:p>
    <w:p>
      <w:pPr>
        <w:spacing w:after="0" w:line="135" w:lineRule="exact"/>
        <w:rPr>
          <w:sz w:val="20"/>
          <w:szCs w:val="20"/>
          <w:color w:val="auto"/>
        </w:rPr>
      </w:pPr>
    </w:p>
    <w:p>
      <w:pPr>
        <w:jc w:val="both"/>
        <w:ind w:firstLine="629"/>
        <w:spacing w:after="0" w:line="25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Letter of Credit</w:t>
      </w:r>
      <w:r>
        <w:rPr>
          <w:rFonts w:ascii="Arial" w:cs="Arial" w:eastAsia="Arial" w:hAnsi="Arial"/>
          <w:sz w:val="19"/>
          <w:szCs w:val="19"/>
          <w:color w:val="auto"/>
        </w:rPr>
        <w:t>” means (a) any standby or documentary letter of credit issued by a Letter of Credit Issuer or (b) any indemnity, guarantee, exposure transmittal memorandum or similar form of credit support, in any case, issued by the Administrative Agent or an Letter of Credit Issuer pursuant to this Agreement for the benefit of a Borrower (or any other Loan Party or Domestic Subsidiary thereof as to which all “know your customer” or other similar requirements have been satisfied). Letters of Credit may be issued in Dollars or if agreed to by the Administrative Agent at its sole option, also in either Canadian Dollars or Australian Dollars.</w:t>
      </w:r>
    </w:p>
    <w:p>
      <w:pPr>
        <w:spacing w:after="0" w:line="177" w:lineRule="exact"/>
        <w:rPr>
          <w:sz w:val="20"/>
          <w:szCs w:val="20"/>
          <w:color w:val="auto"/>
        </w:rPr>
      </w:pPr>
    </w:p>
    <w:p>
      <w:pPr>
        <w:jc w:val="both"/>
        <w:ind w:firstLine="629"/>
        <w:spacing w:after="0" w:line="25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Letter of Credit Advance</w:t>
      </w:r>
      <w:r>
        <w:rPr>
          <w:rFonts w:ascii="Arial" w:cs="Arial" w:eastAsia="Arial" w:hAnsi="Arial"/>
          <w:sz w:val="19"/>
          <w:szCs w:val="19"/>
          <w:color w:val="auto"/>
        </w:rPr>
        <w:t>” means each Revolving Credit Lender’s funding of its participation in any Letter of Credit Borrowing in accordance with its Applicable Revolving Credit Percentage. All Letter of Credit Advances shall be denominated in Dollars, unless the underlying Letter of Credit is denominated in Canadian Dollars (in which case, any Letter of Credit Advance for any such Letter of Credit shall be denominated in Canadian Dollars) or Australian Dollars (in which case, any Letter of Credit Advance for any such Letter of Credit shall be denominated in Australian Dollars).</w:t>
      </w:r>
    </w:p>
    <w:p>
      <w:pPr>
        <w:spacing w:after="0" w:line="177" w:lineRule="exact"/>
        <w:rPr>
          <w:sz w:val="20"/>
          <w:szCs w:val="20"/>
          <w:color w:val="auto"/>
        </w:rPr>
      </w:pPr>
    </w:p>
    <w:p>
      <w:pPr>
        <w:jc w:val="both"/>
        <w:ind w:firstLine="629"/>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Letter of Credit Application</w:t>
      </w:r>
      <w:r>
        <w:rPr>
          <w:rFonts w:ascii="Arial" w:cs="Arial" w:eastAsia="Arial" w:hAnsi="Arial"/>
          <w:sz w:val="19"/>
          <w:szCs w:val="19"/>
          <w:color w:val="auto"/>
        </w:rPr>
        <w:t>” means an application and agreement for the issuance or amendment of a Letter of Credit in the form from time to time in use by the Letter of Credit Issuer.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39</w:t>
      </w:r>
    </w:p>
    <w:p>
      <w:pPr>
        <w:sectPr>
          <w:pgSz w:w="11900" w:h="16838" w:orient="portrait"/>
          <w:cols w:equalWidth="0" w:num="1">
            <w:col w:w="11240"/>
          </w:cols>
          <w:pgMar w:left="320" w:top="1382" w:right="339" w:bottom="1440" w:gutter="0" w:footer="0" w:header="0"/>
        </w:sectPr>
      </w:pPr>
    </w:p>
    <w:bookmarkStart w:id="158" w:name="page159"/>
    <w:bookmarkEnd w:id="158"/>
    <w:p>
      <w:pPr>
        <w:jc w:val="both"/>
        <w:ind w:firstLine="629"/>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Borrowing</w:t>
      </w:r>
      <w:r>
        <w:rPr>
          <w:rFonts w:ascii="Arial" w:cs="Arial" w:eastAsia="Arial" w:hAnsi="Arial"/>
          <w:sz w:val="18"/>
          <w:szCs w:val="18"/>
          <w:color w:val="auto"/>
        </w:rPr>
        <w:t>” means an extension of credit resulting from a drawing under any Letter of Credit which has not been reimbursed on the date when made or refinanced as a Revolving Credit Borrowing. All Letter of Credit Borrowings shall be denominated in Dollars, unless the underlying Letter of Credit is denominated in (i) Canadian Dollars (in which case, any Letter of Credit Borrowing for any such Letter of Credit shall be denominated in Canadian Dollars) or (ii) Australian Dollars (in which case, any Letter of Credit Borrowing for any such Letter of Credit shall be denominated in the Dollar Equivalent of such Australian Dollar amount).</w:t>
      </w:r>
    </w:p>
    <w:p>
      <w:pPr>
        <w:spacing w:after="0" w:line="164" w:lineRule="exact"/>
        <w:rPr>
          <w:sz w:val="20"/>
          <w:szCs w:val="20"/>
          <w:color w:val="auto"/>
        </w:rPr>
      </w:pPr>
    </w:p>
    <w:p>
      <w:pPr>
        <w:jc w:val="both"/>
        <w:ind w:firstLine="629"/>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Letter of Credit Expiration Date</w:t>
      </w:r>
      <w:r>
        <w:rPr>
          <w:rFonts w:ascii="Arial" w:cs="Arial" w:eastAsia="Arial" w:hAnsi="Arial"/>
          <w:sz w:val="19"/>
          <w:szCs w:val="19"/>
          <w:color w:val="auto"/>
        </w:rPr>
        <w:t>” means the day that is seven days prior to the Maturity Date (or, if such day is not a Business Day, the preceding Business Day).</w:t>
      </w:r>
    </w:p>
    <w:p>
      <w:pPr>
        <w:spacing w:after="0" w:line="157" w:lineRule="exact"/>
        <w:rPr>
          <w:sz w:val="20"/>
          <w:szCs w:val="20"/>
          <w:color w:val="auto"/>
        </w:rPr>
      </w:pPr>
    </w:p>
    <w:p>
      <w:pPr>
        <w:jc w:val="both"/>
        <w:ind w:firstLine="629"/>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Letter of Credit Extension</w:t>
      </w:r>
      <w:r>
        <w:rPr>
          <w:rFonts w:ascii="Arial" w:cs="Arial" w:eastAsia="Arial" w:hAnsi="Arial"/>
          <w:sz w:val="19"/>
          <w:szCs w:val="19"/>
          <w:color w:val="auto"/>
        </w:rPr>
        <w:t>” means, with respect to any Letter of Credit, the issuance thereof or extension of the expiry date thereof, or the renewal or increase of the amount thereof.</w:t>
      </w:r>
    </w:p>
    <w:p>
      <w:pPr>
        <w:spacing w:after="0" w:line="157" w:lineRule="exact"/>
        <w:rPr>
          <w:sz w:val="20"/>
          <w:szCs w:val="20"/>
          <w:color w:val="auto"/>
        </w:rPr>
      </w:pPr>
    </w:p>
    <w:p>
      <w:pPr>
        <w:jc w:val="both"/>
        <w:ind w:firstLine="629"/>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Letter of Credit Fees</w:t>
      </w:r>
      <w:r>
        <w:rPr>
          <w:rFonts w:ascii="Arial" w:cs="Arial" w:eastAsia="Arial" w:hAnsi="Arial"/>
          <w:sz w:val="19"/>
          <w:szCs w:val="19"/>
          <w:color w:val="auto"/>
        </w:rPr>
        <w:t xml:space="preserve">” means, collectively or individually as the context may indicate, the fees with respect to Letters of Credit described in </w:t>
      </w:r>
      <w:r>
        <w:rPr>
          <w:rFonts w:ascii="Arial" w:cs="Arial" w:eastAsia="Arial" w:hAnsi="Arial"/>
          <w:sz w:val="19"/>
          <w:szCs w:val="19"/>
          <w:u w:val="single" w:color="auto"/>
          <w:color w:val="auto"/>
        </w:rPr>
        <w:t>Section 2.09(b)</w:t>
      </w:r>
      <w:r>
        <w:rPr>
          <w:rFonts w:ascii="Arial" w:cs="Arial" w:eastAsia="Arial" w:hAnsi="Arial"/>
          <w:sz w:val="19"/>
          <w:szCs w:val="19"/>
          <w:color w:val="auto"/>
        </w:rPr>
        <w:t>.</w:t>
      </w:r>
    </w:p>
    <w:p>
      <w:pPr>
        <w:spacing w:after="0" w:line="157" w:lineRule="exact"/>
        <w:rPr>
          <w:sz w:val="20"/>
          <w:szCs w:val="20"/>
          <w:color w:val="auto"/>
        </w:rPr>
      </w:pPr>
    </w:p>
    <w:p>
      <w:pPr>
        <w:jc w:val="both"/>
        <w:ind w:firstLine="629"/>
        <w:spacing w:after="0" w:line="25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Letter of Credit Issuer</w:t>
      </w:r>
      <w:r>
        <w:rPr>
          <w:rFonts w:ascii="Arial" w:cs="Arial" w:eastAsia="Arial" w:hAnsi="Arial"/>
          <w:sz w:val="19"/>
          <w:szCs w:val="19"/>
          <w:color w:val="auto"/>
        </w:rPr>
        <w:t>” means each of BMO, in its capacity as an issuer of Letters of Credit hereunder, or any successor issuer of Letters of Credit hereunder. At any time there is more than one Letter of Credit Issuer, all singular references to the Letter of Credit Issuer shall mean any Letter of Credit Issuer, either Letter of Credit Issuer, each Letter of Credit Issuer, the Letter of Credit Issuer that has issued the applicable Letter of Credit, or both Letter of Credit Issuers, as the context may require.</w:t>
      </w:r>
    </w:p>
    <w:p>
      <w:pPr>
        <w:spacing w:after="0" w:line="177" w:lineRule="exact"/>
        <w:rPr>
          <w:sz w:val="20"/>
          <w:szCs w:val="20"/>
          <w:color w:val="auto"/>
        </w:rPr>
      </w:pPr>
    </w:p>
    <w:p>
      <w:pPr>
        <w:jc w:val="both"/>
        <w:ind w:firstLine="629"/>
        <w:spacing w:after="0" w:line="26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Obligations</w:t>
      </w:r>
      <w:r>
        <w:rPr>
          <w:rFonts w:ascii="Arial" w:cs="Arial" w:eastAsia="Arial" w:hAnsi="Arial"/>
          <w:sz w:val="18"/>
          <w:szCs w:val="18"/>
          <w:color w:val="auto"/>
        </w:rPr>
        <w:t xml:space="preserve">” means, as at any date of determination, (a) the aggregate undrawn amount of all outstanding Letters of Credit,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the aggregate of all Unreimbursed Amounts, including all Letter of Credit Borrowings,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(c) the aggregate amount of all accrued and unpaid Letter of Credit Fees. For purposes of computing the amount available to be drawn under any Letter of Credit, the amount of such Letter of Credit shall be determined in accordance with </w:t>
      </w:r>
      <w:r>
        <w:rPr>
          <w:rFonts w:ascii="Arial" w:cs="Arial" w:eastAsia="Arial" w:hAnsi="Arial"/>
          <w:sz w:val="18"/>
          <w:szCs w:val="18"/>
          <w:u w:val="single" w:color="auto"/>
          <w:color w:val="auto"/>
        </w:rPr>
        <w:t>Section 1.07</w:t>
      </w:r>
      <w:r>
        <w:rPr>
          <w:rFonts w:ascii="Arial" w:cs="Arial" w:eastAsia="Arial" w:hAnsi="Arial"/>
          <w:sz w:val="18"/>
          <w:szCs w:val="18"/>
          <w:color w:val="auto"/>
        </w:rPr>
        <w:t>. For all purposes of this Agreement, if on any date of determination a Letter of Credit has expired by its terms but any amount may still be drawn thereunder by reason of the operation of Rule 3.14 of the ISP, such Letter of Credit shall be deemed to be “outstanding” in the amount so remaining available to be drawn.</w:t>
      </w:r>
    </w:p>
    <w:p>
      <w:pPr>
        <w:spacing w:after="0" w:line="166" w:lineRule="exact"/>
        <w:rPr>
          <w:sz w:val="20"/>
          <w:szCs w:val="20"/>
          <w:color w:val="auto"/>
        </w:rPr>
      </w:pPr>
    </w:p>
    <w:p>
      <w:pPr>
        <w:jc w:val="both"/>
        <w:ind w:firstLine="629"/>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Letter of Credit Sublimit</w:t>
      </w:r>
      <w:r>
        <w:rPr>
          <w:rFonts w:ascii="Arial" w:cs="Arial" w:eastAsia="Arial" w:hAnsi="Arial"/>
          <w:sz w:val="19"/>
          <w:szCs w:val="19"/>
          <w:color w:val="auto"/>
        </w:rPr>
        <w:t>” means an amount equal to the lesser of (a) the Dollar Equivalent of $75,000,000 and (b) the Dollar Equivalent of the Aggregate Revolving Credit Commitments. The Letter of Credit Sublimit is part of, and not in addition to, the Aggregate Revolving Credit Commitments.</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LIBOR</w:t>
      </w:r>
      <w:r>
        <w:rPr>
          <w:rFonts w:ascii="Arial" w:cs="Arial" w:eastAsia="Arial" w:hAnsi="Arial"/>
          <w:sz w:val="19"/>
          <w:szCs w:val="19"/>
          <w:color w:val="auto"/>
        </w:rPr>
        <w:t>” means ICE LIBOR, as defined in the definition of LIBOR Rate.</w:t>
      </w:r>
    </w:p>
    <w:p>
      <w:pPr>
        <w:spacing w:after="0" w:line="214" w:lineRule="exact"/>
        <w:rPr>
          <w:sz w:val="20"/>
          <w:szCs w:val="20"/>
          <w:color w:val="auto"/>
        </w:rPr>
      </w:pPr>
    </w:p>
    <w:p>
      <w:pPr>
        <w:jc w:val="both"/>
        <w:ind w:firstLine="629"/>
        <w:spacing w:after="0" w:line="24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LIBOR Rate</w:t>
      </w:r>
      <w:r>
        <w:rPr>
          <w:rFonts w:ascii="Arial" w:cs="Arial" w:eastAsia="Arial" w:hAnsi="Arial"/>
          <w:sz w:val="19"/>
          <w:szCs w:val="19"/>
          <w:color w:val="auto"/>
        </w:rPr>
        <w:t>” means for any Interest Period with respect to a LIBOR Loan, the rate per annum equal to the ICE Benchmark Administration (or the successor thereto if the ICE Benchmark Administration is no longer making the LIBOR Rate available) LIBOR Rate (“</w:t>
      </w:r>
      <w:r>
        <w:rPr>
          <w:rFonts w:ascii="Arial" w:cs="Arial" w:eastAsia="Arial" w:hAnsi="Arial"/>
          <w:sz w:val="19"/>
          <w:szCs w:val="19"/>
          <w:u w:val="single" w:color="auto"/>
          <w:color w:val="auto"/>
        </w:rPr>
        <w:t>ICE LIBOR</w:t>
      </w:r>
      <w:r>
        <w:rPr>
          <w:rFonts w:ascii="Arial" w:cs="Arial" w:eastAsia="Arial" w:hAnsi="Arial"/>
          <w:sz w:val="19"/>
          <w:szCs w:val="19"/>
          <w:color w:val="auto"/>
        </w:rPr>
        <w:t xml:space="preserve">”), as published by Reuters (or such other commercially available source providing quotations of ICE LIBOR as designated by the Administrative Agent from time to time) at approximately 11:00 a.m., London time, two London Banking Days prior to the commencement of such Interest Period, for Dollar deposits (for delivery on the first day of such Interest Period) with a term equivalent to such Interest Period; </w:t>
      </w:r>
      <w:r>
        <w:rPr>
          <w:rFonts w:ascii="Arial" w:cs="Arial" w:eastAsia="Arial" w:hAnsi="Arial"/>
          <w:sz w:val="19"/>
          <w:szCs w:val="19"/>
          <w:u w:val="single" w:color="auto"/>
          <w:color w:val="auto"/>
        </w:rPr>
        <w:t>provided</w:t>
      </w:r>
      <w:r>
        <w:rPr>
          <w:rFonts w:ascii="Arial" w:cs="Arial" w:eastAsia="Arial" w:hAnsi="Arial"/>
          <w:sz w:val="19"/>
          <w:szCs w:val="19"/>
          <w:color w:val="auto"/>
        </w:rPr>
        <w:t>, that if the LIBOR Rate as so determined would be less than the Floor, the LIBOR Rate will be deemed to be the Floor for purposes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40</w:t>
      </w:r>
    </w:p>
    <w:p>
      <w:pPr>
        <w:sectPr>
          <w:pgSz w:w="11900" w:h="16838" w:orient="portrait"/>
          <w:cols w:equalWidth="0" w:num="1">
            <w:col w:w="11240"/>
          </w:cols>
          <w:pgMar w:left="320" w:top="1382" w:right="339" w:bottom="1440" w:gutter="0" w:footer="0" w:header="0"/>
        </w:sectPr>
      </w:pPr>
    </w:p>
    <w:bookmarkStart w:id="159" w:name="page160"/>
    <w:bookmarkEnd w:id="159"/>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LIBOR Loan</w:t>
      </w:r>
      <w:r>
        <w:rPr>
          <w:rFonts w:ascii="Arial" w:cs="Arial" w:eastAsia="Arial" w:hAnsi="Arial"/>
          <w:sz w:val="19"/>
          <w:szCs w:val="19"/>
          <w:color w:val="auto"/>
        </w:rPr>
        <w:t>” means a Revolving Credit Loan that bears interest a rate based on clause (a) of the definition of “LIBOR Rate.”</w:t>
      </w:r>
    </w:p>
    <w:p>
      <w:pPr>
        <w:spacing w:after="0" w:line="214" w:lineRule="exact"/>
        <w:rPr>
          <w:sz w:val="20"/>
          <w:szCs w:val="20"/>
          <w:color w:val="auto"/>
        </w:rPr>
      </w:pPr>
    </w:p>
    <w:p>
      <w:pPr>
        <w:jc w:val="both"/>
        <w:ind w:firstLine="629"/>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License</w:t>
      </w:r>
      <w:r>
        <w:rPr>
          <w:rFonts w:ascii="Arial" w:cs="Arial" w:eastAsia="Arial" w:hAnsi="Arial"/>
          <w:sz w:val="19"/>
          <w:szCs w:val="19"/>
          <w:color w:val="auto"/>
        </w:rPr>
        <w:t>” means any license or agreement under which a Loan Party is granted IP Rights in connection with any manufacture, marketing, distribution or disposition of Collateral, any use of assets or property or any other conduct of its business.</w:t>
      </w:r>
    </w:p>
    <w:p>
      <w:pPr>
        <w:spacing w:after="0" w:line="157"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Licensor</w:t>
      </w:r>
      <w:r>
        <w:rPr>
          <w:rFonts w:ascii="Arial" w:cs="Arial" w:eastAsia="Arial" w:hAnsi="Arial"/>
          <w:sz w:val="19"/>
          <w:szCs w:val="19"/>
          <w:color w:val="auto"/>
        </w:rPr>
        <w:t>” means any Person from whom a Loan Party obtains IP Rights.</w:t>
      </w:r>
    </w:p>
    <w:p>
      <w:pPr>
        <w:spacing w:after="0" w:line="214" w:lineRule="exact"/>
        <w:rPr>
          <w:sz w:val="20"/>
          <w:szCs w:val="20"/>
          <w:color w:val="auto"/>
        </w:rPr>
      </w:pPr>
    </w:p>
    <w:p>
      <w:pPr>
        <w:jc w:val="both"/>
        <w:ind w:firstLine="629"/>
        <w:spacing w:after="0" w:line="27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any mortgage, pledge, hypothecation, assignment, deposit arrangement, encumbrance, lien (statutory or other), charge or other security interest, or any preference, priority or other security agreement or preferential arrangement in the nature of a security interest of any kind or nature whatsoever (including any conditional sale or other title retention agreement, any easement, right of way or other encumbrance on title to Real Property, and any financing lease having substantially the same economic effect as any of the foregoing).</w:t>
      </w:r>
    </w:p>
    <w:p>
      <w:pPr>
        <w:spacing w:after="0" w:line="160" w:lineRule="exact"/>
        <w:rPr>
          <w:sz w:val="20"/>
          <w:szCs w:val="20"/>
          <w:color w:val="auto"/>
        </w:rPr>
      </w:pPr>
    </w:p>
    <w:p>
      <w:pPr>
        <w:jc w:val="both"/>
        <w:ind w:firstLine="629"/>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 Waiver</w:t>
      </w:r>
      <w:r>
        <w:rPr>
          <w:rFonts w:ascii="Arial" w:cs="Arial" w:eastAsia="Arial" w:hAnsi="Arial"/>
          <w:sz w:val="18"/>
          <w:szCs w:val="18"/>
          <w:color w:val="auto"/>
        </w:rPr>
        <w:t>” means an agreement, in form and substance reasonably satisfactory to the Administrative Agent, by which (a) for any material Collateral located on leased premises or owned premises subject to a mortgage, the lessor or mortgagee, as applicable, agrees to, among other things, waive or subordinate any Lien it may have on the Collateral and permit the Administrative Agent to enter upon the premises and remove the Collateral or to use the premises to store or dispose of the Collateral; (b) for any Collateral held by a warehouseman, processor, shipper, customs broker or freight forwarder, such Person waives or subordinates any Lien it may have on the Collateral, agrees to hold any Documents in its possession relating to the Collateral as agent for the Administrative Agent, and agrees to deliver the Collateral to the Administrative Agent upon request; (c) for any Collateral held by a repairman, mechanic or bailee, such Person acknowledges the Administrative Agent’s Lien, waives or subordinates any Lien it may have on the Collateral, and agrees to deliver the Collateral to Administrative Agent upon request; and (d) for any Collateral subject to a Licensor’s IP Rights, the Licensor grants to the Administrative Agent the right, vis-à-vis such Licensor, to enforce the Administrative Agent’s Liens with respect to the Collateral, including the right to dispose of it with the benefit of the Intellectual Property, whether or not a default exists under any applicable License.</w:t>
      </w:r>
    </w:p>
    <w:p>
      <w:pPr>
        <w:spacing w:after="0" w:line="176" w:lineRule="exact"/>
        <w:rPr>
          <w:sz w:val="20"/>
          <w:szCs w:val="20"/>
          <w:color w:val="auto"/>
        </w:rPr>
      </w:pPr>
    </w:p>
    <w:p>
      <w:pPr>
        <w:jc w:val="both"/>
        <w:ind w:firstLine="629"/>
        <w:spacing w:after="0" w:line="26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Line Reserve</w:t>
      </w:r>
      <w:r>
        <w:rPr>
          <w:rFonts w:ascii="Arial" w:cs="Arial" w:eastAsia="Arial" w:hAnsi="Arial"/>
          <w:sz w:val="18"/>
          <w:szCs w:val="18"/>
          <w:color w:val="auto"/>
        </w:rPr>
        <w:t>” means such reserves and adjustments thereto as the Administrative Agent from time to time determines in its Credit Judgment as being appropriate, including (a) the Rent and Charges Reserve; (b) the Credit Product Reserve; (c) Wage Claim Reserves; (d) the aggregate amount of liabilities at any time secured by Liens upon Collateral that are senior to the Administrative Agent’s Liens; (e) sums that any Loan Party may be required to pay under any Section of this Agreement or any other Loan Document (including taxes, assessments, insurance premiums, or, in the case of leased assets, rents or other amounts payable under such leases) and has failed to pay and (f) amounts for which claims may be reasonably expected to be asserted against the Collateral, the Administrative Agent or the Lenders.</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w:t>
      </w:r>
      <w:r>
        <w:rPr>
          <w:rFonts w:ascii="Arial" w:cs="Arial" w:eastAsia="Arial" w:hAnsi="Arial"/>
          <w:sz w:val="18"/>
          <w:szCs w:val="18"/>
          <w:color w:val="auto"/>
        </w:rPr>
        <w:t xml:space="preserve">” means an extension of credit under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in the form of a Revolving Credit Loan, a Protective Advance or a Swing Line</w:t>
      </w:r>
    </w:p>
    <w:p>
      <w:pPr>
        <w:spacing w:after="0" w:line="32" w:lineRule="exact"/>
        <w:rPr>
          <w:sz w:val="20"/>
          <w:szCs w:val="20"/>
          <w:color w:val="auto"/>
        </w:rPr>
      </w:pPr>
    </w:p>
    <w:p>
      <w:pPr>
        <w:spacing w:after="0"/>
        <w:rPr>
          <w:sz w:val="20"/>
          <w:szCs w:val="20"/>
          <w:color w:val="auto"/>
        </w:rPr>
      </w:pPr>
      <w:r>
        <w:rPr>
          <w:rFonts w:ascii="Arial" w:cs="Arial" w:eastAsia="Arial" w:hAnsi="Arial"/>
          <w:sz w:val="19"/>
          <w:szCs w:val="19"/>
          <w:color w:val="auto"/>
        </w:rPr>
        <w:t>Loan.</w:t>
      </w:r>
    </w:p>
    <w:p>
      <w:pPr>
        <w:spacing w:after="0" w:line="198"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Loan Account</w:t>
      </w:r>
      <w:r>
        <w:rPr>
          <w:rFonts w:ascii="Arial" w:cs="Arial" w:eastAsia="Arial" w:hAnsi="Arial"/>
          <w:sz w:val="19"/>
          <w:szCs w:val="19"/>
          <w:color w:val="auto"/>
        </w:rPr>
        <w:t xml:space="preserve">” has the meaning assigned to such term in </w:t>
      </w:r>
      <w:r>
        <w:rPr>
          <w:rFonts w:ascii="Arial" w:cs="Arial" w:eastAsia="Arial" w:hAnsi="Arial"/>
          <w:sz w:val="19"/>
          <w:szCs w:val="19"/>
          <w:u w:val="single" w:color="auto"/>
          <w:color w:val="auto"/>
        </w:rPr>
        <w:t>Section 2.11(a)</w:t>
      </w:r>
      <w:r>
        <w:rPr>
          <w:rFonts w:ascii="Arial" w:cs="Arial" w:eastAsia="Arial" w:hAnsi="Arial"/>
          <w:sz w:val="19"/>
          <w:szCs w:val="19"/>
          <w:color w:val="auto"/>
        </w:rPr>
        <w:t>.</w:t>
      </w:r>
    </w:p>
    <w:p>
      <w:pPr>
        <w:spacing w:after="0" w:line="214" w:lineRule="exact"/>
        <w:rPr>
          <w:sz w:val="20"/>
          <w:szCs w:val="20"/>
          <w:color w:val="auto"/>
        </w:rPr>
      </w:pPr>
    </w:p>
    <w:p>
      <w:pPr>
        <w:jc w:val="both"/>
        <w:ind w:firstLine="629"/>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Loan Documents</w:t>
      </w:r>
      <w:r>
        <w:rPr>
          <w:rFonts w:ascii="Arial" w:cs="Arial" w:eastAsia="Arial" w:hAnsi="Arial"/>
          <w:sz w:val="19"/>
          <w:szCs w:val="19"/>
          <w:color w:val="auto"/>
        </w:rPr>
        <w:t>” means this Agreement, each Revolving Credit Loan Note, each Security Instrument, each Committed Loan Notice, Swing Line Loan Notice, each Issuer Document,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41</w:t>
      </w:r>
    </w:p>
    <w:p>
      <w:pPr>
        <w:sectPr>
          <w:pgSz w:w="11900" w:h="16838" w:orient="portrait"/>
          <w:cols w:equalWidth="0" w:num="1">
            <w:col w:w="11240"/>
          </w:cols>
          <w:pgMar w:left="320" w:top="1382" w:right="339" w:bottom="1440" w:gutter="0" w:footer="0" w:header="0"/>
        </w:sectPr>
      </w:pPr>
    </w:p>
    <w:bookmarkStart w:id="160" w:name="page161"/>
    <w:bookmarkEnd w:id="160"/>
    <w:p>
      <w:pPr>
        <w:jc w:val="both"/>
        <w:spacing w:after="0" w:line="254" w:lineRule="auto"/>
        <w:rPr>
          <w:sz w:val="20"/>
          <w:szCs w:val="20"/>
          <w:color w:val="auto"/>
        </w:rPr>
      </w:pPr>
      <w:r>
        <w:rPr>
          <w:rFonts w:ascii="Arial" w:cs="Arial" w:eastAsia="Arial" w:hAnsi="Arial"/>
          <w:sz w:val="19"/>
          <w:szCs w:val="19"/>
          <w:color w:val="auto"/>
        </w:rPr>
        <w:t>Borrowing Base Certificate, each Compliance Certificate, the Fee Letter, any agreement creating or perfecting rights in Cash Collateral securing any Obligation hereunder and all other instruments and documents heretofore or hereafter executed or delivered to or in favor of any Lender or the Administrative Agent in connection with the Loans made and transactions contemplated by this Agreement, but excluding, for the avoidance of doubt, Credit Product Arrangements.</w:t>
      </w:r>
    </w:p>
    <w:p>
      <w:pPr>
        <w:spacing w:after="0" w:line="177" w:lineRule="exact"/>
        <w:rPr>
          <w:sz w:val="20"/>
          <w:szCs w:val="20"/>
          <w:color w:val="auto"/>
        </w:rPr>
      </w:pPr>
    </w:p>
    <w:p>
      <w:pPr>
        <w:jc w:val="both"/>
        <w:ind w:firstLine="629"/>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Loan Obligations</w:t>
      </w:r>
      <w:r>
        <w:rPr>
          <w:rFonts w:ascii="Arial" w:cs="Arial" w:eastAsia="Arial" w:hAnsi="Arial"/>
          <w:sz w:val="19"/>
          <w:szCs w:val="19"/>
          <w:color w:val="auto"/>
        </w:rPr>
        <w:t>” means all Obligations other than amounts (including fees) owing by any Loan Party pursuant to any Credit Product Arrangements.</w:t>
      </w:r>
    </w:p>
    <w:p>
      <w:pPr>
        <w:spacing w:after="0" w:line="157"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Loan Parties</w:t>
      </w:r>
      <w:r>
        <w:rPr>
          <w:rFonts w:ascii="Arial" w:cs="Arial" w:eastAsia="Arial" w:hAnsi="Arial"/>
          <w:sz w:val="19"/>
          <w:szCs w:val="19"/>
          <w:color w:val="auto"/>
        </w:rPr>
        <w:t>” means the Borrowers and each Guarantor.</w:t>
      </w:r>
    </w:p>
    <w:p>
      <w:pPr>
        <w:spacing w:after="0" w:line="214" w:lineRule="exact"/>
        <w:rPr>
          <w:sz w:val="20"/>
          <w:szCs w:val="20"/>
          <w:color w:val="auto"/>
        </w:rPr>
      </w:pPr>
    </w:p>
    <w:p>
      <w:pPr>
        <w:jc w:val="both"/>
        <w:ind w:firstLine="629"/>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London Banking Day</w:t>
      </w:r>
      <w:r>
        <w:rPr>
          <w:rFonts w:ascii="Arial" w:cs="Arial" w:eastAsia="Arial" w:hAnsi="Arial"/>
          <w:sz w:val="19"/>
          <w:szCs w:val="19"/>
          <w:color w:val="auto"/>
        </w:rPr>
        <w:t>” means any day on which dealings in Dollar deposits are conducted by and between banks in the London interbank eurodollar market.</w:t>
      </w:r>
    </w:p>
    <w:p>
      <w:pPr>
        <w:spacing w:after="0" w:line="157" w:lineRule="exact"/>
        <w:rPr>
          <w:sz w:val="20"/>
          <w:szCs w:val="20"/>
          <w:color w:val="auto"/>
        </w:rPr>
      </w:pPr>
    </w:p>
    <w:p>
      <w:pPr>
        <w:jc w:val="both"/>
        <w:ind w:firstLine="629"/>
        <w:spacing w:after="0" w:line="25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Material Adverse Effect</w:t>
      </w:r>
      <w:r>
        <w:rPr>
          <w:rFonts w:ascii="Arial" w:cs="Arial" w:eastAsia="Arial" w:hAnsi="Arial"/>
          <w:sz w:val="19"/>
          <w:szCs w:val="19"/>
          <w:color w:val="auto"/>
        </w:rPr>
        <w:t>” means (a) a material adverse change in, or a material adverse effect on, the operations, business, assets, properties, liabilities (actual or contingent), prospects or condition (financial or otherwise) of either (i) the Borrowers, taken as a whole or (ii) the Company and its Restricted Subsidiaries, taken as a whole; (b) a material impairment of the ability of any Loan Party to perform its obligations under any Loan Document to which it is a party; or (c) a material adverse effect upon the legality, validity, binding effect or enforceability against any Loan Party of any Loan Document to which it is a party or on the ability of the Administrative Agent to collect any Obligation or realize upon any material portion of the Collateral.</w:t>
      </w:r>
    </w:p>
    <w:p>
      <w:pPr>
        <w:spacing w:after="0" w:line="182" w:lineRule="exact"/>
        <w:rPr>
          <w:sz w:val="20"/>
          <w:szCs w:val="20"/>
          <w:color w:val="auto"/>
        </w:rPr>
      </w:pPr>
    </w:p>
    <w:p>
      <w:pPr>
        <w:jc w:val="both"/>
        <w:ind w:firstLine="629"/>
        <w:spacing w:after="0" w:line="28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Material Contract</w:t>
      </w:r>
      <w:r>
        <w:rPr>
          <w:rFonts w:ascii="Arial" w:cs="Arial" w:eastAsia="Arial" w:hAnsi="Arial"/>
          <w:sz w:val="17"/>
          <w:szCs w:val="17"/>
          <w:color w:val="auto"/>
        </w:rPr>
        <w:t>” means any agreement or arrangement to which a Loan Party or Restricted Subsidiary is party (other than the Loan Documents) (a) that is deemed to be a material contract under any securities laws applicable to such Loan Party, including the Securities Act of 1933; (b) for which breach, termination, nonperformance or failure to renew could reasonably be expected to have a Material Adverse Effect; (c) that relates to Subordinated Debt or to other Indebtedness in an aggregate Dollar Equivalent principal amount of $1,000,000 or more or (d) that certain General Indemnity Agreement dated February 17, 2016 by and among Matrix and certain of Matrix’s subsidiaries party thereto in favor of Federal Insurance Company, Pacific Indemnity Company and each other “Surety” specified therein (the “</w:t>
      </w:r>
      <w:r>
        <w:rPr>
          <w:rFonts w:ascii="Arial" w:cs="Arial" w:eastAsia="Arial" w:hAnsi="Arial"/>
          <w:sz w:val="17"/>
          <w:szCs w:val="17"/>
          <w:u w:val="single" w:color="auto"/>
          <w:color w:val="auto"/>
        </w:rPr>
        <w:t>Chubb Indemnity Agreement</w:t>
      </w:r>
      <w:r>
        <w:rPr>
          <w:rFonts w:ascii="Arial" w:cs="Arial" w:eastAsia="Arial" w:hAnsi="Arial"/>
          <w:sz w:val="17"/>
          <w:szCs w:val="17"/>
          <w:color w:val="auto"/>
        </w:rPr>
        <w:t>”) along with any other similar or replacement indemnity agreement in favor of a surety (collectively, the “</w:t>
      </w:r>
      <w:r>
        <w:rPr>
          <w:rFonts w:ascii="Arial" w:cs="Arial" w:eastAsia="Arial" w:hAnsi="Arial"/>
          <w:sz w:val="17"/>
          <w:szCs w:val="17"/>
          <w:u w:val="single" w:color="auto"/>
          <w:color w:val="auto"/>
        </w:rPr>
        <w:t>General Indemnity Agreement</w:t>
      </w:r>
      <w:r>
        <w:rPr>
          <w:rFonts w:ascii="Arial" w:cs="Arial" w:eastAsia="Arial" w:hAnsi="Arial"/>
          <w:sz w:val="17"/>
          <w:szCs w:val="17"/>
          <w:color w:val="auto"/>
        </w:rPr>
        <w:t>”).</w:t>
      </w:r>
    </w:p>
    <w:p>
      <w:pPr>
        <w:spacing w:after="0" w:line="157"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Material License</w:t>
      </w:r>
      <w:r>
        <w:rPr>
          <w:rFonts w:ascii="Arial" w:cs="Arial" w:eastAsia="Arial" w:hAnsi="Arial"/>
          <w:sz w:val="19"/>
          <w:szCs w:val="19"/>
          <w:color w:val="auto"/>
        </w:rPr>
        <w:t xml:space="preserve">” has the meaning assigned to such term in </w:t>
      </w:r>
      <w:r>
        <w:rPr>
          <w:rFonts w:ascii="Arial" w:cs="Arial" w:eastAsia="Arial" w:hAnsi="Arial"/>
          <w:sz w:val="19"/>
          <w:szCs w:val="19"/>
          <w:u w:val="single" w:color="auto"/>
          <w:color w:val="auto"/>
        </w:rPr>
        <w:t>Section 7.15</w:t>
      </w:r>
      <w:r>
        <w:rPr>
          <w:rFonts w:ascii="Arial" w:cs="Arial" w:eastAsia="Arial" w:hAnsi="Arial"/>
          <w:sz w:val="19"/>
          <w:szCs w:val="19"/>
          <w:color w:val="auto"/>
        </w:rPr>
        <w:t>.</w:t>
      </w:r>
    </w:p>
    <w:p>
      <w:pPr>
        <w:spacing w:after="0" w:line="21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Material Third-Party Agreement</w:t>
      </w:r>
      <w:r>
        <w:rPr>
          <w:rFonts w:ascii="Arial" w:cs="Arial" w:eastAsia="Arial" w:hAnsi="Arial"/>
          <w:sz w:val="19"/>
          <w:szCs w:val="19"/>
          <w:color w:val="auto"/>
        </w:rPr>
        <w:t xml:space="preserve">” has the meaning assigned to such term in </w:t>
      </w:r>
      <w:r>
        <w:rPr>
          <w:rFonts w:ascii="Arial" w:cs="Arial" w:eastAsia="Arial" w:hAnsi="Arial"/>
          <w:sz w:val="19"/>
          <w:szCs w:val="19"/>
          <w:u w:val="single" w:color="auto"/>
          <w:color w:val="auto"/>
        </w:rPr>
        <w:t>Section 7.17(a)</w:t>
      </w:r>
      <w:r>
        <w:rPr>
          <w:rFonts w:ascii="Arial" w:cs="Arial" w:eastAsia="Arial" w:hAnsi="Arial"/>
          <w:sz w:val="19"/>
          <w:szCs w:val="19"/>
          <w:color w:val="auto"/>
        </w:rPr>
        <w:t>.</w:t>
      </w:r>
    </w:p>
    <w:p>
      <w:pPr>
        <w:spacing w:after="0" w:line="21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Matrix</w:t>
      </w:r>
      <w:r>
        <w:rPr>
          <w:rFonts w:ascii="Arial" w:cs="Arial" w:eastAsia="Arial" w:hAnsi="Arial"/>
          <w:sz w:val="19"/>
          <w:szCs w:val="19"/>
          <w:color w:val="auto"/>
        </w:rPr>
        <w:t>” means Matrix Service Company, a Delaware corporation.</w:t>
      </w:r>
    </w:p>
    <w:p>
      <w:pPr>
        <w:spacing w:after="0" w:line="21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Matrix Applied</w:t>
      </w:r>
      <w:r>
        <w:rPr>
          <w:rFonts w:ascii="Arial" w:cs="Arial" w:eastAsia="Arial" w:hAnsi="Arial"/>
          <w:sz w:val="19"/>
          <w:szCs w:val="19"/>
          <w:color w:val="auto"/>
        </w:rPr>
        <w:t>” means Matrix Applied Technologies, Inc., a Delaware corporation.</w:t>
      </w:r>
    </w:p>
    <w:p>
      <w:pPr>
        <w:spacing w:after="0" w:line="21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Matrix Delaware</w:t>
      </w:r>
      <w:r>
        <w:rPr>
          <w:rFonts w:ascii="Arial" w:cs="Arial" w:eastAsia="Arial" w:hAnsi="Arial"/>
          <w:sz w:val="19"/>
          <w:szCs w:val="19"/>
          <w:color w:val="auto"/>
        </w:rPr>
        <w:t>” means Matrix North American Construction, LLC, a Delaware limited liability company.</w:t>
      </w:r>
    </w:p>
    <w:p>
      <w:pPr>
        <w:spacing w:after="0" w:line="21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Matrix International Engineering</w:t>
      </w:r>
      <w:r>
        <w:rPr>
          <w:rFonts w:ascii="Arial" w:cs="Arial" w:eastAsia="Arial" w:hAnsi="Arial"/>
          <w:sz w:val="19"/>
          <w:szCs w:val="19"/>
          <w:color w:val="auto"/>
        </w:rPr>
        <w:t>” means Matrix International Engineering, LLP, a Delaware limited liability partnership.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42</w:t>
      </w:r>
    </w:p>
    <w:p>
      <w:pPr>
        <w:sectPr>
          <w:pgSz w:w="11900" w:h="16838" w:orient="portrait"/>
          <w:cols w:equalWidth="0" w:num="1">
            <w:col w:w="11240"/>
          </w:cols>
          <w:pgMar w:left="320" w:top="1382" w:right="339" w:bottom="1440" w:gutter="0" w:footer="0" w:header="0"/>
        </w:sectPr>
      </w:pPr>
    </w:p>
    <w:bookmarkStart w:id="161" w:name="page162"/>
    <w:bookmarkEnd w:id="161"/>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Matrix North America</w:t>
      </w:r>
      <w:r>
        <w:rPr>
          <w:rFonts w:ascii="Arial" w:cs="Arial" w:eastAsia="Arial" w:hAnsi="Arial"/>
          <w:sz w:val="19"/>
          <w:szCs w:val="19"/>
          <w:color w:val="auto"/>
        </w:rPr>
        <w:t>” means Matrix North American Construction Ltd., an Ontario corporation.</w:t>
      </w:r>
    </w:p>
    <w:p>
      <w:pPr>
        <w:spacing w:after="0" w:line="21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Matrix Oklahoma</w:t>
      </w:r>
      <w:r>
        <w:rPr>
          <w:rFonts w:ascii="Arial" w:cs="Arial" w:eastAsia="Arial" w:hAnsi="Arial"/>
          <w:sz w:val="19"/>
          <w:szCs w:val="19"/>
          <w:color w:val="auto"/>
        </w:rPr>
        <w:t>” means Matrix North American Construction, Inc., an Oklahoma corporation.</w:t>
      </w:r>
    </w:p>
    <w:p>
      <w:pPr>
        <w:spacing w:after="0" w:line="21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Matrix PDM</w:t>
      </w:r>
      <w:r>
        <w:rPr>
          <w:rFonts w:ascii="Arial" w:cs="Arial" w:eastAsia="Arial" w:hAnsi="Arial"/>
          <w:sz w:val="19"/>
          <w:szCs w:val="19"/>
          <w:color w:val="auto"/>
        </w:rPr>
        <w:t>” means Matrix PDM, LLC, an Oklahoma limited liability company.</w:t>
      </w:r>
    </w:p>
    <w:p>
      <w:pPr>
        <w:spacing w:after="0" w:line="21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Matrix PDM Canada</w:t>
      </w:r>
      <w:r>
        <w:rPr>
          <w:rFonts w:ascii="Arial" w:cs="Arial" w:eastAsia="Arial" w:hAnsi="Arial"/>
          <w:sz w:val="19"/>
          <w:szCs w:val="19"/>
          <w:color w:val="auto"/>
        </w:rPr>
        <w:t>” means Matrix PDM Engineering LTD., a Nova Scotia company limited by shares.</w:t>
      </w:r>
    </w:p>
    <w:p>
      <w:pPr>
        <w:spacing w:after="0" w:line="21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Matrix PDM Engineering</w:t>
      </w:r>
      <w:r>
        <w:rPr>
          <w:rFonts w:ascii="Arial" w:cs="Arial" w:eastAsia="Arial" w:hAnsi="Arial"/>
          <w:sz w:val="19"/>
          <w:szCs w:val="19"/>
          <w:color w:val="auto"/>
        </w:rPr>
        <w:t>” means Matrix PDM Engineering, Inc., a Delaware corporation</w:t>
      </w:r>
    </w:p>
    <w:p>
      <w:pPr>
        <w:spacing w:after="0" w:line="21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Matrix Service</w:t>
      </w:r>
      <w:r>
        <w:rPr>
          <w:rFonts w:ascii="Arial" w:cs="Arial" w:eastAsia="Arial" w:hAnsi="Arial"/>
          <w:sz w:val="19"/>
          <w:szCs w:val="19"/>
          <w:color w:val="auto"/>
        </w:rPr>
        <w:t>” means Matrix Service Inc., an Oklahoma corporation.</w:t>
      </w:r>
    </w:p>
    <w:p>
      <w:pPr>
        <w:spacing w:after="0" w:line="21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Matrix Service International</w:t>
      </w:r>
      <w:r>
        <w:rPr>
          <w:rFonts w:ascii="Arial" w:cs="Arial" w:eastAsia="Arial" w:hAnsi="Arial"/>
          <w:sz w:val="19"/>
          <w:szCs w:val="19"/>
          <w:color w:val="auto"/>
        </w:rPr>
        <w:t>” means Matrix Service International, LLC, a Delaware limited liability company.</w:t>
      </w:r>
    </w:p>
    <w:p>
      <w:pPr>
        <w:spacing w:after="0" w:line="21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Matrix SME Canada</w:t>
      </w:r>
      <w:r>
        <w:rPr>
          <w:rFonts w:ascii="Arial" w:cs="Arial" w:eastAsia="Arial" w:hAnsi="Arial"/>
          <w:sz w:val="19"/>
          <w:szCs w:val="19"/>
          <w:color w:val="auto"/>
        </w:rPr>
        <w:t>” means Matrix SME Canada ULC, a Nova Scotia unlimited company.</w:t>
      </w:r>
    </w:p>
    <w:p>
      <w:pPr>
        <w:spacing w:after="0" w:line="21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Matrix SME Delaware</w:t>
      </w:r>
      <w:r>
        <w:rPr>
          <w:rFonts w:ascii="Arial" w:cs="Arial" w:eastAsia="Arial" w:hAnsi="Arial"/>
          <w:sz w:val="19"/>
          <w:szCs w:val="19"/>
          <w:color w:val="auto"/>
        </w:rPr>
        <w:t>” means Matrix SME Canada, Inc. a Delaware corporation.</w:t>
      </w:r>
    </w:p>
    <w:p>
      <w:pPr>
        <w:spacing w:after="0" w:line="21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Matrix ULC</w:t>
      </w:r>
      <w:r>
        <w:rPr>
          <w:rFonts w:ascii="Arial" w:cs="Arial" w:eastAsia="Arial" w:hAnsi="Arial"/>
          <w:sz w:val="19"/>
          <w:szCs w:val="19"/>
          <w:color w:val="auto"/>
        </w:rPr>
        <w:t>” means Matrix Service Canada ULC, an Alberta unlimited liability corporation.</w:t>
      </w:r>
    </w:p>
    <w:p>
      <w:pPr>
        <w:spacing w:after="0" w:line="21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Maturity Date</w:t>
      </w:r>
      <w:r>
        <w:rPr>
          <w:rFonts w:ascii="Arial" w:cs="Arial" w:eastAsia="Arial" w:hAnsi="Arial"/>
          <w:sz w:val="19"/>
          <w:szCs w:val="19"/>
          <w:color w:val="auto"/>
        </w:rPr>
        <w:t>” means September 9, 2026.</w:t>
      </w:r>
    </w:p>
    <w:p>
      <w:pPr>
        <w:spacing w:after="0" w:line="214" w:lineRule="exact"/>
        <w:rPr>
          <w:sz w:val="20"/>
          <w:szCs w:val="20"/>
          <w:color w:val="auto"/>
        </w:rPr>
      </w:pPr>
    </w:p>
    <w:p>
      <w:pPr>
        <w:jc w:val="both"/>
        <w:ind w:firstLine="629"/>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Maximum Borrowing Amount</w:t>
      </w:r>
      <w:r>
        <w:rPr>
          <w:rFonts w:ascii="Arial" w:cs="Arial" w:eastAsia="Arial" w:hAnsi="Arial"/>
          <w:sz w:val="19"/>
          <w:szCs w:val="19"/>
          <w:color w:val="auto"/>
        </w:rPr>
        <w:t>” means the lesser of (A) the Aggregate Revolving Credit Commitments minus the Line Reserves, if any and (B) the Borrowing Base.</w:t>
      </w:r>
    </w:p>
    <w:p>
      <w:pPr>
        <w:spacing w:after="0" w:line="157" w:lineRule="exact"/>
        <w:rPr>
          <w:sz w:val="20"/>
          <w:szCs w:val="20"/>
          <w:color w:val="auto"/>
        </w:rPr>
      </w:pPr>
    </w:p>
    <w:p>
      <w:pPr>
        <w:jc w:val="both"/>
        <w:ind w:firstLine="629"/>
        <w:spacing w:after="0" w:line="33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Measurement Period</w:t>
      </w:r>
      <w:r>
        <w:rPr>
          <w:rFonts w:ascii="Arial" w:cs="Arial" w:eastAsia="Arial" w:hAnsi="Arial"/>
          <w:sz w:val="17"/>
          <w:szCs w:val="17"/>
          <w:color w:val="auto"/>
        </w:rPr>
        <w:t xml:space="preserve">” means, at any date of determination, the most recently completed trailing twelve month period of the Company and its Restricted Subsidiaries for which financial statements have or should have been delivered in accordance with </w:t>
      </w:r>
      <w:r>
        <w:rPr>
          <w:rFonts w:ascii="Arial" w:cs="Arial" w:eastAsia="Arial" w:hAnsi="Arial"/>
          <w:sz w:val="17"/>
          <w:szCs w:val="17"/>
          <w:u w:val="single" w:color="auto"/>
          <w:color w:val="auto"/>
        </w:rPr>
        <w:t>Section 7.01(a)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7.01(b)</w:t>
      </w:r>
      <w:r>
        <w:rPr>
          <w:rFonts w:ascii="Arial" w:cs="Arial" w:eastAsia="Arial" w:hAnsi="Arial"/>
          <w:sz w:val="17"/>
          <w:szCs w:val="17"/>
          <w:color w:val="auto"/>
        </w:rPr>
        <w:t>.</w:t>
      </w:r>
    </w:p>
    <w:p>
      <w:pPr>
        <w:spacing w:after="0" w:line="112" w:lineRule="exact"/>
        <w:rPr>
          <w:sz w:val="20"/>
          <w:szCs w:val="20"/>
          <w:color w:val="auto"/>
        </w:rPr>
      </w:pPr>
    </w:p>
    <w:p>
      <w:pPr>
        <w:jc w:val="both"/>
        <w:ind w:firstLine="629"/>
        <w:spacing w:after="0" w:line="24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Minimum Collateral Amount</w:t>
      </w:r>
      <w:r>
        <w:rPr>
          <w:rFonts w:ascii="Arial" w:cs="Arial" w:eastAsia="Arial" w:hAnsi="Arial"/>
          <w:sz w:val="19"/>
          <w:szCs w:val="19"/>
          <w:color w:val="auto"/>
        </w:rPr>
        <w:t xml:space="preserve">” means, at any time, (a) with respect to Cash Collateral consisting of cash or Deposit Account balances provided to reduce or eliminate Fronting Exposure during the existence of a Defaulting Lender, an amount equal to 105% of the Fronting Exposure of the Letter of Credit Issuer with respect to Letters of Credit issued and outstanding at such time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105% of the Fronting Exposure of the Administrative Agent with respect to Protective Advances outstanding at such time, (b) with respect to Cash Collateral consisting of cash or Deposit Account balances provided in accordance with the provisions of </w:t>
      </w:r>
      <w:r>
        <w:rPr>
          <w:rFonts w:ascii="Arial" w:cs="Arial" w:eastAsia="Arial" w:hAnsi="Arial"/>
          <w:sz w:val="19"/>
          <w:szCs w:val="19"/>
          <w:u w:val="single" w:color="auto"/>
          <w:color w:val="auto"/>
        </w:rPr>
        <w:t>Section 2.16(a)(i)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2.16(a)(ii)</w:t>
      </w:r>
      <w:r>
        <w:rPr>
          <w:rFonts w:ascii="Arial" w:cs="Arial" w:eastAsia="Arial" w:hAnsi="Arial"/>
          <w:sz w:val="19"/>
          <w:szCs w:val="19"/>
          <w:color w:val="auto"/>
        </w:rPr>
        <w:t>, an amount equal to 105% of the Outstanding Amount of all Letter of Credit Obligations, and (c) otherwise, an amount determined by the Administrative Agent and the Letter of Credit Issuer in their sole discretion.</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Moody’s</w:t>
      </w:r>
      <w:r>
        <w:rPr>
          <w:rFonts w:ascii="Arial" w:cs="Arial" w:eastAsia="Arial" w:hAnsi="Arial"/>
          <w:sz w:val="19"/>
          <w:szCs w:val="19"/>
          <w:color w:val="auto"/>
        </w:rPr>
        <w:t>” means Moody’s Investors Service, Inc. and any successor thereto.</w:t>
      </w:r>
    </w:p>
    <w:p>
      <w:pPr>
        <w:spacing w:after="0" w:line="214" w:lineRule="exact"/>
        <w:rPr>
          <w:sz w:val="20"/>
          <w:szCs w:val="20"/>
          <w:color w:val="auto"/>
        </w:rPr>
      </w:pPr>
    </w:p>
    <w:p>
      <w:pPr>
        <w:jc w:val="both"/>
        <w:ind w:firstLine="629"/>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Monthly Exchange Rate</w:t>
      </w:r>
      <w:r>
        <w:rPr>
          <w:rFonts w:ascii="Arial" w:cs="Arial" w:eastAsia="Arial" w:hAnsi="Arial"/>
          <w:sz w:val="19"/>
          <w:szCs w:val="19"/>
          <w:color w:val="auto"/>
        </w:rPr>
        <w:t>” means the monthly average exchange rate as published by a reputable source chosen from time to time by the Administrative Agent and as determined by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43</w:t>
      </w:r>
    </w:p>
    <w:p>
      <w:pPr>
        <w:sectPr>
          <w:pgSz w:w="11900" w:h="16838" w:orient="portrait"/>
          <w:cols w:equalWidth="0" w:num="1">
            <w:col w:w="11240"/>
          </w:cols>
          <w:pgMar w:left="320" w:top="1381" w:right="339" w:bottom="1440" w:gutter="0" w:footer="0" w:header="0"/>
        </w:sectPr>
      </w:pPr>
    </w:p>
    <w:bookmarkStart w:id="162" w:name="page163"/>
    <w:bookmarkEnd w:id="162"/>
    <w:p>
      <w:pPr>
        <w:jc w:val="both"/>
        <w:ind w:firstLine="629"/>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Mortgage Related Documents</w:t>
      </w:r>
      <w:r>
        <w:rPr>
          <w:rFonts w:ascii="Arial" w:cs="Arial" w:eastAsia="Arial" w:hAnsi="Arial"/>
          <w:sz w:val="17"/>
          <w:szCs w:val="17"/>
          <w:color w:val="auto"/>
        </w:rPr>
        <w:t>” means, with respect to any Real Property subject to a Mortgage, the following, in form and substance satisfactory to the Administrative Agent and received by the Administrative Agent for review at least 15 days prior to the effective date of the Mortgage: (a) an ALTA mortgagee title policy (or binder therefor) covering the Administrative Agent’s interest under the Mortgage, in a form and amount and by an insurer acceptable to the Administrative Agent, which must be fully paid on such effective date; (b) such assignments of leases, estoppel letters, attornment agreements, consents, waivers and releases as the Administrative Agent may require with respect to other Persons having an interest in the Real Property; (c) an ALTA Survey by a licensed surveyor acceptable to the Administrative Agent; (d) a life-of-loan flood hazard determination and, if the Real Property is located in a flood plain, an acknowledged notice to borrower and flood insurance in an amount, on terms, including endorsements, and by an insurer, in each case, acceptable to the Administrative Agent; (e) a current appraisal of the Real Property, prepared by an appraiser acceptable to the Administrative Agent, and in form and substance satisfactory to Required Lenders;</w:t>
      </w:r>
    </w:p>
    <w:p>
      <w:pPr>
        <w:spacing w:after="0" w:line="7" w:lineRule="exact"/>
        <w:rPr>
          <w:sz w:val="20"/>
          <w:szCs w:val="20"/>
          <w:color w:val="auto"/>
        </w:rPr>
      </w:pPr>
    </w:p>
    <w:p>
      <w:pPr>
        <w:jc w:val="both"/>
        <w:ind w:firstLine="5"/>
        <w:spacing w:after="0" w:line="267" w:lineRule="auto"/>
        <w:tabs>
          <w:tab w:leader="none" w:pos="242"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an environmental assessment, prepared by environmental engineers acceptable to the Administrative Agent, and accompanied by such reports, certificates, studies or data as the Administrative Agent may reasonably require, which shall all be in form and substance satisfactory to Required Lenders; and (g) an environmental indemnity agreement and such other documents, instruments or agreements as the Administrative Agent may reasonably require with respect to any environmental risks regarding the Real Property.</w:t>
      </w:r>
    </w:p>
    <w:p>
      <w:pPr>
        <w:spacing w:after="0" w:line="164" w:lineRule="exact"/>
        <w:rPr>
          <w:sz w:val="20"/>
          <w:szCs w:val="20"/>
          <w:color w:val="auto"/>
        </w:rPr>
      </w:pPr>
    </w:p>
    <w:p>
      <w:pPr>
        <w:jc w:val="both"/>
        <w:ind w:firstLine="629"/>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Mortgaged Property</w:t>
      </w:r>
      <w:r>
        <w:rPr>
          <w:rFonts w:ascii="Arial" w:cs="Arial" w:eastAsia="Arial" w:hAnsi="Arial"/>
          <w:sz w:val="19"/>
          <w:szCs w:val="19"/>
          <w:color w:val="auto"/>
        </w:rPr>
        <w:t>” means Real Property required from time to time to be subject to a Mortgage pursuant to the terms of the Loan Documents.</w:t>
      </w:r>
    </w:p>
    <w:p>
      <w:pPr>
        <w:spacing w:after="0" w:line="157" w:lineRule="exact"/>
        <w:rPr>
          <w:sz w:val="20"/>
          <w:szCs w:val="20"/>
          <w:color w:val="auto"/>
        </w:rPr>
      </w:pPr>
    </w:p>
    <w:p>
      <w:pPr>
        <w:jc w:val="both"/>
        <w:ind w:firstLine="629"/>
        <w:spacing w:after="0" w:line="25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Mortgages</w:t>
      </w:r>
      <w:r>
        <w:rPr>
          <w:rFonts w:ascii="Arial" w:cs="Arial" w:eastAsia="Arial" w:hAnsi="Arial"/>
          <w:sz w:val="19"/>
          <w:szCs w:val="19"/>
          <w:color w:val="auto"/>
        </w:rPr>
        <w:t>” means the mortgages, leasehold mortgages, deeds of trust, leasehold deeds of trust or deeds to secure debt executed by a Loan Party on or about the Closing Date, or from time to time thereafter as may be required under the Loan Documents, in favor of the Administrative Agent, for the benefit of the Secured Parties, by which such Loan Party has granted to the Administrative Agent, as security for the Obligations, a Lien upon the Mortgaged Property described therein, together with all mortgages, deeds of trust and comparable documents now or at any time hereafter securing the whole or any part of the Obligations.</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MSI</w:t>
      </w:r>
      <w:r>
        <w:rPr>
          <w:rFonts w:ascii="Arial" w:cs="Arial" w:eastAsia="Arial" w:hAnsi="Arial"/>
          <w:sz w:val="19"/>
          <w:szCs w:val="19"/>
          <w:color w:val="auto"/>
        </w:rPr>
        <w:t>” means MSI Federal Contracting, LLC, a Delaware limited liability company.</w:t>
      </w:r>
    </w:p>
    <w:p>
      <w:pPr>
        <w:spacing w:after="0" w:line="214" w:lineRule="exact"/>
        <w:rPr>
          <w:sz w:val="20"/>
          <w:szCs w:val="20"/>
          <w:color w:val="auto"/>
        </w:rPr>
      </w:pPr>
    </w:p>
    <w:p>
      <w:pPr>
        <w:jc w:val="both"/>
        <w:ind w:firstLine="629"/>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Multiemployer Plan</w:t>
      </w:r>
      <w:r>
        <w:rPr>
          <w:rFonts w:ascii="Arial" w:cs="Arial" w:eastAsia="Arial" w:hAnsi="Arial"/>
          <w:sz w:val="19"/>
          <w:szCs w:val="19"/>
          <w:color w:val="auto"/>
        </w:rPr>
        <w:t>” means any employee benefit plan of the type described in Section 4001(a)(3) of ERISA, to which any Loan Party or any ERISA Affiliate makes or is obligated to make contributions, or during the preceding five plan years, has made or been obligated to make contributions, or to which any Loan Party or any ERISA Affiliate has any liability (contingent or otherwise).</w:t>
      </w:r>
    </w:p>
    <w:p>
      <w:pPr>
        <w:spacing w:after="0" w:line="171" w:lineRule="exact"/>
        <w:rPr>
          <w:sz w:val="20"/>
          <w:szCs w:val="20"/>
          <w:color w:val="auto"/>
        </w:rPr>
      </w:pPr>
    </w:p>
    <w:p>
      <w:pPr>
        <w:jc w:val="both"/>
        <w:ind w:firstLine="629"/>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Multiple Employer Plan</w:t>
      </w:r>
      <w:r>
        <w:rPr>
          <w:rFonts w:ascii="Arial" w:cs="Arial" w:eastAsia="Arial" w:hAnsi="Arial"/>
          <w:sz w:val="19"/>
          <w:szCs w:val="19"/>
          <w:color w:val="auto"/>
        </w:rPr>
        <w:t>” means a Plan which has two or more contributing sponsors (including any Loan Party or any ERISA Affiliate) at least two of whom are not under common control, as such a plan is described in Section 4064 of ERISA.</w:t>
      </w:r>
    </w:p>
    <w:p>
      <w:pPr>
        <w:spacing w:after="0" w:line="157"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Net Cash Proceeds</w:t>
      </w:r>
      <w:r>
        <w:rPr>
          <w:rFonts w:ascii="Arial" w:cs="Arial" w:eastAsia="Arial" w:hAnsi="Arial"/>
          <w:sz w:val="19"/>
          <w:szCs w:val="19"/>
          <w:color w:val="auto"/>
        </w:rPr>
        <w:t>” means</w:t>
      </w:r>
    </w:p>
    <w:p>
      <w:pPr>
        <w:spacing w:after="0" w:line="214" w:lineRule="exact"/>
        <w:rPr>
          <w:sz w:val="20"/>
          <w:szCs w:val="20"/>
          <w:color w:val="auto"/>
        </w:rPr>
      </w:pPr>
    </w:p>
    <w:p>
      <w:pPr>
        <w:jc w:val="both"/>
        <w:ind w:firstLine="634"/>
        <w:spacing w:after="0" w:line="254" w:lineRule="auto"/>
        <w:tabs>
          <w:tab w:leader="none" w:pos="1249" w:val="left"/>
        </w:tabs>
        <w:numPr>
          <w:ilvl w:val="0"/>
          <w:numId w:val="106"/>
        </w:numPr>
        <w:rPr>
          <w:rFonts w:ascii="Arial" w:cs="Arial" w:eastAsia="Arial" w:hAnsi="Arial"/>
          <w:sz w:val="19"/>
          <w:szCs w:val="19"/>
          <w:color w:val="auto"/>
        </w:rPr>
      </w:pPr>
      <w:r>
        <w:rPr>
          <w:rFonts w:ascii="Arial" w:cs="Arial" w:eastAsia="Arial" w:hAnsi="Arial"/>
          <w:sz w:val="19"/>
          <w:szCs w:val="19"/>
          <w:color w:val="auto"/>
        </w:rPr>
        <w:t xml:space="preserve">with respect to the Disposition of any asset of any Loan Party or any Restricted Subsidiary, the excess, if any, of (i) the sum of the cash and cash equivalents received in connection with such Disposition (including any cash received by way of deferred payment pursuant to, or by monetization of, a note receivable or otherwise, but only as and when so received) </w:t>
      </w:r>
      <w:r>
        <w:rPr>
          <w:rFonts w:ascii="Arial" w:cs="Arial" w:eastAsia="Arial" w:hAnsi="Arial"/>
          <w:sz w:val="19"/>
          <w:szCs w:val="19"/>
          <w:u w:val="single" w:color="auto"/>
          <w:color w:val="auto"/>
        </w:rPr>
        <w:t>over</w:t>
      </w:r>
      <w:r>
        <w:rPr>
          <w:rFonts w:ascii="Arial" w:cs="Arial" w:eastAsia="Arial" w:hAnsi="Arial"/>
          <w:sz w:val="19"/>
          <w:szCs w:val="19"/>
          <w:color w:val="auto"/>
        </w:rPr>
        <w:t xml:space="preserve"> (ii) the sum of (A) the principal amount of any Indebtedness that is secured by such asset and that is required to be repaid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44</w:t>
      </w:r>
    </w:p>
    <w:p>
      <w:pPr>
        <w:sectPr>
          <w:pgSz w:w="11900" w:h="16838" w:orient="portrait"/>
          <w:cols w:equalWidth="0" w:num="1">
            <w:col w:w="11240"/>
          </w:cols>
          <w:pgMar w:left="320" w:top="1382" w:right="339" w:bottom="1440" w:gutter="0" w:footer="0" w:header="0"/>
        </w:sectPr>
      </w:pPr>
    </w:p>
    <w:bookmarkStart w:id="163" w:name="page164"/>
    <w:bookmarkEnd w:id="163"/>
    <w:p>
      <w:pPr>
        <w:jc w:val="both"/>
        <w:spacing w:after="0" w:line="279" w:lineRule="auto"/>
        <w:rPr>
          <w:sz w:val="20"/>
          <w:szCs w:val="20"/>
          <w:color w:val="auto"/>
        </w:rPr>
      </w:pPr>
      <w:r>
        <w:rPr>
          <w:rFonts w:ascii="Arial" w:cs="Arial" w:eastAsia="Arial" w:hAnsi="Arial"/>
          <w:sz w:val="17"/>
          <w:szCs w:val="17"/>
          <w:color w:val="auto"/>
        </w:rPr>
        <w:t xml:space="preserve">connection with the Disposition thereof (other than Indebtedness under the Loan Documents and Indebtedness owing to the Company or any Restricted Subsidiary), (B) the reasonable out-of-pocket expenses incurred by such Loan Party or any Subsidiary in connection with such Disposition, including any brokerage commissions, underwriting fees and discount, legal fees, finder’s fees and other similar fees and commissions, (C) taxes paid or reasonably estimated to be payable by the Loan Party or any Restricted Subsidiary in connection with the relevant Disposition, (D) the amount of any reasonable reserve required to be established in accordance with GAAP against liabilities (other than taxes deducted pursuant to </w:t>
      </w:r>
      <w:r>
        <w:rPr>
          <w:rFonts w:ascii="Arial" w:cs="Arial" w:eastAsia="Arial" w:hAnsi="Arial"/>
          <w:sz w:val="17"/>
          <w:szCs w:val="17"/>
          <w:u w:val="single" w:color="auto"/>
          <w:color w:val="auto"/>
        </w:rPr>
        <w:t>clause (C)</w:t>
      </w:r>
      <w:r>
        <w:rPr>
          <w:rFonts w:ascii="Arial" w:cs="Arial" w:eastAsia="Arial" w:hAnsi="Arial"/>
          <w:sz w:val="17"/>
          <w:szCs w:val="17"/>
          <w:color w:val="auto"/>
        </w:rPr>
        <w:t xml:space="preserve"> above) to the extent such reserves are (x) associated with the assets that are the object of such Disposition and (y) retained by such Loan Party or applicable Restricted Subsidiary, and (E) the amount of any reasonable reserve for purchase price adjustments and retained fixed liabilities reasonably expected to be payable by such Loan Party or applicable Restricted Subsidiary in connection therewith to the extent such reserves are (1) associated with the assets that are the object of such Disposition and (2) retained by such Loan Party or applicable Restricted Subsidiary;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amount of any subsequent reduction of any reserve provided for in </w:t>
      </w:r>
      <w:r>
        <w:rPr>
          <w:rFonts w:ascii="Arial" w:cs="Arial" w:eastAsia="Arial" w:hAnsi="Arial"/>
          <w:sz w:val="17"/>
          <w:szCs w:val="17"/>
          <w:u w:val="single" w:color="auto"/>
          <w:color w:val="auto"/>
        </w:rPr>
        <w:t>clause (D)</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(E)</w:t>
      </w:r>
      <w:r>
        <w:rPr>
          <w:rFonts w:ascii="Arial" w:cs="Arial" w:eastAsia="Arial" w:hAnsi="Arial"/>
          <w:sz w:val="17"/>
          <w:szCs w:val="17"/>
          <w:color w:val="auto"/>
        </w:rPr>
        <w:t xml:space="preserve"> above (other than in connection with a payment in respect of such liability) shall (X) be deemed to be Net Cash Proceeds of such Disposition occurring on the date of such reduction, and (Y) immediately be applied to the prepayment of Loans in accordance with </w:t>
      </w:r>
      <w:r>
        <w:rPr>
          <w:rFonts w:ascii="Arial" w:cs="Arial" w:eastAsia="Arial" w:hAnsi="Arial"/>
          <w:sz w:val="17"/>
          <w:szCs w:val="17"/>
          <w:u w:val="single" w:color="auto"/>
          <w:color w:val="auto"/>
        </w:rPr>
        <w:t>Section 2.06(c)</w:t>
      </w:r>
      <w:r>
        <w:rPr>
          <w:rFonts w:ascii="Arial" w:cs="Arial" w:eastAsia="Arial" w:hAnsi="Arial"/>
          <w:sz w:val="17"/>
          <w:szCs w:val="17"/>
          <w:color w:val="auto"/>
        </w:rPr>
        <w:t>; and</w:t>
      </w:r>
    </w:p>
    <w:p>
      <w:pPr>
        <w:spacing w:after="0" w:line="158" w:lineRule="exact"/>
        <w:rPr>
          <w:sz w:val="20"/>
          <w:szCs w:val="20"/>
          <w:color w:val="auto"/>
        </w:rPr>
      </w:pPr>
    </w:p>
    <w:p>
      <w:pPr>
        <w:jc w:val="both"/>
        <w:ind w:firstLine="634"/>
        <w:spacing w:after="0" w:line="269" w:lineRule="auto"/>
        <w:tabs>
          <w:tab w:leader="none" w:pos="1247" w:val="left"/>
        </w:tabs>
        <w:numPr>
          <w:ilvl w:val="0"/>
          <w:numId w:val="107"/>
        </w:numPr>
        <w:rPr>
          <w:rFonts w:ascii="Arial" w:cs="Arial" w:eastAsia="Arial" w:hAnsi="Arial"/>
          <w:sz w:val="18"/>
          <w:szCs w:val="18"/>
          <w:color w:val="auto"/>
        </w:rPr>
      </w:pPr>
      <w:r>
        <w:rPr>
          <w:rFonts w:ascii="Arial" w:cs="Arial" w:eastAsia="Arial" w:hAnsi="Arial"/>
          <w:sz w:val="18"/>
          <w:szCs w:val="18"/>
          <w:color w:val="auto"/>
        </w:rPr>
        <w:t xml:space="preserve">with respect to any issuance of Indebtedness or Equity Interests by any Loan Party or any Restricted Subsidiary, the excess, if any, of (i) the sum of the cash and cash equivalents received in connection with such issuance </w:t>
      </w:r>
      <w:r>
        <w:rPr>
          <w:rFonts w:ascii="Arial" w:cs="Arial" w:eastAsia="Arial" w:hAnsi="Arial"/>
          <w:sz w:val="18"/>
          <w:szCs w:val="18"/>
          <w:u w:val="single" w:color="auto"/>
          <w:color w:val="auto"/>
        </w:rPr>
        <w:t>over</w:t>
      </w:r>
      <w:r>
        <w:rPr>
          <w:rFonts w:ascii="Arial" w:cs="Arial" w:eastAsia="Arial" w:hAnsi="Arial"/>
          <w:sz w:val="18"/>
          <w:szCs w:val="18"/>
          <w:color w:val="auto"/>
        </w:rPr>
        <w:t xml:space="preserve"> (ii) the sum of (A) the reasonable out-of-pocket expenses incurred by such Loan Party or any Restricted Subsidiary in connection with such issuance, including any brokerage commissions, underwriting fees and discount, legal fees, and other similar fees and commissions and (B) taxes paid or payable to the applicable taxing authorities by the Loan Party or any Restricted Subsidiary in connection with and at the time of such issuance.</w:t>
      </w:r>
    </w:p>
    <w:p>
      <w:pPr>
        <w:spacing w:after="0" w:line="164" w:lineRule="exact"/>
        <w:rPr>
          <w:sz w:val="20"/>
          <w:szCs w:val="20"/>
          <w:color w:val="auto"/>
        </w:rPr>
      </w:pPr>
    </w:p>
    <w:p>
      <w:pPr>
        <w:jc w:val="both"/>
        <w:ind w:firstLine="629"/>
        <w:spacing w:after="0" w:line="24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NOLV</w:t>
      </w:r>
      <w:r>
        <w:rPr>
          <w:rFonts w:ascii="Arial" w:cs="Arial" w:eastAsia="Arial" w:hAnsi="Arial"/>
          <w:sz w:val="19"/>
          <w:szCs w:val="19"/>
          <w:color w:val="auto"/>
        </w:rPr>
        <w:t xml:space="preserve">” means, with respect to the Borrowers’ Equipment, the net orderly liquidation value of such Equipment, (a percentage of the Cost of such Equipment) that might be realized at an orderly, negotiated sale held within a reasonable period of time, net of all liquidation expenses, as determined from time to time by reference to the most recent appraisal received by the Administrative Agent conducted by an independent appraiser engaged by the Administrative Agent;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on the first day of each calendar month (commencing with November 1, 2021), the NOLV that is otherwise determined above for any particular Equipment shall be reduced on a straight-line basis, which reduction shall be calculated by (1) first dividing such NOLV by 84 and (2) next multiplying that quotient by the number of full calendar months that have been completed after the Closing Date.</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Non-Consenting Lender</w:t>
      </w:r>
      <w:r>
        <w:rPr>
          <w:rFonts w:ascii="Arial" w:cs="Arial" w:eastAsia="Arial" w:hAnsi="Arial"/>
          <w:sz w:val="19"/>
          <w:szCs w:val="19"/>
          <w:color w:val="auto"/>
        </w:rPr>
        <w:t xml:space="preserve">” has the meaning assigned to such term in </w:t>
      </w:r>
      <w:r>
        <w:rPr>
          <w:rFonts w:ascii="Arial" w:cs="Arial" w:eastAsia="Arial" w:hAnsi="Arial"/>
          <w:sz w:val="19"/>
          <w:szCs w:val="19"/>
          <w:u w:val="single" w:color="auto"/>
          <w:color w:val="auto"/>
        </w:rPr>
        <w:t>Section 11.01</w:t>
      </w:r>
      <w:r>
        <w:rPr>
          <w:rFonts w:ascii="Arial" w:cs="Arial" w:eastAsia="Arial" w:hAnsi="Arial"/>
          <w:sz w:val="19"/>
          <w:szCs w:val="19"/>
          <w:color w:val="auto"/>
        </w:rPr>
        <w:t>.</w:t>
      </w:r>
    </w:p>
    <w:p>
      <w:pPr>
        <w:spacing w:after="0" w:line="21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Non-Defaulting Lender</w:t>
      </w:r>
      <w:r>
        <w:rPr>
          <w:rFonts w:ascii="Arial" w:cs="Arial" w:eastAsia="Arial" w:hAnsi="Arial"/>
          <w:sz w:val="19"/>
          <w:szCs w:val="19"/>
          <w:color w:val="auto"/>
        </w:rPr>
        <w:t>” means, at any time, each Lender that is not a Defaulting Lender at such time.</w:t>
      </w:r>
    </w:p>
    <w:p>
      <w:pPr>
        <w:spacing w:after="0" w:line="21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Non-Extension Notice Date</w:t>
      </w:r>
      <w:r>
        <w:rPr>
          <w:rFonts w:ascii="Arial" w:cs="Arial" w:eastAsia="Arial" w:hAnsi="Arial"/>
          <w:sz w:val="19"/>
          <w:szCs w:val="19"/>
          <w:color w:val="auto"/>
        </w:rPr>
        <w:t xml:space="preserve">” has the meaning specified in </w:t>
      </w:r>
      <w:r>
        <w:rPr>
          <w:rFonts w:ascii="Arial" w:cs="Arial" w:eastAsia="Arial" w:hAnsi="Arial"/>
          <w:sz w:val="19"/>
          <w:szCs w:val="19"/>
          <w:u w:val="single" w:color="auto"/>
          <w:color w:val="auto"/>
        </w:rPr>
        <w:t>Section 2.03(b)(iii)</w:t>
      </w:r>
      <w:r>
        <w:rPr>
          <w:rFonts w:ascii="Arial" w:cs="Arial" w:eastAsia="Arial" w:hAnsi="Arial"/>
          <w:sz w:val="19"/>
          <w:szCs w:val="19"/>
          <w:color w:val="auto"/>
        </w:rPr>
        <w:t>.</w:t>
      </w:r>
    </w:p>
    <w:p>
      <w:pPr>
        <w:spacing w:after="0" w:line="21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NPL</w:t>
      </w:r>
      <w:r>
        <w:rPr>
          <w:rFonts w:ascii="Arial" w:cs="Arial" w:eastAsia="Arial" w:hAnsi="Arial"/>
          <w:sz w:val="19"/>
          <w:szCs w:val="19"/>
          <w:color w:val="auto"/>
        </w:rPr>
        <w:t>” means the National Priorities List pursuant to CERCLA, as updated from time to time.</w:t>
      </w:r>
    </w:p>
    <w:p>
      <w:pPr>
        <w:spacing w:after="0" w:line="214" w:lineRule="exact"/>
        <w:rPr>
          <w:sz w:val="20"/>
          <w:szCs w:val="20"/>
          <w:color w:val="auto"/>
        </w:rPr>
      </w:pPr>
    </w:p>
    <w:p>
      <w:pPr>
        <w:jc w:val="both"/>
        <w:ind w:firstLine="629"/>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Obligations</w:t>
      </w:r>
      <w:r>
        <w:rPr>
          <w:rFonts w:ascii="Arial" w:cs="Arial" w:eastAsia="Arial" w:hAnsi="Arial"/>
          <w:sz w:val="19"/>
          <w:szCs w:val="19"/>
          <w:color w:val="auto"/>
        </w:rPr>
        <w:t>” means (a) all amounts owing by any Loan Party to the Administrative Agent, any Lender or any other Secured Party pursuant to or in connection with this Agreement or any other Loan Document or otherwise with respect to any Loan or Letter of Credit, including all Letter of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45</w:t>
      </w:r>
    </w:p>
    <w:p>
      <w:pPr>
        <w:sectPr>
          <w:pgSz w:w="11900" w:h="16838" w:orient="portrait"/>
          <w:cols w:equalWidth="0" w:num="1">
            <w:col w:w="11240"/>
          </w:cols>
          <w:pgMar w:left="320" w:top="1381" w:right="339" w:bottom="1440" w:gutter="0" w:footer="0" w:header="0"/>
        </w:sectPr>
      </w:pPr>
    </w:p>
    <w:bookmarkStart w:id="164" w:name="page165"/>
    <w:bookmarkEnd w:id="164"/>
    <w:p>
      <w:pPr>
        <w:jc w:val="both"/>
        <w:spacing w:after="0" w:line="283" w:lineRule="auto"/>
        <w:rPr>
          <w:sz w:val="20"/>
          <w:szCs w:val="20"/>
          <w:color w:val="auto"/>
        </w:rPr>
      </w:pPr>
      <w:r>
        <w:rPr>
          <w:rFonts w:ascii="Arial" w:cs="Arial" w:eastAsia="Arial" w:hAnsi="Arial"/>
          <w:sz w:val="17"/>
          <w:szCs w:val="17"/>
          <w:color w:val="auto"/>
        </w:rPr>
        <w:t xml:space="preserve">Obligations, and including all principal, interest (including any interest accruing after the filing of any petition in bankruptcy or the commencement of any proceeding under any Debtor Relief Law relating to any Loan Party, or would accrue but for such filing or commencement, whether or not a claim for post-filing or post-petition interest is allowed in such proceeding), reimbursement obligations, indemnification and reimbursement payments, fees, costs and expenses (including all fees, costs and expenses of counsel to the Administrative Agent) incurred in connection with this Agreement or any other Loan Document, whether direct or indirect, absolute or contingent, liquidated or unliquidated, now existing or hereafter arising hereunder or thereunder, together with all renewals, extensions, modifications or refinancings thereof and (b) Credit Product Obligations;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Obligations of a Loan Party shall not include its Excluded Swap Obligations.</w:t>
      </w:r>
    </w:p>
    <w:p>
      <w:pPr>
        <w:spacing w:after="0" w:line="157"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OFAC</w:t>
      </w:r>
      <w:r>
        <w:rPr>
          <w:rFonts w:ascii="Arial" w:cs="Arial" w:eastAsia="Arial" w:hAnsi="Arial"/>
          <w:sz w:val="19"/>
          <w:szCs w:val="19"/>
          <w:color w:val="auto"/>
        </w:rPr>
        <w:t>” means the United States Department of Treasury Office of Foreign Assets Control.</w:t>
      </w:r>
    </w:p>
    <w:p>
      <w:pPr>
        <w:spacing w:after="0" w:line="21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OFAC SDN List</w:t>
      </w:r>
      <w:r>
        <w:rPr>
          <w:rFonts w:ascii="Arial" w:cs="Arial" w:eastAsia="Arial" w:hAnsi="Arial"/>
          <w:sz w:val="19"/>
          <w:szCs w:val="19"/>
          <w:color w:val="auto"/>
        </w:rPr>
        <w:t>” means the list of the Specially Designated Nationals and Blocked Persons maintained by OFAC.</w:t>
      </w:r>
    </w:p>
    <w:p>
      <w:pPr>
        <w:spacing w:after="0" w:line="214" w:lineRule="exact"/>
        <w:rPr>
          <w:sz w:val="20"/>
          <w:szCs w:val="20"/>
          <w:color w:val="auto"/>
        </w:rPr>
      </w:pPr>
    </w:p>
    <w:p>
      <w:pPr>
        <w:jc w:val="both"/>
        <w:ind w:firstLine="629"/>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Ordinary Course of Business</w:t>
      </w:r>
      <w:r>
        <w:rPr>
          <w:rFonts w:ascii="Arial" w:cs="Arial" w:eastAsia="Arial" w:hAnsi="Arial"/>
          <w:sz w:val="19"/>
          <w:szCs w:val="19"/>
          <w:color w:val="auto"/>
        </w:rPr>
        <w:t>” means the ordinary course of business of the Company and its Subsidiaries, consistent with past practices and undertaken in good faith and not to circumvent any provision of this Agreement.</w:t>
      </w:r>
    </w:p>
    <w:p>
      <w:pPr>
        <w:spacing w:after="0" w:line="157" w:lineRule="exact"/>
        <w:rPr>
          <w:sz w:val="20"/>
          <w:szCs w:val="20"/>
          <w:color w:val="auto"/>
        </w:rPr>
      </w:pPr>
    </w:p>
    <w:p>
      <w:pPr>
        <w:jc w:val="both"/>
        <w:ind w:firstLine="629"/>
        <w:spacing w:after="0" w:line="24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Organization Documents</w:t>
      </w:r>
      <w:r>
        <w:rPr>
          <w:rFonts w:ascii="Arial" w:cs="Arial" w:eastAsia="Arial" w:hAnsi="Arial"/>
          <w:sz w:val="19"/>
          <w:szCs w:val="19"/>
          <w:color w:val="auto"/>
        </w:rPr>
        <w:t>” means, (a) with respect to any corporation or unlimited liability company, the certificate or articles of incorporation and the bylaws (or equivalent or comparable constitutive documents with respect to any non-U.S. jurisdiction); (b) with respect to any limited liability company, the certificate or articles of formation or organization and operating agreement; (c)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 and (d) with respect to any of the foregoing, each shareholder agreement, member agreement, agreement among partners or limited partners, stock designation, equity holder agreement or other agreement among or affecting rights of holders of Equity Interests issued by any Loan Party.</w:t>
      </w:r>
    </w:p>
    <w:p>
      <w:pPr>
        <w:spacing w:after="0" w:line="184" w:lineRule="exact"/>
        <w:rPr>
          <w:sz w:val="20"/>
          <w:szCs w:val="20"/>
          <w:color w:val="auto"/>
        </w:rPr>
      </w:pPr>
    </w:p>
    <w:p>
      <w:pPr>
        <w:jc w:val="both"/>
        <w:ind w:firstLine="629"/>
        <w:spacing w:after="0" w:line="29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Other Connection Taxes</w:t>
      </w:r>
      <w:r>
        <w:rPr>
          <w:rFonts w:ascii="Arial" w:cs="Arial" w:eastAsia="Arial" w:hAnsi="Arial"/>
          <w:sz w:val="17"/>
          <w:szCs w:val="17"/>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44" w:lineRule="exact"/>
        <w:rPr>
          <w:sz w:val="20"/>
          <w:szCs w:val="20"/>
          <w:color w:val="auto"/>
        </w:rPr>
      </w:pPr>
    </w:p>
    <w:p>
      <w:pPr>
        <w:jc w:val="both"/>
        <w:ind w:firstLine="629"/>
        <w:spacing w:after="0" w:line="25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Other Taxes</w:t>
      </w:r>
      <w:r>
        <w:rPr>
          <w:rFonts w:ascii="Arial" w:cs="Arial" w:eastAsia="Arial" w:hAnsi="Arial"/>
          <w:sz w:val="19"/>
          <w:szCs w:val="19"/>
          <w:color w:val="auto"/>
        </w:rPr>
        <w:t xml:space="preserve">”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Arial" w:cs="Arial" w:eastAsia="Arial" w:hAnsi="Arial"/>
          <w:sz w:val="19"/>
          <w:szCs w:val="19"/>
          <w:u w:val="single" w:color="auto"/>
          <w:color w:val="auto"/>
        </w:rPr>
        <w:t>Section 11.13</w:t>
      </w:r>
      <w:r>
        <w:rPr>
          <w:rFonts w:ascii="Arial" w:cs="Arial" w:eastAsia="Arial" w:hAnsi="Arial"/>
          <w:sz w:val="19"/>
          <w:szCs w:val="19"/>
          <w:color w:val="auto"/>
        </w:rPr>
        <w:t>).</w:t>
      </w:r>
    </w:p>
    <w:p>
      <w:pPr>
        <w:spacing w:after="0" w:line="177" w:lineRule="exact"/>
        <w:rPr>
          <w:sz w:val="20"/>
          <w:szCs w:val="20"/>
          <w:color w:val="auto"/>
        </w:rPr>
      </w:pPr>
    </w:p>
    <w:p>
      <w:pPr>
        <w:jc w:val="both"/>
        <w:ind w:firstLine="629"/>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Outstanding Amount</w:t>
      </w:r>
      <w:r>
        <w:rPr>
          <w:rFonts w:ascii="Arial" w:cs="Arial" w:eastAsia="Arial" w:hAnsi="Arial"/>
          <w:sz w:val="19"/>
          <w:szCs w:val="19"/>
          <w:color w:val="auto"/>
        </w:rPr>
        <w:t>” means (a) with respect to Revolving Credit Loans, Protective Advances and Swing Line Loans on any date, the Dollar Equivalent amount of the aggregate outstanding principal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46</w:t>
      </w:r>
    </w:p>
    <w:p>
      <w:pPr>
        <w:sectPr>
          <w:pgSz w:w="11900" w:h="16838" w:orient="portrait"/>
          <w:cols w:equalWidth="0" w:num="1">
            <w:col w:w="11240"/>
          </w:cols>
          <w:pgMar w:left="320" w:top="1382" w:right="339" w:bottom="1440" w:gutter="0" w:footer="0" w:header="0"/>
        </w:sectPr>
      </w:pPr>
    </w:p>
    <w:bookmarkStart w:id="165" w:name="page166"/>
    <w:bookmarkEnd w:id="165"/>
    <w:p>
      <w:pPr>
        <w:jc w:val="both"/>
        <w:spacing w:after="0" w:line="269" w:lineRule="auto"/>
        <w:rPr>
          <w:sz w:val="20"/>
          <w:szCs w:val="20"/>
          <w:color w:val="auto"/>
        </w:rPr>
      </w:pPr>
      <w:r>
        <w:rPr>
          <w:rFonts w:ascii="Arial" w:cs="Arial" w:eastAsia="Arial" w:hAnsi="Arial"/>
          <w:sz w:val="18"/>
          <w:szCs w:val="18"/>
          <w:color w:val="auto"/>
        </w:rPr>
        <w:t>amount thereof after giving effect to any Borrowings and any prepayments or repayments of Revolving Credit Loans, Protective Advances or Swing Line Loans occurring on such date; and (b) with respect to any Letter of Credit Obligations on any date, (i) the Dollar Equivalent amount of the aggregate outstanding amount of such Letter of Credit Obligations on such date after giving effect to any Letter of Credit Extension occurring on such date plus and any other changes in the aggregate amount of the Letter of Credit Obligations as of such date, including as a result of any reimbursements by the Borrowers of Unreimbursed Amounts and all Letter of Credit Borrowings on such date.</w:t>
      </w:r>
    </w:p>
    <w:p>
      <w:pPr>
        <w:spacing w:after="0" w:line="16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Overadvance</w:t>
      </w:r>
      <w:r>
        <w:rPr>
          <w:rFonts w:ascii="Arial" w:cs="Arial" w:eastAsia="Arial" w:hAnsi="Arial"/>
          <w:sz w:val="19"/>
          <w:szCs w:val="19"/>
          <w:color w:val="auto"/>
        </w:rPr>
        <w:t xml:space="preserve">” has the meaning given to such term in </w:t>
      </w:r>
      <w:r>
        <w:rPr>
          <w:rFonts w:ascii="Arial" w:cs="Arial" w:eastAsia="Arial" w:hAnsi="Arial"/>
          <w:sz w:val="19"/>
          <w:szCs w:val="19"/>
          <w:u w:val="single" w:color="auto"/>
          <w:color w:val="auto"/>
        </w:rPr>
        <w:t>Section 2.01(c)(i)(A)</w:t>
      </w:r>
      <w:r>
        <w:rPr>
          <w:rFonts w:ascii="Arial" w:cs="Arial" w:eastAsia="Arial" w:hAnsi="Arial"/>
          <w:sz w:val="19"/>
          <w:szCs w:val="19"/>
          <w:color w:val="auto"/>
        </w:rPr>
        <w:t>.</w:t>
      </w:r>
    </w:p>
    <w:p>
      <w:pPr>
        <w:spacing w:after="0" w:line="21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Overadvance Loan</w:t>
      </w:r>
      <w:r>
        <w:rPr>
          <w:rFonts w:ascii="Arial" w:cs="Arial" w:eastAsia="Arial" w:hAnsi="Arial"/>
          <w:sz w:val="19"/>
          <w:szCs w:val="19"/>
          <w:color w:val="auto"/>
        </w:rPr>
        <w:t>” means a Base Rate Loan made when an Overadvance exists or is caused by the funding thereof.</w:t>
      </w:r>
    </w:p>
    <w:p>
      <w:pPr>
        <w:spacing w:after="0" w:line="214" w:lineRule="exact"/>
        <w:rPr>
          <w:sz w:val="20"/>
          <w:szCs w:val="20"/>
          <w:color w:val="auto"/>
        </w:rPr>
      </w:pPr>
    </w:p>
    <w:p>
      <w:pPr>
        <w:jc w:val="both"/>
        <w:ind w:firstLine="629"/>
        <w:spacing w:after="0" w:line="25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Overnight Rate</w:t>
      </w:r>
      <w:r>
        <w:rPr>
          <w:rFonts w:ascii="Arial" w:cs="Arial" w:eastAsia="Arial" w:hAnsi="Arial"/>
          <w:sz w:val="19"/>
          <w:szCs w:val="19"/>
          <w:color w:val="auto"/>
        </w:rPr>
        <w:t>” means, for any day and from time to time as in effect, (a) with respect to any amount denominated in Dollars, the greater of (i) the Federal Funds Rate and (ii) an overnight rate determined by the Administrative Agent, the Letter of Credit Issuer, or the Swing Line Lender, as the case may be, in accordance with banking industry rules on interbank compensation and (b) with respect to any amount denominated in Canadian Dollars, an overnight rate determined by the Administrative Agent in accordance with banking industry rules on interbank compensation.</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Participant</w:t>
      </w:r>
      <w:r>
        <w:rPr>
          <w:rFonts w:ascii="Arial" w:cs="Arial" w:eastAsia="Arial" w:hAnsi="Arial"/>
          <w:sz w:val="19"/>
          <w:szCs w:val="19"/>
          <w:color w:val="auto"/>
        </w:rPr>
        <w:t xml:space="preserve">” has the meaning assigned to such term in clause (d) of </w:t>
      </w:r>
      <w:r>
        <w:rPr>
          <w:rFonts w:ascii="Arial" w:cs="Arial" w:eastAsia="Arial" w:hAnsi="Arial"/>
          <w:sz w:val="19"/>
          <w:szCs w:val="19"/>
          <w:u w:val="single" w:color="auto"/>
          <w:color w:val="auto"/>
        </w:rPr>
        <w:t>Section 11.06</w:t>
      </w:r>
      <w:r>
        <w:rPr>
          <w:rFonts w:ascii="Arial" w:cs="Arial" w:eastAsia="Arial" w:hAnsi="Arial"/>
          <w:sz w:val="19"/>
          <w:szCs w:val="19"/>
          <w:color w:val="auto"/>
        </w:rPr>
        <w:t>.</w:t>
      </w:r>
    </w:p>
    <w:p>
      <w:pPr>
        <w:spacing w:after="0" w:line="21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Participant Register</w:t>
      </w:r>
      <w:r>
        <w:rPr>
          <w:rFonts w:ascii="Arial" w:cs="Arial" w:eastAsia="Arial" w:hAnsi="Arial"/>
          <w:sz w:val="19"/>
          <w:szCs w:val="19"/>
          <w:color w:val="auto"/>
        </w:rPr>
        <w:t xml:space="preserve">” has the meaning assigned to such term in clause (d) of </w:t>
      </w:r>
      <w:r>
        <w:rPr>
          <w:rFonts w:ascii="Arial" w:cs="Arial" w:eastAsia="Arial" w:hAnsi="Arial"/>
          <w:sz w:val="19"/>
          <w:szCs w:val="19"/>
          <w:u w:val="single" w:color="auto"/>
          <w:color w:val="auto"/>
        </w:rPr>
        <w:t>Section 11.06</w:t>
      </w:r>
      <w:r>
        <w:rPr>
          <w:rFonts w:ascii="Arial" w:cs="Arial" w:eastAsia="Arial" w:hAnsi="Arial"/>
          <w:sz w:val="19"/>
          <w:szCs w:val="19"/>
          <w:color w:val="auto"/>
        </w:rPr>
        <w:t>.</w:t>
      </w:r>
    </w:p>
    <w:p>
      <w:pPr>
        <w:spacing w:after="0" w:line="214" w:lineRule="exact"/>
        <w:rPr>
          <w:sz w:val="20"/>
          <w:szCs w:val="20"/>
          <w:color w:val="auto"/>
        </w:rPr>
      </w:pPr>
    </w:p>
    <w:p>
      <w:pPr>
        <w:jc w:val="both"/>
        <w:ind w:firstLine="629"/>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Patent Security Agreement</w:t>
      </w:r>
      <w:r>
        <w:rPr>
          <w:rFonts w:ascii="Arial" w:cs="Arial" w:eastAsia="Arial" w:hAnsi="Arial"/>
          <w:sz w:val="19"/>
          <w:szCs w:val="19"/>
          <w:color w:val="auto"/>
        </w:rPr>
        <w:t>” means any patent security agreement pursuant to which a Loan Party assigns to Administrative Agent, for the benefit of the Secured Parties, such Person’s interests in its patents, as security for the Obligations.</w:t>
      </w:r>
    </w:p>
    <w:p>
      <w:pPr>
        <w:spacing w:after="0" w:line="157" w:lineRule="exact"/>
        <w:rPr>
          <w:sz w:val="20"/>
          <w:szCs w:val="20"/>
          <w:color w:val="auto"/>
        </w:rPr>
      </w:pPr>
    </w:p>
    <w:p>
      <w:pPr>
        <w:jc w:val="both"/>
        <w:ind w:firstLine="629"/>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PATRIOT Act</w:t>
      </w:r>
      <w:r>
        <w:rPr>
          <w:rFonts w:ascii="Arial" w:cs="Arial" w:eastAsia="Arial" w:hAnsi="Arial"/>
          <w:sz w:val="19"/>
          <w:szCs w:val="19"/>
          <w:color w:val="auto"/>
        </w:rPr>
        <w:t>” means United States Public Law 107-56, Uniting and Strengthening America by Providing Appropriate Tools Required to Intercept and Obstruct Terrorism (USA PATRIOT ACT) Act of 2001, as amended from time to time, and the rules and regulations promulgated thereunder from time to time in effect.</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Payment Conditions</w:t>
      </w:r>
      <w:r>
        <w:rPr>
          <w:rFonts w:ascii="Arial" w:cs="Arial" w:eastAsia="Arial" w:hAnsi="Arial"/>
          <w:sz w:val="19"/>
          <w:szCs w:val="19"/>
          <w:color w:val="auto"/>
        </w:rPr>
        <w:t>” means, with respect to any Specified Transaction, the satisfaction of the following conditions:</w:t>
      </w:r>
    </w:p>
    <w:p>
      <w:pPr>
        <w:spacing w:after="0" w:line="214" w:lineRule="exact"/>
        <w:rPr>
          <w:sz w:val="20"/>
          <w:szCs w:val="20"/>
          <w:color w:val="auto"/>
        </w:rPr>
      </w:pPr>
    </w:p>
    <w:p>
      <w:pPr>
        <w:ind w:firstLine="634"/>
        <w:spacing w:after="0" w:line="274" w:lineRule="auto"/>
        <w:tabs>
          <w:tab w:leader="none" w:pos="1249" w:val="left"/>
        </w:tabs>
        <w:numPr>
          <w:ilvl w:val="0"/>
          <w:numId w:val="108"/>
        </w:numPr>
        <w:rPr>
          <w:rFonts w:ascii="Arial" w:cs="Arial" w:eastAsia="Arial" w:hAnsi="Arial"/>
          <w:sz w:val="19"/>
          <w:szCs w:val="19"/>
          <w:color w:val="auto"/>
        </w:rPr>
      </w:pPr>
      <w:r>
        <w:rPr>
          <w:rFonts w:ascii="Arial" w:cs="Arial" w:eastAsia="Arial" w:hAnsi="Arial"/>
          <w:sz w:val="19"/>
          <w:szCs w:val="19"/>
          <w:color w:val="auto"/>
        </w:rPr>
        <w:t>as of the date of any such Specified Transaction and immediately after giving effect thereto, no Default or Event of Default has occurred and is continuing;</w:t>
      </w:r>
    </w:p>
    <w:p>
      <w:pPr>
        <w:spacing w:after="0" w:line="156" w:lineRule="exact"/>
        <w:rPr>
          <w:rFonts w:ascii="Arial" w:cs="Arial" w:eastAsia="Arial" w:hAnsi="Arial"/>
          <w:sz w:val="19"/>
          <w:szCs w:val="19"/>
          <w:color w:val="auto"/>
        </w:rPr>
      </w:pPr>
    </w:p>
    <w:p>
      <w:pPr>
        <w:jc w:val="both"/>
        <w:ind w:firstLine="634"/>
        <w:spacing w:after="0" w:line="259" w:lineRule="auto"/>
        <w:tabs>
          <w:tab w:leader="none" w:pos="1247" w:val="left"/>
        </w:tabs>
        <w:numPr>
          <w:ilvl w:val="0"/>
          <w:numId w:val="108"/>
        </w:numPr>
        <w:rPr>
          <w:rFonts w:ascii="Arial" w:cs="Arial" w:eastAsia="Arial" w:hAnsi="Arial"/>
          <w:sz w:val="19"/>
          <w:szCs w:val="19"/>
          <w:color w:val="auto"/>
        </w:rPr>
      </w:pPr>
      <w:r>
        <w:rPr>
          <w:rFonts w:ascii="Arial" w:cs="Arial" w:eastAsia="Arial" w:hAnsi="Arial"/>
          <w:sz w:val="19"/>
          <w:szCs w:val="19"/>
          <w:color w:val="auto"/>
        </w:rPr>
        <w:t>Availability (after giving Pro Forma Effect to such Specified Transaction) during the thirty (30) consecutive day period ending on and including the date of such Specified Transaction shall be not less than, the greater of (A) 20% of the Aggregate Revolving Credit Commitments and (B) $20,000,000, as of such date;</w:t>
      </w:r>
    </w:p>
    <w:p>
      <w:pPr>
        <w:spacing w:after="0" w:line="171" w:lineRule="exact"/>
        <w:rPr>
          <w:rFonts w:ascii="Arial" w:cs="Arial" w:eastAsia="Arial" w:hAnsi="Arial"/>
          <w:sz w:val="19"/>
          <w:szCs w:val="19"/>
          <w:color w:val="auto"/>
        </w:rPr>
      </w:pPr>
    </w:p>
    <w:p>
      <w:pPr>
        <w:jc w:val="both"/>
        <w:ind w:firstLine="634"/>
        <w:spacing w:after="0" w:line="280" w:lineRule="auto"/>
        <w:tabs>
          <w:tab w:leader="none" w:pos="1249" w:val="left"/>
        </w:tabs>
        <w:numPr>
          <w:ilvl w:val="0"/>
          <w:numId w:val="108"/>
        </w:numPr>
        <w:rPr>
          <w:rFonts w:ascii="Arial" w:cs="Arial" w:eastAsia="Arial" w:hAnsi="Arial"/>
          <w:sz w:val="18"/>
          <w:szCs w:val="18"/>
          <w:color w:val="auto"/>
        </w:rPr>
      </w:pPr>
      <w:r>
        <w:rPr>
          <w:rFonts w:ascii="Arial" w:cs="Arial" w:eastAsia="Arial" w:hAnsi="Arial"/>
          <w:sz w:val="18"/>
          <w:szCs w:val="18"/>
          <w:color w:val="auto"/>
        </w:rPr>
        <w:t xml:space="preserve">the Consolidated Fixed Charge Coverage Ratio as of the end of the most recently ended Measurement Period prior to the making of such Specified Transaction, calculated on a Pro Forma Basis, shall be equal to or greater than 1.00 to 1.00;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Consolidated Fixed Charge Coverage Ratio test described in this clause (c) shall not apply if the Availability (calculated in order to give Pro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47</w:t>
      </w:r>
    </w:p>
    <w:p>
      <w:pPr>
        <w:sectPr>
          <w:pgSz w:w="11900" w:h="16838" w:orient="portrait"/>
          <w:cols w:equalWidth="0" w:num="1">
            <w:col w:w="11240"/>
          </w:cols>
          <w:pgMar w:left="320" w:top="1382" w:right="339" w:bottom="1440" w:gutter="0" w:footer="0" w:header="0"/>
        </w:sectPr>
      </w:pPr>
    </w:p>
    <w:bookmarkStart w:id="166" w:name="page167"/>
    <w:bookmarkEnd w:id="166"/>
    <w:p>
      <w:pPr>
        <w:jc w:val="both"/>
        <w:spacing w:after="0" w:line="254" w:lineRule="auto"/>
        <w:rPr>
          <w:sz w:val="20"/>
          <w:szCs w:val="20"/>
          <w:color w:val="auto"/>
        </w:rPr>
      </w:pPr>
      <w:r>
        <w:rPr>
          <w:rFonts w:ascii="Arial" w:cs="Arial" w:eastAsia="Arial" w:hAnsi="Arial"/>
          <w:sz w:val="19"/>
          <w:szCs w:val="19"/>
          <w:color w:val="auto"/>
        </w:rPr>
        <w:t>Forma Effect to such Specified Transaction) during the thirty (30) consecutive day period ending on and including the date of such Specified Transaction is not less than (i) in the case of a Specified Investment, the greater of (A) 22.5% of the Aggregate Revolving Credit Commitments and (B) $22,500,000 or (ii) in the case of a Specified Debt Payment or a Specified Restricted Payment, the greater of (A) 27.5% of the Aggregate Revolving Credit Commitments and (B) $27,500,000, in each case, as of such date; and</w:t>
      </w:r>
    </w:p>
    <w:p>
      <w:pPr>
        <w:spacing w:after="0" w:line="177" w:lineRule="exact"/>
        <w:rPr>
          <w:sz w:val="20"/>
          <w:szCs w:val="20"/>
          <w:color w:val="auto"/>
        </w:rPr>
      </w:pPr>
    </w:p>
    <w:p>
      <w:pPr>
        <w:ind w:firstLine="634"/>
        <w:spacing w:after="0" w:line="274" w:lineRule="auto"/>
        <w:tabs>
          <w:tab w:leader="none" w:pos="1247" w:val="left"/>
        </w:tabs>
        <w:numPr>
          <w:ilvl w:val="0"/>
          <w:numId w:val="109"/>
        </w:numPr>
        <w:rPr>
          <w:rFonts w:ascii="Arial" w:cs="Arial" w:eastAsia="Arial" w:hAnsi="Arial"/>
          <w:sz w:val="19"/>
          <w:szCs w:val="19"/>
          <w:color w:val="auto"/>
        </w:rPr>
      </w:pPr>
      <w:r>
        <w:rPr>
          <w:rFonts w:ascii="Arial" w:cs="Arial" w:eastAsia="Arial" w:hAnsi="Arial"/>
          <w:sz w:val="19"/>
          <w:szCs w:val="19"/>
          <w:color w:val="auto"/>
        </w:rPr>
        <w:t>the Administrative Agent shall have received a certificate of a Responsible Officer of the Borrower Agent certifying as to compliance with the preceding clauses and demonstrating (in reasonable detail) the calculations required thereby.</w:t>
      </w:r>
    </w:p>
    <w:p>
      <w:pPr>
        <w:spacing w:after="0" w:line="157" w:lineRule="exact"/>
        <w:rPr>
          <w:sz w:val="20"/>
          <w:szCs w:val="20"/>
          <w:color w:val="auto"/>
        </w:rPr>
      </w:pPr>
    </w:p>
    <w:p>
      <w:pPr>
        <w:jc w:val="both"/>
        <w:ind w:firstLine="629"/>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Payment in Full</w:t>
      </w:r>
      <w:r>
        <w:rPr>
          <w:rFonts w:ascii="Arial" w:cs="Arial" w:eastAsia="Arial" w:hAnsi="Arial"/>
          <w:sz w:val="18"/>
          <w:szCs w:val="18"/>
          <w:color w:val="auto"/>
        </w:rPr>
        <w:t>” means (a) the indefeasible payment in full in cash of all Obligations, together with all accrued and unpaid interest and fees thereon, other than Letter of Credit Obligations that have been fully Cash Collateralized in an amount equal to 105% of the amount thereof or as to which other arrangements with respect thereto satisfactory to the Administrative Agent and the Letter of Credit Issuer shall have been made, (b) the Revolving Credit Commitments shall have terminated or expired, (c) the obligations and liabilities of each Loan Party and its Affiliates under all Credit Product Arrangements shall have been fully, finally and irrevocably paid and satisfied in full and the Credit Product Arrangements shall have expired or been terminated, or other arrangements satisfactory to the applicable Credit Product Providers shall have been made with respect thereto, and (d) all claims of the Loan Parties against any Secured Party arising on or before the payment date in connection with the Loan Documents or any Credit Product Arrangements, as applicable, shall have been released on terms acceptable to the Administrative Agent or the applicable Credit Product Providers; provided that notwithstanding full payment or Cash Collateralization of the Obligations as provided herein, the Administrative Agent shall not be required to terminate its Liens in any Collateral unless, with respect to any damages the Administrative Agent may incur as a result of the dishonor or return of Payment Items applied to Obligations, Administrative Agent receives (i) a written agreement, executed by Borrowers and any Person whose advances are used in whole or in part to satisfy the Obligations, indemnifying Administrative Agent and Lenders from any such damages; or (ii) such Cash Collateral as the Administrative Agent, in its discretion, deems necessary to protect against any such damages.</w:t>
      </w:r>
    </w:p>
    <w:p>
      <w:pPr>
        <w:spacing w:after="0" w:line="179" w:lineRule="exact"/>
        <w:rPr>
          <w:sz w:val="20"/>
          <w:szCs w:val="20"/>
          <w:color w:val="auto"/>
        </w:rPr>
      </w:pPr>
    </w:p>
    <w:p>
      <w:pPr>
        <w:jc w:val="both"/>
        <w:ind w:firstLine="629"/>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Payment Item</w:t>
      </w:r>
      <w:r>
        <w:rPr>
          <w:rFonts w:ascii="Arial" w:cs="Arial" w:eastAsia="Arial" w:hAnsi="Arial"/>
          <w:sz w:val="19"/>
          <w:szCs w:val="19"/>
          <w:color w:val="auto"/>
        </w:rPr>
        <w:t>” means each check, draft or other item of payment payable to a Borrower, including those constituting proceeds of any Collateral.</w:t>
      </w:r>
    </w:p>
    <w:p>
      <w:pPr>
        <w:spacing w:after="0" w:line="157" w:lineRule="exact"/>
        <w:rPr>
          <w:sz w:val="20"/>
          <w:szCs w:val="20"/>
          <w:color w:val="auto"/>
        </w:rPr>
      </w:pPr>
    </w:p>
    <w:p>
      <w:pPr>
        <w:jc w:val="both"/>
        <w:ind w:firstLine="629"/>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PBA</w:t>
      </w:r>
      <w:r>
        <w:rPr>
          <w:rFonts w:ascii="Arial" w:cs="Arial" w:eastAsia="Arial" w:hAnsi="Arial"/>
          <w:sz w:val="19"/>
          <w:szCs w:val="19"/>
          <w:color w:val="auto"/>
        </w:rPr>
        <w:t xml:space="preserve">” means the </w:t>
      </w:r>
      <w:r>
        <w:rPr>
          <w:rFonts w:ascii="Arial" w:cs="Arial" w:eastAsia="Arial" w:hAnsi="Arial"/>
          <w:sz w:val="19"/>
          <w:szCs w:val="19"/>
          <w:i w:val="1"/>
          <w:iCs w:val="1"/>
          <w:color w:val="auto"/>
        </w:rPr>
        <w:t>Pension Benefits Act</w:t>
      </w:r>
      <w:r>
        <w:rPr>
          <w:rFonts w:ascii="Arial" w:cs="Arial" w:eastAsia="Arial" w:hAnsi="Arial"/>
          <w:sz w:val="19"/>
          <w:szCs w:val="19"/>
          <w:color w:val="auto"/>
        </w:rPr>
        <w:t xml:space="preserve"> (Ontario), as well as any other applicable minimum pension benefits standards legislation of provincial or federal jurisdiction in Canada.</w:t>
      </w:r>
    </w:p>
    <w:p>
      <w:pPr>
        <w:spacing w:after="0" w:line="157"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PBGC</w:t>
      </w:r>
      <w:r>
        <w:rPr>
          <w:rFonts w:ascii="Arial" w:cs="Arial" w:eastAsia="Arial" w:hAnsi="Arial"/>
          <w:sz w:val="19"/>
          <w:szCs w:val="19"/>
          <w:color w:val="auto"/>
        </w:rPr>
        <w:t>” means the Pension Benefit Guaranty Corporation.</w:t>
      </w:r>
    </w:p>
    <w:p>
      <w:pPr>
        <w:spacing w:after="0" w:line="21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Pension Act</w:t>
      </w:r>
      <w:r>
        <w:rPr>
          <w:rFonts w:ascii="Arial" w:cs="Arial" w:eastAsia="Arial" w:hAnsi="Arial"/>
          <w:sz w:val="19"/>
          <w:szCs w:val="19"/>
          <w:color w:val="auto"/>
        </w:rPr>
        <w:t>” means the Pension Protection Act of 2006.</w:t>
      </w:r>
    </w:p>
    <w:p>
      <w:pPr>
        <w:spacing w:after="0" w:line="214" w:lineRule="exact"/>
        <w:rPr>
          <w:sz w:val="20"/>
          <w:szCs w:val="20"/>
          <w:color w:val="auto"/>
        </w:rPr>
      </w:pPr>
    </w:p>
    <w:p>
      <w:pPr>
        <w:jc w:val="both"/>
        <w:ind w:firstLine="629"/>
        <w:spacing w:after="0" w:line="25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Pension Funding Rules</w:t>
      </w:r>
      <w:r>
        <w:rPr>
          <w:rFonts w:ascii="Arial" w:cs="Arial" w:eastAsia="Arial" w:hAnsi="Arial"/>
          <w:sz w:val="19"/>
          <w:szCs w:val="19"/>
          <w:color w:val="auto"/>
        </w:rPr>
        <w:t>” means the rules of the Code and ERISA regarding minimum required contributions (including any installment payment thereof) to Pension Plans and Multiemployer Plans and set forth in, with respect to plan years ending prior to the effective date of the Pension Act, Section 412 of the Code and Section 302 of ERISA, each as in effect prior to the Pension Act and, thereafter, Section 412, 430, 431, 432 and 436 of the Code and Sections 302, 303, 304 and 305 of ERISA.</w:t>
      </w:r>
    </w:p>
    <w:p>
      <w:pPr>
        <w:spacing w:after="0" w:line="177" w:lineRule="exact"/>
        <w:rPr>
          <w:sz w:val="20"/>
          <w:szCs w:val="20"/>
          <w:color w:val="auto"/>
        </w:rPr>
      </w:pPr>
    </w:p>
    <w:p>
      <w:pPr>
        <w:jc w:val="both"/>
        <w:ind w:firstLine="629"/>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Pension Plan</w:t>
      </w:r>
      <w:r>
        <w:rPr>
          <w:rFonts w:ascii="Arial" w:cs="Arial" w:eastAsia="Arial" w:hAnsi="Arial"/>
          <w:sz w:val="19"/>
          <w:szCs w:val="19"/>
          <w:color w:val="auto"/>
        </w:rPr>
        <w:t>” means any employee pension benefit plan (including a Multiple Employer Plan or a Multiemployer Plan) that is maintained or is contributed to by any Loan Party and any ERISA Affiliate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48</w:t>
      </w:r>
    </w:p>
    <w:p>
      <w:pPr>
        <w:sectPr>
          <w:pgSz w:w="11900" w:h="16838" w:orient="portrait"/>
          <w:cols w:equalWidth="0" w:num="1">
            <w:col w:w="11240"/>
          </w:cols>
          <w:pgMar w:left="320" w:top="1382" w:right="339" w:bottom="1440" w:gutter="0" w:footer="0" w:header="0"/>
        </w:sectPr>
      </w:pPr>
    </w:p>
    <w:bookmarkStart w:id="167" w:name="page168"/>
    <w:bookmarkEnd w:id="167"/>
    <w:p>
      <w:pPr>
        <w:spacing w:after="0"/>
        <w:rPr>
          <w:sz w:val="20"/>
          <w:szCs w:val="20"/>
          <w:color w:val="auto"/>
        </w:rPr>
      </w:pPr>
      <w:r>
        <w:rPr>
          <w:rFonts w:ascii="Arial" w:cs="Arial" w:eastAsia="Arial" w:hAnsi="Arial"/>
          <w:sz w:val="19"/>
          <w:szCs w:val="19"/>
          <w:color w:val="auto"/>
        </w:rPr>
        <w:t>and is either covered by Title IV of ERISA or is subject to the minimum funding standards under Section 412 of the Code.</w:t>
      </w:r>
    </w:p>
    <w:p>
      <w:pPr>
        <w:spacing w:after="0" w:line="21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Acquisition</w:t>
      </w:r>
      <w:r>
        <w:rPr>
          <w:rFonts w:ascii="Arial" w:cs="Arial" w:eastAsia="Arial" w:hAnsi="Arial"/>
          <w:sz w:val="19"/>
          <w:szCs w:val="19"/>
          <w:color w:val="auto"/>
        </w:rPr>
        <w:t>” means any Acquisition by a Loan Party with respect to which:</w:t>
      </w:r>
    </w:p>
    <w:p>
      <w:pPr>
        <w:spacing w:after="0" w:line="214" w:lineRule="exact"/>
        <w:rPr>
          <w:sz w:val="20"/>
          <w:szCs w:val="20"/>
          <w:color w:val="auto"/>
        </w:rPr>
      </w:pPr>
    </w:p>
    <w:p>
      <w:pPr>
        <w:ind w:firstLine="634"/>
        <w:spacing w:after="0" w:line="302" w:lineRule="auto"/>
        <w:tabs>
          <w:tab w:leader="none" w:pos="1249"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Person to be (or whose assets are to be) acquired does not oppose such Acquisition and the line or lines of business of the Person to be acquired constitute Core Businesses and had positive EBITDA for the 12 month period most recently ended;</w:t>
      </w:r>
    </w:p>
    <w:p>
      <w:pPr>
        <w:spacing w:after="0" w:line="134" w:lineRule="exact"/>
        <w:rPr>
          <w:rFonts w:ascii="Arial" w:cs="Arial" w:eastAsia="Arial" w:hAnsi="Arial"/>
          <w:sz w:val="18"/>
          <w:szCs w:val="18"/>
          <w:color w:val="auto"/>
        </w:rPr>
      </w:pPr>
    </w:p>
    <w:p>
      <w:pPr>
        <w:jc w:val="both"/>
        <w:ind w:firstLine="634"/>
        <w:spacing w:after="0" w:line="269" w:lineRule="auto"/>
        <w:tabs>
          <w:tab w:leader="none" w:pos="1247"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cost of such Acquisition (including cash and other property (other than Equity Interests or options to acquire Equity Interests of any Loan Party) given as consideration, any Indebtedness incurred, assumed or acquired by any Loan Party or any Restricted Subsidiary in connection with such Acquisition, and all additional purchase price amounts in the form of earnouts and other contingent obligations calculated at the maximum potential amount thereof) does not exceed the Dollar Equivalent of $10,000,000 individually and the Dollar Equivalent of $25,000,000 when aggregated with all other Acquisitions consummated during the term of this Agreement;</w:t>
      </w:r>
    </w:p>
    <w:p>
      <w:pPr>
        <w:spacing w:after="0" w:line="164" w:lineRule="exact"/>
        <w:rPr>
          <w:rFonts w:ascii="Arial" w:cs="Arial" w:eastAsia="Arial" w:hAnsi="Arial"/>
          <w:sz w:val="18"/>
          <w:szCs w:val="18"/>
          <w:color w:val="auto"/>
        </w:rPr>
      </w:pPr>
    </w:p>
    <w:p>
      <w:pPr>
        <w:jc w:val="both"/>
        <w:ind w:firstLine="634"/>
        <w:spacing w:after="0" w:line="269" w:lineRule="auto"/>
        <w:tabs>
          <w:tab w:leader="none" w:pos="1249"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after giving effect to such Acquisition on a Pro Forma Basis and the costs related thereto (including cash and other property (other than Equity Interests or options to acquire Equity Interests of any Loan Party) given as consideration, any Indebtedness incurred, assumed or acquired by any Loan Party or any Restricted Subsidiary in connection with such Acquisition, all additional purchase price amounts in the form of earnouts and other contingent obligation calculated at the maximum potential amount thereof, and all fees expenses and transaction costs incurred in connection therewith), the Payment Conditions shall have been met with respect thereto;</w:t>
      </w:r>
    </w:p>
    <w:p>
      <w:pPr>
        <w:spacing w:after="0" w:line="164" w:lineRule="exact"/>
        <w:rPr>
          <w:rFonts w:ascii="Arial" w:cs="Arial" w:eastAsia="Arial" w:hAnsi="Arial"/>
          <w:sz w:val="18"/>
          <w:szCs w:val="18"/>
          <w:color w:val="auto"/>
        </w:rPr>
      </w:pPr>
    </w:p>
    <w:p>
      <w:pPr>
        <w:jc w:val="both"/>
        <w:ind w:firstLine="634"/>
        <w:spacing w:after="0" w:line="269" w:lineRule="auto"/>
        <w:tabs>
          <w:tab w:leader="none" w:pos="1247"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Borrower Agent shall have furnished to the Administrative Agent at least five (5) Business Days prior to the date on which any such Acquisition is to be consummated or such shorter time as Administrative Agent may allow, a certificate of a Responsible Officer of the Borrower Agent, in form and substance reasonably satisfactory to the Administrative Agent, (i) certifying that all of the requirements set forth above will be satisfied on or prior to the consummation of such Acquisition and (ii) a reasonably detailed calculation of item (b) above (and such certificate shall be updated as necessary to make it accurate as of the date the Acquisition is consummated); and</w:t>
      </w:r>
    </w:p>
    <w:p>
      <w:pPr>
        <w:spacing w:after="0" w:line="164" w:lineRule="exact"/>
        <w:rPr>
          <w:rFonts w:ascii="Arial" w:cs="Arial" w:eastAsia="Arial" w:hAnsi="Arial"/>
          <w:sz w:val="18"/>
          <w:szCs w:val="18"/>
          <w:color w:val="auto"/>
        </w:rPr>
      </w:pPr>
    </w:p>
    <w:p>
      <w:pPr>
        <w:jc w:val="both"/>
        <w:ind w:firstLine="634"/>
        <w:spacing w:after="0" w:line="285" w:lineRule="auto"/>
        <w:tabs>
          <w:tab w:leader="none" w:pos="1249" w:val="left"/>
        </w:tabs>
        <w:numPr>
          <w:ilvl w:val="0"/>
          <w:numId w:val="110"/>
        </w:numPr>
        <w:rPr>
          <w:rFonts w:ascii="Arial" w:cs="Arial" w:eastAsia="Arial" w:hAnsi="Arial"/>
          <w:sz w:val="17"/>
          <w:szCs w:val="17"/>
          <w:color w:val="auto"/>
        </w:rPr>
      </w:pPr>
      <w:r>
        <w:rPr>
          <w:rFonts w:ascii="Arial" w:cs="Arial" w:eastAsia="Arial" w:hAnsi="Arial"/>
          <w:sz w:val="17"/>
          <w:szCs w:val="17"/>
          <w:color w:val="auto"/>
        </w:rPr>
        <w:t>the Borrower Agent shall have furnished the Administrative Agent with ten (10) days’ prior written notice of such intended Acquisition and shall have furnished the Administrative Agent with a current draft of the applicable acquisition documents (and final copies thereof as and when executed), and to the extent available, appropriate financial statements of the Person which is the subject of such Acquisition, pro forma projected financial statements for the twelve (12) month period following such Acquisition after giving effect to such Acquisition (including balance sheets, cash flows and income statements by month for the acquired Person, individually, and on a Consolidated basis with all Loan Parties), and, to the extent available, such other information as the Administrative Agent may reasonably request.</w:t>
      </w:r>
    </w:p>
    <w:p>
      <w:pPr>
        <w:spacing w:after="0" w:line="15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Liens</w:t>
      </w:r>
      <w:r>
        <w:rPr>
          <w:rFonts w:ascii="Arial" w:cs="Arial" w:eastAsia="Arial" w:hAnsi="Arial"/>
          <w:sz w:val="19"/>
          <w:szCs w:val="19"/>
          <w:color w:val="auto"/>
        </w:rPr>
        <w:t xml:space="preserve">” has the meaning specified in </w:t>
      </w:r>
      <w:r>
        <w:rPr>
          <w:rFonts w:ascii="Arial" w:cs="Arial" w:eastAsia="Arial" w:hAnsi="Arial"/>
          <w:sz w:val="19"/>
          <w:szCs w:val="19"/>
          <w:u w:val="single" w:color="auto"/>
          <w:color w:val="auto"/>
        </w:rPr>
        <w:t>Section 8.02</w:t>
      </w:r>
      <w:r>
        <w:rPr>
          <w:rFonts w:ascii="Arial" w:cs="Arial" w:eastAsia="Arial" w:hAnsi="Arial"/>
          <w:sz w:val="19"/>
          <w:szCs w:val="19"/>
          <w:color w:val="auto"/>
        </w:rPr>
        <w:t>.</w:t>
      </w:r>
    </w:p>
    <w:p>
      <w:pPr>
        <w:spacing w:after="0" w:line="214" w:lineRule="exact"/>
        <w:rPr>
          <w:sz w:val="20"/>
          <w:szCs w:val="20"/>
          <w:color w:val="auto"/>
        </w:rPr>
      </w:pPr>
    </w:p>
    <w:p>
      <w:pPr>
        <w:ind w:firstLine="629"/>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Person</w:t>
      </w:r>
      <w:r>
        <w:rPr>
          <w:rFonts w:ascii="Arial" w:cs="Arial" w:eastAsia="Arial" w:hAnsi="Arial"/>
          <w:sz w:val="19"/>
          <w:szCs w:val="19"/>
          <w:color w:val="auto"/>
        </w:rPr>
        <w:t>” means any natural person, corporation, limited liability company, unlimited liability company, trust, joint venture, association, company, partnership, Governmental Authority or other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49</w:t>
      </w:r>
    </w:p>
    <w:p>
      <w:pPr>
        <w:sectPr>
          <w:pgSz w:w="11900" w:h="16838" w:orient="portrait"/>
          <w:cols w:equalWidth="0" w:num="1">
            <w:col w:w="11240"/>
          </w:cols>
          <w:pgMar w:left="320" w:top="1382" w:right="339" w:bottom="1440" w:gutter="0" w:footer="0" w:header="0"/>
        </w:sectPr>
      </w:pPr>
    </w:p>
    <w:bookmarkStart w:id="168" w:name="page169"/>
    <w:bookmarkEnd w:id="168"/>
    <w:p>
      <w:pPr>
        <w:jc w:val="both"/>
        <w:ind w:firstLine="629"/>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Plan</w:t>
      </w:r>
      <w:r>
        <w:rPr>
          <w:rFonts w:ascii="Arial" w:cs="Arial" w:eastAsia="Arial" w:hAnsi="Arial"/>
          <w:sz w:val="19"/>
          <w:szCs w:val="19"/>
          <w:color w:val="auto"/>
        </w:rPr>
        <w:t>” means any employee benefit plan within the meaning of Section 3(3) of ERISA (including a Pension Plan), maintained for employees of any Loan Party or any ERISA Affiliate or any such Plan to which any Loan Party or any ERISA Affiliate is required to contribute on behalf of any of its employees.</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Platform</w:t>
      </w:r>
      <w:r>
        <w:rPr>
          <w:rFonts w:ascii="Arial" w:cs="Arial" w:eastAsia="Arial" w:hAnsi="Arial"/>
          <w:sz w:val="19"/>
          <w:szCs w:val="19"/>
          <w:color w:val="auto"/>
        </w:rPr>
        <w:t xml:space="preserve">” has the meaning specified in </w:t>
      </w:r>
      <w:r>
        <w:rPr>
          <w:rFonts w:ascii="Arial" w:cs="Arial" w:eastAsia="Arial" w:hAnsi="Arial"/>
          <w:sz w:val="19"/>
          <w:szCs w:val="19"/>
          <w:u w:val="single" w:color="auto"/>
          <w:color w:val="auto"/>
        </w:rPr>
        <w:t>Section 7.02</w:t>
      </w:r>
      <w:r>
        <w:rPr>
          <w:rFonts w:ascii="Arial" w:cs="Arial" w:eastAsia="Arial" w:hAnsi="Arial"/>
          <w:sz w:val="19"/>
          <w:szCs w:val="19"/>
          <w:color w:val="auto"/>
        </w:rPr>
        <w:t>.</w:t>
      </w:r>
    </w:p>
    <w:p>
      <w:pPr>
        <w:spacing w:after="0" w:line="214" w:lineRule="exact"/>
        <w:rPr>
          <w:sz w:val="20"/>
          <w:szCs w:val="20"/>
          <w:color w:val="auto"/>
        </w:rPr>
      </w:pPr>
    </w:p>
    <w:p>
      <w:pPr>
        <w:jc w:val="both"/>
        <w:ind w:firstLine="629"/>
        <w:spacing w:after="0" w:line="24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PPSA</w:t>
      </w:r>
      <w:r>
        <w:rPr>
          <w:rFonts w:ascii="Arial" w:cs="Arial" w:eastAsia="Arial" w:hAnsi="Arial"/>
          <w:sz w:val="19"/>
          <w:szCs w:val="19"/>
          <w:color w:val="auto"/>
        </w:rPr>
        <w:t>” means the Personal Property Security Act (Ontario) (and other equivalent personal property security legislation in any other applicable Canadian province or territory) and the regulations thereunder, as from time to time in effect, provided, however, if attachment, perfection or priority of any Secured Party’s security interest in any Collateral is governed by the personal property security laws of any jurisdiction in Canada other than Ontario, with respect to such Collateral, PPSA shall mean those personal property security laws in such other jurisdiction of Canada (including the Civil Code of Québec and the regulation respecting the register of personal and movable real rights thereunder) for the purposes of the provisions hereof relating to such attachment, perfection or priority and for the definitions related to such provisions.</w:t>
      </w:r>
    </w:p>
    <w:p>
      <w:pPr>
        <w:spacing w:after="0" w:line="184" w:lineRule="exact"/>
        <w:rPr>
          <w:sz w:val="20"/>
          <w:szCs w:val="20"/>
          <w:color w:val="auto"/>
        </w:rPr>
      </w:pPr>
    </w:p>
    <w:p>
      <w:pPr>
        <w:jc w:val="both"/>
        <w:ind w:firstLine="629"/>
        <w:spacing w:after="0" w:line="25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Priority Swap Obligations</w:t>
      </w:r>
      <w:r>
        <w:rPr>
          <w:rFonts w:ascii="Arial" w:cs="Arial" w:eastAsia="Arial" w:hAnsi="Arial"/>
          <w:sz w:val="19"/>
          <w:szCs w:val="19"/>
          <w:color w:val="auto"/>
        </w:rPr>
        <w:t>” means Credit Product Obligations under Swap Contracts (a) owing to BMO or its Affiliates (so long as BMO (in its discretion) shall have established a Credit Product Reserve with respect thereto) or (b) owing to any other Credit Product Provider and expressly identified as “Priority Swap Obligations” in a Credit Product Notice from the Borrower Agent and such Credit Product Provider to the Administrative Agent (which at all times shall be subject to a Credit Product Reserve).</w:t>
      </w:r>
    </w:p>
    <w:p>
      <w:pPr>
        <w:spacing w:after="0" w:line="177" w:lineRule="exact"/>
        <w:rPr>
          <w:sz w:val="20"/>
          <w:szCs w:val="20"/>
          <w:color w:val="auto"/>
        </w:rPr>
      </w:pPr>
    </w:p>
    <w:p>
      <w:pPr>
        <w:jc w:val="both"/>
        <w:ind w:firstLine="629"/>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Pro Forma Adjustment</w:t>
      </w:r>
      <w:r>
        <w:rPr>
          <w:rFonts w:ascii="Arial" w:cs="Arial" w:eastAsia="Arial" w:hAnsi="Arial"/>
          <w:sz w:val="17"/>
          <w:szCs w:val="17"/>
          <w:color w:val="auto"/>
        </w:rPr>
        <w:t>” means, for the purposes of calculating Consolidated EBITDA for any Measurement Period, if at any time during such Measurement Period any Borrower or any of its Restricted Subsidiaries shall have made a Permitted Acquisition or Disposition, Consolidated EBITDA for such Measurement Period shall be calculated after giving pro forma effect thereto as if any such Permitted Acquisition or Disposition occurred on the first day of such Measurement Period, including (a) with respect to an any Permitted Acquisition, inclusion of (i) the actual historical results of operation of such acquired Person or line of business during such Measurement Period and (ii) pro forma adjustments arising out of events which are directly attributable to such Permitted Acquisition, are factually supportable, and are expected to have a continuing impact, in each case determined on a basis consistent with Article 11 of Regulation SX promulgated under the Securities Act and as interpreted by the staff of the SEC and acceptable to the Administrative Agent and (b) with respect to any Disposition, exclusion of the actual historical results of operations of the disposed of Person or line of business or assets during such Measurement Period.</w:t>
      </w:r>
    </w:p>
    <w:p>
      <w:pPr>
        <w:spacing w:after="0" w:line="156" w:lineRule="exact"/>
        <w:rPr>
          <w:sz w:val="20"/>
          <w:szCs w:val="20"/>
          <w:color w:val="auto"/>
        </w:rPr>
      </w:pPr>
    </w:p>
    <w:p>
      <w:pPr>
        <w:jc w:val="both"/>
        <w:ind w:firstLine="629"/>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Pro Forma Basis</w:t>
      </w:r>
      <w:r>
        <w:rPr>
          <w:rFonts w:ascii="Arial" w:cs="Arial" w:eastAsia="Arial" w:hAnsi="Arial"/>
          <w:sz w:val="19"/>
          <w:szCs w:val="19"/>
          <w:color w:val="auto"/>
        </w:rPr>
        <w:t>,” “</w:t>
      </w:r>
      <w:r>
        <w:rPr>
          <w:rFonts w:ascii="Arial" w:cs="Arial" w:eastAsia="Arial" w:hAnsi="Arial"/>
          <w:sz w:val="19"/>
          <w:szCs w:val="19"/>
          <w:u w:val="single" w:color="auto"/>
          <w:color w:val="auto"/>
        </w:rPr>
        <w:t>Pro Forma Compliance</w:t>
      </w:r>
      <w:r>
        <w:rPr>
          <w:rFonts w:ascii="Arial" w:cs="Arial" w:eastAsia="Arial" w:hAnsi="Arial"/>
          <w:sz w:val="19"/>
          <w:szCs w:val="19"/>
          <w:color w:val="auto"/>
        </w:rPr>
        <w:t>” and “</w:t>
      </w:r>
      <w:r>
        <w:rPr>
          <w:rFonts w:ascii="Arial" w:cs="Arial" w:eastAsia="Arial" w:hAnsi="Arial"/>
          <w:sz w:val="19"/>
          <w:szCs w:val="19"/>
          <w:u w:val="single" w:color="auto"/>
          <w:color w:val="auto"/>
        </w:rPr>
        <w:t>Pro Forma Effect</w:t>
      </w:r>
      <w:r>
        <w:rPr>
          <w:rFonts w:ascii="Arial" w:cs="Arial" w:eastAsia="Arial" w:hAnsi="Arial"/>
          <w:sz w:val="19"/>
          <w:szCs w:val="19"/>
          <w:color w:val="auto"/>
        </w:rPr>
        <w:t>” means, with respect to compliance with any applicable test, financial ratio or covenant hereunder, that (without duplication):</w:t>
      </w:r>
    </w:p>
    <w:p>
      <w:pPr>
        <w:spacing w:after="0" w:line="157" w:lineRule="exact"/>
        <w:rPr>
          <w:sz w:val="20"/>
          <w:szCs w:val="20"/>
          <w:color w:val="auto"/>
        </w:rPr>
      </w:pPr>
    </w:p>
    <w:p>
      <w:pPr>
        <w:ind w:left="1260" w:hanging="626"/>
        <w:spacing w:after="0"/>
        <w:tabs>
          <w:tab w:leader="none" w:pos="1260" w:val="left"/>
        </w:tabs>
        <w:numPr>
          <w:ilvl w:val="0"/>
          <w:numId w:val="111"/>
        </w:numPr>
        <w:rPr>
          <w:rFonts w:ascii="Arial" w:cs="Arial" w:eastAsia="Arial" w:hAnsi="Arial"/>
          <w:sz w:val="19"/>
          <w:szCs w:val="19"/>
          <w:color w:val="auto"/>
        </w:rPr>
      </w:pPr>
      <w:r>
        <w:rPr>
          <w:rFonts w:ascii="Arial" w:cs="Arial" w:eastAsia="Arial" w:hAnsi="Arial"/>
          <w:sz w:val="19"/>
          <w:szCs w:val="19"/>
          <w:color w:val="auto"/>
        </w:rPr>
        <w:t>the Pro Forma Adjustment shall have been made, to the extent applicable;</w:t>
      </w:r>
    </w:p>
    <w:p>
      <w:pPr>
        <w:spacing w:after="0" w:line="214" w:lineRule="exact"/>
        <w:rPr>
          <w:rFonts w:ascii="Arial" w:cs="Arial" w:eastAsia="Arial" w:hAnsi="Arial"/>
          <w:sz w:val="19"/>
          <w:szCs w:val="19"/>
          <w:color w:val="auto"/>
        </w:rPr>
      </w:pPr>
    </w:p>
    <w:p>
      <w:pPr>
        <w:jc w:val="both"/>
        <w:ind w:firstLine="634"/>
        <w:spacing w:after="0" w:line="252" w:lineRule="auto"/>
        <w:tabs>
          <w:tab w:leader="none" w:pos="1309" w:val="left"/>
        </w:tabs>
        <w:numPr>
          <w:ilvl w:val="0"/>
          <w:numId w:val="111"/>
        </w:numPr>
        <w:rPr>
          <w:rFonts w:ascii="Arial" w:cs="Arial" w:eastAsia="Arial" w:hAnsi="Arial"/>
          <w:sz w:val="19"/>
          <w:szCs w:val="19"/>
          <w:color w:val="auto"/>
        </w:rPr>
      </w:pPr>
      <w:r>
        <w:rPr>
          <w:rFonts w:ascii="Arial" w:cs="Arial" w:eastAsia="Arial" w:hAnsi="Arial"/>
          <w:sz w:val="19"/>
          <w:szCs w:val="19"/>
          <w:color w:val="auto"/>
        </w:rPr>
        <w:t>all Specified Pro Forma Transactions that have been made during the applicable period of measurement or subsequent to such period and prior to or simultaneously with the event for which the calculation is made (the period beginning on the first day of such period of measurement and continuing until the date of the consummation of such event, the “</w:t>
      </w:r>
      <w:r>
        <w:rPr>
          <w:rFonts w:ascii="Arial" w:cs="Arial" w:eastAsia="Arial" w:hAnsi="Arial"/>
          <w:sz w:val="19"/>
          <w:szCs w:val="19"/>
          <w:u w:val="single" w:color="auto"/>
          <w:color w:val="auto"/>
        </w:rPr>
        <w:t>Reference Period</w:t>
      </w:r>
      <w:r>
        <w:rPr>
          <w:rFonts w:ascii="Arial" w:cs="Arial" w:eastAsia="Arial" w:hAnsi="Arial"/>
          <w:sz w:val="19"/>
          <w:szCs w:val="19"/>
          <w:color w:val="auto"/>
        </w:rPr>
        <w:t xml:space="preserve">”) shall be deemed to have occurred as of the first day of the applicable Reference Period; </w:t>
      </w:r>
      <w:r>
        <w:rPr>
          <w:rFonts w:ascii="Arial" w:cs="Arial" w:eastAsia="Arial" w:hAnsi="Arial"/>
          <w:sz w:val="19"/>
          <w:szCs w:val="19"/>
          <w:u w:val="single" w:color="auto"/>
          <w:color w:val="auto"/>
        </w:rPr>
        <w:t>provided that</w:t>
      </w:r>
      <w:r>
        <w:rPr>
          <w:rFonts w:ascii="Arial" w:cs="Arial" w:eastAsia="Arial" w:hAnsi="Arial"/>
          <w:sz w:val="19"/>
          <w:szCs w:val="19"/>
          <w:color w:val="auto"/>
        </w:rPr>
        <w:t xml:space="preserve"> (i) income statement items (whether positive or negative) attributable to the property or Person subject to such Specified Pro Forma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50</w:t>
      </w:r>
    </w:p>
    <w:p>
      <w:pPr>
        <w:sectPr>
          <w:pgSz w:w="11900" w:h="16838" w:orient="portrait"/>
          <w:cols w:equalWidth="0" w:num="1">
            <w:col w:w="11240"/>
          </w:cols>
          <w:pgMar w:left="320" w:top="1381" w:right="339" w:bottom="1440" w:gutter="0" w:footer="0" w:header="0"/>
        </w:sectPr>
      </w:pPr>
    </w:p>
    <w:bookmarkStart w:id="169" w:name="page170"/>
    <w:bookmarkEnd w:id="169"/>
    <w:p>
      <w:pPr>
        <w:jc w:val="both"/>
        <w:spacing w:after="0" w:line="263" w:lineRule="auto"/>
        <w:rPr>
          <w:sz w:val="20"/>
          <w:szCs w:val="20"/>
          <w:color w:val="auto"/>
        </w:rPr>
      </w:pPr>
      <w:r>
        <w:rPr>
          <w:rFonts w:ascii="Arial" w:cs="Arial" w:eastAsia="Arial" w:hAnsi="Arial"/>
          <w:sz w:val="18"/>
          <w:szCs w:val="18"/>
          <w:color w:val="auto"/>
        </w:rPr>
        <w:t xml:space="preserve">Transaction, (A) shall be excluded in the case of a Disposition of all or substantially all Equity Interests in or assets of any Loan Party or its Subsidiaries or any division, product line, or facility used for operations of the Loan Parties or their Subsidiaries, and (B) shall be included in the case of a Permitted Acquisition or Investment described in the definition of Specified Pro Forma Transaction, and (ii) all Indebtedness issued, incurred or assumed as a result of, or to finance, any Specified Pro Forma Transaction or permanently repaid in connection with any Specified Pro Forma Transaction during the Reference Period shall be deemed to have been issued, incurred, assumed or permanently repaid at the beginning of such Reference Period (with interest expense of such Person attributable to any Indebtedness for which pro forma effect is being given as provided in preceding </w:t>
      </w:r>
      <w:r>
        <w:rPr>
          <w:rFonts w:ascii="Arial" w:cs="Arial" w:eastAsia="Arial" w:hAnsi="Arial"/>
          <w:sz w:val="18"/>
          <w:szCs w:val="18"/>
          <w:u w:val="single" w:color="auto"/>
          <w:color w:val="auto"/>
        </w:rPr>
        <w:t>clause (ii)</w:t>
      </w:r>
      <w:r>
        <w:rPr>
          <w:rFonts w:ascii="Arial" w:cs="Arial" w:eastAsia="Arial" w:hAnsi="Arial"/>
          <w:sz w:val="18"/>
          <w:szCs w:val="18"/>
          <w:color w:val="auto"/>
        </w:rPr>
        <w:t xml:space="preserve"> that has a floating or formula rate, shall have an implied rate of interest for the applicable Reference Period determined by utilizing the rate that is or would be in effect with respect to such Indebtedness as at the relevant date of determination);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the foregoing pro forma adjustments may be applied to any such test, financial ratio or covenant solely to the extent that such adjustments are consistent with the definition of Consolidated EBITDA and the definition of Pro Forma Adjustment;</w:t>
      </w:r>
    </w:p>
    <w:p>
      <w:pPr>
        <w:spacing w:after="0" w:line="171" w:lineRule="exact"/>
        <w:rPr>
          <w:sz w:val="20"/>
          <w:szCs w:val="20"/>
          <w:color w:val="auto"/>
        </w:rPr>
      </w:pPr>
    </w:p>
    <w:p>
      <w:pPr>
        <w:jc w:val="both"/>
        <w:ind w:firstLine="634"/>
        <w:spacing w:after="0" w:line="269" w:lineRule="auto"/>
        <w:tabs>
          <w:tab w:leader="none" w:pos="1249" w:val="left"/>
        </w:tabs>
        <w:numPr>
          <w:ilvl w:val="0"/>
          <w:numId w:val="112"/>
        </w:numPr>
        <w:rPr>
          <w:rFonts w:ascii="Arial" w:cs="Arial" w:eastAsia="Arial" w:hAnsi="Arial"/>
          <w:sz w:val="18"/>
          <w:szCs w:val="18"/>
          <w:color w:val="auto"/>
        </w:rPr>
      </w:pPr>
      <w:r>
        <w:rPr>
          <w:rFonts w:ascii="Arial" w:cs="Arial" w:eastAsia="Arial" w:hAnsi="Arial"/>
          <w:sz w:val="18"/>
          <w:szCs w:val="18"/>
          <w:color w:val="auto"/>
        </w:rPr>
        <w:t>with respect to any calculation of Availability on a pro forma basis (i) for any period or as of any specified time pursuant to any provision hereunder, the determination or calculation of Availability shall be made giving pro forma effect to all funds utilized in connection with the consummation of Specified Transactions as if funded with Loans hereunder on the date of such Specified Transactions and on each date of the period being so tested and (ii) for any Permitted Acquisition, the calculation of consideration paid in connection with such Acquisition shall include all earn-out obligations, if any, in connection therewith, calculated at the maximum potential amount thereof; and</w:t>
      </w:r>
    </w:p>
    <w:p>
      <w:pPr>
        <w:spacing w:after="0" w:line="164" w:lineRule="exact"/>
        <w:rPr>
          <w:rFonts w:ascii="Arial" w:cs="Arial" w:eastAsia="Arial" w:hAnsi="Arial"/>
          <w:sz w:val="18"/>
          <w:szCs w:val="18"/>
          <w:color w:val="auto"/>
        </w:rPr>
      </w:pPr>
    </w:p>
    <w:p>
      <w:pPr>
        <w:jc w:val="both"/>
        <w:ind w:firstLine="634"/>
        <w:spacing w:after="0" w:line="269" w:lineRule="auto"/>
        <w:tabs>
          <w:tab w:leader="none" w:pos="1247" w:val="left"/>
        </w:tabs>
        <w:numPr>
          <w:ilvl w:val="0"/>
          <w:numId w:val="112"/>
        </w:numPr>
        <w:rPr>
          <w:rFonts w:ascii="Arial" w:cs="Arial" w:eastAsia="Arial" w:hAnsi="Arial"/>
          <w:sz w:val="18"/>
          <w:szCs w:val="18"/>
          <w:color w:val="auto"/>
        </w:rPr>
      </w:pPr>
      <w:r>
        <w:rPr>
          <w:rFonts w:ascii="Arial" w:cs="Arial" w:eastAsia="Arial" w:hAnsi="Arial"/>
          <w:sz w:val="18"/>
          <w:szCs w:val="18"/>
          <w:color w:val="auto"/>
        </w:rPr>
        <w:t>for the purposes of calculating the Consolidated Fixed Charge Coverage Ratio for any Measurement Period on a Pro Forma Basis for determining compliance with the Payment Conditions with respect to any Specified Debt Payment or Specified Restricted Payment, the amount of any proposed Specified Debt Payment and/or any proposed Specified Restricted Payment, together with all other such payments made (or to be simultaneously or contemporaneously made) during such Measurement Period based on compliance with the Payment Conditions, shall be included in the definition of “Consolidated Fixed Charges” for such determination.</w:t>
      </w:r>
    </w:p>
    <w:p>
      <w:pPr>
        <w:spacing w:after="0" w:line="164" w:lineRule="exact"/>
        <w:rPr>
          <w:sz w:val="20"/>
          <w:szCs w:val="20"/>
          <w:color w:val="auto"/>
        </w:rPr>
      </w:pPr>
    </w:p>
    <w:p>
      <w:pPr>
        <w:jc w:val="both"/>
        <w:spacing w:after="0" w:line="254" w:lineRule="auto"/>
        <w:rPr>
          <w:sz w:val="20"/>
          <w:szCs w:val="20"/>
          <w:color w:val="auto"/>
        </w:rPr>
      </w:pPr>
      <w:r>
        <w:rPr>
          <w:rFonts w:ascii="Arial" w:cs="Arial" w:eastAsia="Arial" w:hAnsi="Arial"/>
          <w:sz w:val="19"/>
          <w:szCs w:val="19"/>
          <w:color w:val="auto"/>
        </w:rPr>
        <w:t>Whenever any provision of this Agreement requires the Borrowers to be in compliance on a Pro Forma Basis (or in Pro Forma Compliance) with a specified level of Availability or specified Consolidated Fixed Charge Coverage Ratio in connection with any action to be taken by any Loan Party or any Restricted Subsidiary, the Borrower Agent shall deliver to the Administrative Agent a certificate of a Senior Officer setting forth in reasonable detail the calculations demonstrating such compliance.</w:t>
      </w:r>
    </w:p>
    <w:p>
      <w:pPr>
        <w:spacing w:after="0" w:line="177" w:lineRule="exact"/>
        <w:rPr>
          <w:sz w:val="20"/>
          <w:szCs w:val="20"/>
          <w:color w:val="auto"/>
        </w:rPr>
      </w:pPr>
    </w:p>
    <w:p>
      <w:pPr>
        <w:jc w:val="both"/>
        <w:ind w:firstLine="629"/>
        <w:spacing w:after="0" w:line="26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Properly Contested</w:t>
      </w:r>
      <w:r>
        <w:rPr>
          <w:rFonts w:ascii="Arial" w:cs="Arial" w:eastAsia="Arial" w:hAnsi="Arial"/>
          <w:sz w:val="18"/>
          <w:szCs w:val="18"/>
          <w:color w:val="auto"/>
        </w:rPr>
        <w:t>” means with respect to any obligation of a Loan Party, (a) the obligation is subject to a bona fide dispute regarding amount or such Loan Party’s liability to pay; (b) the obligation is being properly contested in good faith by appropriate proceedings promptly instituted and diligently pursued; (c) appropriate reserves have been established in accordance with GAAP; (d) non-payment could not have a Material Adverse Effect, nor result in forfeiture or sale of any assets of a Loan Party; (e) no Lien is imposed on assets of a Loan Party, unless bonded and stayed to the satisfaction of the Administrative Agent; (f) if the obligation results from entry of a judgment or other order, such judgment or order is stayed pending appeal or other judicial review; and (g) no Account related to any Bonding Obligation where such Bonding Obligation is being Properly Contested may be included within the Borrowing Base.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51</w:t>
      </w:r>
    </w:p>
    <w:p>
      <w:pPr>
        <w:sectPr>
          <w:pgSz w:w="11900" w:h="16838" w:orient="portrait"/>
          <w:cols w:equalWidth="0" w:num="1">
            <w:col w:w="11240"/>
          </w:cols>
          <w:pgMar w:left="320" w:top="1382" w:right="339" w:bottom="1440" w:gutter="0" w:footer="0" w:header="0"/>
        </w:sectPr>
      </w:pPr>
    </w:p>
    <w:bookmarkStart w:id="170" w:name="page171"/>
    <w:bookmarkEnd w:id="170"/>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Protective Advance</w:t>
      </w:r>
      <w:r>
        <w:rPr>
          <w:rFonts w:ascii="Arial" w:cs="Arial" w:eastAsia="Arial" w:hAnsi="Arial"/>
          <w:sz w:val="19"/>
          <w:szCs w:val="19"/>
          <w:color w:val="auto"/>
        </w:rPr>
        <w:t xml:space="preserve">” has the meaning specified in </w:t>
      </w:r>
      <w:r>
        <w:rPr>
          <w:rFonts w:ascii="Arial" w:cs="Arial" w:eastAsia="Arial" w:hAnsi="Arial"/>
          <w:sz w:val="19"/>
          <w:szCs w:val="19"/>
          <w:u w:val="single" w:color="auto"/>
          <w:color w:val="auto"/>
        </w:rPr>
        <w:t>Section 2.01(c)(ii)(A)</w:t>
      </w:r>
      <w:r>
        <w:rPr>
          <w:rFonts w:ascii="Arial" w:cs="Arial" w:eastAsia="Arial" w:hAnsi="Arial"/>
          <w:sz w:val="19"/>
          <w:szCs w:val="19"/>
          <w:color w:val="auto"/>
        </w:rPr>
        <w:t>.</w:t>
      </w:r>
    </w:p>
    <w:p>
      <w:pPr>
        <w:spacing w:after="0" w:line="214" w:lineRule="exact"/>
        <w:rPr>
          <w:sz w:val="20"/>
          <w:szCs w:val="20"/>
          <w:color w:val="auto"/>
        </w:rPr>
      </w:pPr>
    </w:p>
    <w:p>
      <w:pPr>
        <w:jc w:val="both"/>
        <w:ind w:firstLine="629"/>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PTE</w:t>
      </w:r>
      <w:r>
        <w:rPr>
          <w:rFonts w:ascii="Arial" w:cs="Arial" w:eastAsia="Arial" w:hAnsi="Arial"/>
          <w:sz w:val="19"/>
          <w:szCs w:val="19"/>
          <w:color w:val="auto"/>
        </w:rPr>
        <w:t>” means a prohibited transaction class exemption issued by the U.S. Department of Labor, as any such exemption may be amended from time to time.</w:t>
      </w:r>
    </w:p>
    <w:p>
      <w:pPr>
        <w:spacing w:after="0" w:line="157"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Public Lender</w:t>
      </w:r>
      <w:r>
        <w:rPr>
          <w:rFonts w:ascii="Arial" w:cs="Arial" w:eastAsia="Arial" w:hAnsi="Arial"/>
          <w:sz w:val="19"/>
          <w:szCs w:val="19"/>
          <w:color w:val="auto"/>
        </w:rPr>
        <w:t xml:space="preserve">” has the meaning specified in </w:t>
      </w:r>
      <w:r>
        <w:rPr>
          <w:rFonts w:ascii="Arial" w:cs="Arial" w:eastAsia="Arial" w:hAnsi="Arial"/>
          <w:sz w:val="19"/>
          <w:szCs w:val="19"/>
          <w:u w:val="single" w:color="auto"/>
          <w:color w:val="auto"/>
        </w:rPr>
        <w:t>Section 7.02</w:t>
      </w:r>
      <w:r>
        <w:rPr>
          <w:rFonts w:ascii="Arial" w:cs="Arial" w:eastAsia="Arial" w:hAnsi="Arial"/>
          <w:sz w:val="19"/>
          <w:szCs w:val="19"/>
          <w:color w:val="auto"/>
        </w:rPr>
        <w:t>.</w:t>
      </w:r>
    </w:p>
    <w:p>
      <w:pPr>
        <w:spacing w:after="0" w:line="21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QFC</w:t>
      </w:r>
      <w:r>
        <w:rPr>
          <w:rFonts w:ascii="Arial" w:cs="Arial" w:eastAsia="Arial" w:hAnsi="Arial"/>
          <w:sz w:val="19"/>
          <w:szCs w:val="19"/>
          <w:color w:val="auto"/>
        </w:rPr>
        <w:t xml:space="preserve">” has the meaning specified in </w:t>
      </w:r>
      <w:r>
        <w:rPr>
          <w:rFonts w:ascii="Arial" w:cs="Arial" w:eastAsia="Arial" w:hAnsi="Arial"/>
          <w:sz w:val="19"/>
          <w:szCs w:val="19"/>
          <w:u w:val="single" w:color="auto"/>
          <w:color w:val="auto"/>
        </w:rPr>
        <w:t>Section 11.21(b)</w:t>
      </w:r>
      <w:r>
        <w:rPr>
          <w:rFonts w:ascii="Arial" w:cs="Arial" w:eastAsia="Arial" w:hAnsi="Arial"/>
          <w:sz w:val="19"/>
          <w:szCs w:val="19"/>
          <w:color w:val="auto"/>
        </w:rPr>
        <w:t>.</w:t>
      </w:r>
    </w:p>
    <w:p>
      <w:pPr>
        <w:spacing w:after="0" w:line="21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QFC Credit Support</w:t>
      </w:r>
      <w:r>
        <w:rPr>
          <w:rFonts w:ascii="Arial" w:cs="Arial" w:eastAsia="Arial" w:hAnsi="Arial"/>
          <w:sz w:val="19"/>
          <w:szCs w:val="19"/>
          <w:color w:val="auto"/>
        </w:rPr>
        <w:t xml:space="preserve">” has the meaning specified in </w:t>
      </w:r>
      <w:r>
        <w:rPr>
          <w:rFonts w:ascii="Arial" w:cs="Arial" w:eastAsia="Arial" w:hAnsi="Arial"/>
          <w:sz w:val="19"/>
          <w:szCs w:val="19"/>
          <w:u w:val="single" w:color="auto"/>
          <w:color w:val="auto"/>
        </w:rPr>
        <w:t>Section 11.21(b)</w:t>
      </w:r>
      <w:r>
        <w:rPr>
          <w:rFonts w:ascii="Arial" w:cs="Arial" w:eastAsia="Arial" w:hAnsi="Arial"/>
          <w:sz w:val="19"/>
          <w:szCs w:val="19"/>
          <w:color w:val="auto"/>
        </w:rPr>
        <w:t>.</w:t>
      </w:r>
    </w:p>
    <w:p>
      <w:pPr>
        <w:spacing w:after="0" w:line="214" w:lineRule="exact"/>
        <w:rPr>
          <w:sz w:val="20"/>
          <w:szCs w:val="20"/>
          <w:color w:val="auto"/>
        </w:rPr>
      </w:pPr>
    </w:p>
    <w:p>
      <w:pPr>
        <w:jc w:val="both"/>
        <w:ind w:firstLine="629"/>
        <w:spacing w:after="0" w:line="25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Qualified Accounts</w:t>
      </w:r>
      <w:r>
        <w:rPr>
          <w:rFonts w:ascii="Arial" w:cs="Arial" w:eastAsia="Arial" w:hAnsi="Arial"/>
          <w:sz w:val="19"/>
          <w:szCs w:val="19"/>
          <w:color w:val="auto"/>
        </w:rPr>
        <w:t xml:space="preserve">” means any investment or other non-operating account of a Loan Party maintained by or at the Administrative Agent or its Affiliates and except as may be deferred pursuant to </w:t>
      </w:r>
      <w:r>
        <w:rPr>
          <w:rFonts w:ascii="Arial" w:cs="Arial" w:eastAsia="Arial" w:hAnsi="Arial"/>
          <w:sz w:val="19"/>
          <w:szCs w:val="19"/>
          <w:u w:val="single" w:color="auto"/>
          <w:color w:val="auto"/>
        </w:rPr>
        <w:t>Schedule 7.21</w:t>
      </w:r>
      <w:r>
        <w:rPr>
          <w:rFonts w:ascii="Arial" w:cs="Arial" w:eastAsia="Arial" w:hAnsi="Arial"/>
          <w:sz w:val="19"/>
          <w:szCs w:val="19"/>
          <w:color w:val="auto"/>
        </w:rPr>
        <w:t xml:space="preserve">, subject to a Control Agreement in favor of the Administrative Agent;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at all times from and after the Closing Date, the Administrative Agent shall have sole dominion and control of the disposition of the amounts so deposited, whether or not during a Dominion Trigger Period.</w:t>
      </w:r>
    </w:p>
    <w:p>
      <w:pPr>
        <w:spacing w:after="0" w:line="177" w:lineRule="exact"/>
        <w:rPr>
          <w:sz w:val="20"/>
          <w:szCs w:val="20"/>
          <w:color w:val="auto"/>
        </w:rPr>
      </w:pPr>
    </w:p>
    <w:p>
      <w:pPr>
        <w:jc w:val="both"/>
        <w:ind w:firstLine="629"/>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Qualified ECP</w:t>
      </w:r>
      <w:r>
        <w:rPr>
          <w:rFonts w:ascii="Arial" w:cs="Arial" w:eastAsia="Arial" w:hAnsi="Arial"/>
          <w:sz w:val="19"/>
          <w:szCs w:val="19"/>
          <w:color w:val="auto"/>
        </w:rPr>
        <w:t>” means any Loan Party with total assets exceeding $10,000,000, or that constitutes an “eligible contract participant” under the Commodity Exchange Act and can cause another Person to qualify as an “eligible contract participant” under Section 1a(18)(A)(v)(II) of the Commodity Exchange Act.</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Ratable Share</w:t>
      </w:r>
      <w:r>
        <w:rPr>
          <w:rFonts w:ascii="Arial" w:cs="Arial" w:eastAsia="Arial" w:hAnsi="Arial"/>
          <w:sz w:val="19"/>
          <w:szCs w:val="19"/>
          <w:color w:val="auto"/>
        </w:rPr>
        <w:t xml:space="preserve">” has the meaning specified in </w:t>
      </w:r>
      <w:r>
        <w:rPr>
          <w:rFonts w:ascii="Arial" w:cs="Arial" w:eastAsia="Arial" w:hAnsi="Arial"/>
          <w:sz w:val="19"/>
          <w:szCs w:val="19"/>
          <w:u w:val="single" w:color="auto"/>
          <w:color w:val="auto"/>
        </w:rPr>
        <w:t>Section 2.01(c)(ii)(C)</w:t>
      </w:r>
      <w:r>
        <w:rPr>
          <w:rFonts w:ascii="Arial" w:cs="Arial" w:eastAsia="Arial" w:hAnsi="Arial"/>
          <w:sz w:val="19"/>
          <w:szCs w:val="19"/>
          <w:color w:val="auto"/>
        </w:rPr>
        <w:t>.</w:t>
      </w:r>
    </w:p>
    <w:p>
      <w:pPr>
        <w:spacing w:after="0" w:line="214" w:lineRule="exact"/>
        <w:rPr>
          <w:sz w:val="20"/>
          <w:szCs w:val="20"/>
          <w:color w:val="auto"/>
        </w:rPr>
      </w:pPr>
    </w:p>
    <w:p>
      <w:pPr>
        <w:jc w:val="both"/>
        <w:ind w:firstLine="629"/>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Real Property</w:t>
      </w:r>
      <w:r>
        <w:rPr>
          <w:rFonts w:ascii="Arial" w:cs="Arial" w:eastAsia="Arial" w:hAnsi="Arial"/>
          <w:sz w:val="19"/>
          <w:szCs w:val="19"/>
          <w:color w:val="auto"/>
        </w:rPr>
        <w:t>” means all land, together with the buildings, structures, parking areas, and other improvements thereon, now or hereafter owned by any Person, including all easements, rights-of-way, and similar rights appurtenant thereto and all leases, tenancies, and occupancies thereof.</w:t>
      </w:r>
    </w:p>
    <w:p>
      <w:pPr>
        <w:spacing w:after="0" w:line="171" w:lineRule="exact"/>
        <w:rPr>
          <w:sz w:val="20"/>
          <w:szCs w:val="20"/>
          <w:color w:val="auto"/>
        </w:rPr>
      </w:pPr>
    </w:p>
    <w:p>
      <w:pPr>
        <w:jc w:val="both"/>
        <w:ind w:firstLine="629"/>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Recipient</w:t>
      </w:r>
      <w:r>
        <w:rPr>
          <w:rFonts w:ascii="Arial" w:cs="Arial" w:eastAsia="Arial" w:hAnsi="Arial"/>
          <w:sz w:val="19"/>
          <w:szCs w:val="19"/>
          <w:color w:val="auto"/>
        </w:rPr>
        <w:t>” means the Administrative Agent, any Lender, any Letter of Credit Issuer or any other recipient of any payment to be made by or on account of any Obligation of a Loan Party hereunder.</w:t>
      </w:r>
    </w:p>
    <w:p>
      <w:pPr>
        <w:spacing w:after="0" w:line="157" w:lineRule="exact"/>
        <w:rPr>
          <w:sz w:val="20"/>
          <w:szCs w:val="20"/>
          <w:color w:val="auto"/>
        </w:rPr>
      </w:pPr>
    </w:p>
    <w:p>
      <w:pPr>
        <w:jc w:val="both"/>
        <w:ind w:firstLine="629"/>
        <w:spacing w:after="0" w:line="27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Refinancing Conditions</w:t>
      </w:r>
      <w:r>
        <w:rPr>
          <w:rFonts w:ascii="Arial" w:cs="Arial" w:eastAsia="Arial" w:hAnsi="Arial"/>
          <w:sz w:val="17"/>
          <w:szCs w:val="17"/>
          <w:color w:val="auto"/>
        </w:rPr>
        <w:t>” means the following conditions for Refinancing Indebtedness: (a) it is in an aggregate principal amount that does not exceed the principal amount of the Indebtedness being modified, refinanced, refunded, replaced, renewed or extended (the “</w:t>
      </w:r>
      <w:r>
        <w:rPr>
          <w:rFonts w:ascii="Arial" w:cs="Arial" w:eastAsia="Arial" w:hAnsi="Arial"/>
          <w:sz w:val="17"/>
          <w:szCs w:val="17"/>
          <w:u w:val="single" w:color="auto"/>
          <w:color w:val="auto"/>
        </w:rPr>
        <w:t>Original</w:t>
      </w:r>
      <w:r>
        <w:rPr>
          <w:rFonts w:ascii="Arial" w:cs="Arial" w:eastAsia="Arial" w:hAnsi="Arial"/>
          <w:sz w:val="17"/>
          <w:szCs w:val="17"/>
          <w:color w:val="auto"/>
        </w:rPr>
        <w:t xml:space="preserve"> </w:t>
      </w:r>
      <w:r>
        <w:rPr>
          <w:rFonts w:ascii="Arial" w:cs="Arial" w:eastAsia="Arial" w:hAnsi="Arial"/>
          <w:sz w:val="17"/>
          <w:szCs w:val="17"/>
          <w:u w:val="single" w:color="auto"/>
          <w:color w:val="auto"/>
        </w:rPr>
        <w:t>Indebtedness</w:t>
      </w:r>
      <w:r>
        <w:rPr>
          <w:rFonts w:ascii="Arial" w:cs="Arial" w:eastAsia="Arial" w:hAnsi="Arial"/>
          <w:sz w:val="17"/>
          <w:szCs w:val="17"/>
          <w:color w:val="auto"/>
        </w:rPr>
        <w:t>”) plus accrued interest and reasonable fees and expenses incurred in connection with such Refinancing Indebtedness; (b) the interest rate applicable to such Refinancing Indebtedness does not exceed the greater of the (i) interest rate applicable to the Original Indebtedness and</w:t>
      </w:r>
    </w:p>
    <w:p>
      <w:pPr>
        <w:spacing w:after="0" w:line="2" w:lineRule="exact"/>
        <w:rPr>
          <w:sz w:val="20"/>
          <w:szCs w:val="20"/>
          <w:color w:val="auto"/>
        </w:rPr>
      </w:pPr>
    </w:p>
    <w:p>
      <w:pPr>
        <w:jc w:val="both"/>
        <w:ind w:firstLine="5"/>
        <w:spacing w:after="0" w:line="246" w:lineRule="auto"/>
        <w:tabs>
          <w:tab w:leader="none" w:pos="302" w:val="left"/>
        </w:tabs>
        <w:numPr>
          <w:ilvl w:val="0"/>
          <w:numId w:val="113"/>
        </w:numPr>
        <w:rPr>
          <w:rFonts w:ascii="Arial" w:cs="Arial" w:eastAsia="Arial" w:hAnsi="Arial"/>
          <w:sz w:val="19"/>
          <w:szCs w:val="19"/>
          <w:color w:val="auto"/>
        </w:rPr>
      </w:pPr>
      <w:r>
        <w:rPr>
          <w:rFonts w:ascii="Arial" w:cs="Arial" w:eastAsia="Arial" w:hAnsi="Arial"/>
          <w:sz w:val="19"/>
          <w:szCs w:val="19"/>
          <w:color w:val="auto"/>
        </w:rPr>
        <w:t>the otherwise market rate of interest for such similar Indebtedness to similarly borrowers; (c) it has a final maturity no sooner than and a weighted average life no less than the applicable Original Indebtedness; (d) it contains no mandatory prepayment provisions more favorable to the lenders thereunder than the mandatory prepayment provision under the Original Indebtedness, (e) to the extent the Original Indebtedness is unsecured, such Refinancing Indebtedness shall be unsecured; (f) to the extent the Original Indebtedness is secured by Liens, such Refinancing Indebtedness is either unsecured or is not secured by any Liens that did not secure the Original Indebtedness immediately prior to incurrence of the Refinancing Indebtedness; (g) to the extent that such Original Indebtedness is subject to any Subordinations Provisions, such Refinancing Indebtedness is subject to Subordination Provisions no less favorable to the Administrative Agent and the Lenders than those applicable to the Original Indebtedness immediately prior to incurrence of the Refinancing Indebtedness; (h) no additional Person not obligated, primarily or contingently, on the Original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52</w:t>
      </w:r>
    </w:p>
    <w:p>
      <w:pPr>
        <w:sectPr>
          <w:pgSz w:w="11900" w:h="16838" w:orient="portrait"/>
          <w:cols w:equalWidth="0" w:num="1">
            <w:col w:w="11240"/>
          </w:cols>
          <w:pgMar w:left="320" w:top="1381" w:right="339" w:bottom="1440" w:gutter="0" w:footer="0" w:header="0"/>
        </w:sectPr>
      </w:pPr>
    </w:p>
    <w:bookmarkStart w:id="171" w:name="page172"/>
    <w:bookmarkEnd w:id="171"/>
    <w:p>
      <w:pPr>
        <w:jc w:val="both"/>
        <w:spacing w:after="0" w:line="280" w:lineRule="auto"/>
        <w:rPr>
          <w:sz w:val="20"/>
          <w:szCs w:val="20"/>
          <w:color w:val="auto"/>
        </w:rPr>
      </w:pPr>
      <w:r>
        <w:rPr>
          <w:rFonts w:ascii="Arial" w:cs="Arial" w:eastAsia="Arial" w:hAnsi="Arial"/>
          <w:sz w:val="18"/>
          <w:szCs w:val="18"/>
          <w:color w:val="auto"/>
        </w:rPr>
        <w:t>Indebtedness is obligated, primarily or contingently, on such Refinancing Indebtedness; (i) such Refinancing Indebtedness shall be on terms not materially less favorable to the Administrative Agent or the Lenders, and not materially more restrictive to the Loan Parties, than the terms of the Original Indebtedness; and (j) upon giving effect to such Refinancing Indebtedness, no Default or Event of Default exists.</w:t>
      </w:r>
    </w:p>
    <w:p>
      <w:pPr>
        <w:spacing w:after="0" w:line="154" w:lineRule="exact"/>
        <w:rPr>
          <w:sz w:val="20"/>
          <w:szCs w:val="20"/>
          <w:color w:val="auto"/>
        </w:rPr>
      </w:pPr>
    </w:p>
    <w:p>
      <w:pPr>
        <w:jc w:val="both"/>
        <w:ind w:firstLine="629"/>
        <w:spacing w:after="0" w:line="25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Refinancing Indebtedness</w:t>
      </w:r>
      <w:r>
        <w:rPr>
          <w:rFonts w:ascii="Arial" w:cs="Arial" w:eastAsia="Arial" w:hAnsi="Arial"/>
          <w:sz w:val="19"/>
          <w:szCs w:val="19"/>
          <w:color w:val="auto"/>
        </w:rPr>
        <w:t xml:space="preserve">” means the Indebtedness that is the result of any renewal, modification, refinancing, refunding, replacement, or extension of Indebtedness permitted under </w:t>
      </w:r>
      <w:r>
        <w:rPr>
          <w:rFonts w:ascii="Arial" w:cs="Arial" w:eastAsia="Arial" w:hAnsi="Arial"/>
          <w:sz w:val="19"/>
          <w:szCs w:val="19"/>
          <w:u w:val="single" w:color="auto"/>
          <w:color w:val="auto"/>
        </w:rPr>
        <w:t>Section 8.01(b)</w:t>
      </w:r>
      <w:r>
        <w:rPr>
          <w:rFonts w:ascii="Arial" w:cs="Arial" w:eastAsia="Arial" w:hAnsi="Arial"/>
          <w:sz w:val="19"/>
          <w:szCs w:val="19"/>
          <w:color w:val="auto"/>
        </w:rPr>
        <w:t xml:space="preserve">, </w:t>
      </w:r>
      <w:r>
        <w:rPr>
          <w:rFonts w:ascii="Arial" w:cs="Arial" w:eastAsia="Arial" w:hAnsi="Arial"/>
          <w:sz w:val="19"/>
          <w:szCs w:val="19"/>
          <w:u w:val="single" w:color="auto"/>
          <w:color w:val="auto"/>
        </w:rPr>
        <w:t>(f)</w:t>
      </w:r>
      <w:r>
        <w:rPr>
          <w:rFonts w:ascii="Arial" w:cs="Arial" w:eastAsia="Arial" w:hAnsi="Arial"/>
          <w:sz w:val="19"/>
          <w:szCs w:val="19"/>
          <w:color w:val="auto"/>
        </w:rPr>
        <w:t xml:space="preserve">, </w:t>
      </w:r>
      <w:r>
        <w:rPr>
          <w:rFonts w:ascii="Arial" w:cs="Arial" w:eastAsia="Arial" w:hAnsi="Arial"/>
          <w:sz w:val="19"/>
          <w:szCs w:val="19"/>
          <w:u w:val="single" w:color="auto"/>
          <w:color w:val="auto"/>
        </w:rPr>
        <w:t>(g)</w:t>
      </w:r>
      <w:r>
        <w:rPr>
          <w:rFonts w:ascii="Arial" w:cs="Arial" w:eastAsia="Arial" w:hAnsi="Arial"/>
          <w:sz w:val="19"/>
          <w:szCs w:val="19"/>
          <w:color w:val="auto"/>
        </w:rPr>
        <w:t xml:space="preserve">, </w:t>
      </w:r>
      <w:r>
        <w:rPr>
          <w:rFonts w:ascii="Arial" w:cs="Arial" w:eastAsia="Arial" w:hAnsi="Arial"/>
          <w:sz w:val="19"/>
          <w:szCs w:val="19"/>
          <w:u w:val="single" w:color="auto"/>
          <w:color w:val="auto"/>
        </w:rPr>
        <w:t>(h)</w:t>
      </w:r>
      <w:r>
        <w:rPr>
          <w:rFonts w:ascii="Arial" w:cs="Arial" w:eastAsia="Arial" w:hAnsi="Arial"/>
          <w:sz w:val="19"/>
          <w:szCs w:val="19"/>
          <w:color w:val="auto"/>
        </w:rPr>
        <w:t xml:space="preserve">, </w:t>
      </w:r>
      <w:r>
        <w:rPr>
          <w:rFonts w:ascii="Arial" w:cs="Arial" w:eastAsia="Arial" w:hAnsi="Arial"/>
          <w:sz w:val="19"/>
          <w:szCs w:val="19"/>
          <w:u w:val="single" w:color="auto"/>
          <w:color w:val="auto"/>
        </w:rPr>
        <w:t>(p)</w:t>
      </w:r>
      <w:r>
        <w:rPr>
          <w:rFonts w:ascii="Arial" w:cs="Arial" w:eastAsia="Arial" w:hAnsi="Arial"/>
          <w:sz w:val="19"/>
          <w:szCs w:val="19"/>
          <w:color w:val="auto"/>
        </w:rPr>
        <w:t xml:space="preserve">, </w:t>
      </w:r>
      <w:r>
        <w:rPr>
          <w:rFonts w:ascii="Arial" w:cs="Arial" w:eastAsia="Arial" w:hAnsi="Arial"/>
          <w:sz w:val="19"/>
          <w:szCs w:val="19"/>
          <w:u w:val="single" w:color="auto"/>
          <w:color w:val="auto"/>
        </w:rPr>
        <w:t>(q)</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(r)</w:t>
      </w:r>
      <w:r>
        <w:rPr>
          <w:rFonts w:ascii="Arial" w:cs="Arial" w:eastAsia="Arial" w:hAnsi="Arial"/>
          <w:sz w:val="19"/>
          <w:szCs w:val="19"/>
          <w:color w:val="auto"/>
        </w:rPr>
        <w:t xml:space="preserve"> as to which the Refinancing Conditions are satisfied;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incurrence of any such Refinancing Indebtedness will be deemed to utilize permitted amounts of Indebtedness, if any, under each clause thereof.</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Register</w:t>
      </w:r>
      <w:r>
        <w:rPr>
          <w:rFonts w:ascii="Arial" w:cs="Arial" w:eastAsia="Arial" w:hAnsi="Arial"/>
          <w:sz w:val="19"/>
          <w:szCs w:val="19"/>
          <w:color w:val="auto"/>
        </w:rPr>
        <w:t xml:space="preserve">” has the meaning specified in </w:t>
      </w:r>
      <w:r>
        <w:rPr>
          <w:rFonts w:ascii="Arial" w:cs="Arial" w:eastAsia="Arial" w:hAnsi="Arial"/>
          <w:sz w:val="19"/>
          <w:szCs w:val="19"/>
          <w:u w:val="single" w:color="auto"/>
          <w:color w:val="auto"/>
        </w:rPr>
        <w:t>Section 11.06(c)</w:t>
      </w:r>
      <w:r>
        <w:rPr>
          <w:rFonts w:ascii="Arial" w:cs="Arial" w:eastAsia="Arial" w:hAnsi="Arial"/>
          <w:sz w:val="19"/>
          <w:szCs w:val="19"/>
          <w:color w:val="auto"/>
        </w:rPr>
        <w:t>.</w:t>
      </w:r>
    </w:p>
    <w:p>
      <w:pPr>
        <w:spacing w:after="0" w:line="214" w:lineRule="exact"/>
        <w:rPr>
          <w:sz w:val="20"/>
          <w:szCs w:val="20"/>
          <w:color w:val="auto"/>
        </w:rPr>
      </w:pPr>
    </w:p>
    <w:p>
      <w:pPr>
        <w:jc w:val="both"/>
        <w:ind w:firstLine="629"/>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Registered Public Accounting Firm</w:t>
      </w:r>
      <w:r>
        <w:rPr>
          <w:rFonts w:ascii="Arial" w:cs="Arial" w:eastAsia="Arial" w:hAnsi="Arial"/>
          <w:sz w:val="19"/>
          <w:szCs w:val="19"/>
          <w:color w:val="auto"/>
        </w:rPr>
        <w:t>” has the meaning specified in the Securities Laws and shall be independent of the Company as prescribed in the Securities Laws.</w:t>
      </w:r>
    </w:p>
    <w:p>
      <w:pPr>
        <w:spacing w:after="0" w:line="157" w:lineRule="exact"/>
        <w:rPr>
          <w:sz w:val="20"/>
          <w:szCs w:val="20"/>
          <w:color w:val="auto"/>
        </w:rPr>
      </w:pPr>
    </w:p>
    <w:p>
      <w:pPr>
        <w:jc w:val="both"/>
        <w:ind w:firstLine="629"/>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Related Parties</w:t>
      </w:r>
      <w:r>
        <w:rPr>
          <w:rFonts w:ascii="Arial" w:cs="Arial" w:eastAsia="Arial" w:hAnsi="Arial"/>
          <w:sz w:val="19"/>
          <w:szCs w:val="19"/>
          <w:color w:val="auto"/>
        </w:rPr>
        <w:t>” means, with respect to any Person, such Person’s Affiliates and the partners, directors, officers, employees, agents, trustees, administrators, managers, advisors and representatives of such Person and of such Person’s Affiliates.</w:t>
      </w:r>
    </w:p>
    <w:p>
      <w:pPr>
        <w:spacing w:after="0" w:line="157" w:lineRule="exact"/>
        <w:rPr>
          <w:sz w:val="20"/>
          <w:szCs w:val="20"/>
          <w:color w:val="auto"/>
        </w:rPr>
      </w:pPr>
    </w:p>
    <w:p>
      <w:pPr>
        <w:jc w:val="both"/>
        <w:ind w:firstLine="629"/>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Relevant Governmental Body</w:t>
      </w:r>
      <w:r>
        <w:rPr>
          <w:rFonts w:ascii="Arial" w:cs="Arial" w:eastAsia="Arial" w:hAnsi="Arial"/>
          <w:sz w:val="19"/>
          <w:szCs w:val="19"/>
          <w:color w:val="auto"/>
        </w:rPr>
        <w:t>” means the Board of Governors of the Federal Reserve System and/or the Federal Reserve Bank of New York, or a committee officially endorsed or convened by the Board of Governors of the Federal Reserve System and/or the Federal Reserve Bank of New York, or any successor thereto.</w:t>
      </w:r>
    </w:p>
    <w:p>
      <w:pPr>
        <w:spacing w:after="0" w:line="197" w:lineRule="exact"/>
        <w:rPr>
          <w:sz w:val="20"/>
          <w:szCs w:val="20"/>
          <w:color w:val="auto"/>
        </w:rPr>
      </w:pPr>
    </w:p>
    <w:p>
      <w:pPr>
        <w:jc w:val="both"/>
        <w:ind w:firstLine="629"/>
        <w:spacing w:after="0" w:line="25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Rent and Charges Reserve</w:t>
      </w:r>
      <w:r>
        <w:rPr>
          <w:rFonts w:ascii="Arial" w:cs="Arial" w:eastAsia="Arial" w:hAnsi="Arial"/>
          <w:sz w:val="19"/>
          <w:szCs w:val="19"/>
          <w:color w:val="auto"/>
        </w:rPr>
        <w:t>” means the aggregate of (a) all past due rent and other amounts owing by a Borrower to any landlord, warehouseman, processor, repairman, mechanic, shipper, freight forwarder, broker or other Person who possesses any Eligible Borrowing Base Assets or could assert a Lien on any Eligible Borrowing Base Assets; and (b) a reserve at least equal to three months’ rent and other charges that could be payable to any such Person, unless it has executed a Lien Waiver.</w:t>
      </w:r>
    </w:p>
    <w:p>
      <w:pPr>
        <w:spacing w:after="0" w:line="177" w:lineRule="exact"/>
        <w:rPr>
          <w:sz w:val="20"/>
          <w:szCs w:val="20"/>
          <w:color w:val="auto"/>
        </w:rPr>
      </w:pPr>
    </w:p>
    <w:p>
      <w:pPr>
        <w:jc w:val="both"/>
        <w:ind w:firstLine="629"/>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Reportable Event</w:t>
      </w:r>
      <w:r>
        <w:rPr>
          <w:rFonts w:ascii="Arial" w:cs="Arial" w:eastAsia="Arial" w:hAnsi="Arial"/>
          <w:sz w:val="19"/>
          <w:szCs w:val="19"/>
          <w:color w:val="auto"/>
        </w:rPr>
        <w:t>” means any of the events set forth in Section 4043(c) of ERISA, other than events for which the 30 day notice period has been waived.</w:t>
      </w:r>
    </w:p>
    <w:p>
      <w:pPr>
        <w:spacing w:after="0" w:line="157" w:lineRule="exact"/>
        <w:rPr>
          <w:sz w:val="20"/>
          <w:szCs w:val="20"/>
          <w:color w:val="auto"/>
        </w:rPr>
      </w:pPr>
    </w:p>
    <w:p>
      <w:pPr>
        <w:jc w:val="both"/>
        <w:ind w:firstLine="629"/>
        <w:spacing w:after="0" w:line="26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Reporting Trigger Period</w:t>
      </w:r>
      <w:r>
        <w:rPr>
          <w:rFonts w:ascii="Arial" w:cs="Arial" w:eastAsia="Arial" w:hAnsi="Arial"/>
          <w:sz w:val="18"/>
          <w:szCs w:val="18"/>
          <w:color w:val="auto"/>
        </w:rPr>
        <w:t>” means the period (a) commencing on the day that (i) an Event of Default occurs and is continuing or (ii) Availability is less than the greater of (x) 15% of the Aggregate Revolving Credit Commitments at such time and (y) $15,000,000 and</w:t>
      </w:r>
    </w:p>
    <w:p>
      <w:pPr>
        <w:spacing w:after="0" w:line="1" w:lineRule="exact"/>
        <w:rPr>
          <w:sz w:val="20"/>
          <w:szCs w:val="20"/>
          <w:color w:val="auto"/>
        </w:rPr>
      </w:pPr>
    </w:p>
    <w:p>
      <w:pPr>
        <w:jc w:val="both"/>
        <w:ind w:firstLine="5"/>
        <w:spacing w:after="0" w:line="248" w:lineRule="auto"/>
        <w:tabs>
          <w:tab w:leader="none" w:pos="273" w:val="left"/>
        </w:tabs>
        <w:numPr>
          <w:ilvl w:val="0"/>
          <w:numId w:val="114"/>
        </w:numPr>
        <w:rPr>
          <w:rFonts w:ascii="Arial" w:cs="Arial" w:eastAsia="Arial" w:hAnsi="Arial"/>
          <w:sz w:val="19"/>
          <w:szCs w:val="19"/>
          <w:color w:val="auto"/>
        </w:rPr>
      </w:pPr>
      <w:r>
        <w:rPr>
          <w:rFonts w:ascii="Arial" w:cs="Arial" w:eastAsia="Arial" w:hAnsi="Arial"/>
          <w:sz w:val="19"/>
          <w:szCs w:val="19"/>
          <w:color w:val="auto"/>
        </w:rPr>
        <w:t xml:space="preserve">continuing until the date that during the previous thirty (30) consecutive days, (i) no Event of Default has existed and (ii) Availability has been greater than the greater of (x) 15% of the Aggregate Revolving Credit Commitments at such time and (y) $15,000,000 at all times during such period;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 Reporting Trigger Period may not be cured as contemplated by clause (b) more than two (2) times in any fiscal year.</w:t>
      </w:r>
    </w:p>
    <w:p>
      <w:pPr>
        <w:spacing w:after="0" w:line="18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Request for Credit Extension</w:t>
      </w:r>
      <w:r>
        <w:rPr>
          <w:rFonts w:ascii="Arial" w:cs="Arial" w:eastAsia="Arial" w:hAnsi="Arial"/>
          <w:sz w:val="17"/>
          <w:szCs w:val="17"/>
          <w:color w:val="auto"/>
        </w:rPr>
        <w:t>” means (a) with respect to a Borrowing, conversion or continuation of Loans, a Committed Loan Notice,</w:t>
      </w:r>
    </w:p>
    <w:p>
      <w:pPr>
        <w:spacing w:after="0" w:line="43" w:lineRule="exact"/>
        <w:rPr>
          <w:sz w:val="20"/>
          <w:szCs w:val="20"/>
          <w:color w:val="auto"/>
        </w:rPr>
      </w:pPr>
    </w:p>
    <w:p>
      <w:pPr>
        <w:ind w:firstLine="5"/>
        <w:spacing w:after="0" w:line="256" w:lineRule="auto"/>
        <w:tabs>
          <w:tab w:leader="none" w:pos="282" w:val="left"/>
        </w:tabs>
        <w:numPr>
          <w:ilvl w:val="0"/>
          <w:numId w:val="115"/>
        </w:numPr>
        <w:rPr>
          <w:rFonts w:ascii="Arial" w:cs="Arial" w:eastAsia="Arial" w:hAnsi="Arial"/>
          <w:sz w:val="19"/>
          <w:szCs w:val="19"/>
          <w:color w:val="auto"/>
        </w:rPr>
      </w:pPr>
      <w:r>
        <w:rPr>
          <w:rFonts w:ascii="Arial" w:cs="Arial" w:eastAsia="Arial" w:hAnsi="Arial"/>
          <w:sz w:val="19"/>
          <w:szCs w:val="19"/>
          <w:color w:val="auto"/>
        </w:rPr>
        <w:t>with respect to an Letter of Credit Extension, a Letter of Credit Application, and (c) with respect to a Swing Line Loan, a Swing Line Loan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53</w:t>
      </w:r>
    </w:p>
    <w:p>
      <w:pPr>
        <w:sectPr>
          <w:pgSz w:w="11900" w:h="16838" w:orient="portrait"/>
          <w:cols w:equalWidth="0" w:num="1">
            <w:col w:w="11240"/>
          </w:cols>
          <w:pgMar w:left="320" w:top="1382" w:right="339" w:bottom="1440" w:gutter="0" w:footer="0" w:header="0"/>
        </w:sectPr>
      </w:pPr>
    </w:p>
    <w:bookmarkStart w:id="172" w:name="page173"/>
    <w:bookmarkEnd w:id="172"/>
    <w:p>
      <w:pPr>
        <w:jc w:val="both"/>
        <w:ind w:firstLine="629"/>
        <w:spacing w:after="0" w:line="25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Required Lenders</w:t>
      </w:r>
      <w:r>
        <w:rPr>
          <w:rFonts w:ascii="Arial" w:cs="Arial" w:eastAsia="Arial" w:hAnsi="Arial"/>
          <w:sz w:val="19"/>
          <w:szCs w:val="19"/>
          <w:color w:val="auto"/>
        </w:rPr>
        <w:t>” means, as of any date of determination, Lenders holding (and from and after the Administrative Agent’s written election to activate this parenthetical, at any time there are two (2) or more Lenders, at least two (2) non-Affiliate Lenders holding) more than 50% of the Total Credit Exposure of all Lenders. The Total Credit Exposure of any Defaulting Lender shall be disregarded in determining Required Lenders at any time.</w:t>
      </w:r>
    </w:p>
    <w:p>
      <w:pPr>
        <w:spacing w:after="0" w:line="177" w:lineRule="exact"/>
        <w:rPr>
          <w:sz w:val="20"/>
          <w:szCs w:val="20"/>
          <w:color w:val="auto"/>
        </w:rPr>
      </w:pPr>
    </w:p>
    <w:p>
      <w:pPr>
        <w:jc w:val="both"/>
        <w:ind w:firstLine="629"/>
        <w:spacing w:after="0" w:line="25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Required Supermajority Lenders</w:t>
      </w:r>
      <w:r>
        <w:rPr>
          <w:rFonts w:ascii="Arial" w:cs="Arial" w:eastAsia="Arial" w:hAnsi="Arial"/>
          <w:sz w:val="19"/>
          <w:szCs w:val="19"/>
          <w:color w:val="auto"/>
        </w:rPr>
        <w:t>” means, as of any date of determination, Lenders holding (and from and after the Administrative Agent’s written election to activate this parenthetical, at any time there are two (2) or more Lenders, at least two (2) non-Affiliate Lenders holding) at least 66⅔ % of the Total Credit Exposure of all Lender. The Total Credit Exposure of any Defaulting Lender shall be disregarded in determining Required Supermajority Lenders at any time.</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Rescindable Amount</w:t>
      </w:r>
      <w:r>
        <w:rPr>
          <w:rFonts w:ascii="Arial" w:cs="Arial" w:eastAsia="Arial" w:hAnsi="Arial"/>
          <w:sz w:val="19"/>
          <w:szCs w:val="19"/>
          <w:color w:val="auto"/>
        </w:rPr>
        <w:t xml:space="preserve">” has the meaning specified in </w:t>
      </w:r>
      <w:r>
        <w:rPr>
          <w:rFonts w:ascii="Arial" w:cs="Arial" w:eastAsia="Arial" w:hAnsi="Arial"/>
          <w:sz w:val="19"/>
          <w:szCs w:val="19"/>
          <w:u w:val="single" w:color="auto"/>
          <w:color w:val="auto"/>
        </w:rPr>
        <w:t>Section 2.12(b)(ii)</w:t>
      </w:r>
      <w:r>
        <w:rPr>
          <w:rFonts w:ascii="Arial" w:cs="Arial" w:eastAsia="Arial" w:hAnsi="Arial"/>
          <w:sz w:val="19"/>
          <w:szCs w:val="19"/>
          <w:color w:val="auto"/>
        </w:rPr>
        <w:t>.</w:t>
      </w:r>
    </w:p>
    <w:p>
      <w:pPr>
        <w:spacing w:after="0" w:line="21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Reserve</w:t>
      </w:r>
      <w:r>
        <w:rPr>
          <w:rFonts w:ascii="Arial" w:cs="Arial" w:eastAsia="Arial" w:hAnsi="Arial"/>
          <w:sz w:val="19"/>
          <w:szCs w:val="19"/>
          <w:color w:val="auto"/>
        </w:rPr>
        <w:t>” means any reserve constituting all or any portion of the Availability Reserve or the Line Reserve.</w:t>
      </w:r>
    </w:p>
    <w:p>
      <w:pPr>
        <w:spacing w:after="0" w:line="21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Resolution Authority</w:t>
      </w:r>
      <w:r>
        <w:rPr>
          <w:rFonts w:ascii="Arial" w:cs="Arial" w:eastAsia="Arial" w:hAnsi="Arial"/>
          <w:sz w:val="18"/>
          <w:szCs w:val="18"/>
          <w:color w:val="auto"/>
        </w:rPr>
        <w:t>” means an EEA Resolution Authority or, with respect to any UK Financial Institution, a UK Resolution Authority.</w:t>
      </w:r>
    </w:p>
    <w:p>
      <w:pPr>
        <w:spacing w:after="0" w:line="226" w:lineRule="exact"/>
        <w:rPr>
          <w:sz w:val="20"/>
          <w:szCs w:val="20"/>
          <w:color w:val="auto"/>
        </w:rPr>
      </w:pPr>
    </w:p>
    <w:p>
      <w:pPr>
        <w:jc w:val="both"/>
        <w:ind w:firstLine="629"/>
        <w:spacing w:after="0" w:line="27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Responsible Officer</w:t>
      </w:r>
      <w:r>
        <w:rPr>
          <w:rFonts w:ascii="Arial" w:cs="Arial" w:eastAsia="Arial" w:hAnsi="Arial"/>
          <w:sz w:val="18"/>
          <w:szCs w:val="18"/>
          <w:color w:val="auto"/>
        </w:rPr>
        <w:t>” means, with respect to each Loan Party, the chief executive officer, president, chief financial officer, treasurer, controller or assistant treasurer or any vice president of such Loan Party.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w:t>
      </w:r>
    </w:p>
    <w:p>
      <w:pPr>
        <w:spacing w:after="0" w:line="160" w:lineRule="exact"/>
        <w:rPr>
          <w:sz w:val="20"/>
          <w:szCs w:val="20"/>
          <w:color w:val="auto"/>
        </w:rPr>
      </w:pPr>
    </w:p>
    <w:p>
      <w:pPr>
        <w:jc w:val="both"/>
        <w:ind w:firstLine="629"/>
        <w:spacing w:after="0" w:line="25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Restricted Payment</w:t>
      </w:r>
      <w:r>
        <w:rPr>
          <w:rFonts w:ascii="Arial" w:cs="Arial" w:eastAsia="Arial" w:hAnsi="Arial"/>
          <w:sz w:val="19"/>
          <w:szCs w:val="19"/>
          <w:color w:val="auto"/>
        </w:rPr>
        <w:t>” means (i) any dividend or other distribution (whether in cash, securities or other property) with respect to any capital stock or other Equity Interest of the Company or any Restricted Subsidiary, (ii) any payment (whether in cash, securities or other property), including any sinking fund or similar deposit, on account of the purchase, redemption, retirement, acquisition, cancellation or termination of any such capital stock or other Equity Interest, or on account of any return of capital to the Company’s or any Restricted Subsidiary’s stockholders, partners or members (or the equivalent Person thereof) or (iii) any distribution, advance or repayment of Indebtedness to or for the account of a holder of Equity Interests of the Company or its Affiliates.</w:t>
      </w:r>
    </w:p>
    <w:p>
      <w:pPr>
        <w:spacing w:after="0" w:line="182"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Restricted Subsidiary</w:t>
      </w:r>
      <w:r>
        <w:rPr>
          <w:rFonts w:ascii="Arial" w:cs="Arial" w:eastAsia="Arial" w:hAnsi="Arial"/>
          <w:sz w:val="19"/>
          <w:szCs w:val="19"/>
          <w:color w:val="auto"/>
        </w:rPr>
        <w:t>” means any Subsidiary other than an Unrestricted Subsidiary.</w:t>
      </w:r>
    </w:p>
    <w:p>
      <w:pPr>
        <w:spacing w:after="0" w:line="214" w:lineRule="exact"/>
        <w:rPr>
          <w:sz w:val="20"/>
          <w:szCs w:val="20"/>
          <w:color w:val="auto"/>
        </w:rPr>
      </w:pPr>
    </w:p>
    <w:p>
      <w:pPr>
        <w:jc w:val="both"/>
        <w:ind w:firstLine="629"/>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Revaluation Date</w:t>
      </w:r>
      <w:r>
        <w:rPr>
          <w:rFonts w:ascii="Arial" w:cs="Arial" w:eastAsia="Arial" w:hAnsi="Arial"/>
          <w:sz w:val="17"/>
          <w:szCs w:val="17"/>
          <w:color w:val="auto"/>
        </w:rPr>
        <w:t xml:space="preserve">” means (a) with respect to any Loan, each of the following: (i) each date of a Borrowing of an Eurocurrency Rate Loan denominated in Canadian Dollars, (ii) each date of a continuation of an Eurocurrency Rate Loan denominated in Canadian Dollars pursuant to </w:t>
      </w:r>
      <w:r>
        <w:rPr>
          <w:rFonts w:ascii="Arial" w:cs="Arial" w:eastAsia="Arial" w:hAnsi="Arial"/>
          <w:sz w:val="17"/>
          <w:szCs w:val="17"/>
          <w:u w:val="single" w:color="auto"/>
          <w:color w:val="auto"/>
        </w:rPr>
        <w:t>Section 2.02</w:t>
      </w:r>
      <w:r>
        <w:rPr>
          <w:rFonts w:ascii="Arial" w:cs="Arial" w:eastAsia="Arial" w:hAnsi="Arial"/>
          <w:sz w:val="17"/>
          <w:szCs w:val="17"/>
          <w:color w:val="auto"/>
        </w:rPr>
        <w:t>, and (iii) such additional dates as the Administrative Agent shall determine or the Required Lenders shall require; and (b) with respect to any Letter of Credit, each of the following: (i) each date of issuance, amendment and/or extension of a Letter of Credit denominated in Canadian Dollars, (ii) each date of any payment by the Letter of Credit Issuer under any Letter of Credit denominated in Canadian Dollars, and</w:t>
      </w:r>
    </w:p>
    <w:p>
      <w:pPr>
        <w:spacing w:after="0" w:line="3" w:lineRule="exact"/>
        <w:rPr>
          <w:sz w:val="20"/>
          <w:szCs w:val="20"/>
          <w:color w:val="auto"/>
        </w:rPr>
      </w:pPr>
    </w:p>
    <w:p>
      <w:pPr>
        <w:ind w:left="340" w:hanging="335"/>
        <w:spacing w:after="0"/>
        <w:tabs>
          <w:tab w:leader="none" w:pos="3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such additional dates as the Administrative Agent or the Letter of Credit Issuer shall determine or the Required Lenders shall require.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40" w:lineRule="exact"/>
        <w:rPr>
          <w:rFonts w:ascii="Arial" w:cs="Arial" w:eastAsia="Arial" w:hAnsi="Arial"/>
          <w:sz w:val="18"/>
          <w:szCs w:val="18"/>
          <w:color w:val="auto"/>
        </w:rPr>
      </w:pPr>
    </w:p>
    <w:p>
      <w:pPr>
        <w:ind w:left="5520"/>
        <w:spacing w:after="0"/>
        <w:rPr>
          <w:rFonts w:ascii="Arial" w:cs="Arial" w:eastAsia="Arial" w:hAnsi="Arial"/>
          <w:sz w:val="18"/>
          <w:szCs w:val="18"/>
          <w:color w:val="auto"/>
        </w:rPr>
      </w:pPr>
      <w:r>
        <w:rPr>
          <w:rFonts w:ascii="Arial" w:cs="Arial" w:eastAsia="Arial" w:hAnsi="Arial"/>
          <w:sz w:val="19"/>
          <w:szCs w:val="19"/>
          <w:color w:val="auto"/>
        </w:rPr>
        <w:t>54</w:t>
      </w:r>
    </w:p>
    <w:p>
      <w:pPr>
        <w:sectPr>
          <w:pgSz w:w="11900" w:h="16838" w:orient="portrait"/>
          <w:cols w:equalWidth="0" w:num="1">
            <w:col w:w="11240"/>
          </w:cols>
          <w:pgMar w:left="320" w:top="1382" w:right="339" w:bottom="1440" w:gutter="0" w:footer="0" w:header="0"/>
        </w:sectPr>
      </w:pPr>
    </w:p>
    <w:bookmarkStart w:id="173" w:name="page174"/>
    <w:bookmarkEnd w:id="173"/>
    <w:p>
      <w:pPr>
        <w:jc w:val="both"/>
        <w:ind w:firstLine="629"/>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Revolving Credit Borrowing</w:t>
      </w:r>
      <w:r>
        <w:rPr>
          <w:rFonts w:ascii="Arial" w:cs="Arial" w:eastAsia="Arial" w:hAnsi="Arial"/>
          <w:sz w:val="19"/>
          <w:szCs w:val="19"/>
          <w:color w:val="auto"/>
        </w:rPr>
        <w:t xml:space="preserve">” means a borrowing consisting of simultaneous Revolving Credit Loans of the same Type and, in the case of Eurocurrency Rate Loans, having the same Interest Period, made pursuant to </w:t>
      </w:r>
      <w:r>
        <w:rPr>
          <w:rFonts w:ascii="Arial" w:cs="Arial" w:eastAsia="Arial" w:hAnsi="Arial"/>
          <w:sz w:val="19"/>
          <w:szCs w:val="19"/>
          <w:u w:val="single" w:color="auto"/>
          <w:color w:val="auto"/>
        </w:rPr>
        <w:t>Section 2.01(a)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(c)</w:t>
      </w:r>
      <w:r>
        <w:rPr>
          <w:rFonts w:ascii="Arial" w:cs="Arial" w:eastAsia="Arial" w:hAnsi="Arial"/>
          <w:sz w:val="19"/>
          <w:szCs w:val="19"/>
          <w:color w:val="auto"/>
        </w:rPr>
        <w:t>.</w:t>
      </w:r>
    </w:p>
    <w:p>
      <w:pPr>
        <w:spacing w:after="0" w:line="157" w:lineRule="exact"/>
        <w:rPr>
          <w:sz w:val="20"/>
          <w:szCs w:val="20"/>
          <w:color w:val="auto"/>
        </w:rPr>
      </w:pPr>
    </w:p>
    <w:p>
      <w:pPr>
        <w:jc w:val="both"/>
        <w:ind w:firstLine="629"/>
        <w:spacing w:after="0" w:line="25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Revolving Credit Commitment</w:t>
      </w:r>
      <w:r>
        <w:rPr>
          <w:rFonts w:ascii="Arial" w:cs="Arial" w:eastAsia="Arial" w:hAnsi="Arial"/>
          <w:sz w:val="19"/>
          <w:szCs w:val="19"/>
          <w:color w:val="auto"/>
        </w:rPr>
        <w:t xml:space="preserve">” means, as to each Revolving Credit Lender, its obligation to (a) make Revolving Credit Loans to the Borrowers pursuant to </w:t>
      </w:r>
      <w:r>
        <w:rPr>
          <w:rFonts w:ascii="Arial" w:cs="Arial" w:eastAsia="Arial" w:hAnsi="Arial"/>
          <w:sz w:val="19"/>
          <w:szCs w:val="19"/>
          <w:u w:val="single" w:color="auto"/>
          <w:color w:val="auto"/>
        </w:rPr>
        <w:t>Section 2.01(a)</w:t>
      </w:r>
      <w:r>
        <w:rPr>
          <w:rFonts w:ascii="Arial" w:cs="Arial" w:eastAsia="Arial" w:hAnsi="Arial"/>
          <w:sz w:val="19"/>
          <w:szCs w:val="19"/>
          <w:color w:val="auto"/>
        </w:rPr>
        <w:t xml:space="preserve">, (b) purchase participations in Letter of Credit Obligations, and (c) purchase participations in Swing Line Loans, in an aggregate principal amount at any one time outstanding not to exceed the amount set forth opposite such Revolving Credit Lender’s name on </w:t>
      </w:r>
      <w:r>
        <w:rPr>
          <w:rFonts w:ascii="Arial" w:cs="Arial" w:eastAsia="Arial" w:hAnsi="Arial"/>
          <w:sz w:val="19"/>
          <w:szCs w:val="19"/>
          <w:u w:val="single" w:color="auto"/>
          <w:color w:val="auto"/>
        </w:rPr>
        <w:t>Schedule 2.01</w:t>
      </w:r>
      <w:r>
        <w:rPr>
          <w:rFonts w:ascii="Arial" w:cs="Arial" w:eastAsia="Arial" w:hAnsi="Arial"/>
          <w:sz w:val="19"/>
          <w:szCs w:val="19"/>
          <w:color w:val="auto"/>
        </w:rPr>
        <w:t xml:space="preserve"> or in the Assignment and Assumption pursuant to which such Lender becomes a party hereto, as applicable, as such amount may be adjusted from time to time in accordance with this Agreement.</w:t>
      </w:r>
    </w:p>
    <w:p>
      <w:pPr>
        <w:spacing w:after="0" w:line="177" w:lineRule="exact"/>
        <w:rPr>
          <w:sz w:val="20"/>
          <w:szCs w:val="20"/>
          <w:color w:val="auto"/>
        </w:rPr>
      </w:pPr>
    </w:p>
    <w:p>
      <w:pPr>
        <w:jc w:val="both"/>
        <w:ind w:firstLine="629"/>
        <w:spacing w:after="0" w:line="33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Revolving Credit Exposure</w:t>
      </w:r>
      <w:r>
        <w:rPr>
          <w:rFonts w:ascii="Arial" w:cs="Arial" w:eastAsia="Arial" w:hAnsi="Arial"/>
          <w:sz w:val="17"/>
          <w:szCs w:val="17"/>
          <w:color w:val="auto"/>
        </w:rPr>
        <w:t>” means, as to any Lender at any time, the aggregate principal amount at such time of its outstanding Revolving Credit Loans and such Lender’s participation in Letter of Credit Obligations, Swing Line Loans and Protective Advances at such time.</w:t>
      </w:r>
    </w:p>
    <w:p>
      <w:pPr>
        <w:spacing w:after="0" w:line="112" w:lineRule="exact"/>
        <w:rPr>
          <w:sz w:val="20"/>
          <w:szCs w:val="20"/>
          <w:color w:val="auto"/>
        </w:rPr>
      </w:pPr>
    </w:p>
    <w:p>
      <w:pPr>
        <w:jc w:val="both"/>
        <w:ind w:firstLine="629"/>
        <w:spacing w:after="0" w:line="25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Revolving Credit Facility</w:t>
      </w:r>
      <w:r>
        <w:rPr>
          <w:rFonts w:ascii="Arial" w:cs="Arial" w:eastAsia="Arial" w:hAnsi="Arial"/>
          <w:sz w:val="19"/>
          <w:szCs w:val="19"/>
          <w:color w:val="auto"/>
        </w:rPr>
        <w:t xml:space="preserve">” means the facility described in </w:t>
      </w:r>
      <w:r>
        <w:rPr>
          <w:rFonts w:ascii="Arial" w:cs="Arial" w:eastAsia="Arial" w:hAnsi="Arial"/>
          <w:sz w:val="19"/>
          <w:szCs w:val="19"/>
          <w:u w:val="single" w:color="auto"/>
          <w:color w:val="auto"/>
        </w:rPr>
        <w:t>Sections 2.01(a)</w:t>
      </w:r>
      <w:r>
        <w:rPr>
          <w:rFonts w:ascii="Arial" w:cs="Arial" w:eastAsia="Arial" w:hAnsi="Arial"/>
          <w:sz w:val="19"/>
          <w:szCs w:val="19"/>
          <w:color w:val="auto"/>
        </w:rPr>
        <w:t xml:space="preserve">, </w:t>
      </w:r>
      <w:r>
        <w:rPr>
          <w:rFonts w:ascii="Arial" w:cs="Arial" w:eastAsia="Arial" w:hAnsi="Arial"/>
          <w:sz w:val="19"/>
          <w:szCs w:val="19"/>
          <w:u w:val="single" w:color="auto"/>
          <w:color w:val="auto"/>
        </w:rPr>
        <w:t>2.03</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2.04</w:t>
      </w:r>
      <w:r>
        <w:rPr>
          <w:rFonts w:ascii="Arial" w:cs="Arial" w:eastAsia="Arial" w:hAnsi="Arial"/>
          <w:sz w:val="19"/>
          <w:szCs w:val="19"/>
          <w:color w:val="auto"/>
        </w:rPr>
        <w:t xml:space="preserve"> providing for Revolving Credit Loans, Letters of Credit and Swing Line Loans to or for the benefit of the Borrowers by the Revolving Credit Lenders, Letter of Credit Issuer and Swing Line Lender, as the case may be, in the maximum aggregate principal amount at any time outstanding of the Dollar Equivalent of $100,000,000, as adjusted from time to time pursuant to the terms of this Agreement.</w:t>
      </w:r>
    </w:p>
    <w:p>
      <w:pPr>
        <w:spacing w:after="0" w:line="177" w:lineRule="exact"/>
        <w:rPr>
          <w:sz w:val="20"/>
          <w:szCs w:val="20"/>
          <w:color w:val="auto"/>
        </w:rPr>
      </w:pPr>
    </w:p>
    <w:p>
      <w:pPr>
        <w:jc w:val="both"/>
        <w:ind w:firstLine="629"/>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Revolving Credit Lender</w:t>
      </w:r>
      <w:r>
        <w:rPr>
          <w:rFonts w:ascii="Arial" w:cs="Arial" w:eastAsia="Arial" w:hAnsi="Arial"/>
          <w:sz w:val="19"/>
          <w:szCs w:val="19"/>
          <w:color w:val="auto"/>
        </w:rPr>
        <w:t>” means each Lender that has a Revolving Credit Commitment or, following termination of the Revolving Credit Commitments, has any Revolving Credit Exposure.</w:t>
      </w:r>
    </w:p>
    <w:p>
      <w:pPr>
        <w:spacing w:after="0" w:line="157"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Revolving Credit Loan</w:t>
      </w:r>
      <w:r>
        <w:rPr>
          <w:rFonts w:ascii="Arial" w:cs="Arial" w:eastAsia="Arial" w:hAnsi="Arial"/>
          <w:sz w:val="19"/>
          <w:szCs w:val="19"/>
          <w:color w:val="auto"/>
        </w:rPr>
        <w:t xml:space="preserve">” has the meaning specified in </w:t>
      </w:r>
      <w:r>
        <w:rPr>
          <w:rFonts w:ascii="Arial" w:cs="Arial" w:eastAsia="Arial" w:hAnsi="Arial"/>
          <w:sz w:val="19"/>
          <w:szCs w:val="19"/>
          <w:u w:val="single" w:color="auto"/>
          <w:color w:val="auto"/>
        </w:rPr>
        <w:t>Section 2.01(a)</w:t>
      </w:r>
      <w:r>
        <w:rPr>
          <w:rFonts w:ascii="Arial" w:cs="Arial" w:eastAsia="Arial" w:hAnsi="Arial"/>
          <w:sz w:val="19"/>
          <w:szCs w:val="19"/>
          <w:color w:val="auto"/>
        </w:rPr>
        <w:t>.</w:t>
      </w:r>
    </w:p>
    <w:p>
      <w:pPr>
        <w:spacing w:after="0" w:line="214" w:lineRule="exact"/>
        <w:rPr>
          <w:sz w:val="20"/>
          <w:szCs w:val="20"/>
          <w:color w:val="auto"/>
        </w:rPr>
      </w:pPr>
    </w:p>
    <w:p>
      <w:pPr>
        <w:jc w:val="both"/>
        <w:ind w:firstLine="629"/>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Revolving Credit Loan Note</w:t>
      </w:r>
      <w:r>
        <w:rPr>
          <w:rFonts w:ascii="Arial" w:cs="Arial" w:eastAsia="Arial" w:hAnsi="Arial"/>
          <w:sz w:val="19"/>
          <w:szCs w:val="19"/>
          <w:color w:val="auto"/>
        </w:rPr>
        <w:t xml:space="preserve">” means a promissory note made by the Borrowers in favor of a Revolving Credit Lender evidencing Revolving Credit Loans made by such Revolving Credit Lender, substantially in the form of </w:t>
      </w:r>
      <w:r>
        <w:rPr>
          <w:rFonts w:ascii="Arial" w:cs="Arial" w:eastAsia="Arial" w:hAnsi="Arial"/>
          <w:sz w:val="19"/>
          <w:szCs w:val="19"/>
          <w:u w:val="single" w:color="auto"/>
          <w:color w:val="auto"/>
        </w:rPr>
        <w:t>Exhibit A</w:t>
      </w:r>
      <w:r>
        <w:rPr>
          <w:rFonts w:ascii="Arial" w:cs="Arial" w:eastAsia="Arial" w:hAnsi="Arial"/>
          <w:sz w:val="19"/>
          <w:szCs w:val="19"/>
          <w:color w:val="auto"/>
        </w:rPr>
        <w:t>.</w:t>
      </w:r>
    </w:p>
    <w:p>
      <w:pPr>
        <w:spacing w:after="0" w:line="157" w:lineRule="exact"/>
        <w:rPr>
          <w:sz w:val="20"/>
          <w:szCs w:val="20"/>
          <w:color w:val="auto"/>
        </w:rPr>
      </w:pPr>
    </w:p>
    <w:p>
      <w:pPr>
        <w:jc w:val="both"/>
        <w:ind w:firstLine="629"/>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Revolving Credit Termination Date</w:t>
      </w:r>
      <w:r>
        <w:rPr>
          <w:rFonts w:ascii="Arial" w:cs="Arial" w:eastAsia="Arial" w:hAnsi="Arial"/>
          <w:sz w:val="19"/>
          <w:szCs w:val="19"/>
          <w:color w:val="auto"/>
        </w:rPr>
        <w:t xml:space="preserve">” means the earliest of (a) the Maturity Date, (b) the date of termination of the Aggregate Revolving Credit Commitments pursuant to </w:t>
      </w:r>
      <w:r>
        <w:rPr>
          <w:rFonts w:ascii="Arial" w:cs="Arial" w:eastAsia="Arial" w:hAnsi="Arial"/>
          <w:sz w:val="19"/>
          <w:szCs w:val="19"/>
          <w:u w:val="single" w:color="auto"/>
          <w:color w:val="auto"/>
        </w:rPr>
        <w:t>Section 2.07(a)</w:t>
      </w:r>
      <w:r>
        <w:rPr>
          <w:rFonts w:ascii="Arial" w:cs="Arial" w:eastAsia="Arial" w:hAnsi="Arial"/>
          <w:sz w:val="19"/>
          <w:szCs w:val="19"/>
          <w:color w:val="auto"/>
        </w:rPr>
        <w:t xml:space="preserve">, and (c) the date of termination of the commitment of each Lender to make Loans and of the obligation of the Letter of Credit Issuer to make Letter of Credit Extensions pursuant to </w:t>
      </w:r>
      <w:r>
        <w:rPr>
          <w:rFonts w:ascii="Arial" w:cs="Arial" w:eastAsia="Arial" w:hAnsi="Arial"/>
          <w:sz w:val="19"/>
          <w:szCs w:val="19"/>
          <w:u w:val="single" w:color="auto"/>
          <w:color w:val="auto"/>
        </w:rPr>
        <w:t>Section 9.02</w:t>
      </w:r>
      <w:r>
        <w:rPr>
          <w:rFonts w:ascii="Arial" w:cs="Arial" w:eastAsia="Arial" w:hAnsi="Arial"/>
          <w:sz w:val="19"/>
          <w:szCs w:val="19"/>
          <w:color w:val="auto"/>
        </w:rPr>
        <w:t>.</w:t>
      </w:r>
    </w:p>
    <w:p>
      <w:pPr>
        <w:spacing w:after="0" w:line="171" w:lineRule="exact"/>
        <w:rPr>
          <w:sz w:val="20"/>
          <w:szCs w:val="20"/>
          <w:color w:val="auto"/>
        </w:rPr>
      </w:pPr>
    </w:p>
    <w:p>
      <w:pPr>
        <w:jc w:val="both"/>
        <w:ind w:firstLine="629"/>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Rolling Stock</w:t>
      </w:r>
      <w:r>
        <w:rPr>
          <w:rFonts w:ascii="Arial" w:cs="Arial" w:eastAsia="Arial" w:hAnsi="Arial"/>
          <w:sz w:val="19"/>
          <w:szCs w:val="19"/>
          <w:color w:val="auto"/>
        </w:rPr>
        <w:t>” means all trucks, trailers, tractors, service vehicles, vans, pick-up trucks, forklifts, wheel loaders and other mobile equipment and other vehicles, wherever located.</w:t>
      </w:r>
    </w:p>
    <w:p>
      <w:pPr>
        <w:spacing w:after="0" w:line="157"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Royalties</w:t>
      </w:r>
      <w:r>
        <w:rPr>
          <w:rFonts w:ascii="Arial" w:cs="Arial" w:eastAsia="Arial" w:hAnsi="Arial"/>
          <w:sz w:val="19"/>
          <w:szCs w:val="19"/>
          <w:color w:val="auto"/>
        </w:rPr>
        <w:t>” means all royalties, fees, expense reimbursement and other amounts payable by a Loan Party under a License.</w:t>
      </w:r>
    </w:p>
    <w:p>
      <w:pPr>
        <w:spacing w:after="0" w:line="21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S&amp;P</w:t>
      </w:r>
      <w:r>
        <w:rPr>
          <w:rFonts w:ascii="Arial" w:cs="Arial" w:eastAsia="Arial" w:hAnsi="Arial"/>
          <w:sz w:val="17"/>
          <w:szCs w:val="17"/>
          <w:color w:val="auto"/>
        </w:rPr>
        <w:t>” means Standard &amp; Poor’s Financial Services LLC, a subsidiary of The McGraw-Hill Companies, Inc. and any successor thereto.</w:t>
      </w:r>
    </w:p>
    <w:p>
      <w:pPr>
        <w:spacing w:after="0" w:line="237"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Same Day Funds</w:t>
      </w:r>
      <w:r>
        <w:rPr>
          <w:rFonts w:ascii="Arial" w:cs="Arial" w:eastAsia="Arial" w:hAnsi="Arial"/>
          <w:sz w:val="19"/>
          <w:szCs w:val="19"/>
          <w:color w:val="auto"/>
        </w:rPr>
        <w:t>” means immediately available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55</w:t>
      </w:r>
    </w:p>
    <w:p>
      <w:pPr>
        <w:sectPr>
          <w:pgSz w:w="11900" w:h="16838" w:orient="portrait"/>
          <w:cols w:equalWidth="0" w:num="1">
            <w:col w:w="11240"/>
          </w:cols>
          <w:pgMar w:left="320" w:top="1382" w:right="339" w:bottom="1440" w:gutter="0" w:footer="0" w:header="0"/>
        </w:sectPr>
      </w:pPr>
    </w:p>
    <w:bookmarkStart w:id="174" w:name="page175"/>
    <w:bookmarkEnd w:id="174"/>
    <w:p>
      <w:pPr>
        <w:jc w:val="both"/>
        <w:ind w:firstLine="629"/>
        <w:spacing w:after="0" w:line="24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Sanctioned Person</w:t>
      </w:r>
      <w:r>
        <w:rPr>
          <w:rFonts w:ascii="Arial" w:cs="Arial" w:eastAsia="Arial" w:hAnsi="Arial"/>
          <w:sz w:val="19"/>
          <w:szCs w:val="19"/>
          <w:color w:val="auto"/>
        </w:rPr>
        <w:t>” means, at any time, that is (a) the target of Sanctions; (b) any Person listed in the annex to, or otherwise subject to the provisions of, the Executive Order or any Sanctions-related list of designated Persons maintained by OFAC (including the OFAC SDN List), the United States Department of State or the Government of Canada (including, without limitation, OFAC, the U.S. Department of Commerce, United States Department of State or U.S. Department of Defense), the United Nations Security Council, the European Union, any European Union member state, Her Majesty’s Treasury of the United Kingdom, or any other relevant sanctions authority, (c) any Person located, organized or resident in a Designated Jurisdiction or (d) any Person directly or indirectly 25% or more owned or controlled, individually or in the aggregate, by any Person described in clauses (a) or (b) above.</w:t>
      </w:r>
    </w:p>
    <w:p>
      <w:pPr>
        <w:spacing w:after="0" w:line="210" w:lineRule="exact"/>
        <w:rPr>
          <w:sz w:val="20"/>
          <w:szCs w:val="20"/>
          <w:color w:val="auto"/>
        </w:rPr>
      </w:pPr>
    </w:p>
    <w:p>
      <w:pPr>
        <w:jc w:val="both"/>
        <w:ind w:firstLine="629"/>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Sanctions</w:t>
      </w:r>
      <w:r>
        <w:rPr>
          <w:rFonts w:ascii="Arial" w:cs="Arial" w:eastAsia="Arial" w:hAnsi="Arial"/>
          <w:sz w:val="18"/>
          <w:szCs w:val="18"/>
          <w:color w:val="auto"/>
        </w:rPr>
        <w:t>” means all economic or financial sanctions, sectoral sanctions, secondary sanctions or trade embargoes imposed, administered or enforced from time to time by (a) the United States government (including those administered by OFAC the U.S. Department of Commerce, United States Department of State or U.S. Department of Defense), or (b) the Government of Canada, the United Nations Security Council, the European Union, any European Union member state, Her Majesty’s Treasury of the United Kingdom, or any other relevant sanctions authority with jurisdiction over any Loan Party or any of their respective Subsidiaries or Affiliates.</w:t>
      </w:r>
    </w:p>
    <w:p>
      <w:pPr>
        <w:spacing w:after="0" w:line="191"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Sarbanes-Oxley</w:t>
      </w:r>
      <w:r>
        <w:rPr>
          <w:rFonts w:ascii="Arial" w:cs="Arial" w:eastAsia="Arial" w:hAnsi="Arial"/>
          <w:sz w:val="19"/>
          <w:szCs w:val="19"/>
          <w:color w:val="auto"/>
        </w:rPr>
        <w:t>” means the Sarbanes-Oxley Act of 2002.</w:t>
      </w:r>
    </w:p>
    <w:p>
      <w:pPr>
        <w:spacing w:after="0" w:line="21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Securities and Exchange Commission, or any Governmental Authority succeeding to any of its principal functions.</w:t>
      </w:r>
    </w:p>
    <w:p>
      <w:pPr>
        <w:spacing w:after="0" w:line="226" w:lineRule="exact"/>
        <w:rPr>
          <w:sz w:val="20"/>
          <w:szCs w:val="20"/>
          <w:color w:val="auto"/>
        </w:rPr>
      </w:pPr>
    </w:p>
    <w:p>
      <w:pPr>
        <w:jc w:val="both"/>
        <w:ind w:firstLine="629"/>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Secured Party</w:t>
      </w:r>
      <w:r>
        <w:rPr>
          <w:rFonts w:ascii="Arial" w:cs="Arial" w:eastAsia="Arial" w:hAnsi="Arial"/>
          <w:sz w:val="19"/>
          <w:szCs w:val="19"/>
          <w:color w:val="auto"/>
        </w:rPr>
        <w:t>” means (a) each Lender, (b) each Credit Product Provider, (c) the Administrative Agent, (d) the Letter of Credit Issuer, (e) the Arranger and (f) the successors and assigns of each of the foregoing.</w:t>
      </w:r>
    </w:p>
    <w:p>
      <w:pPr>
        <w:spacing w:after="0" w:line="157"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Secured Party Expenses</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11.04(a)</w:t>
      </w:r>
      <w:r>
        <w:rPr>
          <w:rFonts w:ascii="Arial" w:cs="Arial" w:eastAsia="Arial" w:hAnsi="Arial"/>
          <w:sz w:val="19"/>
          <w:szCs w:val="19"/>
          <w:color w:val="auto"/>
        </w:rPr>
        <w:t>.</w:t>
      </w:r>
    </w:p>
    <w:p>
      <w:pPr>
        <w:spacing w:after="0" w:line="214" w:lineRule="exact"/>
        <w:rPr>
          <w:sz w:val="20"/>
          <w:szCs w:val="20"/>
          <w:color w:val="auto"/>
        </w:rPr>
      </w:pPr>
    </w:p>
    <w:p>
      <w:pPr>
        <w:jc w:val="both"/>
        <w:ind w:firstLine="629"/>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Securities Laws</w:t>
      </w:r>
      <w:r>
        <w:rPr>
          <w:rFonts w:ascii="Arial" w:cs="Arial" w:eastAsia="Arial" w:hAnsi="Arial"/>
          <w:sz w:val="19"/>
          <w:szCs w:val="19"/>
          <w:color w:val="auto"/>
        </w:rPr>
        <w:t>” means the Securities Act of 1933, the Exchange Act, Sarbanes-Oxley and the applicable accounting and auditing principles, rules, standards and practices promulgated, approved or incorporated by the SEC or the Public Company Accounting Oversight Board, as each of the foregoing may be amended and in effect on any applicable date hereunder.</w:t>
      </w:r>
    </w:p>
    <w:p>
      <w:pPr>
        <w:spacing w:after="0" w:line="171" w:lineRule="exact"/>
        <w:rPr>
          <w:sz w:val="20"/>
          <w:szCs w:val="20"/>
          <w:color w:val="auto"/>
        </w:rPr>
      </w:pPr>
    </w:p>
    <w:p>
      <w:pPr>
        <w:jc w:val="both"/>
        <w:ind w:firstLine="629"/>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Security Agreement</w:t>
      </w:r>
      <w:r>
        <w:rPr>
          <w:rFonts w:ascii="Arial" w:cs="Arial" w:eastAsia="Arial" w:hAnsi="Arial"/>
          <w:sz w:val="19"/>
          <w:szCs w:val="19"/>
          <w:color w:val="auto"/>
        </w:rPr>
        <w:t xml:space="preserve">” means the Security Agreement dated as of the date hereof by the Loan Parties and the Administrative Agent for the benefit of the Secured Parties, substantially in the form of </w:t>
      </w:r>
      <w:r>
        <w:rPr>
          <w:rFonts w:ascii="Arial" w:cs="Arial" w:eastAsia="Arial" w:hAnsi="Arial"/>
          <w:sz w:val="19"/>
          <w:szCs w:val="19"/>
          <w:u w:val="single" w:color="auto"/>
          <w:color w:val="auto"/>
        </w:rPr>
        <w:t>Exhibit C-1</w:t>
      </w:r>
      <w:r>
        <w:rPr>
          <w:rFonts w:ascii="Arial" w:cs="Arial" w:eastAsia="Arial" w:hAnsi="Arial"/>
          <w:sz w:val="19"/>
          <w:szCs w:val="19"/>
          <w:color w:val="auto"/>
        </w:rPr>
        <w:t>.</w:t>
      </w:r>
    </w:p>
    <w:p>
      <w:pPr>
        <w:spacing w:after="0" w:line="157" w:lineRule="exact"/>
        <w:rPr>
          <w:sz w:val="20"/>
          <w:szCs w:val="20"/>
          <w:color w:val="auto"/>
        </w:rPr>
      </w:pPr>
    </w:p>
    <w:p>
      <w:pPr>
        <w:jc w:val="both"/>
        <w:ind w:firstLine="629"/>
        <w:spacing w:after="0" w:line="25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Security Instruments</w:t>
      </w:r>
      <w:r>
        <w:rPr>
          <w:rFonts w:ascii="Arial" w:cs="Arial" w:eastAsia="Arial" w:hAnsi="Arial"/>
          <w:sz w:val="19"/>
          <w:szCs w:val="19"/>
          <w:color w:val="auto"/>
        </w:rPr>
        <w:t>” means, collectively or individually as the context may indicate, the Security Agreement, the Canadian Security Agreement, any Deed of Hypothec, the Control Agreements, the Patent Security Agreement, the Trademark Security Agreement, each Lien Waiver and all other agreements (including securities account control agreements), instruments and other documents, whether now existing or hereafter in effect, pursuant to which any Loan Party or other Person shall grant or convey to the Administrative Agent or the Lenders a Lien in property as security for all or any portion of the Obligations.</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Settlement Date</w:t>
      </w:r>
      <w:r>
        <w:rPr>
          <w:rFonts w:ascii="Arial" w:cs="Arial" w:eastAsia="Arial" w:hAnsi="Arial"/>
          <w:sz w:val="19"/>
          <w:szCs w:val="19"/>
          <w:color w:val="auto"/>
        </w:rPr>
        <w:t xml:space="preserve">” has the meaning provided in </w:t>
      </w:r>
      <w:r>
        <w:rPr>
          <w:rFonts w:ascii="Arial" w:cs="Arial" w:eastAsia="Arial" w:hAnsi="Arial"/>
          <w:sz w:val="19"/>
          <w:szCs w:val="19"/>
          <w:u w:val="single" w:color="auto"/>
          <w:color w:val="auto"/>
        </w:rPr>
        <w:t>Section 2.14</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56</w:t>
      </w:r>
    </w:p>
    <w:p>
      <w:pPr>
        <w:sectPr>
          <w:pgSz w:w="11900" w:h="16838" w:orient="portrait"/>
          <w:cols w:equalWidth="0" w:num="1">
            <w:col w:w="11240"/>
          </w:cols>
          <w:pgMar w:left="320" w:top="1382" w:right="339" w:bottom="1440" w:gutter="0" w:footer="0" w:header="0"/>
        </w:sectPr>
      </w:pPr>
    </w:p>
    <w:bookmarkStart w:id="175" w:name="page176"/>
    <w:bookmarkEnd w:id="175"/>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Shrink</w:t>
      </w:r>
      <w:r>
        <w:rPr>
          <w:rFonts w:ascii="Arial" w:cs="Arial" w:eastAsia="Arial" w:hAnsi="Arial"/>
          <w:sz w:val="19"/>
          <w:szCs w:val="19"/>
          <w:color w:val="auto"/>
        </w:rPr>
        <w:t>” means Inventory which has been lost, misplaced, stolen, or is otherwise unaccounted for.</w:t>
      </w:r>
    </w:p>
    <w:p>
      <w:pPr>
        <w:spacing w:after="0" w:line="214" w:lineRule="exact"/>
        <w:rPr>
          <w:sz w:val="20"/>
          <w:szCs w:val="20"/>
          <w:color w:val="auto"/>
        </w:rPr>
      </w:pPr>
    </w:p>
    <w:p>
      <w:pPr>
        <w:jc w:val="both"/>
        <w:ind w:firstLine="629"/>
        <w:spacing w:after="0" w:line="25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SOFR</w:t>
      </w:r>
      <w:r>
        <w:rPr>
          <w:rFonts w:ascii="Arial" w:cs="Arial" w:eastAsia="Arial" w:hAnsi="Arial"/>
          <w:sz w:val="19"/>
          <w:szCs w:val="19"/>
          <w:color w:val="auto"/>
        </w:rPr>
        <w:t>” means a rate per annum equal to the secured overnight financing rate for such Business Day published by the Federal Reserve Bank of New York (or a successor administrator of the secured overnight financing rate) on the website of the Federal Reserve Bank of New York, currently at http://www.newyorkfed.org (or any successor source for the secured overnight financing rate identified as such by the administrator of the secured overnight financing rate from time to time).</w:t>
      </w:r>
    </w:p>
    <w:p>
      <w:pPr>
        <w:spacing w:after="0" w:line="203" w:lineRule="exact"/>
        <w:rPr>
          <w:sz w:val="20"/>
          <w:szCs w:val="20"/>
          <w:color w:val="auto"/>
        </w:rPr>
      </w:pPr>
    </w:p>
    <w:p>
      <w:pPr>
        <w:jc w:val="both"/>
        <w:ind w:firstLine="629"/>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Solvent</w:t>
      </w:r>
      <w:r>
        <w:rPr>
          <w:rFonts w:ascii="Arial" w:cs="Arial" w:eastAsia="Arial" w:hAnsi="Arial"/>
          <w:sz w:val="18"/>
          <w:szCs w:val="18"/>
          <w:color w:val="auto"/>
        </w:rPr>
        <w:t>” means, as to any Person, such Person (a) owns property or assets whose fair salable value is greater than the amount required to pay all of its debts (including contingent, subordinated, unmatured and unliquidated liabilities); (b) owns property or assets whose present fair salable value (as defined below) is greater than the probable total liabilities (including contingent, subordinated, unmatured and unliquidated liabilities) of such Person as they become absolute and matured; (c) is able to pay all of its debts as they mature; (d) has capital that is not unreasonably small for its business and is sufficient to carry on its business and transactions and all business and transactions in which it is about to engage; (e) is not “insolvent” within the meaning of Section 101(32) of the Bankruptcy Code; and (f) has not incurred (by way of assumption or otherwise) any obligations or liabilities (contingent or otherwise) under any Loan Documents, or made any conveyance in connection therewith, with actual intent to hinder, delay or defraud either present or future creditors of such Person or any of its Affiliates. “</w:t>
      </w:r>
      <w:r>
        <w:rPr>
          <w:rFonts w:ascii="Arial" w:cs="Arial" w:eastAsia="Arial" w:hAnsi="Arial"/>
          <w:sz w:val="18"/>
          <w:szCs w:val="18"/>
          <w:u w:val="single" w:color="auto"/>
          <w:color w:val="auto"/>
        </w:rPr>
        <w:t>Fair salable</w:t>
      </w:r>
      <w:r>
        <w:rPr>
          <w:rFonts w:ascii="Arial" w:cs="Arial" w:eastAsia="Arial" w:hAnsi="Arial"/>
          <w:sz w:val="18"/>
          <w:szCs w:val="18"/>
          <w:color w:val="auto"/>
        </w:rPr>
        <w:t xml:space="preserve"> </w:t>
      </w:r>
      <w:r>
        <w:rPr>
          <w:rFonts w:ascii="Arial" w:cs="Arial" w:eastAsia="Arial" w:hAnsi="Arial"/>
          <w:sz w:val="18"/>
          <w:szCs w:val="18"/>
          <w:u w:val="single" w:color="auto"/>
          <w:color w:val="auto"/>
        </w:rPr>
        <w:t>value</w:t>
      </w:r>
      <w:r>
        <w:rPr>
          <w:rFonts w:ascii="Arial" w:cs="Arial" w:eastAsia="Arial" w:hAnsi="Arial"/>
          <w:sz w:val="18"/>
          <w:szCs w:val="18"/>
          <w:color w:val="auto"/>
        </w:rPr>
        <w:t>” means the amount that could be obtained for assets within a reasonable time, either through collection or through sale under ordinary selling conditions by a capable and diligent seller to an interested buyer who is willing (but under no compulsion) to purchase. For purposes hereof, the amount of all contingent liabilities at any time shall be computed as the amount that, in light of all the facts and circumstances existing at the time, can reasonably be expected to become an actual or matured liability.</w:t>
      </w:r>
    </w:p>
    <w:p>
      <w:pPr>
        <w:spacing w:after="0" w:line="173" w:lineRule="exact"/>
        <w:rPr>
          <w:sz w:val="20"/>
          <w:szCs w:val="20"/>
          <w:color w:val="auto"/>
        </w:rPr>
      </w:pPr>
    </w:p>
    <w:p>
      <w:pPr>
        <w:jc w:val="both"/>
        <w:ind w:firstLine="629"/>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Specified Debt Payment</w:t>
      </w:r>
      <w:r>
        <w:rPr>
          <w:rFonts w:ascii="Arial" w:cs="Arial" w:eastAsia="Arial" w:hAnsi="Arial"/>
          <w:sz w:val="19"/>
          <w:szCs w:val="19"/>
          <w:color w:val="auto"/>
        </w:rPr>
        <w:t xml:space="preserve">” means any prepayment of Indebtedness made pursuant to </w:t>
      </w:r>
      <w:r>
        <w:rPr>
          <w:rFonts w:ascii="Arial" w:cs="Arial" w:eastAsia="Arial" w:hAnsi="Arial"/>
          <w:sz w:val="19"/>
          <w:szCs w:val="19"/>
          <w:u w:val="single" w:color="auto"/>
          <w:color w:val="auto"/>
        </w:rPr>
        <w:t>Section 8.11(a)(iv)</w:t>
      </w:r>
      <w:r>
        <w:rPr>
          <w:rFonts w:ascii="Arial" w:cs="Arial" w:eastAsia="Arial" w:hAnsi="Arial"/>
          <w:sz w:val="19"/>
          <w:szCs w:val="19"/>
          <w:color w:val="auto"/>
        </w:rPr>
        <w:t xml:space="preserve"> or with respect to which the Payments Conditions apply.</w:t>
      </w:r>
    </w:p>
    <w:p>
      <w:pPr>
        <w:spacing w:after="0" w:line="15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Specified Investment</w:t>
      </w:r>
      <w:r>
        <w:rPr>
          <w:rFonts w:ascii="Arial" w:cs="Arial" w:eastAsia="Arial" w:hAnsi="Arial"/>
          <w:sz w:val="17"/>
          <w:szCs w:val="17"/>
          <w:color w:val="auto"/>
        </w:rPr>
        <w:t xml:space="preserve">” means any Investment made pursuant to </w:t>
      </w:r>
      <w:r>
        <w:rPr>
          <w:rFonts w:ascii="Arial" w:cs="Arial" w:eastAsia="Arial" w:hAnsi="Arial"/>
          <w:sz w:val="17"/>
          <w:szCs w:val="17"/>
          <w:u w:val="single" w:color="auto"/>
          <w:color w:val="auto"/>
        </w:rPr>
        <w:t>Section 8.03(g)</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(h)</w:t>
      </w:r>
      <w:r>
        <w:rPr>
          <w:rFonts w:ascii="Arial" w:cs="Arial" w:eastAsia="Arial" w:hAnsi="Arial"/>
          <w:sz w:val="17"/>
          <w:szCs w:val="17"/>
          <w:color w:val="auto"/>
        </w:rPr>
        <w:t xml:space="preserve"> or with respect to which the Payments Conditions</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apply.</w:t>
      </w:r>
    </w:p>
    <w:p>
      <w:pPr>
        <w:spacing w:after="0" w:line="198" w:lineRule="exact"/>
        <w:rPr>
          <w:sz w:val="20"/>
          <w:szCs w:val="20"/>
          <w:color w:val="auto"/>
        </w:rPr>
      </w:pPr>
    </w:p>
    <w:p>
      <w:pPr>
        <w:jc w:val="both"/>
        <w:ind w:firstLine="629"/>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Specified Loan Party</w:t>
      </w:r>
      <w:r>
        <w:rPr>
          <w:rFonts w:ascii="Arial" w:cs="Arial" w:eastAsia="Arial" w:hAnsi="Arial"/>
          <w:sz w:val="19"/>
          <w:szCs w:val="19"/>
          <w:color w:val="auto"/>
        </w:rPr>
        <w:t xml:space="preserve">” means a Loan Party that is not then an “eligible contract participant” under the Commodity Exchange Act (determined prior to giving effect to </w:t>
      </w:r>
      <w:r>
        <w:rPr>
          <w:rFonts w:ascii="Arial" w:cs="Arial" w:eastAsia="Arial" w:hAnsi="Arial"/>
          <w:sz w:val="19"/>
          <w:szCs w:val="19"/>
          <w:u w:val="single" w:color="auto"/>
          <w:color w:val="auto"/>
        </w:rPr>
        <w:t>Section 2.15(c)</w:t>
      </w:r>
      <w:r>
        <w:rPr>
          <w:rFonts w:ascii="Arial" w:cs="Arial" w:eastAsia="Arial" w:hAnsi="Arial"/>
          <w:sz w:val="19"/>
          <w:szCs w:val="19"/>
          <w:color w:val="auto"/>
        </w:rPr>
        <w:t>).</w:t>
      </w:r>
    </w:p>
    <w:p>
      <w:pPr>
        <w:spacing w:after="0" w:line="157" w:lineRule="exact"/>
        <w:rPr>
          <w:sz w:val="20"/>
          <w:szCs w:val="20"/>
          <w:color w:val="auto"/>
        </w:rPr>
      </w:pPr>
    </w:p>
    <w:p>
      <w:pPr>
        <w:jc w:val="both"/>
        <w:ind w:firstLine="629"/>
        <w:spacing w:after="0" w:line="25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Specified Pro Forma Transaction</w:t>
      </w:r>
      <w:r>
        <w:rPr>
          <w:rFonts w:ascii="Arial" w:cs="Arial" w:eastAsia="Arial" w:hAnsi="Arial"/>
          <w:sz w:val="19"/>
          <w:szCs w:val="19"/>
          <w:color w:val="auto"/>
        </w:rPr>
        <w:t>” means, with respect to any period, any Investment, Disposition, Subsidiary designation as a Restricted Subsidiary or an Unrestricted Subsidiary or other event, including any Specified Transactions, that by the terms of the Loan Documents requires “Pro Forma Compliance” with a test or covenant hereunder or requires such test or covenant to be calculated on a “Pro Forma Basis.”</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Specified Restricted Payment</w:t>
      </w:r>
      <w:r>
        <w:rPr>
          <w:rFonts w:ascii="Arial" w:cs="Arial" w:eastAsia="Arial" w:hAnsi="Arial"/>
          <w:sz w:val="19"/>
          <w:szCs w:val="19"/>
          <w:color w:val="auto"/>
        </w:rPr>
        <w:t>” means any Restricted Payment with respect to which the Payments Conditions apply.</w:t>
      </w:r>
    </w:p>
    <w:p>
      <w:pPr>
        <w:spacing w:after="0" w:line="214" w:lineRule="exact"/>
        <w:rPr>
          <w:sz w:val="20"/>
          <w:szCs w:val="20"/>
          <w:color w:val="auto"/>
        </w:rPr>
      </w:pPr>
    </w:p>
    <w:p>
      <w:pPr>
        <w:jc w:val="center"/>
        <w:ind w:right="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Specified Transaction</w:t>
      </w:r>
      <w:r>
        <w:rPr>
          <w:rFonts w:ascii="Arial" w:cs="Arial" w:eastAsia="Arial" w:hAnsi="Arial"/>
          <w:sz w:val="19"/>
          <w:szCs w:val="19"/>
          <w:color w:val="auto"/>
        </w:rPr>
        <w:t>” means each Specified Debt Payment, each Specified Investment and each Specified Restricted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57</w:t>
      </w:r>
    </w:p>
    <w:p>
      <w:pPr>
        <w:sectPr>
          <w:pgSz w:w="11900" w:h="16838" w:orient="portrait"/>
          <w:cols w:equalWidth="0" w:num="1">
            <w:col w:w="11240"/>
          </w:cols>
          <w:pgMar w:left="320" w:top="1382" w:right="339" w:bottom="1440" w:gutter="0" w:footer="0" w:header="0"/>
        </w:sectPr>
      </w:pPr>
    </w:p>
    <w:bookmarkStart w:id="176" w:name="page177"/>
    <w:bookmarkEnd w:id="176"/>
    <w:p>
      <w:pPr>
        <w:jc w:val="both"/>
        <w:ind w:firstLine="629"/>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Spot Rate</w:t>
      </w:r>
      <w:r>
        <w:rPr>
          <w:rFonts w:ascii="Arial" w:cs="Arial" w:eastAsia="Arial" w:hAnsi="Arial"/>
          <w:sz w:val="18"/>
          <w:szCs w:val="18"/>
          <w:color w:val="auto"/>
        </w:rPr>
        <w:t xml:space="preserve">” means, on any determination date, (x) the Daily Exchange Rate if being determined in connection with (i) determining the Dollar Equivalent amount of any Accounts of Canadian Borrowers reported on any Borrowing Base Certificate or (ii) determining the Dollar Equivalent of any amounts reflected and/or reported in this Agreement or any other Loan Document or any related document or certificate (including financial statements and reports) delivered hereunder or thereunder to the extent any such amounts reflect or represent a balance-sheet-related item or the like, in each case, as determined by the Administrative Agent in its reasonable discretion, or (y) the Monthly Exchange Rate if being determined in connection with determining the Dollar Equivalent of any amounts reflected and/or reported in this Agreement or any other Loan Document or any related document or certificate (including financial statements and reports) delivered hereunder or thereunder to the extent any such amounts reflect or represent an income statement related item or the like (including, without limitation, revenue and expense amounts), </w:t>
      </w:r>
      <w:r>
        <w:rPr>
          <w:rFonts w:ascii="Arial" w:cs="Arial" w:eastAsia="Arial" w:hAnsi="Arial"/>
          <w:sz w:val="18"/>
          <w:szCs w:val="18"/>
          <w:i w:val="1"/>
          <w:iCs w:val="1"/>
          <w:color w:val="auto"/>
        </w:rPr>
        <w:t>in each case</w:t>
      </w:r>
      <w:r>
        <w:rPr>
          <w:rFonts w:ascii="Arial" w:cs="Arial" w:eastAsia="Arial" w:hAnsi="Arial"/>
          <w:sz w:val="18"/>
          <w:szCs w:val="18"/>
          <w:color w:val="auto"/>
        </w:rPr>
        <w:t>, as determined by the Administrative Agent in its reasonable discretion.</w:t>
      </w:r>
    </w:p>
    <w:p>
      <w:pPr>
        <w:spacing w:after="0" w:line="167" w:lineRule="exact"/>
        <w:rPr>
          <w:sz w:val="20"/>
          <w:szCs w:val="20"/>
          <w:color w:val="auto"/>
        </w:rPr>
      </w:pPr>
    </w:p>
    <w:p>
      <w:pPr>
        <w:jc w:val="both"/>
        <w:ind w:firstLine="629"/>
        <w:spacing w:after="0" w:line="25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Subcontractor Reserves</w:t>
      </w:r>
      <w:r>
        <w:rPr>
          <w:rFonts w:ascii="Arial" w:cs="Arial" w:eastAsia="Arial" w:hAnsi="Arial"/>
          <w:sz w:val="19"/>
          <w:szCs w:val="19"/>
          <w:color w:val="auto"/>
        </w:rPr>
        <w:t>” means the reserves established by the Administrative Agent from time to time, in its reasonable discretion, to reflect the aggregate amount of liabilities of the Loan Parties that are, or, upon nonpayment of or creation of a claim with respect to such liability, would be, (i) pursuant to Law, secured by Liens on the Collateral that are senior to the Administrative Agent’s Liens or secured by Liens on any Bonded Job Site, (ii) subject a trust arrangement with respect to the collections or proceeds of any Account or (iii) pursuant to Law, allow the Account Debtor to withhold or offset payment on any Account on account thereof, in any case arising under any applicable Law for the benefit of mechanics, materialmen, repairmen or other providers of labor or materials.</w:t>
      </w:r>
    </w:p>
    <w:p>
      <w:pPr>
        <w:spacing w:after="0" w:line="182" w:lineRule="exact"/>
        <w:rPr>
          <w:sz w:val="20"/>
          <w:szCs w:val="20"/>
          <w:color w:val="auto"/>
        </w:rPr>
      </w:pPr>
    </w:p>
    <w:p>
      <w:pPr>
        <w:jc w:val="both"/>
        <w:ind w:firstLine="629"/>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Subordinated Debt</w:t>
      </w:r>
      <w:r>
        <w:rPr>
          <w:rFonts w:ascii="Arial" w:cs="Arial" w:eastAsia="Arial" w:hAnsi="Arial"/>
          <w:sz w:val="19"/>
          <w:szCs w:val="19"/>
          <w:color w:val="auto"/>
        </w:rPr>
        <w:t>” means unsecured Indebtedness which is expressly subordinated in right of payment to the prior Payment in Full and which is in form and on terms satisfactory to, and approved in writing by, the Administrative Agent at its sole option.</w:t>
      </w:r>
    </w:p>
    <w:p>
      <w:pPr>
        <w:spacing w:after="0" w:line="157" w:lineRule="exact"/>
        <w:rPr>
          <w:sz w:val="20"/>
          <w:szCs w:val="20"/>
          <w:color w:val="auto"/>
        </w:rPr>
      </w:pPr>
    </w:p>
    <w:p>
      <w:pPr>
        <w:jc w:val="both"/>
        <w:ind w:firstLine="629"/>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Subordination Provisions</w:t>
      </w:r>
      <w:r>
        <w:rPr>
          <w:rFonts w:ascii="Arial" w:cs="Arial" w:eastAsia="Arial" w:hAnsi="Arial"/>
          <w:sz w:val="19"/>
          <w:szCs w:val="19"/>
          <w:color w:val="auto"/>
        </w:rPr>
        <w:t>” means any provision relating to debt or lien subordination applicable to or contained in any documents evidencing any Indebtedness, including Subordinated Debt, including as set forth in the Intercreditor Agreement or other applicable intercreditor agreements acceptable to the Administrative Agent.</w:t>
      </w:r>
    </w:p>
    <w:p>
      <w:pPr>
        <w:spacing w:after="0" w:line="171" w:lineRule="exact"/>
        <w:rPr>
          <w:sz w:val="20"/>
          <w:szCs w:val="20"/>
          <w:color w:val="auto"/>
        </w:rPr>
      </w:pPr>
    </w:p>
    <w:p>
      <w:pPr>
        <w:jc w:val="both"/>
        <w:ind w:firstLine="629"/>
        <w:spacing w:after="0" w:line="25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Subsidiary</w:t>
      </w:r>
      <w:r>
        <w:rPr>
          <w:rFonts w:ascii="Arial" w:cs="Arial" w:eastAsia="Arial" w:hAnsi="Arial"/>
          <w:sz w:val="19"/>
          <w:szCs w:val="19"/>
          <w:color w:val="auto"/>
        </w:rPr>
        <w:t>” of a Person means a corporation, partnership, joint venture, limited liability company, unlimited liability company or other business entity (but not a representative office of such Person) of which a majority of the shares of securities or other interests having ordinary voting power for the election of directors or other governing body (other than securities or interests having such power only by reason of the happening of a contingency) are at the time beneficially owned, or the management of which is otherwise controlled, directly, or indirectly through one or more intermediaries, or both, by such Person. Unless otherwise specified, all references herein to a “</w:t>
      </w:r>
      <w:r>
        <w:rPr>
          <w:rFonts w:ascii="Arial" w:cs="Arial" w:eastAsia="Arial" w:hAnsi="Arial"/>
          <w:sz w:val="19"/>
          <w:szCs w:val="19"/>
          <w:u w:val="single" w:color="auto"/>
          <w:color w:val="auto"/>
        </w:rPr>
        <w:t>Subsidiary</w:t>
      </w:r>
      <w:r>
        <w:rPr>
          <w:rFonts w:ascii="Arial" w:cs="Arial" w:eastAsia="Arial" w:hAnsi="Arial"/>
          <w:sz w:val="19"/>
          <w:szCs w:val="19"/>
          <w:color w:val="auto"/>
        </w:rPr>
        <w:t>” or to “</w:t>
      </w:r>
      <w:r>
        <w:rPr>
          <w:rFonts w:ascii="Arial" w:cs="Arial" w:eastAsia="Arial" w:hAnsi="Arial"/>
          <w:sz w:val="19"/>
          <w:szCs w:val="19"/>
          <w:u w:val="single" w:color="auto"/>
          <w:color w:val="auto"/>
        </w:rPr>
        <w:t>Subsidiaries</w:t>
      </w:r>
      <w:r>
        <w:rPr>
          <w:rFonts w:ascii="Arial" w:cs="Arial" w:eastAsia="Arial" w:hAnsi="Arial"/>
          <w:sz w:val="19"/>
          <w:szCs w:val="19"/>
          <w:color w:val="auto"/>
        </w:rPr>
        <w:t>” shall refer to a Subsidiary or Subsidiaries of the Company.</w:t>
      </w:r>
    </w:p>
    <w:p>
      <w:pPr>
        <w:spacing w:after="0" w:line="182"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Subsidiary Guarantor</w:t>
      </w:r>
      <w:r>
        <w:rPr>
          <w:rFonts w:ascii="Arial" w:cs="Arial" w:eastAsia="Arial" w:hAnsi="Arial"/>
          <w:sz w:val="19"/>
          <w:szCs w:val="19"/>
          <w:color w:val="auto"/>
        </w:rPr>
        <w:t>” means any Subsidiary of the Company that is a Guarantor.</w:t>
      </w:r>
    </w:p>
    <w:p>
      <w:pPr>
        <w:spacing w:after="0" w:line="214" w:lineRule="exact"/>
        <w:rPr>
          <w:sz w:val="20"/>
          <w:szCs w:val="20"/>
          <w:color w:val="auto"/>
        </w:rPr>
      </w:pPr>
    </w:p>
    <w:p>
      <w:pPr>
        <w:jc w:val="both"/>
        <w:ind w:firstLine="629"/>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Surety</w:t>
      </w:r>
      <w:r>
        <w:rPr>
          <w:rFonts w:ascii="Arial" w:cs="Arial" w:eastAsia="Arial" w:hAnsi="Arial"/>
          <w:sz w:val="19"/>
          <w:szCs w:val="19"/>
          <w:color w:val="auto"/>
        </w:rPr>
        <w:t>” means any surety party to any contractual arrangements entered into by the Company or any Subsidiary with respect to any bid, performance, surety or payment bonds, contracts or like undertakings.</w:t>
      </w:r>
    </w:p>
    <w:p>
      <w:pPr>
        <w:spacing w:after="0" w:line="157" w:lineRule="exact"/>
        <w:rPr>
          <w:sz w:val="20"/>
          <w:szCs w:val="20"/>
          <w:color w:val="auto"/>
        </w:rPr>
      </w:pPr>
    </w:p>
    <w:p>
      <w:pPr>
        <w:jc w:val="both"/>
        <w:ind w:firstLine="629"/>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Swap Contract</w:t>
      </w:r>
      <w:r>
        <w:rPr>
          <w:rFonts w:ascii="Arial" w:cs="Arial" w:eastAsia="Arial" w:hAnsi="Arial"/>
          <w:sz w:val="19"/>
          <w:szCs w:val="19"/>
          <w:color w:val="auto"/>
        </w:rPr>
        <w:t>” means (a) any and all rate swap transactions, basis swaps, credit derivative transactions, forward rate transactions, commodity swaps, commodity options, forward commodity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58</w:t>
      </w:r>
    </w:p>
    <w:p>
      <w:pPr>
        <w:sectPr>
          <w:pgSz w:w="11900" w:h="16838" w:orient="portrait"/>
          <w:cols w:equalWidth="0" w:num="1">
            <w:col w:w="11240"/>
          </w:cols>
          <w:pgMar w:left="320" w:top="1382" w:right="339" w:bottom="1440" w:gutter="0" w:footer="0" w:header="0"/>
        </w:sectPr>
      </w:pPr>
    </w:p>
    <w:bookmarkStart w:id="177" w:name="page178"/>
    <w:bookmarkEnd w:id="177"/>
    <w:p>
      <w:pPr>
        <w:jc w:val="both"/>
        <w:spacing w:after="0" w:line="283" w:lineRule="auto"/>
        <w:rPr>
          <w:sz w:val="20"/>
          <w:szCs w:val="20"/>
          <w:color w:val="auto"/>
        </w:rPr>
      </w:pPr>
      <w:r>
        <w:rPr>
          <w:rFonts w:ascii="Arial" w:cs="Arial" w:eastAsia="Arial" w:hAnsi="Arial"/>
          <w:sz w:val="17"/>
          <w:szCs w:val="17"/>
          <w:color w:val="auto"/>
        </w:rPr>
        <w:t>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together with any related schedules.</w:t>
      </w:r>
    </w:p>
    <w:p>
      <w:pPr>
        <w:spacing w:after="0" w:line="157" w:lineRule="exact"/>
        <w:rPr>
          <w:sz w:val="20"/>
          <w:szCs w:val="20"/>
          <w:color w:val="auto"/>
        </w:rPr>
      </w:pPr>
    </w:p>
    <w:p>
      <w:pPr>
        <w:jc w:val="both"/>
        <w:ind w:firstLine="629"/>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Swap Obligation</w:t>
      </w:r>
      <w:r>
        <w:rPr>
          <w:rFonts w:ascii="Arial" w:cs="Arial" w:eastAsia="Arial" w:hAnsi="Arial"/>
          <w:sz w:val="19"/>
          <w:szCs w:val="19"/>
          <w:color w:val="auto"/>
        </w:rPr>
        <w:t>” means, with respect to any Loan Party, any obligation to perform under any agreement, contract or transaction that constitutes a “swap” within the meaning of Section 1a(47) of the Commodity Exchange Act.</w:t>
      </w:r>
    </w:p>
    <w:p>
      <w:pPr>
        <w:spacing w:after="0" w:line="157" w:lineRule="exact"/>
        <w:rPr>
          <w:sz w:val="20"/>
          <w:szCs w:val="20"/>
          <w:color w:val="auto"/>
        </w:rPr>
      </w:pPr>
    </w:p>
    <w:p>
      <w:pPr>
        <w:jc w:val="both"/>
        <w:ind w:firstLine="629"/>
        <w:spacing w:after="0" w:line="24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Swap Termination Value</w:t>
      </w:r>
      <w:r>
        <w:rPr>
          <w:rFonts w:ascii="Arial" w:cs="Arial" w:eastAsia="Arial" w:hAnsi="Arial"/>
          <w:sz w:val="19"/>
          <w:szCs w:val="19"/>
          <w:color w:val="auto"/>
        </w:rPr>
        <w:t xml:space="preserve">” means,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clause (a), the amount(s) determined as the mark-to-market value(s) for such Swap Contracts, as determined based upon one or more mid-market or other readily available quotations provided by any recognized dealer in such Swap Contracts (which may include a Lender or any Affiliate of a Lender);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it is understood and agreed that such amounts provided by the applicable Credit Product Provider with respect to Credit Product Obligations under Swap Contracts may include a commercially reasonable level of “cushion” to account for normal short-term market fluctuations.</w:t>
      </w:r>
    </w:p>
    <w:p>
      <w:pPr>
        <w:spacing w:after="0" w:line="180"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Swing Line</w:t>
      </w:r>
      <w:r>
        <w:rPr>
          <w:rFonts w:ascii="Arial" w:cs="Arial" w:eastAsia="Arial" w:hAnsi="Arial"/>
          <w:sz w:val="19"/>
          <w:szCs w:val="19"/>
          <w:color w:val="auto"/>
        </w:rPr>
        <w:t xml:space="preserve">” means the revolving credit facility made available by the Swing Line Lender pursuant to </w:t>
      </w:r>
      <w:r>
        <w:rPr>
          <w:rFonts w:ascii="Arial" w:cs="Arial" w:eastAsia="Arial" w:hAnsi="Arial"/>
          <w:sz w:val="19"/>
          <w:szCs w:val="19"/>
          <w:u w:val="single" w:color="auto"/>
          <w:color w:val="auto"/>
        </w:rPr>
        <w:t>Section 2.04</w:t>
      </w:r>
      <w:r>
        <w:rPr>
          <w:rFonts w:ascii="Arial" w:cs="Arial" w:eastAsia="Arial" w:hAnsi="Arial"/>
          <w:sz w:val="19"/>
          <w:szCs w:val="19"/>
          <w:color w:val="auto"/>
        </w:rPr>
        <w:t>.</w:t>
      </w:r>
    </w:p>
    <w:p>
      <w:pPr>
        <w:spacing w:after="0" w:line="21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Swing Line Borrowing</w:t>
      </w:r>
      <w:r>
        <w:rPr>
          <w:rFonts w:ascii="Arial" w:cs="Arial" w:eastAsia="Arial" w:hAnsi="Arial"/>
          <w:sz w:val="19"/>
          <w:szCs w:val="19"/>
          <w:color w:val="auto"/>
        </w:rPr>
        <w:t xml:space="preserve">” means a borrowing of a Swing Line Loan pursuant to </w:t>
      </w:r>
      <w:r>
        <w:rPr>
          <w:rFonts w:ascii="Arial" w:cs="Arial" w:eastAsia="Arial" w:hAnsi="Arial"/>
          <w:sz w:val="19"/>
          <w:szCs w:val="19"/>
          <w:u w:val="single" w:color="auto"/>
          <w:color w:val="auto"/>
        </w:rPr>
        <w:t>Section 2.04</w:t>
      </w:r>
      <w:r>
        <w:rPr>
          <w:rFonts w:ascii="Arial" w:cs="Arial" w:eastAsia="Arial" w:hAnsi="Arial"/>
          <w:sz w:val="19"/>
          <w:szCs w:val="19"/>
          <w:color w:val="auto"/>
        </w:rPr>
        <w:t>.</w:t>
      </w:r>
    </w:p>
    <w:p>
      <w:pPr>
        <w:spacing w:after="0" w:line="21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 Lender</w:t>
      </w:r>
      <w:r>
        <w:rPr>
          <w:rFonts w:ascii="Arial" w:cs="Arial" w:eastAsia="Arial" w:hAnsi="Arial"/>
          <w:sz w:val="18"/>
          <w:szCs w:val="18"/>
          <w:color w:val="auto"/>
        </w:rPr>
        <w:t>” means BMO in its capacity as provider of Swing Line Loans, or any successor swing line lender hereunder.</w:t>
      </w:r>
    </w:p>
    <w:p>
      <w:pPr>
        <w:spacing w:after="0" w:line="226"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Swing Line Loan</w:t>
      </w:r>
      <w:r>
        <w:rPr>
          <w:rFonts w:ascii="Arial" w:cs="Arial" w:eastAsia="Arial" w:hAnsi="Arial"/>
          <w:sz w:val="19"/>
          <w:szCs w:val="19"/>
          <w:color w:val="auto"/>
        </w:rPr>
        <w:t xml:space="preserve">” has the meaning specified in </w:t>
      </w:r>
      <w:r>
        <w:rPr>
          <w:rFonts w:ascii="Arial" w:cs="Arial" w:eastAsia="Arial" w:hAnsi="Arial"/>
          <w:sz w:val="19"/>
          <w:szCs w:val="19"/>
          <w:u w:val="single" w:color="auto"/>
          <w:color w:val="auto"/>
        </w:rPr>
        <w:t>Section 2.04(a)</w:t>
      </w:r>
      <w:r>
        <w:rPr>
          <w:rFonts w:ascii="Arial" w:cs="Arial" w:eastAsia="Arial" w:hAnsi="Arial"/>
          <w:sz w:val="19"/>
          <w:szCs w:val="19"/>
          <w:color w:val="auto"/>
        </w:rPr>
        <w:t>.</w:t>
      </w:r>
    </w:p>
    <w:p>
      <w:pPr>
        <w:spacing w:after="0" w:line="21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Swing Line Loan Notice</w:t>
      </w:r>
      <w:r>
        <w:rPr>
          <w:rFonts w:ascii="Arial" w:cs="Arial" w:eastAsia="Arial" w:hAnsi="Arial"/>
          <w:sz w:val="19"/>
          <w:szCs w:val="19"/>
          <w:color w:val="auto"/>
        </w:rPr>
        <w:t xml:space="preserve">” means a notice of a Swing Line Borrowing pursuant to </w:t>
      </w:r>
      <w:r>
        <w:rPr>
          <w:rFonts w:ascii="Arial" w:cs="Arial" w:eastAsia="Arial" w:hAnsi="Arial"/>
          <w:sz w:val="19"/>
          <w:szCs w:val="19"/>
          <w:u w:val="single" w:color="auto"/>
          <w:color w:val="auto"/>
        </w:rPr>
        <w:t>Section 2.04(b)</w:t>
      </w:r>
      <w:r>
        <w:rPr>
          <w:rFonts w:ascii="Arial" w:cs="Arial" w:eastAsia="Arial" w:hAnsi="Arial"/>
          <w:sz w:val="19"/>
          <w:szCs w:val="19"/>
          <w:color w:val="auto"/>
        </w:rPr>
        <w:t>.</w:t>
      </w:r>
    </w:p>
    <w:p>
      <w:pPr>
        <w:spacing w:after="0" w:line="21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Swing Line Sublimit</w:t>
      </w:r>
      <w:r>
        <w:rPr>
          <w:rFonts w:ascii="Arial" w:cs="Arial" w:eastAsia="Arial" w:hAnsi="Arial"/>
          <w:sz w:val="17"/>
          <w:szCs w:val="17"/>
          <w:color w:val="auto"/>
        </w:rPr>
        <w:t>” means an amount equal to the lesser of (a) $10,000,000 and (b) the Aggregate Revolving Credit Commitments.</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The Swing Line Sublimit is part of, and not in addition to, the Aggregate Revolving Credit Commitments.</w:t>
      </w:r>
    </w:p>
    <w:p>
      <w:pPr>
        <w:spacing w:after="0" w:line="198" w:lineRule="exact"/>
        <w:rPr>
          <w:sz w:val="20"/>
          <w:szCs w:val="20"/>
          <w:color w:val="auto"/>
        </w:rPr>
      </w:pPr>
    </w:p>
    <w:p>
      <w:pPr>
        <w:jc w:val="both"/>
        <w:ind w:firstLine="629"/>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Synthetic Lease Obligation</w:t>
      </w:r>
      <w:r>
        <w:rPr>
          <w:rFonts w:ascii="Arial" w:cs="Arial" w:eastAsia="Arial" w:hAnsi="Arial"/>
          <w:sz w:val="19"/>
          <w:szCs w:val="19"/>
          <w:color w:val="auto"/>
        </w:rPr>
        <w:t>” means the monetary obligation of a Person under (a) a so-called synthetic, off-balance sheet or tax retention lease, or (b) an agreement for the use or possession of property creating obligations that do not appear on the balance sheet of such Person but which, upon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59</w:t>
      </w:r>
    </w:p>
    <w:p>
      <w:pPr>
        <w:sectPr>
          <w:pgSz w:w="11900" w:h="16838" w:orient="portrait"/>
          <w:cols w:equalWidth="0" w:num="1">
            <w:col w:w="11240"/>
          </w:cols>
          <w:pgMar w:left="320" w:top="1382" w:right="339" w:bottom="1440" w:gutter="0" w:footer="0" w:header="0"/>
        </w:sectPr>
      </w:pPr>
    </w:p>
    <w:bookmarkStart w:id="178" w:name="page179"/>
    <w:bookmarkEnd w:id="178"/>
    <w:p>
      <w:pPr>
        <w:spacing w:after="0"/>
        <w:rPr>
          <w:sz w:val="20"/>
          <w:szCs w:val="20"/>
          <w:color w:val="auto"/>
        </w:rPr>
      </w:pPr>
      <w:r>
        <w:rPr>
          <w:rFonts w:ascii="Arial" w:cs="Arial" w:eastAsia="Arial" w:hAnsi="Arial"/>
          <w:sz w:val="17"/>
          <w:szCs w:val="17"/>
          <w:color w:val="auto"/>
        </w:rPr>
        <w:t>insolvency or bankruptcy of such Person, would be characterized as the indebtedness of such Person (without regard to accounting treatment).</w:t>
      </w:r>
    </w:p>
    <w:p>
      <w:pPr>
        <w:spacing w:after="0" w:line="237" w:lineRule="exact"/>
        <w:rPr>
          <w:sz w:val="20"/>
          <w:szCs w:val="20"/>
          <w:color w:val="auto"/>
        </w:rPr>
      </w:pPr>
    </w:p>
    <w:p>
      <w:pPr>
        <w:jc w:val="both"/>
        <w:ind w:firstLine="629"/>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Tax Act</w:t>
      </w:r>
      <w:r>
        <w:rPr>
          <w:rFonts w:ascii="Arial" w:cs="Arial" w:eastAsia="Arial" w:hAnsi="Arial"/>
          <w:sz w:val="19"/>
          <w:szCs w:val="19"/>
          <w:color w:val="auto"/>
        </w:rPr>
        <w:t xml:space="preserve">” means the </w:t>
      </w:r>
      <w:r>
        <w:rPr>
          <w:rFonts w:ascii="Arial" w:cs="Arial" w:eastAsia="Arial" w:hAnsi="Arial"/>
          <w:sz w:val="19"/>
          <w:szCs w:val="19"/>
          <w:i w:val="1"/>
          <w:iCs w:val="1"/>
          <w:color w:val="auto"/>
        </w:rPr>
        <w:t>Income Tax Act</w:t>
      </w:r>
      <w:r>
        <w:rPr>
          <w:rFonts w:ascii="Arial" w:cs="Arial" w:eastAsia="Arial" w:hAnsi="Arial"/>
          <w:sz w:val="19"/>
          <w:szCs w:val="19"/>
          <w:color w:val="auto"/>
        </w:rPr>
        <w:t xml:space="preserve"> (Canada).“</w:t>
      </w:r>
      <w:r>
        <w:rPr>
          <w:rFonts w:ascii="Arial" w:cs="Arial" w:eastAsia="Arial" w:hAnsi="Arial"/>
          <w:sz w:val="19"/>
          <w:szCs w:val="19"/>
          <w:u w:val="single" w:color="auto"/>
          <w:color w:val="auto"/>
        </w:rPr>
        <w:t>Taxes</w:t>
      </w:r>
      <w:r>
        <w:rPr>
          <w:rFonts w:ascii="Arial" w:cs="Arial" w:eastAsia="Arial" w:hAnsi="Arial"/>
          <w:sz w:val="19"/>
          <w:szCs w:val="19"/>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71" w:lineRule="exact"/>
        <w:rPr>
          <w:sz w:val="20"/>
          <w:szCs w:val="20"/>
          <w:color w:val="auto"/>
        </w:rPr>
      </w:pPr>
    </w:p>
    <w:p>
      <w:pPr>
        <w:jc w:val="both"/>
        <w:ind w:firstLine="629"/>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Term SOFR</w:t>
      </w:r>
      <w:r>
        <w:rPr>
          <w:rFonts w:ascii="Arial" w:cs="Arial" w:eastAsia="Arial" w:hAnsi="Arial"/>
          <w:sz w:val="19"/>
          <w:szCs w:val="19"/>
          <w:color w:val="auto"/>
        </w:rPr>
        <w:t>” means, for the applicable corresponding tenor, the forward-looking term rate based on SOFR that has been selected or recommended by the Relevant Governmental Body.</w:t>
      </w:r>
    </w:p>
    <w:p>
      <w:pPr>
        <w:spacing w:after="0" w:line="183" w:lineRule="exact"/>
        <w:rPr>
          <w:sz w:val="20"/>
          <w:szCs w:val="20"/>
          <w:color w:val="auto"/>
        </w:rPr>
      </w:pPr>
    </w:p>
    <w:p>
      <w:pPr>
        <w:jc w:val="both"/>
        <w:ind w:firstLine="629"/>
        <w:spacing w:after="0" w:line="25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Term SOFR Event</w:t>
      </w:r>
      <w:r>
        <w:rPr>
          <w:rFonts w:ascii="Arial" w:cs="Arial" w:eastAsia="Arial" w:hAnsi="Arial"/>
          <w:sz w:val="19"/>
          <w:szCs w:val="19"/>
          <w:color w:val="auto"/>
        </w:rPr>
        <w:t xml:space="preserve">” means the determination by the Administrative Agent that (a) Term SOFR has been recommended for use by the Relevant Governmental Body, (b) the administration of Term SOFR is administratively feasible for the Administrative Agent and (c) LIBOR has already been replaced with a Benchmark Replacement in accordance with </w:t>
      </w:r>
      <w:r>
        <w:rPr>
          <w:rFonts w:ascii="Arial" w:cs="Arial" w:eastAsia="Arial" w:hAnsi="Arial"/>
          <w:sz w:val="19"/>
          <w:szCs w:val="19"/>
          <w:u w:val="single" w:color="auto"/>
          <w:color w:val="auto"/>
        </w:rPr>
        <w:t>Section 3.03(b)</w:t>
      </w:r>
      <w:r>
        <w:rPr>
          <w:rFonts w:ascii="Arial" w:cs="Arial" w:eastAsia="Arial" w:hAnsi="Arial"/>
          <w:sz w:val="19"/>
          <w:szCs w:val="19"/>
          <w:color w:val="auto"/>
        </w:rPr>
        <w:t xml:space="preserve"> that is not Term SOFR.</w:t>
      </w:r>
    </w:p>
    <w:p>
      <w:pPr>
        <w:spacing w:after="0" w:line="2" w:lineRule="exact"/>
        <w:rPr>
          <w:sz w:val="20"/>
          <w:szCs w:val="20"/>
          <w:color w:val="auto"/>
        </w:rPr>
      </w:pPr>
    </w:p>
    <w:p>
      <w:pPr>
        <w:jc w:val="both"/>
        <w:ind w:firstLine="629"/>
        <w:spacing w:after="0" w:line="25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Term SOFR Notice</w:t>
      </w:r>
      <w:r>
        <w:rPr>
          <w:rFonts w:ascii="Arial" w:cs="Arial" w:eastAsia="Arial" w:hAnsi="Arial"/>
          <w:sz w:val="19"/>
          <w:szCs w:val="19"/>
          <w:color w:val="auto"/>
        </w:rPr>
        <w:t>” means a notification by the Administrative Agent to the Lenders and the Borrower of the occurrence of a Term SOFR Event.</w:t>
      </w:r>
    </w:p>
    <w:p>
      <w:pPr>
        <w:spacing w:after="0" w:line="200"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Threshold Amount</w:t>
      </w:r>
      <w:r>
        <w:rPr>
          <w:rFonts w:ascii="Arial" w:cs="Arial" w:eastAsia="Arial" w:hAnsi="Arial"/>
          <w:sz w:val="19"/>
          <w:szCs w:val="19"/>
          <w:color w:val="auto"/>
        </w:rPr>
        <w:t>” means the Dollar Equivalent of Five Hundred Thousand Dollars ($500,000).</w:t>
      </w:r>
    </w:p>
    <w:p>
      <w:pPr>
        <w:spacing w:after="0" w:line="214" w:lineRule="exact"/>
        <w:rPr>
          <w:sz w:val="20"/>
          <w:szCs w:val="20"/>
          <w:color w:val="auto"/>
        </w:rPr>
      </w:pPr>
    </w:p>
    <w:p>
      <w:pPr>
        <w:jc w:val="both"/>
        <w:ind w:firstLine="629"/>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Total Credit Exposure</w:t>
      </w:r>
      <w:r>
        <w:rPr>
          <w:rFonts w:ascii="Arial" w:cs="Arial" w:eastAsia="Arial" w:hAnsi="Arial"/>
          <w:sz w:val="19"/>
          <w:szCs w:val="19"/>
          <w:color w:val="auto"/>
        </w:rPr>
        <w:t>” means, as to any Lender at any time, the unused outstanding Revolving Credit Commitments of such Lender and the Credit Exposure of such Lender at such time.</w:t>
      </w:r>
    </w:p>
    <w:p>
      <w:pPr>
        <w:spacing w:after="0" w:line="157" w:lineRule="exact"/>
        <w:rPr>
          <w:sz w:val="20"/>
          <w:szCs w:val="20"/>
          <w:color w:val="auto"/>
        </w:rPr>
      </w:pPr>
    </w:p>
    <w:p>
      <w:pPr>
        <w:jc w:val="both"/>
        <w:ind w:firstLine="629"/>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Total Revolving Credit Outstandings</w:t>
      </w:r>
      <w:r>
        <w:rPr>
          <w:rFonts w:ascii="Arial" w:cs="Arial" w:eastAsia="Arial" w:hAnsi="Arial"/>
          <w:sz w:val="19"/>
          <w:szCs w:val="19"/>
          <w:color w:val="auto"/>
        </w:rPr>
        <w:t>” means, without duplication, the aggregate Outstanding Amount of all Revolving Credit Loans, Protective Advances, Swing Line Loans and Letter of Credit Obligations.</w:t>
      </w:r>
    </w:p>
    <w:p>
      <w:pPr>
        <w:spacing w:after="0" w:line="157" w:lineRule="exact"/>
        <w:rPr>
          <w:sz w:val="20"/>
          <w:szCs w:val="20"/>
          <w:color w:val="auto"/>
        </w:rPr>
      </w:pPr>
    </w:p>
    <w:p>
      <w:pPr>
        <w:jc w:val="both"/>
        <w:ind w:firstLine="629"/>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Trademark Security Agreement</w:t>
      </w:r>
      <w:r>
        <w:rPr>
          <w:rFonts w:ascii="Arial" w:cs="Arial" w:eastAsia="Arial" w:hAnsi="Arial"/>
          <w:sz w:val="19"/>
          <w:szCs w:val="19"/>
          <w:color w:val="auto"/>
        </w:rPr>
        <w:t>” means any trademark security agreement pursuant to which any Loan Party assigns to the Administrative Agent, for the benefit of the Secured Parties, such Person’s interest in its trademarks as security for the Obligations.</w:t>
      </w:r>
    </w:p>
    <w:p>
      <w:pPr>
        <w:spacing w:after="0" w:line="157" w:lineRule="exact"/>
        <w:rPr>
          <w:sz w:val="20"/>
          <w:szCs w:val="20"/>
          <w:color w:val="auto"/>
        </w:rPr>
      </w:pPr>
    </w:p>
    <w:p>
      <w:pPr>
        <w:jc w:val="both"/>
        <w:ind w:firstLine="629"/>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Transaction</w:t>
      </w:r>
      <w:r>
        <w:rPr>
          <w:rFonts w:ascii="Arial" w:cs="Arial" w:eastAsia="Arial" w:hAnsi="Arial"/>
          <w:sz w:val="19"/>
          <w:szCs w:val="19"/>
          <w:color w:val="auto"/>
        </w:rPr>
        <w:t>” means, individually or collectively as the context may indicate the entering by the Borrowers of the Loan Documents to which they are a party and the funding of the Revolving Credit Facility.</w:t>
      </w:r>
    </w:p>
    <w:p>
      <w:pPr>
        <w:spacing w:after="0" w:line="157" w:lineRule="exact"/>
        <w:rPr>
          <w:sz w:val="20"/>
          <w:szCs w:val="20"/>
          <w:color w:val="auto"/>
        </w:rPr>
      </w:pPr>
    </w:p>
    <w:p>
      <w:pPr>
        <w:jc w:val="both"/>
        <w:ind w:firstLine="629"/>
        <w:spacing w:after="0" w:line="25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Treasury Management and Other Services</w:t>
      </w:r>
      <w:r>
        <w:rPr>
          <w:rFonts w:ascii="Arial" w:cs="Arial" w:eastAsia="Arial" w:hAnsi="Arial"/>
          <w:sz w:val="19"/>
          <w:szCs w:val="19"/>
          <w:color w:val="auto"/>
        </w:rPr>
        <w:t>” means (a) all arrangements for the delivery of treasury and cash management services, (b) all commercial credit card, purchase card, p-card and merchant card services; and (c) all other banking products or services, including trade and supply chain finance services and leases, other than Letters of Credit, in each case, to or for the benefit of any Loan Party or an Affiliate of any Loan Party which are entered into or maintained with a Lender or an Affiliate of a Lender and which are not prohibited by the express terms of the Loan Documents.</w:t>
      </w:r>
    </w:p>
    <w:p>
      <w:pPr>
        <w:spacing w:after="0" w:line="177" w:lineRule="exact"/>
        <w:rPr>
          <w:sz w:val="20"/>
          <w:szCs w:val="20"/>
          <w:color w:val="auto"/>
        </w:rPr>
      </w:pPr>
    </w:p>
    <w:p>
      <w:pPr>
        <w:jc w:val="both"/>
        <w:ind w:firstLine="629"/>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Trust Accounts</w:t>
      </w:r>
      <w:r>
        <w:rPr>
          <w:rFonts w:ascii="Arial" w:cs="Arial" w:eastAsia="Arial" w:hAnsi="Arial"/>
          <w:sz w:val="19"/>
          <w:szCs w:val="19"/>
          <w:color w:val="auto"/>
        </w:rPr>
        <w:t>” means Deposit Accounts or Securities Accounts containing cash, cash equivalents or securities (a) held exclusively for employee benefit payments and expenses related to a Loan Party’s employees, or (b) required to be collected, remitted or withheld exclusively to pay payroll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60</w:t>
      </w:r>
    </w:p>
    <w:p>
      <w:pPr>
        <w:sectPr>
          <w:pgSz w:w="11900" w:h="16838" w:orient="portrait"/>
          <w:cols w:equalWidth="0" w:num="1">
            <w:col w:w="11240"/>
          </w:cols>
          <w:pgMar w:left="320" w:top="1381" w:right="339" w:bottom="1440" w:gutter="0" w:footer="0" w:header="0"/>
        </w:sectPr>
      </w:pPr>
    </w:p>
    <w:bookmarkStart w:id="179" w:name="page180"/>
    <w:bookmarkEnd w:id="179"/>
    <w:p>
      <w:pPr>
        <w:spacing w:after="0"/>
        <w:rPr>
          <w:sz w:val="20"/>
          <w:szCs w:val="20"/>
          <w:color w:val="auto"/>
        </w:rPr>
      </w:pPr>
      <w:r>
        <w:rPr>
          <w:rFonts w:ascii="Arial" w:cs="Arial" w:eastAsia="Arial" w:hAnsi="Arial"/>
          <w:sz w:val="19"/>
          <w:szCs w:val="19"/>
          <w:color w:val="auto"/>
        </w:rPr>
        <w:t>taxes (including, without limitation, federal and state withholding taxes (including the employer’s share thereof)).</w:t>
      </w:r>
    </w:p>
    <w:p>
      <w:pPr>
        <w:spacing w:after="0" w:line="21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Type</w:t>
      </w:r>
      <w:r>
        <w:rPr>
          <w:rFonts w:ascii="Arial" w:cs="Arial" w:eastAsia="Arial" w:hAnsi="Arial"/>
          <w:sz w:val="17"/>
          <w:szCs w:val="17"/>
          <w:color w:val="auto"/>
        </w:rPr>
        <w:t>” means, with respect to a Loan, its character as a Base Rate Loan, a Canadian Prime Rate Loan or a Eurocurrency Rate Loan.</w:t>
      </w:r>
    </w:p>
    <w:p>
      <w:pPr>
        <w:spacing w:after="0" w:line="237" w:lineRule="exact"/>
        <w:rPr>
          <w:sz w:val="20"/>
          <w:szCs w:val="20"/>
          <w:color w:val="auto"/>
        </w:rPr>
      </w:pPr>
    </w:p>
    <w:p>
      <w:pPr>
        <w:jc w:val="both"/>
        <w:ind w:firstLine="629"/>
        <w:spacing w:after="0" w:line="26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UCC</w:t>
      </w:r>
      <w:r>
        <w:rPr>
          <w:rFonts w:ascii="Arial" w:cs="Arial" w:eastAsia="Arial" w:hAnsi="Arial"/>
          <w:sz w:val="18"/>
          <w:szCs w:val="18"/>
          <w:color w:val="auto"/>
        </w:rPr>
        <w:t xml:space="preserve">” means the Uniform Commercial Code as in effect from time to time in the State of New York;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with respect to any financing statement or by reason of any mandatory provisions of law, the perfection or the effect of perfection or non-perfection of the security interests granted to the Administrative Agent pursuant to any applicable Loan Document is governed by the Uniform Commercial Code as in effect in a jurisdiction of the United States other than New York or a Canadian Province, the term “</w:t>
      </w:r>
      <w:r>
        <w:rPr>
          <w:rFonts w:ascii="Arial" w:cs="Arial" w:eastAsia="Arial" w:hAnsi="Arial"/>
          <w:sz w:val="18"/>
          <w:szCs w:val="18"/>
          <w:u w:val="single" w:color="auto"/>
          <w:color w:val="auto"/>
        </w:rPr>
        <w:t>UCC</w:t>
      </w:r>
      <w:r>
        <w:rPr>
          <w:rFonts w:ascii="Arial" w:cs="Arial" w:eastAsia="Arial" w:hAnsi="Arial"/>
          <w:sz w:val="18"/>
          <w:szCs w:val="18"/>
          <w:color w:val="auto"/>
        </w:rPr>
        <w:t>” shall also include the Uniform Commercial Code or PPSA, as applicable, as in effect from time to time in such other jurisdiction for purposes of the provisions of this Agreement, each Loan Document and any financing statement relating to such perfection or effect of perfection or non-perfection.</w:t>
      </w:r>
    </w:p>
    <w:p>
      <w:pPr>
        <w:spacing w:after="0" w:line="166" w:lineRule="exact"/>
        <w:rPr>
          <w:sz w:val="20"/>
          <w:szCs w:val="20"/>
          <w:color w:val="auto"/>
        </w:rPr>
      </w:pPr>
    </w:p>
    <w:p>
      <w:pPr>
        <w:jc w:val="both"/>
        <w:ind w:firstLine="629"/>
        <w:spacing w:after="0" w:line="25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UK Financial Institution</w:t>
      </w:r>
      <w:r>
        <w:rPr>
          <w:rFonts w:ascii="Arial" w:cs="Arial" w:eastAsia="Arial" w:hAnsi="Arial"/>
          <w:sz w:val="19"/>
          <w:szCs w:val="19"/>
          <w:color w:val="auto"/>
        </w:rPr>
        <w:t>” means any BRRD Undertaking (as such term is defined under the PRA Rulebook (as amended form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77" w:lineRule="exact"/>
        <w:rPr>
          <w:sz w:val="20"/>
          <w:szCs w:val="20"/>
          <w:color w:val="auto"/>
        </w:rPr>
      </w:pPr>
    </w:p>
    <w:p>
      <w:pPr>
        <w:jc w:val="both"/>
        <w:ind w:firstLine="629"/>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UK Resolution Authority</w:t>
      </w:r>
      <w:r>
        <w:rPr>
          <w:rFonts w:ascii="Arial" w:cs="Arial" w:eastAsia="Arial" w:hAnsi="Arial"/>
          <w:sz w:val="19"/>
          <w:szCs w:val="19"/>
          <w:color w:val="auto"/>
        </w:rPr>
        <w:t>” means the Bank of England or any other public administrative authority having responsibility for the resolution of any UK Financial Institution.</w:t>
      </w:r>
    </w:p>
    <w:p>
      <w:pPr>
        <w:spacing w:after="0" w:line="157"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United States</w:t>
      </w:r>
      <w:r>
        <w:rPr>
          <w:rFonts w:ascii="Arial" w:cs="Arial" w:eastAsia="Arial" w:hAnsi="Arial"/>
          <w:sz w:val="19"/>
          <w:szCs w:val="19"/>
          <w:color w:val="auto"/>
        </w:rPr>
        <w:t>” and “</w:t>
      </w:r>
      <w:r>
        <w:rPr>
          <w:rFonts w:ascii="Arial" w:cs="Arial" w:eastAsia="Arial" w:hAnsi="Arial"/>
          <w:sz w:val="19"/>
          <w:szCs w:val="19"/>
          <w:u w:val="single" w:color="auto"/>
          <w:color w:val="auto"/>
        </w:rPr>
        <w:t>U.S</w:t>
      </w:r>
      <w:r>
        <w:rPr>
          <w:rFonts w:ascii="Arial" w:cs="Arial" w:eastAsia="Arial" w:hAnsi="Arial"/>
          <w:sz w:val="19"/>
          <w:szCs w:val="19"/>
          <w:color w:val="auto"/>
        </w:rPr>
        <w:t>.” mean the United States of America.</w:t>
      </w:r>
    </w:p>
    <w:p>
      <w:pPr>
        <w:spacing w:after="0" w:line="21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Unreimbursed Amount</w:t>
      </w:r>
      <w:r>
        <w:rPr>
          <w:rFonts w:ascii="Arial" w:cs="Arial" w:eastAsia="Arial" w:hAnsi="Arial"/>
          <w:sz w:val="19"/>
          <w:szCs w:val="19"/>
          <w:color w:val="auto"/>
        </w:rPr>
        <w:t xml:space="preserve">” has the meaning specified in </w:t>
      </w:r>
      <w:r>
        <w:rPr>
          <w:rFonts w:ascii="Arial" w:cs="Arial" w:eastAsia="Arial" w:hAnsi="Arial"/>
          <w:sz w:val="19"/>
          <w:szCs w:val="19"/>
          <w:u w:val="single" w:color="auto"/>
          <w:color w:val="auto"/>
        </w:rPr>
        <w:t>Section 2.03(c)(i)</w:t>
      </w:r>
      <w:r>
        <w:rPr>
          <w:rFonts w:ascii="Arial" w:cs="Arial" w:eastAsia="Arial" w:hAnsi="Arial"/>
          <w:sz w:val="19"/>
          <w:szCs w:val="19"/>
          <w:color w:val="auto"/>
        </w:rPr>
        <w:t>.</w:t>
      </w:r>
    </w:p>
    <w:p>
      <w:pPr>
        <w:spacing w:after="0" w:line="214" w:lineRule="exact"/>
        <w:rPr>
          <w:sz w:val="20"/>
          <w:szCs w:val="20"/>
          <w:color w:val="auto"/>
        </w:rPr>
      </w:pPr>
    </w:p>
    <w:p>
      <w:pPr>
        <w:jc w:val="both"/>
        <w:ind w:firstLine="629"/>
        <w:spacing w:after="0" w:line="25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Unrestricted Subsidiary</w:t>
      </w:r>
      <w:r>
        <w:rPr>
          <w:rFonts w:ascii="Arial" w:cs="Arial" w:eastAsia="Arial" w:hAnsi="Arial"/>
          <w:sz w:val="19"/>
          <w:szCs w:val="19"/>
          <w:color w:val="auto"/>
        </w:rPr>
        <w:t xml:space="preserve">” means any Subsidiary of the Company that has been designated as an Unrestricted Subsidiary both in accordance with </w:t>
      </w:r>
      <w:r>
        <w:rPr>
          <w:rFonts w:ascii="Arial" w:cs="Arial" w:eastAsia="Arial" w:hAnsi="Arial"/>
          <w:sz w:val="19"/>
          <w:szCs w:val="19"/>
          <w:u w:val="single" w:color="auto"/>
          <w:color w:val="auto"/>
        </w:rPr>
        <w:t>Section 2.19</w:t>
      </w:r>
      <w:r>
        <w:rPr>
          <w:rFonts w:ascii="Arial" w:cs="Arial" w:eastAsia="Arial" w:hAnsi="Arial"/>
          <w:sz w:val="19"/>
          <w:szCs w:val="19"/>
          <w:color w:val="auto"/>
        </w:rPr>
        <w:t xml:space="preserve"> and with the written consent of the Administrative Agent. Each Unrestricted Subsidiary as of the Closing Date is listed on </w:t>
      </w:r>
      <w:r>
        <w:rPr>
          <w:rFonts w:ascii="Arial" w:cs="Arial" w:eastAsia="Arial" w:hAnsi="Arial"/>
          <w:sz w:val="19"/>
          <w:szCs w:val="19"/>
          <w:u w:val="single" w:color="auto"/>
          <w:color w:val="auto"/>
        </w:rPr>
        <w:t>Schedule 1.03</w:t>
      </w:r>
      <w:r>
        <w:rPr>
          <w:rFonts w:ascii="Arial" w:cs="Arial" w:eastAsia="Arial" w:hAnsi="Arial"/>
          <w:sz w:val="19"/>
          <w:szCs w:val="19"/>
          <w:color w:val="auto"/>
        </w:rPr>
        <w:t xml:space="preserve"> hereto. Notwithstanding the foregoing, neither any Borrower nor any other Loan Party party hereto on the Closing Date may constitute an Unrestricted Subsidiary.</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Unused Facility Amount</w:t>
      </w:r>
      <w:r>
        <w:rPr>
          <w:rFonts w:ascii="Arial" w:cs="Arial" w:eastAsia="Arial" w:hAnsi="Arial"/>
          <w:sz w:val="18"/>
          <w:szCs w:val="18"/>
          <w:color w:val="auto"/>
        </w:rPr>
        <w:t>” means the daily amount by which (a) the Aggregate Revolving Credit Commitments exceeds (b) the sum of</w:t>
      </w:r>
    </w:p>
    <w:p>
      <w:pPr>
        <w:spacing w:after="0" w:line="32" w:lineRule="exact"/>
        <w:rPr>
          <w:sz w:val="20"/>
          <w:szCs w:val="20"/>
          <w:color w:val="auto"/>
        </w:rPr>
      </w:pPr>
    </w:p>
    <w:p>
      <w:pPr>
        <w:jc w:val="both"/>
        <w:ind w:firstLine="5"/>
        <w:spacing w:after="0" w:line="248" w:lineRule="auto"/>
        <w:tabs>
          <w:tab w:leader="none" w:pos="234" w:val="left"/>
        </w:tabs>
        <w:numPr>
          <w:ilvl w:val="0"/>
          <w:numId w:val="117"/>
        </w:numPr>
        <w:rPr>
          <w:rFonts w:ascii="Arial" w:cs="Arial" w:eastAsia="Arial" w:hAnsi="Arial"/>
          <w:sz w:val="19"/>
          <w:szCs w:val="19"/>
          <w:color w:val="auto"/>
        </w:rPr>
      </w:pPr>
      <w:r>
        <w:rPr>
          <w:rFonts w:ascii="Arial" w:cs="Arial" w:eastAsia="Arial" w:hAnsi="Arial"/>
          <w:sz w:val="19"/>
          <w:szCs w:val="19"/>
          <w:color w:val="auto"/>
        </w:rPr>
        <w:t xml:space="preserve">Outstanding Amount of the Dollar Equivalent of all Revolving Credit Loans other than Swing Line Loans and (ii) the Outstanding Amount of the Dollar Equivalent of all Letter of Credit Obligations, subject to adjustment as provided in </w:t>
      </w:r>
      <w:r>
        <w:rPr>
          <w:rFonts w:ascii="Arial" w:cs="Arial" w:eastAsia="Arial" w:hAnsi="Arial"/>
          <w:sz w:val="19"/>
          <w:szCs w:val="19"/>
          <w:u w:val="single" w:color="auto"/>
          <w:color w:val="auto"/>
        </w:rPr>
        <w:t>Section 2.17</w:t>
      </w:r>
      <w:r>
        <w:rPr>
          <w:rFonts w:ascii="Arial" w:cs="Arial" w:eastAsia="Arial" w:hAnsi="Arial"/>
          <w:sz w:val="19"/>
          <w:szCs w:val="19"/>
          <w:color w:val="auto"/>
        </w:rPr>
        <w:t>. For the avoidance of doubt, the Outstanding Amount of the Dollar Equivalent of Swing Line Loans shall not be considered usage for purposes of determining the Unused Facility Amount.</w:t>
      </w:r>
    </w:p>
    <w:p>
      <w:pPr>
        <w:spacing w:after="0" w:line="182"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Unused Fee</w:t>
      </w:r>
      <w:r>
        <w:rPr>
          <w:rFonts w:ascii="Arial" w:cs="Arial" w:eastAsia="Arial" w:hAnsi="Arial"/>
          <w:sz w:val="19"/>
          <w:szCs w:val="19"/>
          <w:color w:val="auto"/>
        </w:rPr>
        <w:t xml:space="preserve">” has the meaning specified in </w:t>
      </w:r>
      <w:r>
        <w:rPr>
          <w:rFonts w:ascii="Arial" w:cs="Arial" w:eastAsia="Arial" w:hAnsi="Arial"/>
          <w:sz w:val="19"/>
          <w:szCs w:val="19"/>
          <w:u w:val="single" w:color="auto"/>
          <w:color w:val="auto"/>
        </w:rPr>
        <w:t>Section 2.09(a)</w:t>
      </w:r>
      <w:r>
        <w:rPr>
          <w:rFonts w:ascii="Arial" w:cs="Arial" w:eastAsia="Arial" w:hAnsi="Arial"/>
          <w:sz w:val="19"/>
          <w:szCs w:val="19"/>
          <w:color w:val="auto"/>
        </w:rPr>
        <w:t>.</w:t>
      </w:r>
    </w:p>
    <w:p>
      <w:pPr>
        <w:spacing w:after="0" w:line="21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Unused Fee Rate</w:t>
      </w:r>
      <w:r>
        <w:rPr>
          <w:rFonts w:ascii="Arial" w:cs="Arial" w:eastAsia="Arial" w:hAnsi="Arial"/>
          <w:sz w:val="19"/>
          <w:szCs w:val="19"/>
          <w:color w:val="auto"/>
        </w:rPr>
        <w:t>” means a per annum rate equal 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61</w:t>
      </w:r>
    </w:p>
    <w:p>
      <w:pPr>
        <w:sectPr>
          <w:pgSz w:w="11900" w:h="16838" w:orient="portrait"/>
          <w:cols w:equalWidth="0" w:num="1">
            <w:col w:w="11240"/>
          </w:cols>
          <w:pgMar w:left="320" w:top="1381" w:right="339" w:bottom="1440" w:gutter="0" w:footer="0" w:header="0"/>
        </w:sectPr>
      </w:pPr>
    </w:p>
    <w:bookmarkStart w:id="180" w:name="page181"/>
    <w:bookmarkEnd w:id="180"/>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U.S. Person</w:t>
      </w:r>
      <w:r>
        <w:rPr>
          <w:rFonts w:ascii="Arial" w:cs="Arial" w:eastAsia="Arial" w:hAnsi="Arial"/>
          <w:sz w:val="19"/>
          <w:szCs w:val="19"/>
          <w:color w:val="auto"/>
        </w:rPr>
        <w:t>” means any Person that is a “United States Person” as defined in Section 7701(a)(30) of the Code.</w:t>
      </w:r>
    </w:p>
    <w:p>
      <w:pPr>
        <w:spacing w:after="0" w:line="214" w:lineRule="exact"/>
        <w:rPr>
          <w:sz w:val="20"/>
          <w:szCs w:val="20"/>
          <w:color w:val="auto"/>
        </w:rPr>
      </w:pPr>
    </w:p>
    <w:p>
      <w:pPr>
        <w:jc w:val="both"/>
        <w:ind w:firstLine="629"/>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Value</w:t>
      </w:r>
      <w:r>
        <w:rPr>
          <w:rFonts w:ascii="Arial" w:cs="Arial" w:eastAsia="Arial" w:hAnsi="Arial"/>
          <w:sz w:val="18"/>
          <w:szCs w:val="18"/>
          <w:color w:val="auto"/>
        </w:rPr>
        <w:t>” means, for any Eligible Account or Eligible Time and Material Account, as applicable, the Dollar Equivalent of the face amount of such Eligible Account or Eligible Time and Material Account, as applicable, net of (a) any returns, rebates, discounts (calculated on the shortest terms), credits, allowances or Taxes (including sales, excise or other taxes) that have been or could reasonably be expected to be claimed by the Account Debtor or any other Person and (b) the amount of any premiums, deductibles, co-insurance, fees or similar costs of and amounts payable by any Borrower relating to any acceptable credit insurance obtained with respect to such Account.</w:t>
      </w:r>
    </w:p>
    <w:p>
      <w:pPr>
        <w:spacing w:after="0" w:line="164" w:lineRule="exact"/>
        <w:rPr>
          <w:sz w:val="20"/>
          <w:szCs w:val="20"/>
          <w:color w:val="auto"/>
        </w:rPr>
      </w:pPr>
    </w:p>
    <w:p>
      <w:pPr>
        <w:jc w:val="both"/>
        <w:ind w:firstLine="629"/>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Voting Equity Interests</w:t>
      </w:r>
      <w:r>
        <w:rPr>
          <w:rFonts w:ascii="Arial" w:cs="Arial" w:eastAsia="Arial" w:hAnsi="Arial"/>
          <w:sz w:val="19"/>
          <w:szCs w:val="19"/>
          <w:color w:val="auto"/>
        </w:rPr>
        <w:t>” means Equity Interests with respect to which the holders thereof are ordinarily, in the absence of contingencies, entitled to vote for the election of members of the Board of Directors of the issuer thereof, even if the right so to vote has been suspended by the happening of such a contingency.</w:t>
      </w:r>
    </w:p>
    <w:p>
      <w:pPr>
        <w:spacing w:after="0" w:line="171" w:lineRule="exact"/>
        <w:rPr>
          <w:sz w:val="20"/>
          <w:szCs w:val="20"/>
          <w:color w:val="auto"/>
        </w:rPr>
      </w:pPr>
    </w:p>
    <w:p>
      <w:pPr>
        <w:jc w:val="both"/>
        <w:ind w:firstLine="629"/>
        <w:spacing w:after="0" w:line="27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Wage Claim Reserves</w:t>
      </w:r>
      <w:r>
        <w:rPr>
          <w:rFonts w:ascii="Arial" w:cs="Arial" w:eastAsia="Arial" w:hAnsi="Arial"/>
          <w:sz w:val="18"/>
          <w:szCs w:val="18"/>
          <w:color w:val="auto"/>
        </w:rPr>
        <w:t>” means the reserves established by the Administrative Agent from time to time, in its reasonable discretion, to reflect the aggregate amount of liabilities of the Loan Parties that are or, upon nonpayment of or creation of a claim with respect to such liability, would, pursuant to Law, be secured by Liens on the Collateral that are senior to the Administrative Agent’s Liens arising from any state or Federal statutory provision for wage claims, unpaid taxes or other obligations or liabilities of the Loan Parties.</w:t>
      </w:r>
    </w:p>
    <w:p>
      <w:pPr>
        <w:spacing w:after="0" w:line="160" w:lineRule="exact"/>
        <w:rPr>
          <w:sz w:val="20"/>
          <w:szCs w:val="20"/>
          <w:color w:val="auto"/>
        </w:rPr>
      </w:pPr>
    </w:p>
    <w:p>
      <w:pPr>
        <w:jc w:val="both"/>
        <w:ind w:firstLine="629"/>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Write-Down and Conversion Powers</w:t>
      </w:r>
      <w:r>
        <w:rPr>
          <w:rFonts w:ascii="Arial" w:cs="Arial" w:eastAsia="Arial" w:hAnsi="Arial"/>
          <w:sz w:val="17"/>
          <w:szCs w:val="17"/>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w:t>
      </w:r>
    </w:p>
    <w:p>
      <w:pPr>
        <w:spacing w:after="0" w:line="4" w:lineRule="exact"/>
        <w:rPr>
          <w:sz w:val="20"/>
          <w:szCs w:val="20"/>
          <w:color w:val="auto"/>
        </w:rPr>
      </w:pPr>
    </w:p>
    <w:p>
      <w:pPr>
        <w:spacing w:after="0"/>
        <w:rPr>
          <w:sz w:val="20"/>
          <w:szCs w:val="20"/>
          <w:color w:val="auto"/>
        </w:rPr>
      </w:pPr>
      <w:r>
        <w:rPr>
          <w:rFonts w:ascii="Arial" w:cs="Arial" w:eastAsia="Arial" w:hAnsi="Arial"/>
          <w:sz w:val="19"/>
          <w:szCs w:val="19"/>
          <w:color w:val="auto"/>
        </w:rPr>
        <w:t>powers</w:t>
      </w:r>
      <w:r>
        <w:rPr>
          <w:rFonts w:ascii="Arial" w:cs="Arial" w:eastAsia="Arial" w:hAnsi="Arial"/>
          <w:sz w:val="20"/>
          <w:szCs w:val="20"/>
          <w:color w:val="auto"/>
        </w:rPr>
        <w:t>.</w:t>
      </w:r>
    </w:p>
    <w:p>
      <w:pPr>
        <w:spacing w:after="0" w:line="201" w:lineRule="exact"/>
        <w:rPr>
          <w:sz w:val="20"/>
          <w:szCs w:val="20"/>
          <w:color w:val="auto"/>
        </w:rPr>
      </w:pPr>
    </w:p>
    <w:p>
      <w:pPr>
        <w:jc w:val="both"/>
        <w:ind w:firstLine="629"/>
        <w:spacing w:after="0" w:line="280" w:lineRule="auto"/>
        <w:rPr>
          <w:sz w:val="20"/>
          <w:szCs w:val="20"/>
          <w:color w:val="auto"/>
        </w:rPr>
      </w:pPr>
      <w:r>
        <w:rPr>
          <w:rFonts w:ascii="Arial" w:cs="Arial" w:eastAsia="Arial" w:hAnsi="Arial"/>
          <w:sz w:val="19"/>
          <w:szCs w:val="19"/>
          <w:b w:val="1"/>
          <w:bCs w:val="1"/>
          <w:color w:val="auto"/>
        </w:rPr>
        <w:t>1.2 Other Interpretive Provisions</w:t>
      </w:r>
      <w:r>
        <w:rPr>
          <w:rFonts w:ascii="Arial" w:cs="Arial" w:eastAsia="Arial" w:hAnsi="Arial"/>
          <w:sz w:val="19"/>
          <w:szCs w:val="19"/>
          <w:color w:val="auto"/>
        </w:rPr>
        <w:t>. With reference to this Agreement and each other Loan Document, unless otherwise specified</w:t>
      </w:r>
      <w:r>
        <w:rPr>
          <w:rFonts w:ascii="Arial" w:cs="Arial" w:eastAsia="Arial" w:hAnsi="Arial"/>
          <w:sz w:val="19"/>
          <w:szCs w:val="19"/>
          <w:b w:val="1"/>
          <w:bCs w:val="1"/>
          <w:color w:val="auto"/>
        </w:rPr>
        <w:t xml:space="preserve"> </w:t>
      </w:r>
      <w:r>
        <w:rPr>
          <w:rFonts w:ascii="Arial" w:cs="Arial" w:eastAsia="Arial" w:hAnsi="Arial"/>
          <w:sz w:val="19"/>
          <w:szCs w:val="19"/>
          <w:color w:val="auto"/>
        </w:rPr>
        <w:t>herein or in such other Loan Document:</w:t>
      </w:r>
    </w:p>
    <w:p>
      <w:pPr>
        <w:spacing w:after="0" w:line="152" w:lineRule="exact"/>
        <w:rPr>
          <w:sz w:val="20"/>
          <w:szCs w:val="20"/>
          <w:color w:val="auto"/>
        </w:rPr>
      </w:pPr>
    </w:p>
    <w:p>
      <w:pPr>
        <w:jc w:val="both"/>
        <w:ind w:firstLine="634"/>
        <w:spacing w:after="0" w:line="276" w:lineRule="auto"/>
        <w:tabs>
          <w:tab w:leader="none" w:pos="1249" w:val="left"/>
        </w:tabs>
        <w:numPr>
          <w:ilvl w:val="1"/>
          <w:numId w:val="118"/>
        </w:numPr>
        <w:rPr>
          <w:rFonts w:ascii="Arial" w:cs="Arial" w:eastAsia="Arial" w:hAnsi="Arial"/>
          <w:sz w:val="17"/>
          <w:szCs w:val="17"/>
          <w:color w:val="auto"/>
        </w:rPr>
      </w:pPr>
      <w:r>
        <w:rPr>
          <w:rFonts w:ascii="Arial" w:cs="Arial" w:eastAsia="Arial" w:hAnsi="Arial"/>
          <w:sz w:val="17"/>
          <w:szCs w:val="17"/>
          <w:color w:val="auto"/>
        </w:rPr>
        <w:t>The definitions of terms herein shall apply equally to the singular and plural forms of the terms defined. Whenever the context may require, any pronoun shall include the corresponding masculine, feminine and neuter forms. The words “</w:t>
      </w:r>
      <w:r>
        <w:rPr>
          <w:rFonts w:ascii="Arial" w:cs="Arial" w:eastAsia="Arial" w:hAnsi="Arial"/>
          <w:sz w:val="17"/>
          <w:szCs w:val="17"/>
          <w:u w:val="single" w:color="auto"/>
          <w:color w:val="auto"/>
        </w:rPr>
        <w:t>include</w:t>
      </w:r>
      <w:r>
        <w:rPr>
          <w:rFonts w:ascii="Arial" w:cs="Arial" w:eastAsia="Arial" w:hAnsi="Arial"/>
          <w:sz w:val="17"/>
          <w:szCs w:val="17"/>
          <w:color w:val="auto"/>
        </w:rPr>
        <w:t>,” “</w:t>
      </w:r>
      <w:r>
        <w:rPr>
          <w:rFonts w:ascii="Arial" w:cs="Arial" w:eastAsia="Arial" w:hAnsi="Arial"/>
          <w:sz w:val="17"/>
          <w:szCs w:val="17"/>
          <w:u w:val="single" w:color="auto"/>
          <w:color w:val="auto"/>
        </w:rPr>
        <w:t>includes</w:t>
      </w:r>
      <w:r>
        <w:rPr>
          <w:rFonts w:ascii="Arial" w:cs="Arial" w:eastAsia="Arial" w:hAnsi="Arial"/>
          <w:sz w:val="17"/>
          <w:szCs w:val="17"/>
          <w:color w:val="auto"/>
        </w:rPr>
        <w:t>” and “</w:t>
      </w:r>
      <w:r>
        <w:rPr>
          <w:rFonts w:ascii="Arial" w:cs="Arial" w:eastAsia="Arial" w:hAnsi="Arial"/>
          <w:sz w:val="17"/>
          <w:szCs w:val="17"/>
          <w:u w:val="single" w:color="auto"/>
          <w:color w:val="auto"/>
        </w:rPr>
        <w:t>including</w:t>
      </w:r>
      <w:r>
        <w:rPr>
          <w:rFonts w:ascii="Arial" w:cs="Arial" w:eastAsia="Arial" w:hAnsi="Arial"/>
          <w:sz w:val="17"/>
          <w:szCs w:val="17"/>
          <w:color w:val="auto"/>
        </w:rPr>
        <w:t>” shall be deemed to be followed by the phrase “without limitation.” The word “</w:t>
      </w:r>
      <w:r>
        <w:rPr>
          <w:rFonts w:ascii="Arial" w:cs="Arial" w:eastAsia="Arial" w:hAnsi="Arial"/>
          <w:sz w:val="17"/>
          <w:szCs w:val="17"/>
          <w:u w:val="single" w:color="auto"/>
          <w:color w:val="auto"/>
        </w:rPr>
        <w:t>will</w:t>
      </w:r>
      <w:r>
        <w:rPr>
          <w:rFonts w:ascii="Arial" w:cs="Arial" w:eastAsia="Arial" w:hAnsi="Arial"/>
          <w:sz w:val="17"/>
          <w:szCs w:val="17"/>
          <w:color w:val="auto"/>
        </w:rPr>
        <w:t>” shall be construed to have the same meaning and effect as the word “</w:t>
      </w:r>
      <w:r>
        <w:rPr>
          <w:rFonts w:ascii="Arial" w:cs="Arial" w:eastAsia="Arial" w:hAnsi="Arial"/>
          <w:sz w:val="17"/>
          <w:szCs w:val="17"/>
          <w:u w:val="single" w:color="auto"/>
          <w:color w:val="auto"/>
        </w:rPr>
        <w:t>shall</w:t>
      </w:r>
      <w:r>
        <w:rPr>
          <w:rFonts w:ascii="Arial" w:cs="Arial" w:eastAsia="Arial" w:hAnsi="Arial"/>
          <w:sz w:val="17"/>
          <w:szCs w:val="17"/>
          <w:color w:val="auto"/>
        </w:rPr>
        <w:t>.” Unless the context requires otherwise, (i) any definition of or reference to any agreement, instrument or other document (including any Organization Document) shall be construed as referring to such agreement, instrument or other document as from time to time amended, supplemented or otherwise modified (subject to any restrictions on such amendments, supplements or modifications set forth herein or in any other Loan Document), (ii) any reference herein to any Person shall be construed to include such Person’s successors and assigns,</w:t>
      </w:r>
    </w:p>
    <w:p>
      <w:pPr>
        <w:spacing w:after="0" w:line="2" w:lineRule="exact"/>
        <w:rPr>
          <w:rFonts w:ascii="Arial" w:cs="Arial" w:eastAsia="Arial" w:hAnsi="Arial"/>
          <w:sz w:val="17"/>
          <w:szCs w:val="17"/>
          <w:color w:val="auto"/>
        </w:rPr>
      </w:pPr>
    </w:p>
    <w:p>
      <w:pPr>
        <w:ind w:left="340" w:hanging="335"/>
        <w:spacing w:after="0"/>
        <w:tabs>
          <w:tab w:leader="none" w:pos="34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the words “</w:t>
      </w:r>
      <w:r>
        <w:rPr>
          <w:rFonts w:ascii="Arial" w:cs="Arial" w:eastAsia="Arial" w:hAnsi="Arial"/>
          <w:sz w:val="17"/>
          <w:szCs w:val="17"/>
          <w:u w:val="single" w:color="auto"/>
          <w:color w:val="auto"/>
        </w:rPr>
        <w:t>herein</w:t>
      </w:r>
      <w:r>
        <w:rPr>
          <w:rFonts w:ascii="Arial" w:cs="Arial" w:eastAsia="Arial" w:hAnsi="Arial"/>
          <w:sz w:val="17"/>
          <w:szCs w:val="17"/>
          <w:color w:val="auto"/>
        </w:rPr>
        <w:t>,” “</w:t>
      </w:r>
      <w:r>
        <w:rPr>
          <w:rFonts w:ascii="Arial" w:cs="Arial" w:eastAsia="Arial" w:hAnsi="Arial"/>
          <w:sz w:val="17"/>
          <w:szCs w:val="17"/>
          <w:u w:val="single" w:color="auto"/>
          <w:color w:val="auto"/>
        </w:rPr>
        <w:t>hereof</w:t>
      </w:r>
      <w:r>
        <w:rPr>
          <w:rFonts w:ascii="Arial" w:cs="Arial" w:eastAsia="Arial" w:hAnsi="Arial"/>
          <w:sz w:val="17"/>
          <w:szCs w:val="17"/>
          <w:color w:val="auto"/>
        </w:rPr>
        <w:t>” and “</w:t>
      </w:r>
      <w:r>
        <w:rPr>
          <w:rFonts w:ascii="Arial" w:cs="Arial" w:eastAsia="Arial" w:hAnsi="Arial"/>
          <w:sz w:val="17"/>
          <w:szCs w:val="17"/>
          <w:u w:val="single" w:color="auto"/>
          <w:color w:val="auto"/>
        </w:rPr>
        <w:t>hereunder</w:t>
      </w:r>
      <w:r>
        <w:rPr>
          <w:rFonts w:ascii="Arial" w:cs="Arial" w:eastAsia="Arial" w:hAnsi="Arial"/>
          <w:sz w:val="17"/>
          <w:szCs w:val="17"/>
          <w:color w:val="auto"/>
        </w:rPr>
        <w:t>,” and words of similar import when used in any Loan Document, shall be construed to refer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62</w:t>
      </w:r>
    </w:p>
    <w:p>
      <w:pPr>
        <w:sectPr>
          <w:pgSz w:w="11900" w:h="16838" w:orient="portrait"/>
          <w:cols w:equalWidth="0" w:num="1">
            <w:col w:w="11240"/>
          </w:cols>
          <w:pgMar w:left="320" w:top="1382" w:right="339" w:bottom="1440" w:gutter="0" w:footer="0" w:header="0"/>
        </w:sectPr>
      </w:pPr>
    </w:p>
    <w:bookmarkStart w:id="181" w:name="page182"/>
    <w:bookmarkEnd w:id="181"/>
    <w:p>
      <w:pPr>
        <w:jc w:val="both"/>
        <w:spacing w:after="0" w:line="263" w:lineRule="auto"/>
        <w:rPr>
          <w:sz w:val="20"/>
          <w:szCs w:val="20"/>
          <w:color w:val="auto"/>
        </w:rPr>
      </w:pPr>
      <w:r>
        <w:rPr>
          <w:rFonts w:ascii="Arial" w:cs="Arial" w:eastAsia="Arial" w:hAnsi="Arial"/>
          <w:sz w:val="18"/>
          <w:szCs w:val="18"/>
          <w:color w:val="auto"/>
        </w:rPr>
        <w:t>such Loan Document in its entirety and not to any particular provision thereof, (iv) all references in a Loan Document to Articles, Sections, Exhibits and Schedules shall be construed to refer to Articles and Sections of, and Exhibits and Schedules to, the Loan Document in which such references appear, (v) any reference to any law shall include all statutory and regulatory provisions consolidating, amending, replacing or interpreting such law and any reference to any law or regulation shall, unless otherwise specified, refer to such law or regulation as amended, modified or supplemented from time to time, (vi) the words “</w:t>
      </w:r>
      <w:r>
        <w:rPr>
          <w:rFonts w:ascii="Arial" w:cs="Arial" w:eastAsia="Arial" w:hAnsi="Arial"/>
          <w:sz w:val="18"/>
          <w:szCs w:val="18"/>
          <w:u w:val="single" w:color="auto"/>
          <w:color w:val="auto"/>
        </w:rPr>
        <w:t>asset</w:t>
      </w:r>
      <w:r>
        <w:rPr>
          <w:rFonts w:ascii="Arial" w:cs="Arial" w:eastAsia="Arial" w:hAnsi="Arial"/>
          <w:sz w:val="18"/>
          <w:szCs w:val="18"/>
          <w:color w:val="auto"/>
        </w:rPr>
        <w:t>” and “</w:t>
      </w:r>
      <w:r>
        <w:rPr>
          <w:rFonts w:ascii="Arial" w:cs="Arial" w:eastAsia="Arial" w:hAnsi="Arial"/>
          <w:sz w:val="18"/>
          <w:szCs w:val="18"/>
          <w:u w:val="single" w:color="auto"/>
          <w:color w:val="auto"/>
        </w:rPr>
        <w:t>property</w:t>
      </w:r>
      <w:r>
        <w:rPr>
          <w:rFonts w:ascii="Arial" w:cs="Arial" w:eastAsia="Arial" w:hAnsi="Arial"/>
          <w:sz w:val="18"/>
          <w:szCs w:val="18"/>
          <w:color w:val="auto"/>
        </w:rPr>
        <w:t xml:space="preserve">” shall be construed to have the same meaning and effect and to refer to any and all tangible and intangible assets and properties, including cash, securities, accounts and contract rights and (vii) all covenants in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shall be given independent effect so that if a particular action or condition is not permitted by any of such covenants, the fact that it would be permitted by an exception to, or be otherwise within the limitations of, another covenant (other than specific cross references permitting actions or conditions under other covenants) shall not avoid the occurrence of an Event of Default or Default if such action is taken or condition exists.</w:t>
      </w:r>
    </w:p>
    <w:p>
      <w:pPr>
        <w:spacing w:after="0" w:line="171" w:lineRule="exact"/>
        <w:rPr>
          <w:sz w:val="20"/>
          <w:szCs w:val="20"/>
          <w:color w:val="auto"/>
        </w:rPr>
      </w:pPr>
    </w:p>
    <w:p>
      <w:pPr>
        <w:ind w:firstLine="634"/>
        <w:spacing w:after="0" w:line="274" w:lineRule="auto"/>
        <w:tabs>
          <w:tab w:leader="none" w:pos="1247" w:val="left"/>
        </w:tabs>
        <w:numPr>
          <w:ilvl w:val="0"/>
          <w:numId w:val="120"/>
        </w:numPr>
        <w:rPr>
          <w:rFonts w:ascii="Arial" w:cs="Arial" w:eastAsia="Arial" w:hAnsi="Arial"/>
          <w:sz w:val="19"/>
          <w:szCs w:val="19"/>
          <w:color w:val="auto"/>
        </w:rPr>
      </w:pPr>
      <w:r>
        <w:rPr>
          <w:rFonts w:ascii="Arial" w:cs="Arial" w:eastAsia="Arial" w:hAnsi="Arial"/>
          <w:sz w:val="19"/>
          <w:szCs w:val="19"/>
          <w:color w:val="auto"/>
        </w:rPr>
        <w:t>In the computation of periods of time from a specified date to a later specified date, the word “</w:t>
      </w:r>
      <w:r>
        <w:rPr>
          <w:rFonts w:ascii="Arial" w:cs="Arial" w:eastAsia="Arial" w:hAnsi="Arial"/>
          <w:sz w:val="19"/>
          <w:szCs w:val="19"/>
          <w:u w:val="single" w:color="auto"/>
          <w:color w:val="auto"/>
        </w:rPr>
        <w:t>from</w:t>
      </w:r>
      <w:r>
        <w:rPr>
          <w:rFonts w:ascii="Arial" w:cs="Arial" w:eastAsia="Arial" w:hAnsi="Arial"/>
          <w:sz w:val="19"/>
          <w:szCs w:val="19"/>
          <w:color w:val="auto"/>
        </w:rPr>
        <w:t>” means “</w:t>
      </w:r>
      <w:r>
        <w:rPr>
          <w:rFonts w:ascii="Arial" w:cs="Arial" w:eastAsia="Arial" w:hAnsi="Arial"/>
          <w:sz w:val="19"/>
          <w:szCs w:val="19"/>
          <w:u w:val="single" w:color="auto"/>
          <w:color w:val="auto"/>
        </w:rPr>
        <w:t>from and</w:t>
      </w:r>
      <w:r>
        <w:rPr>
          <w:rFonts w:ascii="Arial" w:cs="Arial" w:eastAsia="Arial" w:hAnsi="Arial"/>
          <w:sz w:val="19"/>
          <w:szCs w:val="19"/>
          <w:color w:val="auto"/>
        </w:rPr>
        <w:t xml:space="preserve"> </w:t>
      </w:r>
      <w:r>
        <w:rPr>
          <w:rFonts w:ascii="Arial" w:cs="Arial" w:eastAsia="Arial" w:hAnsi="Arial"/>
          <w:sz w:val="19"/>
          <w:szCs w:val="19"/>
          <w:u w:val="single" w:color="auto"/>
          <w:color w:val="auto"/>
        </w:rPr>
        <w:t>including</w:t>
      </w:r>
      <w:r>
        <w:rPr>
          <w:rFonts w:ascii="Arial" w:cs="Arial" w:eastAsia="Arial" w:hAnsi="Arial"/>
          <w:sz w:val="19"/>
          <w:szCs w:val="19"/>
          <w:color w:val="auto"/>
        </w:rPr>
        <w:t>;” the words “</w:t>
      </w:r>
      <w:r>
        <w:rPr>
          <w:rFonts w:ascii="Arial" w:cs="Arial" w:eastAsia="Arial" w:hAnsi="Arial"/>
          <w:sz w:val="19"/>
          <w:szCs w:val="19"/>
          <w:u w:val="single" w:color="auto"/>
          <w:color w:val="auto"/>
        </w:rPr>
        <w:t>to</w:t>
      </w:r>
      <w:r>
        <w:rPr>
          <w:rFonts w:ascii="Arial" w:cs="Arial" w:eastAsia="Arial" w:hAnsi="Arial"/>
          <w:sz w:val="19"/>
          <w:szCs w:val="19"/>
          <w:color w:val="auto"/>
        </w:rPr>
        <w:t>” and “</w:t>
      </w:r>
      <w:r>
        <w:rPr>
          <w:rFonts w:ascii="Arial" w:cs="Arial" w:eastAsia="Arial" w:hAnsi="Arial"/>
          <w:sz w:val="19"/>
          <w:szCs w:val="19"/>
          <w:u w:val="single" w:color="auto"/>
          <w:color w:val="auto"/>
        </w:rPr>
        <w:t>until</w:t>
      </w:r>
      <w:r>
        <w:rPr>
          <w:rFonts w:ascii="Arial" w:cs="Arial" w:eastAsia="Arial" w:hAnsi="Arial"/>
          <w:sz w:val="19"/>
          <w:szCs w:val="19"/>
          <w:color w:val="auto"/>
        </w:rPr>
        <w:t>” each mean “</w:t>
      </w:r>
      <w:r>
        <w:rPr>
          <w:rFonts w:ascii="Arial" w:cs="Arial" w:eastAsia="Arial" w:hAnsi="Arial"/>
          <w:sz w:val="19"/>
          <w:szCs w:val="19"/>
          <w:u w:val="single" w:color="auto"/>
          <w:color w:val="auto"/>
        </w:rPr>
        <w:t>to but excluding</w:t>
      </w:r>
      <w:r>
        <w:rPr>
          <w:rFonts w:ascii="Arial" w:cs="Arial" w:eastAsia="Arial" w:hAnsi="Arial"/>
          <w:sz w:val="19"/>
          <w:szCs w:val="19"/>
          <w:color w:val="auto"/>
        </w:rPr>
        <w:t>;” and the word “</w:t>
      </w:r>
      <w:r>
        <w:rPr>
          <w:rFonts w:ascii="Arial" w:cs="Arial" w:eastAsia="Arial" w:hAnsi="Arial"/>
          <w:sz w:val="19"/>
          <w:szCs w:val="19"/>
          <w:u w:val="single" w:color="auto"/>
          <w:color w:val="auto"/>
        </w:rPr>
        <w:t>through</w:t>
      </w:r>
      <w:r>
        <w:rPr>
          <w:rFonts w:ascii="Arial" w:cs="Arial" w:eastAsia="Arial" w:hAnsi="Arial"/>
          <w:sz w:val="19"/>
          <w:szCs w:val="19"/>
          <w:color w:val="auto"/>
        </w:rPr>
        <w:t>” means “</w:t>
      </w:r>
      <w:r>
        <w:rPr>
          <w:rFonts w:ascii="Arial" w:cs="Arial" w:eastAsia="Arial" w:hAnsi="Arial"/>
          <w:sz w:val="19"/>
          <w:szCs w:val="19"/>
          <w:u w:val="single" w:color="auto"/>
          <w:color w:val="auto"/>
        </w:rPr>
        <w:t>to and including</w:t>
      </w:r>
      <w:r>
        <w:rPr>
          <w:rFonts w:ascii="Arial" w:cs="Arial" w:eastAsia="Arial" w:hAnsi="Arial"/>
          <w:sz w:val="19"/>
          <w:szCs w:val="19"/>
          <w:color w:val="auto"/>
        </w:rPr>
        <w:t>.”</w:t>
      </w:r>
    </w:p>
    <w:p>
      <w:pPr>
        <w:spacing w:after="0" w:line="156" w:lineRule="exact"/>
        <w:rPr>
          <w:rFonts w:ascii="Arial" w:cs="Arial" w:eastAsia="Arial" w:hAnsi="Arial"/>
          <w:sz w:val="19"/>
          <w:szCs w:val="19"/>
          <w:color w:val="auto"/>
        </w:rPr>
      </w:pPr>
    </w:p>
    <w:p>
      <w:pPr>
        <w:ind w:firstLine="634"/>
        <w:spacing w:after="0" w:line="274" w:lineRule="auto"/>
        <w:tabs>
          <w:tab w:leader="none" w:pos="1249" w:val="left"/>
        </w:tabs>
        <w:numPr>
          <w:ilvl w:val="0"/>
          <w:numId w:val="120"/>
        </w:numPr>
        <w:rPr>
          <w:rFonts w:ascii="Arial" w:cs="Arial" w:eastAsia="Arial" w:hAnsi="Arial"/>
          <w:sz w:val="19"/>
          <w:szCs w:val="19"/>
          <w:color w:val="auto"/>
        </w:rPr>
      </w:pPr>
      <w:r>
        <w:rPr>
          <w:rFonts w:ascii="Arial" w:cs="Arial" w:eastAsia="Arial" w:hAnsi="Arial"/>
          <w:sz w:val="19"/>
          <w:szCs w:val="19"/>
          <w:color w:val="auto"/>
        </w:rPr>
        <w:t>Section headings herein and in the other Loan Documents are included for convenience of reference only and shall not affect the interpretation of this Agreement or any other Loan Document.</w:t>
      </w:r>
    </w:p>
    <w:p>
      <w:pPr>
        <w:spacing w:after="0" w:line="156" w:lineRule="exact"/>
        <w:rPr>
          <w:rFonts w:ascii="Arial" w:cs="Arial" w:eastAsia="Arial" w:hAnsi="Arial"/>
          <w:sz w:val="19"/>
          <w:szCs w:val="19"/>
          <w:color w:val="auto"/>
        </w:rPr>
      </w:pPr>
    </w:p>
    <w:p>
      <w:pPr>
        <w:jc w:val="both"/>
        <w:ind w:firstLine="634"/>
        <w:spacing w:after="0" w:line="259" w:lineRule="auto"/>
        <w:tabs>
          <w:tab w:leader="none" w:pos="1247" w:val="left"/>
        </w:tabs>
        <w:numPr>
          <w:ilvl w:val="0"/>
          <w:numId w:val="120"/>
        </w:numPr>
        <w:rPr>
          <w:rFonts w:ascii="Arial" w:cs="Arial" w:eastAsia="Arial" w:hAnsi="Arial"/>
          <w:sz w:val="19"/>
          <w:szCs w:val="19"/>
          <w:color w:val="auto"/>
        </w:rPr>
      </w:pPr>
      <w:r>
        <w:rPr>
          <w:rFonts w:ascii="Arial" w:cs="Arial" w:eastAsia="Arial" w:hAnsi="Arial"/>
          <w:sz w:val="19"/>
          <w:szCs w:val="19"/>
          <w:color w:val="auto"/>
        </w:rPr>
        <w:t>A reference to Loan Parties’ “knowledge” or similar concept means actual knowledge of a Responsible Officer, or knowledge that a Responsible Officer would have obtained if he or she had engaged in good faith and diligent performance of his or her duties, including reasonably specific inquiries of employees or agents and a good faith attempt to ascertain the matter.</w:t>
      </w:r>
    </w:p>
    <w:p>
      <w:pPr>
        <w:spacing w:after="0" w:line="165"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9"/>
          <w:szCs w:val="19"/>
          <w:b w:val="1"/>
          <w:bCs w:val="1"/>
          <w:color w:val="auto"/>
        </w:rPr>
        <w:t>1.3</w:t>
      </w:r>
      <w:r>
        <w:rPr>
          <w:sz w:val="20"/>
          <w:szCs w:val="20"/>
          <w:color w:val="auto"/>
        </w:rPr>
        <w:tab/>
      </w:r>
      <w:r>
        <w:rPr>
          <w:rFonts w:ascii="Arial" w:cs="Arial" w:eastAsia="Arial" w:hAnsi="Arial"/>
          <w:sz w:val="16"/>
          <w:szCs w:val="16"/>
          <w:b w:val="1"/>
          <w:bCs w:val="1"/>
          <w:color w:val="auto"/>
        </w:rPr>
        <w:t>Accounting Terms</w:t>
      </w:r>
      <w:r>
        <w:rPr>
          <w:rFonts w:ascii="Arial" w:cs="Arial" w:eastAsia="Arial" w:hAnsi="Arial"/>
          <w:sz w:val="16"/>
          <w:szCs w:val="16"/>
          <w:color w:val="auto"/>
        </w:rPr>
        <w:t>.</w:t>
      </w:r>
    </w:p>
    <w:p>
      <w:pPr>
        <w:spacing w:after="0" w:line="220" w:lineRule="exact"/>
        <w:rPr>
          <w:sz w:val="20"/>
          <w:szCs w:val="20"/>
          <w:color w:val="auto"/>
        </w:rPr>
      </w:pPr>
    </w:p>
    <w:p>
      <w:pPr>
        <w:jc w:val="both"/>
        <w:ind w:firstLine="634"/>
        <w:spacing w:after="0" w:line="264" w:lineRule="auto"/>
        <w:tabs>
          <w:tab w:leader="none" w:pos="1249" w:val="left"/>
        </w:tabs>
        <w:numPr>
          <w:ilvl w:val="0"/>
          <w:numId w:val="121"/>
        </w:numPr>
        <w:rPr>
          <w:rFonts w:ascii="Arial" w:cs="Arial" w:eastAsia="Arial" w:hAnsi="Arial"/>
          <w:sz w:val="18"/>
          <w:szCs w:val="18"/>
          <w:color w:val="auto"/>
        </w:rPr>
      </w:pPr>
      <w:r>
        <w:rPr>
          <w:rFonts w:ascii="Arial" w:cs="Arial" w:eastAsia="Arial" w:hAnsi="Arial"/>
          <w:sz w:val="18"/>
          <w:szCs w:val="18"/>
          <w:u w:val="single" w:color="auto"/>
          <w:color w:val="auto"/>
        </w:rPr>
        <w:t>Generally</w:t>
      </w:r>
      <w:r>
        <w:rPr>
          <w:rFonts w:ascii="Arial" w:cs="Arial" w:eastAsia="Arial" w:hAnsi="Arial"/>
          <w:sz w:val="18"/>
          <w:szCs w:val="18"/>
          <w:color w:val="auto"/>
        </w:rPr>
        <w:t xml:space="preserve">.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on a consistent basis, as in effect on the Closing Date, </w:t>
      </w:r>
      <w:r>
        <w:rPr>
          <w:rFonts w:ascii="Arial" w:cs="Arial" w:eastAsia="Arial" w:hAnsi="Arial"/>
          <w:sz w:val="18"/>
          <w:szCs w:val="18"/>
          <w:u w:val="single" w:color="auto"/>
          <w:color w:val="auto"/>
        </w:rPr>
        <w:t>except</w:t>
      </w:r>
      <w:r>
        <w:rPr>
          <w:rFonts w:ascii="Arial" w:cs="Arial" w:eastAsia="Arial" w:hAnsi="Arial"/>
          <w:sz w:val="18"/>
          <w:szCs w:val="18"/>
          <w:color w:val="auto"/>
        </w:rPr>
        <w:t xml:space="preserve"> (i) with respect to any reports or financial information required to be delivered pursuant to </w:t>
      </w:r>
      <w:r>
        <w:rPr>
          <w:rFonts w:ascii="Arial" w:cs="Arial" w:eastAsia="Arial" w:hAnsi="Arial"/>
          <w:sz w:val="18"/>
          <w:szCs w:val="18"/>
          <w:u w:val="single" w:color="auto"/>
          <w:color w:val="auto"/>
        </w:rPr>
        <w:t>Section 7.01</w:t>
      </w:r>
      <w:r>
        <w:rPr>
          <w:rFonts w:ascii="Arial" w:cs="Arial" w:eastAsia="Arial" w:hAnsi="Arial"/>
          <w:sz w:val="18"/>
          <w:szCs w:val="18"/>
          <w:color w:val="auto"/>
        </w:rPr>
        <w:t>, which shall be prepared in accordance with GAAP as in effect and applicable to that accounting period in respect of which reference to GAAP is being made and (ii) as otherwise specifically prescribed herein. Notwithstanding the foregoing, for purposes of determining compliance with any covenant (including the computation of any financial covenant) contained herein, Indebtedness of each Borrower and its Subsidiaries shall be deemed to be carried at 100% of the outstanding principal amount thereof, and the effects of FASB ASC 825 and FASB ASC 470-20 on financial liabilities shall be disregarded.</w:t>
      </w:r>
    </w:p>
    <w:p>
      <w:pPr>
        <w:spacing w:after="0" w:line="171" w:lineRule="exact"/>
        <w:rPr>
          <w:rFonts w:ascii="Arial" w:cs="Arial" w:eastAsia="Arial" w:hAnsi="Arial"/>
          <w:sz w:val="18"/>
          <w:szCs w:val="18"/>
          <w:color w:val="auto"/>
        </w:rPr>
      </w:pPr>
    </w:p>
    <w:p>
      <w:pPr>
        <w:jc w:val="both"/>
        <w:ind w:firstLine="634"/>
        <w:spacing w:after="0" w:line="267" w:lineRule="auto"/>
        <w:tabs>
          <w:tab w:leader="none" w:pos="1247" w:val="left"/>
        </w:tabs>
        <w:numPr>
          <w:ilvl w:val="0"/>
          <w:numId w:val="121"/>
        </w:numPr>
        <w:rPr>
          <w:rFonts w:ascii="Arial" w:cs="Arial" w:eastAsia="Arial" w:hAnsi="Arial"/>
          <w:sz w:val="18"/>
          <w:szCs w:val="18"/>
          <w:color w:val="auto"/>
        </w:rPr>
      </w:pPr>
      <w:r>
        <w:rPr>
          <w:rFonts w:ascii="Arial" w:cs="Arial" w:eastAsia="Arial" w:hAnsi="Arial"/>
          <w:sz w:val="18"/>
          <w:szCs w:val="18"/>
          <w:u w:val="single" w:color="auto"/>
          <w:color w:val="auto"/>
        </w:rPr>
        <w:t>Changes in GAAP</w:t>
      </w:r>
      <w:r>
        <w:rPr>
          <w:rFonts w:ascii="Arial" w:cs="Arial" w:eastAsia="Arial" w:hAnsi="Arial"/>
          <w:sz w:val="18"/>
          <w:szCs w:val="18"/>
          <w:color w:val="auto"/>
        </w:rPr>
        <w:t xml:space="preserve">. If at any time any change in GAAP would affect the computation of any financial ratio or requirement set forth in any Loan Document, and either the Borrower Agent or the Required Lenders shall so request, the Administrative Agent, the Lenders and the Borrower Agent shall negotiate in good faith to amend such ratio or requirement to preserve the original intent thereof in light of such change in GAAP (subject to the approval of the Required Lenders);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until so amended, (i) such ratio or requirement shall continue to be computed in accordance with GAAP prior to such change therein and (ii) the Borrower Agent shall provide to the Administrative Agent and the Lenders financial statements and other documents required under this Agreement or as reasonably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63</w:t>
      </w:r>
    </w:p>
    <w:p>
      <w:pPr>
        <w:sectPr>
          <w:pgSz w:w="11900" w:h="16838" w:orient="portrait"/>
          <w:cols w:equalWidth="0" w:num="1">
            <w:col w:w="11240"/>
          </w:cols>
          <w:pgMar w:left="320" w:top="1382" w:right="339" w:bottom="1440" w:gutter="0" w:footer="0" w:header="0"/>
        </w:sectPr>
      </w:pPr>
    </w:p>
    <w:bookmarkStart w:id="182" w:name="page183"/>
    <w:bookmarkEnd w:id="182"/>
    <w:p>
      <w:pPr>
        <w:jc w:val="both"/>
        <w:spacing w:after="0" w:line="283" w:lineRule="auto"/>
        <w:rPr>
          <w:sz w:val="20"/>
          <w:szCs w:val="20"/>
          <w:color w:val="auto"/>
        </w:rPr>
      </w:pPr>
      <w:r>
        <w:rPr>
          <w:rFonts w:ascii="Arial" w:cs="Arial" w:eastAsia="Arial" w:hAnsi="Arial"/>
          <w:sz w:val="17"/>
          <w:szCs w:val="17"/>
          <w:color w:val="auto"/>
        </w:rPr>
        <w:t xml:space="preserve">requested hereunder setting forth a reconciliation between calculations of such ratio or requirement made before and after giving effect to such change in GAAP. Notwithstanding anything to the contrary contained in this </w:t>
      </w:r>
      <w:r>
        <w:rPr>
          <w:rFonts w:ascii="Arial" w:cs="Arial" w:eastAsia="Arial" w:hAnsi="Arial"/>
          <w:sz w:val="17"/>
          <w:szCs w:val="17"/>
          <w:u w:val="single" w:color="auto"/>
          <w:color w:val="auto"/>
        </w:rPr>
        <w:t>Section 1.03</w:t>
      </w:r>
      <w:r>
        <w:rPr>
          <w:rFonts w:ascii="Arial" w:cs="Arial" w:eastAsia="Arial" w:hAnsi="Arial"/>
          <w:sz w:val="17"/>
          <w:szCs w:val="17"/>
          <w:color w:val="auto"/>
        </w:rPr>
        <w:t xml:space="preserve"> or the definition of “Capital Leases”, in the event of a change in GAAP requiring all leases to be capitalized, only those leases that would have constituted Capital Leases on the Closing Date (assuming for purposes hereof that such leases were in existence on the Closing Date) shall be considered Capital Leases, and all calculations and deliverables under this Agreement or any other Loan Document shall be made in accordance therewith (provided that all financial statements delivered to the Administrative Agent in accordance with the terms of this Agreement after the date of such change in GAAP shall contain a schedule showing the adjustments necessary to reconcile such financial statements with GAAP as in effect immediately prior to such change).</w:t>
      </w:r>
    </w:p>
    <w:p>
      <w:pPr>
        <w:spacing w:after="0" w:line="157" w:lineRule="exact"/>
        <w:rPr>
          <w:sz w:val="20"/>
          <w:szCs w:val="20"/>
          <w:color w:val="auto"/>
        </w:rPr>
      </w:pPr>
    </w:p>
    <w:p>
      <w:pPr>
        <w:jc w:val="both"/>
        <w:ind w:firstLine="634"/>
        <w:spacing w:after="0" w:line="273" w:lineRule="auto"/>
        <w:tabs>
          <w:tab w:leader="none" w:pos="1249" w:val="left"/>
        </w:tabs>
        <w:numPr>
          <w:ilvl w:val="0"/>
          <w:numId w:val="122"/>
        </w:numPr>
        <w:rPr>
          <w:rFonts w:ascii="Arial" w:cs="Arial" w:eastAsia="Arial" w:hAnsi="Arial"/>
          <w:sz w:val="18"/>
          <w:szCs w:val="18"/>
          <w:color w:val="auto"/>
        </w:rPr>
      </w:pPr>
      <w:r>
        <w:rPr>
          <w:rFonts w:ascii="Arial" w:cs="Arial" w:eastAsia="Arial" w:hAnsi="Arial"/>
          <w:sz w:val="18"/>
          <w:szCs w:val="18"/>
          <w:u w:val="single" w:color="auto"/>
          <w:color w:val="auto"/>
        </w:rPr>
        <w:t>Consolidation of Variable Interest Entities</w:t>
      </w:r>
      <w:r>
        <w:rPr>
          <w:rFonts w:ascii="Arial" w:cs="Arial" w:eastAsia="Arial" w:hAnsi="Arial"/>
          <w:sz w:val="18"/>
          <w:szCs w:val="18"/>
          <w:color w:val="auto"/>
        </w:rPr>
        <w:t>. Except as expressly provided otherwise herein, all references herein to Consolidated financial statements of the Company and its Subsidiaries or to the determination of any amount for the Company and its Subsidiaries on a Consolidated basis or any similar reference shall, in each case, be deemed to include each variable interest entity that the Company is required to consolidate pursuant to FASB ASC 810 as if such variable interest entity were a Subsidiary as defined herein.</w:t>
      </w:r>
    </w:p>
    <w:p>
      <w:pPr>
        <w:spacing w:after="0" w:line="159" w:lineRule="exact"/>
        <w:rPr>
          <w:rFonts w:ascii="Arial" w:cs="Arial" w:eastAsia="Arial" w:hAnsi="Arial"/>
          <w:sz w:val="18"/>
          <w:szCs w:val="18"/>
          <w:color w:val="auto"/>
        </w:rPr>
      </w:pPr>
    </w:p>
    <w:p>
      <w:pPr>
        <w:jc w:val="both"/>
        <w:ind w:firstLine="634"/>
        <w:spacing w:after="0" w:line="250" w:lineRule="auto"/>
        <w:tabs>
          <w:tab w:leader="none" w:pos="1247" w:val="left"/>
        </w:tabs>
        <w:numPr>
          <w:ilvl w:val="0"/>
          <w:numId w:val="122"/>
        </w:numPr>
        <w:rPr>
          <w:rFonts w:ascii="Arial" w:cs="Arial" w:eastAsia="Arial" w:hAnsi="Arial"/>
          <w:sz w:val="19"/>
          <w:szCs w:val="19"/>
          <w:color w:val="auto"/>
        </w:rPr>
      </w:pPr>
      <w:r>
        <w:rPr>
          <w:rFonts w:ascii="Arial" w:cs="Arial" w:eastAsia="Arial" w:hAnsi="Arial"/>
          <w:sz w:val="19"/>
          <w:szCs w:val="19"/>
          <w:u w:val="single" w:color="auto"/>
          <w:color w:val="auto"/>
        </w:rPr>
        <w:t>Calculations</w:t>
      </w:r>
      <w:r>
        <w:rPr>
          <w:rFonts w:ascii="Arial" w:cs="Arial" w:eastAsia="Arial" w:hAnsi="Arial"/>
          <w:sz w:val="19"/>
          <w:szCs w:val="19"/>
          <w:color w:val="auto"/>
        </w:rPr>
        <w:t xml:space="preserve">. In computing financial ratios and other financial calculations of the Company and its Subsidiaries required to be submitted pursuant to this Agreement, all Indebtedness of the Company and its Subsidiaries shall be calculated at Dollar Equivalent par value irrespective if the Company has elected the fair value option pursuant to </w:t>
      </w:r>
      <w:r>
        <w:rPr>
          <w:rFonts w:ascii="Arial" w:cs="Arial" w:eastAsia="Arial" w:hAnsi="Arial"/>
          <w:sz w:val="19"/>
          <w:szCs w:val="19"/>
          <w:u w:val="single" w:color="auto"/>
          <w:color w:val="auto"/>
        </w:rPr>
        <w:t>FASB Interpretation No. 159 – The Fair Value Option for Financial</w:t>
      </w:r>
      <w:r>
        <w:rPr>
          <w:rFonts w:ascii="Arial" w:cs="Arial" w:eastAsia="Arial" w:hAnsi="Arial"/>
          <w:sz w:val="19"/>
          <w:szCs w:val="19"/>
          <w:color w:val="auto"/>
        </w:rPr>
        <w:t xml:space="preserve"> </w:t>
      </w:r>
      <w:r>
        <w:rPr>
          <w:rFonts w:ascii="Arial" w:cs="Arial" w:eastAsia="Arial" w:hAnsi="Arial"/>
          <w:sz w:val="19"/>
          <w:szCs w:val="19"/>
          <w:u w:val="single" w:color="auto"/>
          <w:color w:val="auto"/>
        </w:rPr>
        <w:t>Assets and Financial Liabilities—Including an amendment of FASB Statement No. 115 (February 2007)</w:t>
      </w:r>
      <w:r>
        <w:rPr>
          <w:rFonts w:ascii="Arial" w:cs="Arial" w:eastAsia="Arial" w:hAnsi="Arial"/>
          <w:sz w:val="19"/>
          <w:szCs w:val="19"/>
          <w:color w:val="auto"/>
        </w:rPr>
        <w:t>. For purposes of determining any “extraordinary” item, extraordinary shall be determined in accordance with GAAP as in effect prior to Accounting Standards Update No. 2015-01.</w:t>
      </w:r>
    </w:p>
    <w:p>
      <w:pPr>
        <w:spacing w:after="0" w:line="176" w:lineRule="exact"/>
        <w:rPr>
          <w:sz w:val="20"/>
          <w:szCs w:val="20"/>
          <w:color w:val="auto"/>
        </w:rPr>
      </w:pPr>
    </w:p>
    <w:p>
      <w:pPr>
        <w:jc w:val="both"/>
        <w:ind w:firstLine="629"/>
        <w:spacing w:after="0" w:line="277" w:lineRule="auto"/>
        <w:rPr>
          <w:sz w:val="20"/>
          <w:szCs w:val="20"/>
          <w:color w:val="auto"/>
        </w:rPr>
      </w:pPr>
      <w:r>
        <w:rPr>
          <w:rFonts w:ascii="Arial" w:cs="Arial" w:eastAsia="Arial" w:hAnsi="Arial"/>
          <w:sz w:val="18"/>
          <w:szCs w:val="18"/>
          <w:b w:val="1"/>
          <w:bCs w:val="1"/>
          <w:color w:val="auto"/>
        </w:rPr>
        <w:t>1.4 Uniform Commercial Code</w:t>
      </w:r>
      <w:r>
        <w:rPr>
          <w:rFonts w:ascii="Arial" w:cs="Arial" w:eastAsia="Arial" w:hAnsi="Arial"/>
          <w:sz w:val="18"/>
          <w:szCs w:val="18"/>
          <w:color w:val="auto"/>
        </w:rPr>
        <w:t>. As used herein, the following terms are defined in accordance with the UCC in effect in the State</w:t>
      </w:r>
      <w:r>
        <w:rPr>
          <w:rFonts w:ascii="Arial" w:cs="Arial" w:eastAsia="Arial" w:hAnsi="Arial"/>
          <w:sz w:val="18"/>
          <w:szCs w:val="18"/>
          <w:b w:val="1"/>
          <w:bCs w:val="1"/>
          <w:color w:val="auto"/>
        </w:rPr>
        <w:t xml:space="preserve"> </w:t>
      </w:r>
      <w:r>
        <w:rPr>
          <w:rFonts w:ascii="Arial" w:cs="Arial" w:eastAsia="Arial" w:hAnsi="Arial"/>
          <w:sz w:val="18"/>
          <w:szCs w:val="18"/>
          <w:color w:val="auto"/>
        </w:rPr>
        <w:t>of New York from time to time: “Chattel Paper,” “Commodity Account,” “Commodity Contracts,” “Deposit Account,” “Documents,”</w:t>
      </w:r>
    </w:p>
    <w:p>
      <w:pPr>
        <w:jc w:val="both"/>
        <w:spacing w:after="0" w:line="249" w:lineRule="auto"/>
        <w:rPr>
          <w:sz w:val="20"/>
          <w:szCs w:val="20"/>
          <w:color w:val="auto"/>
        </w:rPr>
      </w:pPr>
      <w:r>
        <w:rPr>
          <w:rFonts w:ascii="Arial" w:cs="Arial" w:eastAsia="Arial" w:hAnsi="Arial"/>
          <w:sz w:val="19"/>
          <w:szCs w:val="19"/>
          <w:color w:val="auto"/>
        </w:rPr>
        <w:t>“Equipment”, “General Intangibles,” “Instrument,” “Inventory,” “Record,” and “Securities Account.” Any term defined in this Agreement by reference to the UCC shall also have any extended, alternative or analogous meaning given to such term in the PPSA and under other Canadian laws (including, without limitation, the Securities Transfer Act, 2006 (Ontario), the Bills of Exchange Act (Canada) and the Depository Bills and Notes Act (Canada)), in all cases for the extension, preservation or betterment of the security and rights of the Administrative Agent and the Lenders, (ii) all references in this Agreement to a financing statement, continuation statement, amendment or termination statement shall be deemed to refer also to the analogous documents used under the PPSA, including, without limitation, where applicable, financing change statements and (iii) all references to federal or state securities law of the United States shall be deemed to refer also to analogous federal, provincial and territorial securities laws in Canada.</w:t>
      </w:r>
    </w:p>
    <w:p>
      <w:pPr>
        <w:spacing w:after="0" w:line="174" w:lineRule="exact"/>
        <w:rPr>
          <w:sz w:val="20"/>
          <w:szCs w:val="20"/>
          <w:color w:val="auto"/>
        </w:rPr>
      </w:pPr>
    </w:p>
    <w:p>
      <w:pPr>
        <w:jc w:val="both"/>
        <w:ind w:firstLine="629"/>
        <w:spacing w:after="0" w:line="284" w:lineRule="auto"/>
        <w:rPr>
          <w:sz w:val="20"/>
          <w:szCs w:val="20"/>
          <w:color w:val="auto"/>
        </w:rPr>
      </w:pPr>
      <w:r>
        <w:rPr>
          <w:rFonts w:ascii="Arial" w:cs="Arial" w:eastAsia="Arial" w:hAnsi="Arial"/>
          <w:sz w:val="18"/>
          <w:szCs w:val="18"/>
          <w:b w:val="1"/>
          <w:bCs w:val="1"/>
          <w:color w:val="auto"/>
        </w:rPr>
        <w:t>1.5 Rounding</w:t>
      </w:r>
      <w:r>
        <w:rPr>
          <w:rFonts w:ascii="Arial" w:cs="Arial" w:eastAsia="Arial" w:hAnsi="Arial"/>
          <w:sz w:val="18"/>
          <w:szCs w:val="18"/>
          <w:color w:val="auto"/>
        </w:rPr>
        <w:t>. Any financial ratios required to be maintained by the Borrowers pursuant to this Agreement shall be calculated by</w:t>
      </w:r>
      <w:r>
        <w:rPr>
          <w:rFonts w:ascii="Arial" w:cs="Arial" w:eastAsia="Arial" w:hAnsi="Arial"/>
          <w:sz w:val="18"/>
          <w:szCs w:val="18"/>
          <w:b w:val="1"/>
          <w:bCs w:val="1"/>
          <w:color w:val="auto"/>
        </w:rPr>
        <w:t xml:space="preserve"> </w:t>
      </w:r>
      <w:r>
        <w:rPr>
          <w:rFonts w:ascii="Arial" w:cs="Arial" w:eastAsia="Arial" w:hAnsi="Arial"/>
          <w:sz w:val="18"/>
          <w:szCs w:val="18"/>
          <w:color w:val="auto"/>
        </w:rPr>
        <w:t>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144" w:lineRule="exact"/>
        <w:rPr>
          <w:sz w:val="20"/>
          <w:szCs w:val="20"/>
          <w:color w:val="auto"/>
        </w:rPr>
      </w:pPr>
    </w:p>
    <w:p>
      <w:pPr>
        <w:jc w:val="both"/>
        <w:ind w:firstLine="629"/>
        <w:spacing w:after="0" w:line="280" w:lineRule="auto"/>
        <w:rPr>
          <w:sz w:val="20"/>
          <w:szCs w:val="20"/>
          <w:color w:val="auto"/>
        </w:rPr>
      </w:pPr>
      <w:r>
        <w:rPr>
          <w:rFonts w:ascii="Arial" w:cs="Arial" w:eastAsia="Arial" w:hAnsi="Arial"/>
          <w:sz w:val="19"/>
          <w:szCs w:val="19"/>
          <w:b w:val="1"/>
          <w:bCs w:val="1"/>
          <w:color w:val="auto"/>
        </w:rPr>
        <w:t>1.6 Times of Day</w:t>
      </w:r>
      <w:r>
        <w:rPr>
          <w:rFonts w:ascii="Arial" w:cs="Arial" w:eastAsia="Arial" w:hAnsi="Arial"/>
          <w:sz w:val="19"/>
          <w:szCs w:val="19"/>
          <w:color w:val="auto"/>
        </w:rPr>
        <w:t>. Unless otherwise specified, all references herein to times of day shall be references to Central time (daylight or</w:t>
      </w:r>
      <w:r>
        <w:rPr>
          <w:rFonts w:ascii="Arial" w:cs="Arial" w:eastAsia="Arial" w:hAnsi="Arial"/>
          <w:sz w:val="19"/>
          <w:szCs w:val="19"/>
          <w:b w:val="1"/>
          <w:bCs w:val="1"/>
          <w:color w:val="auto"/>
        </w:rPr>
        <w:t xml:space="preserve"> </w:t>
      </w:r>
      <w:r>
        <w:rPr>
          <w:rFonts w:ascii="Arial" w:cs="Arial" w:eastAsia="Arial" w:hAnsi="Arial"/>
          <w:sz w:val="19"/>
          <w:szCs w:val="19"/>
          <w:color w:val="auto"/>
        </w:rPr>
        <w:t>standard,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64</w:t>
      </w:r>
    </w:p>
    <w:p>
      <w:pPr>
        <w:sectPr>
          <w:pgSz w:w="11900" w:h="16838" w:orient="portrait"/>
          <w:cols w:equalWidth="0" w:num="1">
            <w:col w:w="11240"/>
          </w:cols>
          <w:pgMar w:left="320" w:top="1382" w:right="339" w:bottom="1440" w:gutter="0" w:footer="0" w:header="0"/>
        </w:sectPr>
      </w:pPr>
    </w:p>
    <w:bookmarkStart w:id="183" w:name="page184"/>
    <w:bookmarkEnd w:id="183"/>
    <w:p>
      <w:pPr>
        <w:jc w:val="both"/>
        <w:ind w:firstLine="629"/>
        <w:spacing w:after="0" w:line="253" w:lineRule="auto"/>
        <w:rPr>
          <w:sz w:val="20"/>
          <w:szCs w:val="20"/>
          <w:color w:val="auto"/>
        </w:rPr>
      </w:pPr>
      <w:r>
        <w:rPr>
          <w:rFonts w:ascii="Arial" w:cs="Arial" w:eastAsia="Arial" w:hAnsi="Arial"/>
          <w:sz w:val="19"/>
          <w:szCs w:val="19"/>
          <w:b w:val="1"/>
          <w:bCs w:val="1"/>
          <w:color w:val="auto"/>
        </w:rPr>
        <w:t>1.7 Letter of Credit Amounts</w:t>
      </w:r>
      <w:r>
        <w:rPr>
          <w:rFonts w:ascii="Arial" w:cs="Arial" w:eastAsia="Arial" w:hAnsi="Arial"/>
          <w:sz w:val="19"/>
          <w:szCs w:val="19"/>
          <w:color w:val="auto"/>
        </w:rPr>
        <w:t>. Unless otherwise specified herein, the amount of a Letter of Credit at any time shall be deemed to be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the stated amount of such Letter of Credit in effect at such time;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with respect to any Letter of Credit that, by its terms or the terms of any Issuer Document related thereto, provides for one or more automatic increases in the stated amount thereof, the amount of such Letter of Credit shall be deemed to be the maximum stated amount of such Letter of Credit after giving effect to all such increases, whether or not such maximum stated amount is in effect at such time.</w:t>
      </w:r>
    </w:p>
    <w:p>
      <w:pPr>
        <w:spacing w:after="0" w:line="173"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9"/>
          <w:szCs w:val="19"/>
          <w:b w:val="1"/>
          <w:bCs w:val="1"/>
          <w:color w:val="auto"/>
        </w:rPr>
        <w:t>1.8</w:t>
      </w:r>
      <w:r>
        <w:rPr>
          <w:sz w:val="20"/>
          <w:szCs w:val="20"/>
          <w:color w:val="auto"/>
        </w:rPr>
        <w:tab/>
      </w:r>
      <w:r>
        <w:rPr>
          <w:rFonts w:ascii="Arial" w:cs="Arial" w:eastAsia="Arial" w:hAnsi="Arial"/>
          <w:sz w:val="17"/>
          <w:szCs w:val="17"/>
          <w:b w:val="1"/>
          <w:bCs w:val="1"/>
          <w:color w:val="auto"/>
        </w:rPr>
        <w:t>Exchange Rates; and Currency Equivalents</w:t>
      </w:r>
      <w:r>
        <w:rPr>
          <w:rFonts w:ascii="Arial" w:cs="Arial" w:eastAsia="Arial" w:hAnsi="Arial"/>
          <w:sz w:val="17"/>
          <w:szCs w:val="17"/>
          <w:color w:val="auto"/>
        </w:rPr>
        <w:t>.</w:t>
      </w:r>
    </w:p>
    <w:p>
      <w:pPr>
        <w:spacing w:after="0" w:line="220" w:lineRule="exact"/>
        <w:rPr>
          <w:sz w:val="20"/>
          <w:szCs w:val="20"/>
          <w:color w:val="auto"/>
        </w:rPr>
      </w:pPr>
    </w:p>
    <w:p>
      <w:pPr>
        <w:jc w:val="both"/>
        <w:ind w:firstLine="634"/>
        <w:spacing w:after="0" w:line="250" w:lineRule="auto"/>
        <w:tabs>
          <w:tab w:leader="none" w:pos="1249" w:val="left"/>
        </w:tabs>
        <w:numPr>
          <w:ilvl w:val="0"/>
          <w:numId w:val="123"/>
        </w:numPr>
        <w:rPr>
          <w:rFonts w:ascii="Arial" w:cs="Arial" w:eastAsia="Arial" w:hAnsi="Arial"/>
          <w:sz w:val="19"/>
          <w:szCs w:val="19"/>
          <w:color w:val="auto"/>
        </w:rPr>
      </w:pPr>
      <w:r>
        <w:rPr>
          <w:rFonts w:ascii="Arial" w:cs="Arial" w:eastAsia="Arial" w:hAnsi="Arial"/>
          <w:sz w:val="19"/>
          <w:szCs w:val="19"/>
          <w:color w:val="auto"/>
        </w:rPr>
        <w:t>The Administrative Agent shall determine the Dollar Equivalent amounts of Credit Extensions and Outstanding Amounts denominated in Canadian Dollars and Australian Dollars. Such Dollar Equivalent shall become effective as of such Revaluation Date and shall be the Dollar Equivalent of such amounts until the next Revaluation Date to occur. Except for purposes of financial statements delivered by Loan Parties hereunder or calculating the financial covenant hereunder or except as otherwise provided herein, the applicable amount of any currency (other than Dollars) for purposes of the Loan Documents shall be such Dollar Equivalent amount as so determined by the Administrative Agent or the Letter of Credit Issuer, as applicable.</w:t>
      </w:r>
    </w:p>
    <w:p>
      <w:pPr>
        <w:spacing w:after="0" w:line="181" w:lineRule="exact"/>
        <w:rPr>
          <w:rFonts w:ascii="Arial" w:cs="Arial" w:eastAsia="Arial" w:hAnsi="Arial"/>
          <w:sz w:val="19"/>
          <w:szCs w:val="19"/>
          <w:color w:val="auto"/>
        </w:rPr>
      </w:pPr>
    </w:p>
    <w:p>
      <w:pPr>
        <w:jc w:val="both"/>
        <w:ind w:firstLine="634"/>
        <w:spacing w:after="0" w:line="273" w:lineRule="auto"/>
        <w:tabs>
          <w:tab w:leader="none" w:pos="1247" w:val="left"/>
        </w:tabs>
        <w:numPr>
          <w:ilvl w:val="0"/>
          <w:numId w:val="123"/>
        </w:numPr>
        <w:rPr>
          <w:rFonts w:ascii="Arial" w:cs="Arial" w:eastAsia="Arial" w:hAnsi="Arial"/>
          <w:sz w:val="18"/>
          <w:szCs w:val="18"/>
          <w:color w:val="auto"/>
        </w:rPr>
      </w:pPr>
      <w:r>
        <w:rPr>
          <w:rFonts w:ascii="Arial" w:cs="Arial" w:eastAsia="Arial" w:hAnsi="Arial"/>
          <w:sz w:val="18"/>
          <w:szCs w:val="18"/>
          <w:color w:val="auto"/>
        </w:rPr>
        <w:t>Wherever in this Agreement in connection with a Borrowing, conversion, continuation or prepayment of a Eurocurrency Rate Loan, an amount, such as a required minimum or multiple amount, is expressed in Dollars, but such Borrowing or Eurocurrency Rate Loan is denominated in Canadian Dollars, such amount shall be the relevant Canadian Dollar equivalent of such Dollar amount (rounded to the nearest unit of Canadian Dollars, with 0.5 of a unit being rounded upward), as determined by the Administrative Agent.</w:t>
      </w:r>
    </w:p>
    <w:p>
      <w:pPr>
        <w:spacing w:after="0" w:line="159" w:lineRule="exact"/>
        <w:rPr>
          <w:rFonts w:ascii="Arial" w:cs="Arial" w:eastAsia="Arial" w:hAnsi="Arial"/>
          <w:sz w:val="18"/>
          <w:szCs w:val="18"/>
          <w:color w:val="auto"/>
        </w:rPr>
      </w:pPr>
    </w:p>
    <w:p>
      <w:pPr>
        <w:jc w:val="both"/>
        <w:ind w:firstLine="634"/>
        <w:spacing w:after="0" w:line="254" w:lineRule="auto"/>
        <w:tabs>
          <w:tab w:leader="none" w:pos="1249" w:val="left"/>
        </w:tabs>
        <w:numPr>
          <w:ilvl w:val="0"/>
          <w:numId w:val="123"/>
        </w:numPr>
        <w:rPr>
          <w:rFonts w:ascii="Arial" w:cs="Arial" w:eastAsia="Arial" w:hAnsi="Arial"/>
          <w:sz w:val="19"/>
          <w:szCs w:val="19"/>
          <w:color w:val="auto"/>
        </w:rPr>
      </w:pPr>
      <w:r>
        <w:rPr>
          <w:rFonts w:ascii="Arial" w:cs="Arial" w:eastAsia="Arial" w:hAnsi="Arial"/>
          <w:sz w:val="19"/>
          <w:szCs w:val="19"/>
          <w:color w:val="auto"/>
        </w:rPr>
        <w:t xml:space="preserve">The Administrative Agent does not warrant, nor accept responsibility, nor shall the Administrative Agent have any liability with respect to the administration, submission or any other matter related to the rates in the definition of “Eurodollar Rate” or with respect to any rate that is an alternative or replacement for or successor to any of such rates (including, without limitation, any successor rate determined pursuant to </w:t>
      </w:r>
      <w:r>
        <w:rPr>
          <w:rFonts w:ascii="Arial" w:cs="Arial" w:eastAsia="Arial" w:hAnsi="Arial"/>
          <w:sz w:val="19"/>
          <w:szCs w:val="19"/>
          <w:u w:val="single" w:color="auto"/>
          <w:color w:val="auto"/>
        </w:rPr>
        <w:t>Section 3.03</w:t>
      </w:r>
      <w:r>
        <w:rPr>
          <w:rFonts w:ascii="Arial" w:cs="Arial" w:eastAsia="Arial" w:hAnsi="Arial"/>
          <w:sz w:val="19"/>
          <w:szCs w:val="19"/>
          <w:color w:val="auto"/>
        </w:rPr>
        <w:t xml:space="preserve">) or the effect of any of the foregoing, or of any changes </w:t>
      </w:r>
      <w:r>
        <w:rPr>
          <w:rFonts w:ascii="Arial" w:cs="Arial" w:eastAsia="Arial" w:hAnsi="Arial"/>
          <w:sz w:val="19"/>
          <w:szCs w:val="19"/>
          <w:u w:val="single" w:color="auto"/>
          <w:color w:val="auto"/>
        </w:rPr>
        <w:t>pursuant to Section 3.03</w:t>
      </w:r>
      <w:r>
        <w:rPr>
          <w:rFonts w:ascii="Arial" w:cs="Arial" w:eastAsia="Arial" w:hAnsi="Arial"/>
          <w:sz w:val="19"/>
          <w:szCs w:val="19"/>
          <w:color w:val="auto"/>
        </w:rPr>
        <w:t>.</w:t>
      </w:r>
    </w:p>
    <w:p>
      <w:pPr>
        <w:spacing w:after="0" w:line="176" w:lineRule="exact"/>
        <w:rPr>
          <w:rFonts w:ascii="Arial" w:cs="Arial" w:eastAsia="Arial" w:hAnsi="Arial"/>
          <w:sz w:val="19"/>
          <w:szCs w:val="19"/>
          <w:color w:val="auto"/>
        </w:rPr>
      </w:pPr>
    </w:p>
    <w:p>
      <w:pPr>
        <w:jc w:val="both"/>
        <w:ind w:firstLine="634"/>
        <w:spacing w:after="0" w:line="259" w:lineRule="auto"/>
        <w:tabs>
          <w:tab w:leader="none" w:pos="1247" w:val="left"/>
        </w:tabs>
        <w:numPr>
          <w:ilvl w:val="0"/>
          <w:numId w:val="123"/>
        </w:numPr>
        <w:rPr>
          <w:rFonts w:ascii="Arial" w:cs="Arial" w:eastAsia="Arial" w:hAnsi="Arial"/>
          <w:sz w:val="19"/>
          <w:szCs w:val="19"/>
          <w:color w:val="auto"/>
        </w:rPr>
      </w:pPr>
      <w:r>
        <w:rPr>
          <w:rFonts w:ascii="Arial" w:cs="Arial" w:eastAsia="Arial" w:hAnsi="Arial"/>
          <w:sz w:val="19"/>
          <w:szCs w:val="19"/>
          <w:color w:val="auto"/>
        </w:rPr>
        <w:t xml:space="preserve">Except as the context may require otherwise, each reference to a Dollar amount used in respect of </w:t>
      </w:r>
      <w:r>
        <w:rPr>
          <w:rFonts w:ascii="Arial" w:cs="Arial" w:eastAsia="Arial" w:hAnsi="Arial"/>
          <w:sz w:val="19"/>
          <w:szCs w:val="19"/>
          <w:u w:val="single" w:color="auto"/>
          <w:color w:val="auto"/>
        </w:rPr>
        <w:t>Articles VI</w:t>
      </w:r>
      <w:r>
        <w:rPr>
          <w:rFonts w:ascii="Arial" w:cs="Arial" w:eastAsia="Arial" w:hAnsi="Arial"/>
          <w:sz w:val="19"/>
          <w:szCs w:val="19"/>
          <w:color w:val="auto"/>
        </w:rPr>
        <w:t xml:space="preserve">, </w:t>
      </w:r>
      <w:r>
        <w:rPr>
          <w:rFonts w:ascii="Arial" w:cs="Arial" w:eastAsia="Arial" w:hAnsi="Arial"/>
          <w:sz w:val="19"/>
          <w:szCs w:val="19"/>
          <w:u w:val="single" w:color="auto"/>
          <w:color w:val="auto"/>
        </w:rPr>
        <w:t>VII</w:t>
      </w:r>
      <w:r>
        <w:rPr>
          <w:rFonts w:ascii="Arial" w:cs="Arial" w:eastAsia="Arial" w:hAnsi="Arial"/>
          <w:sz w:val="19"/>
          <w:szCs w:val="19"/>
          <w:color w:val="auto"/>
        </w:rPr>
        <w:t xml:space="preserve">, </w:t>
      </w:r>
      <w:r>
        <w:rPr>
          <w:rFonts w:ascii="Arial" w:cs="Arial" w:eastAsia="Arial" w:hAnsi="Arial"/>
          <w:sz w:val="19"/>
          <w:szCs w:val="19"/>
          <w:u w:val="single" w:color="auto"/>
          <w:color w:val="auto"/>
        </w:rPr>
        <w:t>VIII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IX</w:t>
      </w:r>
      <w:r>
        <w:rPr>
          <w:rFonts w:ascii="Arial" w:cs="Arial" w:eastAsia="Arial" w:hAnsi="Arial"/>
          <w:sz w:val="19"/>
          <w:szCs w:val="19"/>
          <w:color w:val="auto"/>
        </w:rPr>
        <w:t xml:space="preserve"> (or the applicable definitions or cross-referenced sections used therein) shall be deemed a reference to the Dollar Equivalent of such Dollar amount.</w:t>
      </w:r>
    </w:p>
    <w:p>
      <w:pPr>
        <w:spacing w:after="0" w:line="171" w:lineRule="exact"/>
        <w:rPr>
          <w:rFonts w:ascii="Arial" w:cs="Arial" w:eastAsia="Arial" w:hAnsi="Arial"/>
          <w:sz w:val="19"/>
          <w:szCs w:val="19"/>
          <w:color w:val="auto"/>
        </w:rPr>
      </w:pPr>
    </w:p>
    <w:p>
      <w:pPr>
        <w:jc w:val="both"/>
        <w:ind w:firstLine="634"/>
        <w:spacing w:after="0" w:line="259" w:lineRule="auto"/>
        <w:tabs>
          <w:tab w:leader="none" w:pos="1249" w:val="left"/>
        </w:tabs>
        <w:numPr>
          <w:ilvl w:val="0"/>
          <w:numId w:val="123"/>
        </w:numPr>
        <w:rPr>
          <w:rFonts w:ascii="Arial" w:cs="Arial" w:eastAsia="Arial" w:hAnsi="Arial"/>
          <w:sz w:val="19"/>
          <w:szCs w:val="19"/>
          <w:color w:val="auto"/>
        </w:rPr>
      </w:pPr>
      <w:r>
        <w:rPr>
          <w:rFonts w:ascii="Arial" w:cs="Arial" w:eastAsia="Arial" w:hAnsi="Arial"/>
          <w:sz w:val="19"/>
          <w:szCs w:val="19"/>
          <w:color w:val="auto"/>
        </w:rPr>
        <w:t>All amounts from time to time payable hereunder by a Loan Party shall be payable in Dollars, unless the Borrowing or the Letter of Credit was denominated in Canadian Dollars, in which case such Borrowing or the related Letter of Credit Obligations (along with all interest and fees accruing thereon or a part thereof) shall be payable in Canadian Dollars.</w:t>
      </w:r>
    </w:p>
    <w:p>
      <w:pPr>
        <w:spacing w:after="0" w:line="165" w:lineRule="exact"/>
        <w:rPr>
          <w:sz w:val="20"/>
          <w:szCs w:val="20"/>
          <w:color w:val="auto"/>
        </w:rPr>
      </w:pPr>
    </w:p>
    <w:p>
      <w:pPr>
        <w:jc w:val="both"/>
        <w:ind w:firstLine="629"/>
        <w:spacing w:after="0" w:line="253" w:lineRule="auto"/>
        <w:rPr>
          <w:sz w:val="20"/>
          <w:szCs w:val="20"/>
          <w:color w:val="auto"/>
        </w:rPr>
      </w:pPr>
      <w:r>
        <w:rPr>
          <w:rFonts w:ascii="Arial" w:cs="Arial" w:eastAsia="Arial" w:hAnsi="Arial"/>
          <w:sz w:val="19"/>
          <w:szCs w:val="19"/>
          <w:b w:val="1"/>
          <w:bCs w:val="1"/>
          <w:color w:val="auto"/>
        </w:rPr>
        <w:t xml:space="preserve">1.9 </w:t>
      </w:r>
      <w:r>
        <w:rPr>
          <w:rFonts w:ascii="Arial" w:cs="Arial" w:eastAsia="Arial" w:hAnsi="Arial"/>
          <w:sz w:val="19"/>
          <w:szCs w:val="19"/>
          <w:b w:val="1"/>
          <w:bCs w:val="1"/>
          <w:u w:val="single" w:color="auto"/>
          <w:color w:val="auto"/>
        </w:rPr>
        <w:t>Québec References</w:t>
      </w:r>
      <w:r>
        <w:rPr>
          <w:rFonts w:ascii="Arial" w:cs="Arial" w:eastAsia="Arial" w:hAnsi="Arial"/>
          <w:sz w:val="19"/>
          <w:szCs w:val="19"/>
          <w:color w:val="auto"/>
        </w:rPr>
        <w:t>. For purposes of any Collateral located in the Province of Québec or charged by any Deed of Hypothec (or</w:t>
      </w:r>
      <w:r>
        <w:rPr>
          <w:rFonts w:ascii="Arial" w:cs="Arial" w:eastAsia="Arial" w:hAnsi="Arial"/>
          <w:sz w:val="19"/>
          <w:szCs w:val="19"/>
          <w:b w:val="1"/>
          <w:bCs w:val="1"/>
          <w:color w:val="auto"/>
        </w:rPr>
        <w:t xml:space="preserve"> </w:t>
      </w:r>
      <w:r>
        <w:rPr>
          <w:rFonts w:ascii="Arial" w:cs="Arial" w:eastAsia="Arial" w:hAnsi="Arial"/>
          <w:sz w:val="19"/>
          <w:szCs w:val="19"/>
          <w:color w:val="auto"/>
        </w:rPr>
        <w:t>any other Loan Document) and for all other purposes pursuant to which the interpretation or construction of a Loan Document may be subject to the laws of the Province of Québec or a court or tribunal exercising jurisdiction in the Province of Québec, (a) “personal property” shall be deemed to include “movable property,” (b) “real property” shall be deemed to include “immovable property” and an “easement” shall be deemed to include a “servitude,” (c) “tangible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65</w:t>
      </w:r>
    </w:p>
    <w:p>
      <w:pPr>
        <w:sectPr>
          <w:pgSz w:w="11900" w:h="16838" w:orient="portrait"/>
          <w:cols w:equalWidth="0" w:num="1">
            <w:col w:w="11240"/>
          </w:cols>
          <w:pgMar w:left="320" w:top="1376" w:right="339" w:bottom="1440" w:gutter="0" w:footer="0" w:header="0"/>
        </w:sectPr>
      </w:pPr>
    </w:p>
    <w:bookmarkStart w:id="184" w:name="page185"/>
    <w:bookmarkEnd w:id="184"/>
    <w:p>
      <w:pPr>
        <w:jc w:val="both"/>
        <w:spacing w:after="0" w:line="275" w:lineRule="auto"/>
        <w:rPr>
          <w:sz w:val="20"/>
          <w:szCs w:val="20"/>
          <w:color w:val="auto"/>
        </w:rPr>
      </w:pPr>
      <w:r>
        <w:rPr>
          <w:rFonts w:ascii="Arial" w:cs="Arial" w:eastAsia="Arial" w:hAnsi="Arial"/>
          <w:sz w:val="17"/>
          <w:szCs w:val="17"/>
          <w:color w:val="auto"/>
        </w:rPr>
        <w:t>property” shall be deemed to include “corporeal property,” (d) “intangible property” shall be deemed to include “incorporeal property,” (e) “security interest” “mortgage” and “lien” shall be deemed to include a “hypothec,” “prior claim” and a “resolutory clause”, (f) all references to filing, registering or recording financing statements or other required documents under the Uniform Commercial Code, the PPSA or other applicable law shall be deemed to include publication under the Civil Code of Québec, and all references to releasing or terminating any Lien shall be deemed to include a release, discharge and mainlevee of a hypothec, (g) all references to “perfection” of or “perfected” Liens shall be deemed to include a reference to the “opposability” of such Liens to third parties, (h) any “right of offset,” “right of setoff” or similar expression shall be deemed to include a “right of compensation”, (i) “goods” shall be deemed to include “corporeal movable property” other than chattel paper, documents of title, instruments, money and Securities, (j) an “agent” shall be deemed to include a “mandatary.”, (k) “construction liens” shall be deemed to include “legal hypothecs”, (l) “joint and several” shall be deemed to include “solidary”, (m) “gross negligence or willful misconduct” shall be deemed to be “intentional or gross fault”, (n) “beneficial ownership” shall be deemed to include “ownership on behalf of another as mandatary”, (o) “easement” shall be deemed to include “servitude”, (p) “priority” shall be deemed to include “prior claim”, (q) “survey” shall be deemed to include “certificate of location and plan”, (r) a “land surveyor” shall be deemed to include an “arpenteur-géomètre”;</w:t>
      </w:r>
    </w:p>
    <w:p>
      <w:pPr>
        <w:spacing w:after="0" w:line="3" w:lineRule="exact"/>
        <w:rPr>
          <w:sz w:val="20"/>
          <w:szCs w:val="20"/>
          <w:color w:val="auto"/>
        </w:rPr>
      </w:pPr>
    </w:p>
    <w:p>
      <w:pPr>
        <w:jc w:val="both"/>
        <w:ind w:firstLine="5"/>
        <w:spacing w:after="0" w:line="261" w:lineRule="auto"/>
        <w:tabs>
          <w:tab w:leader="none" w:pos="254" w:val="left"/>
        </w:tabs>
        <w:numPr>
          <w:ilvl w:val="0"/>
          <w:numId w:val="124"/>
        </w:numPr>
        <w:rPr>
          <w:rFonts w:ascii="Arial" w:cs="Arial" w:eastAsia="Arial" w:hAnsi="Arial"/>
          <w:sz w:val="18"/>
          <w:szCs w:val="18"/>
          <w:color w:val="auto"/>
        </w:rPr>
      </w:pPr>
      <w:r>
        <w:rPr>
          <w:rFonts w:ascii="Arial" w:cs="Arial" w:eastAsia="Arial" w:hAnsi="Arial"/>
          <w:sz w:val="18"/>
          <w:szCs w:val="18"/>
          <w:color w:val="auto"/>
        </w:rPr>
        <w:t>“state” shall include “province”, (t) “fee simple title” shall be deemed to include “absolute ownership” and “ownership” (including ownership under a right of superficies), (u) “accounts” shall include “claims”, (v) “legal title” shall include “holding title on behalf of an owner as mandatory or prete-nom”, (w) “ground lease” shall include “emphyteusis” or a “lease with a right of superficies”, as applicable, (x) “lease” shall include a “leasing contract”, and (y) “guarantee” and “guarantor” shall include “suretyship” and “surety”, respectively. The parties hereto confirm that it is their wish that this Agreement and any other document executed in connection with the transactions contemplated herein be drawn up in the English language only (except if another language is required under any applicable law) and that all other documents contemplated thereunder or relating thereto, including notices, may also be drawn up in the English language only. Les parties aux présentes confirment que c’est leur volonté que cette convention et les autres documents de crédit soient rédigés en langue anglaise seulement et que tous les documents, y compris tous avis, envisagés par cette convention et les autres documents peuvent être rédigés en langue anglaise seulement (sauf si une autre langue est requise en vertu d’une loi applicable.</w:t>
      </w:r>
    </w:p>
    <w:p>
      <w:pPr>
        <w:spacing w:after="0" w:line="192" w:lineRule="exact"/>
        <w:rPr>
          <w:sz w:val="20"/>
          <w:szCs w:val="20"/>
          <w:color w:val="auto"/>
        </w:rPr>
      </w:pPr>
    </w:p>
    <w:p>
      <w:pPr>
        <w:ind w:left="5000"/>
        <w:spacing w:after="0"/>
        <w:rPr>
          <w:sz w:val="20"/>
          <w:szCs w:val="20"/>
          <w:color w:val="auto"/>
        </w:rPr>
      </w:pPr>
      <w:r>
        <w:rPr>
          <w:rFonts w:ascii="Arial" w:cs="Arial" w:eastAsia="Arial" w:hAnsi="Arial"/>
          <w:sz w:val="19"/>
          <w:szCs w:val="19"/>
          <w:b w:val="1"/>
          <w:bCs w:val="1"/>
          <w:color w:val="auto"/>
        </w:rPr>
        <w:t>ARTICLE II</w:t>
      </w:r>
    </w:p>
    <w:p>
      <w:pPr>
        <w:spacing w:after="0" w:line="26" w:lineRule="exact"/>
        <w:rPr>
          <w:sz w:val="20"/>
          <w:szCs w:val="20"/>
          <w:color w:val="auto"/>
        </w:rPr>
      </w:pPr>
    </w:p>
    <w:p>
      <w:pPr>
        <w:ind w:left="3480"/>
        <w:spacing w:after="0"/>
        <w:rPr>
          <w:sz w:val="20"/>
          <w:szCs w:val="20"/>
          <w:color w:val="auto"/>
        </w:rPr>
      </w:pPr>
      <w:r>
        <w:rPr>
          <w:rFonts w:ascii="Arial" w:cs="Arial" w:eastAsia="Arial" w:hAnsi="Arial"/>
          <w:sz w:val="19"/>
          <w:szCs w:val="19"/>
          <w:color w:val="auto"/>
        </w:rPr>
        <w:t>THE COMMITMENTS AND CREDIT EXTENSIONS</w:t>
      </w:r>
    </w:p>
    <w:p>
      <w:pPr>
        <w:spacing w:after="0" w:line="192"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9"/>
          <w:szCs w:val="19"/>
          <w:b w:val="1"/>
          <w:bCs w:val="1"/>
          <w:color w:val="auto"/>
        </w:rPr>
        <w:t>2.1</w:t>
      </w:r>
      <w:r>
        <w:rPr>
          <w:sz w:val="20"/>
          <w:szCs w:val="20"/>
          <w:color w:val="auto"/>
        </w:rPr>
        <w:tab/>
      </w:r>
      <w:r>
        <w:rPr>
          <w:rFonts w:ascii="Arial" w:cs="Arial" w:eastAsia="Arial" w:hAnsi="Arial"/>
          <w:sz w:val="17"/>
          <w:szCs w:val="17"/>
          <w:b w:val="1"/>
          <w:bCs w:val="1"/>
          <w:color w:val="auto"/>
        </w:rPr>
        <w:t>Loan Commitments</w:t>
      </w:r>
      <w:r>
        <w:rPr>
          <w:rFonts w:ascii="Arial" w:cs="Arial" w:eastAsia="Arial" w:hAnsi="Arial"/>
          <w:sz w:val="17"/>
          <w:szCs w:val="17"/>
          <w:color w:val="auto"/>
        </w:rPr>
        <w:t>.</w:t>
      </w:r>
    </w:p>
    <w:p>
      <w:pPr>
        <w:spacing w:after="0" w:line="220" w:lineRule="exact"/>
        <w:rPr>
          <w:sz w:val="20"/>
          <w:szCs w:val="20"/>
          <w:color w:val="auto"/>
        </w:rPr>
      </w:pPr>
    </w:p>
    <w:p>
      <w:pPr>
        <w:jc w:val="both"/>
        <w:ind w:firstLine="634"/>
        <w:spacing w:after="0" w:line="283" w:lineRule="auto"/>
        <w:tabs>
          <w:tab w:leader="none" w:pos="1249" w:val="left"/>
        </w:tabs>
        <w:numPr>
          <w:ilvl w:val="0"/>
          <w:numId w:val="125"/>
        </w:numPr>
        <w:rPr>
          <w:rFonts w:ascii="Arial" w:cs="Arial" w:eastAsia="Arial" w:hAnsi="Arial"/>
          <w:sz w:val="17"/>
          <w:szCs w:val="17"/>
          <w:color w:val="auto"/>
        </w:rPr>
      </w:pPr>
      <w:r>
        <w:rPr>
          <w:rFonts w:ascii="Arial" w:cs="Arial" w:eastAsia="Arial" w:hAnsi="Arial"/>
          <w:sz w:val="17"/>
          <w:szCs w:val="17"/>
          <w:u w:val="single" w:color="auto"/>
          <w:color w:val="auto"/>
        </w:rPr>
        <w:t>Revolving Credit Commitments</w:t>
      </w:r>
      <w:r>
        <w:rPr>
          <w:rFonts w:ascii="Arial" w:cs="Arial" w:eastAsia="Arial" w:hAnsi="Arial"/>
          <w:sz w:val="17"/>
          <w:szCs w:val="17"/>
          <w:color w:val="auto"/>
        </w:rPr>
        <w:t>. Subject to the terms and conditions set forth herein, each Lender severally agrees to make loans (each such loan, a “</w:t>
      </w:r>
      <w:r>
        <w:rPr>
          <w:rFonts w:ascii="Arial" w:cs="Arial" w:eastAsia="Arial" w:hAnsi="Arial"/>
          <w:sz w:val="17"/>
          <w:szCs w:val="17"/>
          <w:u w:val="single" w:color="auto"/>
          <w:color w:val="auto"/>
        </w:rPr>
        <w:t>Revolving Credit Loan</w:t>
      </w:r>
      <w:r>
        <w:rPr>
          <w:rFonts w:ascii="Arial" w:cs="Arial" w:eastAsia="Arial" w:hAnsi="Arial"/>
          <w:sz w:val="17"/>
          <w:szCs w:val="17"/>
          <w:color w:val="auto"/>
        </w:rPr>
        <w:t xml:space="preserve">”) to the Borrowers, in Dollars or Canadian Dollars, from time to time during the Availability Period, in an aggregate amount not to exceed at any time outstanding the lesser of (i) the amount of such Lender’s Revolving Credit Commitment, or (ii) such Lender’s Applicable Revolving Credit Percentage of the Borrowing Base;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immediately after giving effect to any Revolving Credit Borrowing, (A) the Dollar Equivalent of the Total Revolving Credit Outstandings shall not exceed the Dollar Equivalent of the Maximum Borrowing Amount, (B) the Revolving Credit Exposure of each Lender shall not exceed such Lender’s Revolving Credit Commitment and (C) the Total Revolving Credit Outstandings of all Loans denominated in Canadian Dollars shall not exceed the Canadian Dollar Sublimit.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66</w:t>
      </w:r>
    </w:p>
    <w:p>
      <w:pPr>
        <w:sectPr>
          <w:pgSz w:w="11900" w:h="16838" w:orient="portrait"/>
          <w:cols w:equalWidth="0" w:num="1">
            <w:col w:w="11240"/>
          </w:cols>
          <w:pgMar w:left="320" w:top="1382" w:right="339" w:bottom="1440" w:gutter="0" w:footer="0" w:header="0"/>
        </w:sectPr>
      </w:pPr>
    </w:p>
    <w:bookmarkStart w:id="185" w:name="page186"/>
    <w:bookmarkEnd w:id="185"/>
    <w:p>
      <w:pPr>
        <w:spacing w:after="0" w:line="274" w:lineRule="auto"/>
        <w:rPr>
          <w:sz w:val="20"/>
          <w:szCs w:val="20"/>
          <w:color w:val="auto"/>
        </w:rPr>
      </w:pPr>
      <w:r>
        <w:rPr>
          <w:rFonts w:ascii="Arial" w:cs="Arial" w:eastAsia="Arial" w:hAnsi="Arial"/>
          <w:sz w:val="19"/>
          <w:szCs w:val="19"/>
          <w:color w:val="auto"/>
        </w:rPr>
        <w:t xml:space="preserve">Within such limits and subject to the other terms and conditions hereof, the Borrowers may borrow under this </w:t>
      </w:r>
      <w:r>
        <w:rPr>
          <w:rFonts w:ascii="Arial" w:cs="Arial" w:eastAsia="Arial" w:hAnsi="Arial"/>
          <w:sz w:val="19"/>
          <w:szCs w:val="19"/>
          <w:u w:val="single" w:color="auto"/>
          <w:color w:val="auto"/>
        </w:rPr>
        <w:t>Section 2.01(a)</w:t>
      </w:r>
      <w:r>
        <w:rPr>
          <w:rFonts w:ascii="Arial" w:cs="Arial" w:eastAsia="Arial" w:hAnsi="Arial"/>
          <w:sz w:val="19"/>
          <w:szCs w:val="19"/>
          <w:color w:val="auto"/>
        </w:rPr>
        <w:t xml:space="preserve">, prepay under </w:t>
      </w:r>
      <w:r>
        <w:rPr>
          <w:rFonts w:ascii="Arial" w:cs="Arial" w:eastAsia="Arial" w:hAnsi="Arial"/>
          <w:sz w:val="19"/>
          <w:szCs w:val="19"/>
          <w:u w:val="single" w:color="auto"/>
          <w:color w:val="auto"/>
        </w:rPr>
        <w:t>Section 2.06(a)</w:t>
      </w:r>
      <w:r>
        <w:rPr>
          <w:rFonts w:ascii="Arial" w:cs="Arial" w:eastAsia="Arial" w:hAnsi="Arial"/>
          <w:sz w:val="19"/>
          <w:szCs w:val="19"/>
          <w:color w:val="auto"/>
        </w:rPr>
        <w:t xml:space="preserve">, and reborrow under this </w:t>
      </w:r>
      <w:r>
        <w:rPr>
          <w:rFonts w:ascii="Arial" w:cs="Arial" w:eastAsia="Arial" w:hAnsi="Arial"/>
          <w:sz w:val="19"/>
          <w:szCs w:val="19"/>
          <w:u w:val="single" w:color="auto"/>
          <w:color w:val="auto"/>
        </w:rPr>
        <w:t>Section 2.01(a)</w:t>
      </w:r>
      <w:r>
        <w:rPr>
          <w:rFonts w:ascii="Arial" w:cs="Arial" w:eastAsia="Arial" w:hAnsi="Arial"/>
          <w:sz w:val="19"/>
          <w:szCs w:val="19"/>
          <w:color w:val="auto"/>
        </w:rPr>
        <w:t>.</w:t>
      </w:r>
    </w:p>
    <w:p>
      <w:pPr>
        <w:spacing w:after="0" w:line="157" w:lineRule="exact"/>
        <w:rPr>
          <w:sz w:val="20"/>
          <w:szCs w:val="20"/>
          <w:color w:val="auto"/>
        </w:rPr>
      </w:pPr>
    </w:p>
    <w:p>
      <w:pPr>
        <w:ind w:left="1260" w:hanging="626"/>
        <w:spacing w:after="0"/>
        <w:tabs>
          <w:tab w:leader="none" w:pos="1260" w:val="left"/>
        </w:tabs>
        <w:numPr>
          <w:ilvl w:val="0"/>
          <w:numId w:val="126"/>
        </w:numPr>
        <w:rPr>
          <w:rFonts w:ascii="Arial" w:cs="Arial" w:eastAsia="Arial" w:hAnsi="Arial"/>
          <w:sz w:val="19"/>
          <w:szCs w:val="19"/>
          <w:color w:val="auto"/>
        </w:rPr>
      </w:pPr>
      <w:r>
        <w:rPr>
          <w:rFonts w:ascii="Arial" w:cs="Arial" w:eastAsia="Arial" w:hAnsi="Arial"/>
          <w:sz w:val="19"/>
          <w:szCs w:val="19"/>
          <w:u w:val="single" w:color="auto"/>
          <w:color w:val="auto"/>
        </w:rPr>
        <w:t>[Reserved]</w:t>
      </w:r>
      <w:r>
        <w:rPr>
          <w:rFonts w:ascii="Arial" w:cs="Arial" w:eastAsia="Arial" w:hAnsi="Arial"/>
          <w:sz w:val="19"/>
          <w:szCs w:val="19"/>
          <w:color w:val="auto"/>
        </w:rPr>
        <w:t>.</w:t>
      </w:r>
    </w:p>
    <w:p>
      <w:pPr>
        <w:spacing w:after="0" w:line="214" w:lineRule="exact"/>
        <w:rPr>
          <w:rFonts w:ascii="Arial" w:cs="Arial" w:eastAsia="Arial" w:hAnsi="Arial"/>
          <w:sz w:val="19"/>
          <w:szCs w:val="19"/>
          <w:color w:val="auto"/>
        </w:rPr>
      </w:pPr>
    </w:p>
    <w:p>
      <w:pPr>
        <w:ind w:left="1260" w:hanging="626"/>
        <w:spacing w:after="0"/>
        <w:tabs>
          <w:tab w:leader="none" w:pos="1260" w:val="left"/>
        </w:tabs>
        <w:numPr>
          <w:ilvl w:val="0"/>
          <w:numId w:val="126"/>
        </w:numPr>
        <w:rPr>
          <w:rFonts w:ascii="Arial" w:cs="Arial" w:eastAsia="Arial" w:hAnsi="Arial"/>
          <w:sz w:val="19"/>
          <w:szCs w:val="19"/>
          <w:color w:val="auto"/>
        </w:rPr>
      </w:pPr>
      <w:r>
        <w:rPr>
          <w:rFonts w:ascii="Arial" w:cs="Arial" w:eastAsia="Arial" w:hAnsi="Arial"/>
          <w:sz w:val="19"/>
          <w:szCs w:val="19"/>
          <w:u w:val="single" w:color="auto"/>
          <w:color w:val="auto"/>
        </w:rPr>
        <w:t>Overadvances and Protective Advances</w:t>
      </w:r>
      <w:r>
        <w:rPr>
          <w:rFonts w:ascii="Arial" w:cs="Arial" w:eastAsia="Arial" w:hAnsi="Arial"/>
          <w:sz w:val="19"/>
          <w:szCs w:val="19"/>
          <w:color w:val="auto"/>
        </w:rPr>
        <w:t>.</w:t>
      </w:r>
    </w:p>
    <w:p>
      <w:pPr>
        <w:spacing w:after="0" w:line="214" w:lineRule="exact"/>
        <w:rPr>
          <w:rFonts w:ascii="Arial" w:cs="Arial" w:eastAsia="Arial" w:hAnsi="Arial"/>
          <w:sz w:val="19"/>
          <w:szCs w:val="19"/>
          <w:color w:val="auto"/>
        </w:rPr>
      </w:pPr>
    </w:p>
    <w:p>
      <w:pPr>
        <w:ind w:left="1900" w:hanging="636"/>
        <w:spacing w:after="0"/>
        <w:tabs>
          <w:tab w:leader="none" w:pos="1900" w:val="left"/>
        </w:tabs>
        <w:numPr>
          <w:ilvl w:val="1"/>
          <w:numId w:val="126"/>
        </w:numPr>
        <w:rPr>
          <w:rFonts w:ascii="Arial" w:cs="Arial" w:eastAsia="Arial" w:hAnsi="Arial"/>
          <w:sz w:val="19"/>
          <w:szCs w:val="19"/>
          <w:color w:val="auto"/>
        </w:rPr>
      </w:pPr>
      <w:r>
        <w:rPr>
          <w:rFonts w:ascii="Arial" w:cs="Arial" w:eastAsia="Arial" w:hAnsi="Arial"/>
          <w:sz w:val="19"/>
          <w:szCs w:val="19"/>
          <w:u w:val="single" w:color="auto"/>
          <w:color w:val="auto"/>
        </w:rPr>
        <w:t>Overadvances</w:t>
      </w:r>
      <w:r>
        <w:rPr>
          <w:rFonts w:ascii="Arial" w:cs="Arial" w:eastAsia="Arial" w:hAnsi="Arial"/>
          <w:sz w:val="19"/>
          <w:szCs w:val="19"/>
          <w:color w:val="auto"/>
        </w:rPr>
        <w:t>.</w:t>
      </w:r>
    </w:p>
    <w:p>
      <w:pPr>
        <w:spacing w:after="0" w:line="214" w:lineRule="exact"/>
        <w:rPr>
          <w:rFonts w:ascii="Arial" w:cs="Arial" w:eastAsia="Arial" w:hAnsi="Arial"/>
          <w:sz w:val="19"/>
          <w:szCs w:val="19"/>
          <w:color w:val="auto"/>
        </w:rPr>
      </w:pPr>
    </w:p>
    <w:p>
      <w:pPr>
        <w:jc w:val="both"/>
        <w:ind w:left="1260" w:firstLine="633"/>
        <w:spacing w:after="0" w:line="252" w:lineRule="auto"/>
        <w:tabs>
          <w:tab w:leader="none" w:pos="2510" w:val="left"/>
        </w:tabs>
        <w:numPr>
          <w:ilvl w:val="2"/>
          <w:numId w:val="126"/>
        </w:numPr>
        <w:rPr>
          <w:rFonts w:ascii="Arial" w:cs="Arial" w:eastAsia="Arial" w:hAnsi="Arial"/>
          <w:sz w:val="19"/>
          <w:szCs w:val="19"/>
          <w:color w:val="auto"/>
        </w:rPr>
      </w:pPr>
      <w:r>
        <w:rPr>
          <w:rFonts w:ascii="Arial" w:cs="Arial" w:eastAsia="Arial" w:hAnsi="Arial"/>
          <w:sz w:val="19"/>
          <w:szCs w:val="19"/>
          <w:color w:val="auto"/>
        </w:rPr>
        <w:t>If at any time the aggregate principal balance of all Loans exceeds the Maximum Borrowing Amount (an “</w:t>
      </w:r>
      <w:r>
        <w:rPr>
          <w:rFonts w:ascii="Arial" w:cs="Arial" w:eastAsia="Arial" w:hAnsi="Arial"/>
          <w:sz w:val="19"/>
          <w:szCs w:val="19"/>
          <w:u w:val="single" w:color="auto"/>
          <w:color w:val="auto"/>
        </w:rPr>
        <w:t>Overadvance</w:t>
      </w:r>
      <w:r>
        <w:rPr>
          <w:rFonts w:ascii="Arial" w:cs="Arial" w:eastAsia="Arial" w:hAnsi="Arial"/>
          <w:sz w:val="19"/>
          <w:szCs w:val="19"/>
          <w:color w:val="auto"/>
        </w:rPr>
        <w:t>”), the excess amount shall be payable by the Borrowers within one (1) Business Day of the earlier of (x) the Administrative Agent’s demand (which may be by e-mail) and (ii) any Responsible Officer of any Loan Party becoming aware of such Overadvance. All Overadvance Loans shall constitute Obligations secured by the Collateral and shall be entitled to all benefits of the Loan Documents.</w:t>
      </w:r>
    </w:p>
    <w:p>
      <w:pPr>
        <w:spacing w:after="0" w:line="177" w:lineRule="exact"/>
        <w:rPr>
          <w:rFonts w:ascii="Arial" w:cs="Arial" w:eastAsia="Arial" w:hAnsi="Arial"/>
          <w:sz w:val="19"/>
          <w:szCs w:val="19"/>
          <w:color w:val="auto"/>
        </w:rPr>
      </w:pPr>
    </w:p>
    <w:p>
      <w:pPr>
        <w:jc w:val="both"/>
        <w:ind w:left="1260" w:firstLine="633"/>
        <w:spacing w:after="0" w:line="279" w:lineRule="auto"/>
        <w:tabs>
          <w:tab w:leader="none" w:pos="2513" w:val="left"/>
        </w:tabs>
        <w:numPr>
          <w:ilvl w:val="2"/>
          <w:numId w:val="126"/>
        </w:numPr>
        <w:rPr>
          <w:rFonts w:ascii="Arial" w:cs="Arial" w:eastAsia="Arial" w:hAnsi="Arial"/>
          <w:sz w:val="17"/>
          <w:szCs w:val="17"/>
          <w:color w:val="auto"/>
        </w:rPr>
      </w:pPr>
      <w:r>
        <w:rPr>
          <w:rFonts w:ascii="Arial" w:cs="Arial" w:eastAsia="Arial" w:hAnsi="Arial"/>
          <w:sz w:val="17"/>
          <w:szCs w:val="17"/>
          <w:color w:val="auto"/>
        </w:rPr>
        <w:t xml:space="preserve">The Administrative Agent may, in its sole discretion (but shall have absolutely no obligation to), require Lenders to honor requests for Overadvance Loans and to forbear from requiring the applicable Borrower(s) to cure an Overadvance, as long as (a) such Overadvance does not continue for more than thirty (30) consecutive days and (b) the aggregate amount of the Overadvances existing at any time, together with the Protective Advances outstanding at any time, do not exceed 10.0% of the Revolving Credit Commitments then in effect. Overadvance Loans may be required even if the conditions set forth in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5.02</w:t>
      </w:r>
      <w:r>
        <w:rPr>
          <w:rFonts w:ascii="Arial" w:cs="Arial" w:eastAsia="Arial" w:hAnsi="Arial"/>
          <w:sz w:val="17"/>
          <w:szCs w:val="17"/>
          <w:color w:val="auto"/>
        </w:rPr>
        <w:t xml:space="preserve"> have not been satisfied. In no event shall Overadvance Loans be required that would cause the Total Revolving Credit Outstandings to exceed the Aggregate Revolving Credit Commitments. Required Lenders may at any time prospectively revoke the Administrative Agent’s authority to make further Overadvance Loans to any or all Borrowers by written notice delivered to the Administrative Agent. Any funding of an Overadvance Loan or sufferance of an Overadvance shall not constitute a waiver by the Administrative Agent or Lenders of the Event of Default caused thereby. In no event shall any Borrower or other Loan Party be deemed a beneficiary of this </w:t>
      </w:r>
      <w:r>
        <w:rPr>
          <w:rFonts w:ascii="Arial" w:cs="Arial" w:eastAsia="Arial" w:hAnsi="Arial"/>
          <w:sz w:val="17"/>
          <w:szCs w:val="17"/>
          <w:u w:val="single" w:color="auto"/>
          <w:color w:val="auto"/>
        </w:rPr>
        <w:t>Section 2.01(c)</w:t>
      </w:r>
      <w:r>
        <w:rPr>
          <w:rFonts w:ascii="Arial" w:cs="Arial" w:eastAsia="Arial" w:hAnsi="Arial"/>
          <w:sz w:val="17"/>
          <w:szCs w:val="17"/>
          <w:color w:val="auto"/>
        </w:rPr>
        <w:t xml:space="preserve"> nor authorized to enforce any of its terms.</w:t>
      </w:r>
    </w:p>
    <w:p>
      <w:pPr>
        <w:spacing w:after="0" w:line="162" w:lineRule="exact"/>
        <w:rPr>
          <w:rFonts w:ascii="Arial" w:cs="Arial" w:eastAsia="Arial" w:hAnsi="Arial"/>
          <w:sz w:val="17"/>
          <w:szCs w:val="17"/>
          <w:color w:val="auto"/>
        </w:rPr>
      </w:pPr>
    </w:p>
    <w:p>
      <w:pPr>
        <w:ind w:left="1900" w:hanging="636"/>
        <w:spacing w:after="0"/>
        <w:tabs>
          <w:tab w:leader="none" w:pos="1900" w:val="left"/>
        </w:tabs>
        <w:numPr>
          <w:ilvl w:val="1"/>
          <w:numId w:val="126"/>
        </w:numPr>
        <w:rPr>
          <w:rFonts w:ascii="Arial" w:cs="Arial" w:eastAsia="Arial" w:hAnsi="Arial"/>
          <w:sz w:val="19"/>
          <w:szCs w:val="19"/>
          <w:color w:val="auto"/>
        </w:rPr>
      </w:pPr>
      <w:r>
        <w:rPr>
          <w:rFonts w:ascii="Arial" w:cs="Arial" w:eastAsia="Arial" w:hAnsi="Arial"/>
          <w:sz w:val="19"/>
          <w:szCs w:val="19"/>
          <w:u w:val="single" w:color="auto"/>
          <w:color w:val="auto"/>
        </w:rPr>
        <w:t>Protective Advances</w:t>
      </w:r>
      <w:r>
        <w:rPr>
          <w:rFonts w:ascii="Arial" w:cs="Arial" w:eastAsia="Arial" w:hAnsi="Arial"/>
          <w:sz w:val="19"/>
          <w:szCs w:val="19"/>
          <w:color w:val="auto"/>
        </w:rPr>
        <w:t>.</w:t>
      </w:r>
    </w:p>
    <w:p>
      <w:pPr>
        <w:spacing w:after="0" w:line="214" w:lineRule="exact"/>
        <w:rPr>
          <w:rFonts w:ascii="Arial" w:cs="Arial" w:eastAsia="Arial" w:hAnsi="Arial"/>
          <w:sz w:val="19"/>
          <w:szCs w:val="19"/>
          <w:color w:val="auto"/>
        </w:rPr>
      </w:pPr>
    </w:p>
    <w:p>
      <w:pPr>
        <w:jc w:val="both"/>
        <w:ind w:left="1260" w:firstLine="633"/>
        <w:spacing w:after="0" w:line="264" w:lineRule="auto"/>
        <w:tabs>
          <w:tab w:leader="none" w:pos="2510" w:val="left"/>
        </w:tabs>
        <w:numPr>
          <w:ilvl w:val="2"/>
          <w:numId w:val="126"/>
        </w:numPr>
        <w:rPr>
          <w:rFonts w:ascii="Arial" w:cs="Arial" w:eastAsia="Arial" w:hAnsi="Arial"/>
          <w:sz w:val="18"/>
          <w:szCs w:val="18"/>
          <w:color w:val="auto"/>
        </w:rPr>
      </w:pPr>
      <w:r>
        <w:rPr>
          <w:rFonts w:ascii="Arial" w:cs="Arial" w:eastAsia="Arial" w:hAnsi="Arial"/>
          <w:sz w:val="18"/>
          <w:szCs w:val="18"/>
          <w:color w:val="auto"/>
        </w:rPr>
        <w:t>The Administrative Agent shall be authorized by each Borrower and the Lenders from time to time in the Administrative Agent’s sole discretion (but shall have absolutely no obligation to), to make Base Rate Loans to the Borrowers on behalf of the Lenders (any of such Loans are herein referred to as “</w:t>
      </w:r>
      <w:r>
        <w:rPr>
          <w:rFonts w:ascii="Arial" w:cs="Arial" w:eastAsia="Arial" w:hAnsi="Arial"/>
          <w:sz w:val="18"/>
          <w:szCs w:val="18"/>
          <w:u w:val="single" w:color="auto"/>
          <w:color w:val="auto"/>
        </w:rPr>
        <w:t>Protective Advances</w:t>
      </w:r>
      <w:r>
        <w:rPr>
          <w:rFonts w:ascii="Arial" w:cs="Arial" w:eastAsia="Arial" w:hAnsi="Arial"/>
          <w:sz w:val="18"/>
          <w:szCs w:val="18"/>
          <w:color w:val="auto"/>
        </w:rPr>
        <w:t xml:space="preserve">”) which the Administrative Agent deems necessary or desirable to (a) preserve or protect Collateral or any portion thereof or (b) to enhance the likelihood of, or maximize the amount of, repayment of the Loans and other Credit Exposure;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Protective Advance shall cause the aggregate amount of the Total Revolving Credit Outstandings at such time to exceed the Aggregate Revolving Credit Commitments then in effect. All Protective Advances made by the Administrative Agent constitute Obligations, secured by the Collateral and shall be treated for all purposes as Base Rate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67</w:t>
      </w:r>
    </w:p>
    <w:p>
      <w:pPr>
        <w:sectPr>
          <w:pgSz w:w="11900" w:h="16838" w:orient="portrait"/>
          <w:cols w:equalWidth="0" w:num="1">
            <w:col w:w="11240"/>
          </w:cols>
          <w:pgMar w:left="320" w:top="1381" w:right="339" w:bottom="1440" w:gutter="0" w:footer="0" w:header="0"/>
        </w:sectPr>
      </w:pPr>
    </w:p>
    <w:bookmarkStart w:id="186" w:name="page187"/>
    <w:bookmarkEnd w:id="186"/>
    <w:p>
      <w:pPr>
        <w:jc w:val="both"/>
        <w:ind w:left="626" w:firstLine="633"/>
        <w:spacing w:after="0" w:line="263" w:lineRule="auto"/>
        <w:tabs>
          <w:tab w:leader="none" w:pos="1878" w:val="left"/>
        </w:tabs>
        <w:numPr>
          <w:ilvl w:val="2"/>
          <w:numId w:val="127"/>
        </w:numPr>
        <w:rPr>
          <w:rFonts w:ascii="Arial" w:cs="Arial" w:eastAsia="Arial" w:hAnsi="Arial"/>
          <w:sz w:val="18"/>
          <w:szCs w:val="18"/>
          <w:color w:val="auto"/>
        </w:rPr>
      </w:pPr>
      <w:r>
        <w:rPr>
          <w:rFonts w:ascii="Arial" w:cs="Arial" w:eastAsia="Arial" w:hAnsi="Arial"/>
          <w:sz w:val="18"/>
          <w:szCs w:val="18"/>
          <w:color w:val="auto"/>
        </w:rPr>
        <w:t xml:space="preserve">The aggregate amount of Protective Advances outstanding at any time shall not exceed 10.0% of the Aggregate Revolving Credit Commitments then in effect, and such Protective Advances, together with the aggregate amount of Overadvances existing at any time, shall not exceed 10.0% of the Aggregate Revolving Credit Commitments then in effect. Protective Advances may be made even if the conditions set forth in </w:t>
      </w:r>
      <w:r>
        <w:rPr>
          <w:rFonts w:ascii="Arial" w:cs="Arial" w:eastAsia="Arial" w:hAnsi="Arial"/>
          <w:sz w:val="18"/>
          <w:szCs w:val="18"/>
          <w:u w:val="single" w:color="auto"/>
          <w:color w:val="auto"/>
        </w:rPr>
        <w:t>Section 5.02</w:t>
      </w:r>
      <w:r>
        <w:rPr>
          <w:rFonts w:ascii="Arial" w:cs="Arial" w:eastAsia="Arial" w:hAnsi="Arial"/>
          <w:sz w:val="18"/>
          <w:szCs w:val="18"/>
          <w:color w:val="auto"/>
        </w:rPr>
        <w:t xml:space="preserve"> have not been satisfied. Each Lender shall participate in each Protective Advance on a ratable basis. Required Lenders may at any time revoke the Administrative Agent’s authority to make further Protective Advances to any or all Borrowers by written notice to the Administrative Agent. Absent such revocation, the Administrative Agent’s determination that funding of a Protective Advance is appropriate shall be conclusive. At any time that there is sufficient Availability and the conditions precedent set forth in </w:t>
      </w:r>
      <w:r>
        <w:rPr>
          <w:rFonts w:ascii="Arial" w:cs="Arial" w:eastAsia="Arial" w:hAnsi="Arial"/>
          <w:sz w:val="18"/>
          <w:szCs w:val="18"/>
          <w:u w:val="single" w:color="auto"/>
          <w:color w:val="auto"/>
        </w:rPr>
        <w:t>Section 5.02</w:t>
      </w:r>
      <w:r>
        <w:rPr>
          <w:rFonts w:ascii="Arial" w:cs="Arial" w:eastAsia="Arial" w:hAnsi="Arial"/>
          <w:sz w:val="18"/>
          <w:szCs w:val="18"/>
          <w:color w:val="auto"/>
        </w:rPr>
        <w:t xml:space="preserve"> have been satisfied, the Administrative Agent may request the Lenders to make a Loan to repay a Protective Advance. At any other time, the Administrative Agent may require the Lenders to fund their risk participations described in </w:t>
      </w:r>
      <w:r>
        <w:rPr>
          <w:rFonts w:ascii="Arial" w:cs="Arial" w:eastAsia="Arial" w:hAnsi="Arial"/>
          <w:sz w:val="18"/>
          <w:szCs w:val="18"/>
          <w:u w:val="single" w:color="auto"/>
          <w:color w:val="auto"/>
        </w:rPr>
        <w:t>Section 2.01(c)(ii)(C)</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left="626" w:firstLine="633"/>
        <w:spacing w:after="0" w:line="277" w:lineRule="auto"/>
        <w:tabs>
          <w:tab w:leader="none" w:pos="1878" w:val="left"/>
        </w:tabs>
        <w:numPr>
          <w:ilvl w:val="2"/>
          <w:numId w:val="127"/>
        </w:numPr>
        <w:rPr>
          <w:rFonts w:ascii="Arial" w:cs="Arial" w:eastAsia="Arial" w:hAnsi="Arial"/>
          <w:sz w:val="17"/>
          <w:szCs w:val="17"/>
          <w:color w:val="auto"/>
        </w:rPr>
      </w:pPr>
      <w:r>
        <w:rPr>
          <w:rFonts w:ascii="Arial" w:cs="Arial" w:eastAsia="Arial" w:hAnsi="Arial"/>
          <w:sz w:val="17"/>
          <w:szCs w:val="17"/>
          <w:color w:val="auto"/>
        </w:rPr>
        <w:t>Upon the making of a Protective Advance by the Administrative Agent (whether before or after the occurrence of a Default or Event of Default), each Lender shall be deemed, without further action by any party hereto, to have unconditionally and irrevocably purchased from the Administrative Agent without recourse or warranty, an undivided interest and participation in such Protective Advance equal to the proportion of the Total Credit Exposure of such Lender to the Total Credit Exposure of all Lenders (its “</w:t>
      </w:r>
      <w:r>
        <w:rPr>
          <w:rFonts w:ascii="Arial" w:cs="Arial" w:eastAsia="Arial" w:hAnsi="Arial"/>
          <w:sz w:val="17"/>
          <w:szCs w:val="17"/>
          <w:u w:val="single" w:color="auto"/>
          <w:color w:val="auto"/>
        </w:rPr>
        <w:t>Ratable Share</w:t>
      </w:r>
      <w:r>
        <w:rPr>
          <w:rFonts w:ascii="Arial" w:cs="Arial" w:eastAsia="Arial" w:hAnsi="Arial"/>
          <w:sz w:val="17"/>
          <w:szCs w:val="17"/>
          <w:color w:val="auto"/>
        </w:rPr>
        <w:t>”) of such Protective Advance. Each Lender shall transfer (a “</w:t>
      </w:r>
      <w:r>
        <w:rPr>
          <w:rFonts w:ascii="Arial" w:cs="Arial" w:eastAsia="Arial" w:hAnsi="Arial"/>
          <w:sz w:val="17"/>
          <w:szCs w:val="17"/>
          <w:u w:val="single" w:color="auto"/>
          <w:color w:val="auto"/>
        </w:rPr>
        <w:t>Transfer</w:t>
      </w:r>
      <w:r>
        <w:rPr>
          <w:rFonts w:ascii="Arial" w:cs="Arial" w:eastAsia="Arial" w:hAnsi="Arial"/>
          <w:sz w:val="17"/>
          <w:szCs w:val="17"/>
          <w:color w:val="auto"/>
        </w:rPr>
        <w:t>”) the amount of such Lender’s purchased interest and participation promptly when requested to the Administrative Agent, to such account of the Administrative Agent as the Administrative Agent may designate, but in any case not later than 3:00 p.m. on the Business Day notified (if notice is provided by the Administrative Agent prior to 12:00 p.m. and otherwise on the immediately following Business Day (the “</w:t>
      </w:r>
      <w:r>
        <w:rPr>
          <w:rFonts w:ascii="Arial" w:cs="Arial" w:eastAsia="Arial" w:hAnsi="Arial"/>
          <w:sz w:val="17"/>
          <w:szCs w:val="17"/>
          <w:u w:val="single" w:color="auto"/>
          <w:color w:val="auto"/>
        </w:rPr>
        <w:t>Transfer Date</w:t>
      </w:r>
      <w:r>
        <w:rPr>
          <w:rFonts w:ascii="Arial" w:cs="Arial" w:eastAsia="Arial" w:hAnsi="Arial"/>
          <w:sz w:val="17"/>
          <w:szCs w:val="17"/>
          <w:color w:val="auto"/>
        </w:rPr>
        <w:t xml:space="preserve">”)). Transfers may occur during the existence of a Default or Event of Default and whether or not the applicable conditions precedent set forth in </w:t>
      </w:r>
      <w:r>
        <w:rPr>
          <w:rFonts w:ascii="Arial" w:cs="Arial" w:eastAsia="Arial" w:hAnsi="Arial"/>
          <w:sz w:val="17"/>
          <w:szCs w:val="17"/>
          <w:u w:val="single" w:color="auto"/>
          <w:color w:val="auto"/>
        </w:rPr>
        <w:t>Section 5.02</w:t>
      </w:r>
      <w:r>
        <w:rPr>
          <w:rFonts w:ascii="Arial" w:cs="Arial" w:eastAsia="Arial" w:hAnsi="Arial"/>
          <w:sz w:val="17"/>
          <w:szCs w:val="17"/>
          <w:color w:val="auto"/>
        </w:rPr>
        <w:t xml:space="preserve"> have then been satisfied. Such amounts transferred to the Administrative Agent shall be applied against the amount of the applicable Protective Advance and shall constitute Loans of such Lenders, respectively. If any such amount is not transferred to the Administrative Agent by any Lender on such Transfer Date, the Administrative Agent shall be entitled to recover such amount on demand from such Lender together with interest thereon for each day from the date such payment was due until the date such amount is paid to the Administrative Agent, at the Overnight Rate for three (3) Business Days and thereafter at the Base Rate. From and after the date, if any, on which any Lender is required to fund, and funds, its interest and participation in any Protective Advance purchased hereunder, the Administrative Agent shall promptly distribute to such Lender, such Lender’s Ratable Share of all payments of principal and interest and all proceeds of Collateral received by the Administrative Agent in respect of such Protective Advance.</w:t>
      </w:r>
    </w:p>
    <w:p>
      <w:pPr>
        <w:spacing w:after="0" w:line="161" w:lineRule="exact"/>
        <w:rPr>
          <w:rFonts w:ascii="Arial" w:cs="Arial" w:eastAsia="Arial" w:hAnsi="Arial"/>
          <w:sz w:val="17"/>
          <w:szCs w:val="17"/>
          <w:color w:val="auto"/>
        </w:rPr>
      </w:pPr>
    </w:p>
    <w:p>
      <w:pPr>
        <w:ind w:left="626" w:hanging="626"/>
        <w:spacing w:after="0"/>
        <w:tabs>
          <w:tab w:leader="none" w:pos="626" w:val="left"/>
        </w:tabs>
        <w:numPr>
          <w:ilvl w:val="0"/>
          <w:numId w:val="128"/>
        </w:numPr>
        <w:rPr>
          <w:rFonts w:ascii="Arial" w:cs="Arial" w:eastAsia="Arial" w:hAnsi="Arial"/>
          <w:sz w:val="18"/>
          <w:szCs w:val="18"/>
          <w:color w:val="auto"/>
        </w:rPr>
      </w:pPr>
      <w:r>
        <w:rPr>
          <w:rFonts w:ascii="Arial" w:cs="Arial" w:eastAsia="Arial" w:hAnsi="Arial"/>
          <w:sz w:val="18"/>
          <w:szCs w:val="18"/>
          <w:u w:val="single" w:color="auto"/>
          <w:color w:val="auto"/>
        </w:rPr>
        <w:t>Determination of the Borrowing Base</w:t>
      </w:r>
      <w:r>
        <w:rPr>
          <w:rFonts w:ascii="Arial" w:cs="Arial" w:eastAsia="Arial" w:hAnsi="Arial"/>
          <w:sz w:val="18"/>
          <w:szCs w:val="18"/>
          <w:color w:val="auto"/>
        </w:rPr>
        <w:t>. The Borrowing Base shall be established and adjusted from time to time as follows:</w:t>
      </w:r>
    </w:p>
    <w:p>
      <w:pPr>
        <w:spacing w:after="0" w:line="225" w:lineRule="exact"/>
        <w:rPr>
          <w:rFonts w:ascii="Arial" w:cs="Arial" w:eastAsia="Arial" w:hAnsi="Arial"/>
          <w:sz w:val="18"/>
          <w:szCs w:val="18"/>
          <w:color w:val="auto"/>
        </w:rPr>
      </w:pPr>
    </w:p>
    <w:p>
      <w:pPr>
        <w:ind w:left="6" w:firstLine="624"/>
        <w:spacing w:after="0" w:line="274" w:lineRule="auto"/>
        <w:tabs>
          <w:tab w:leader="none" w:pos="1262" w:val="left"/>
        </w:tabs>
        <w:numPr>
          <w:ilvl w:val="1"/>
          <w:numId w:val="128"/>
        </w:numPr>
        <w:rPr>
          <w:rFonts w:ascii="Arial" w:cs="Arial" w:eastAsia="Arial" w:hAnsi="Arial"/>
          <w:sz w:val="19"/>
          <w:szCs w:val="19"/>
          <w:color w:val="auto"/>
        </w:rPr>
      </w:pPr>
      <w:r>
        <w:rPr>
          <w:rFonts w:ascii="Arial" w:cs="Arial" w:eastAsia="Arial" w:hAnsi="Arial"/>
          <w:sz w:val="19"/>
          <w:szCs w:val="19"/>
          <w:color w:val="auto"/>
        </w:rPr>
        <w:t>The amount of the Borrowing Base shall initially be established in each Borrowing Base Certificate delivered to the Administrative Agent by the Borrower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886"/>
        <w:spacing w:after="0"/>
        <w:rPr>
          <w:sz w:val="20"/>
          <w:szCs w:val="20"/>
          <w:color w:val="auto"/>
        </w:rPr>
      </w:pPr>
      <w:r>
        <w:rPr>
          <w:rFonts w:ascii="Arial" w:cs="Arial" w:eastAsia="Arial" w:hAnsi="Arial"/>
          <w:sz w:val="19"/>
          <w:szCs w:val="19"/>
          <w:color w:val="auto"/>
        </w:rPr>
        <w:t>68</w:t>
      </w:r>
    </w:p>
    <w:p>
      <w:pPr>
        <w:sectPr>
          <w:pgSz w:w="11900" w:h="16838" w:orient="portrait"/>
          <w:cols w:equalWidth="0" w:num="1">
            <w:col w:w="10606"/>
          </w:cols>
          <w:pgMar w:left="954" w:top="1382" w:right="339" w:bottom="1440" w:gutter="0" w:footer="0" w:header="0"/>
        </w:sectPr>
      </w:pPr>
    </w:p>
    <w:bookmarkStart w:id="187" w:name="page188"/>
    <w:bookmarkEnd w:id="187"/>
    <w:p>
      <w:pPr>
        <w:jc w:val="both"/>
        <w:ind w:left="640"/>
        <w:spacing w:after="0" w:line="264" w:lineRule="auto"/>
        <w:rPr>
          <w:sz w:val="20"/>
          <w:szCs w:val="20"/>
          <w:color w:val="auto"/>
        </w:rPr>
      </w:pPr>
      <w:r>
        <w:rPr>
          <w:rFonts w:ascii="Arial" w:cs="Arial" w:eastAsia="Arial" w:hAnsi="Arial"/>
          <w:sz w:val="18"/>
          <w:szCs w:val="18"/>
          <w:color w:val="auto"/>
        </w:rPr>
        <w:t xml:space="preserve">pursuant to </w:t>
      </w:r>
      <w:r>
        <w:rPr>
          <w:rFonts w:ascii="Arial" w:cs="Arial" w:eastAsia="Arial" w:hAnsi="Arial"/>
          <w:sz w:val="18"/>
          <w:szCs w:val="18"/>
          <w:u w:val="single" w:color="auto"/>
          <w:color w:val="auto"/>
        </w:rPr>
        <w:t>Section 7.02(a)</w:t>
      </w:r>
      <w:r>
        <w:rPr>
          <w:rFonts w:ascii="Arial" w:cs="Arial" w:eastAsia="Arial" w:hAnsi="Arial"/>
          <w:sz w:val="18"/>
          <w:szCs w:val="18"/>
          <w:color w:val="auto"/>
        </w:rPr>
        <w:t>. The Administrative Agent shall have the right, at any time and from time to time on and after the Closing Date in good faith and in the exercise of it Credit Judgment to establish, modify or eliminate Reserves. The Borrowing Base shall also be subject to adjustment by the Administrative Agent in its Credit Judgment (A) to reflect any determination that the amount of the Borrowing Base set forth in a Borrowing Base Certificate differs materially from the actual Borrowing Base determined by the Administrative Agent; (B) to reflect Administrative Agent’s reasonable estimate of declines in value of Borrowing Base Assets due to collections received in the Concentration Account or otherwise; (C) to reflect changes in advance rates as a result of changes in dilution, quality, mix and other factors affecting the Borrowing Base Assets; (D) to the extent any information or calculation does not comply with this Agreement and (E) to reflect other adjustments in accordance with the terms of this Agreement.</w:t>
      </w:r>
    </w:p>
    <w:p>
      <w:pPr>
        <w:spacing w:after="0" w:line="172" w:lineRule="exact"/>
        <w:rPr>
          <w:sz w:val="20"/>
          <w:szCs w:val="20"/>
          <w:color w:val="auto"/>
        </w:rPr>
      </w:pPr>
    </w:p>
    <w:p>
      <w:pPr>
        <w:jc w:val="both"/>
        <w:ind w:left="640" w:firstLine="624"/>
        <w:spacing w:after="0" w:line="280" w:lineRule="auto"/>
        <w:tabs>
          <w:tab w:leader="none" w:pos="1897" w:val="left"/>
        </w:tabs>
        <w:numPr>
          <w:ilvl w:val="1"/>
          <w:numId w:val="129"/>
        </w:numPr>
        <w:rPr>
          <w:rFonts w:ascii="Arial" w:cs="Arial" w:eastAsia="Arial" w:hAnsi="Arial"/>
          <w:sz w:val="17"/>
          <w:szCs w:val="17"/>
          <w:color w:val="auto"/>
        </w:rPr>
      </w:pPr>
      <w:r>
        <w:rPr>
          <w:rFonts w:ascii="Arial" w:cs="Arial" w:eastAsia="Arial" w:hAnsi="Arial"/>
          <w:sz w:val="17"/>
          <w:szCs w:val="17"/>
          <w:color w:val="auto"/>
        </w:rPr>
        <w:t>In connection with any adjustment to the Borrowing Base, the Administrative Agent shall (A) promptly notify the Borrower Agent in writing (including via e-mail) whenever the Administrative Agent determines that the amount of the Borrowing Base set forth in a Borrowing Base Certificate differs materially from the actual Borrowing Base determined by the Administrative Agent and</w:t>
      </w:r>
    </w:p>
    <w:p>
      <w:pPr>
        <w:jc w:val="both"/>
        <w:ind w:left="640" w:hanging="6"/>
        <w:spacing w:after="0" w:line="248" w:lineRule="auto"/>
        <w:tabs>
          <w:tab w:leader="none" w:pos="945" w:val="left"/>
        </w:tabs>
        <w:numPr>
          <w:ilvl w:val="0"/>
          <w:numId w:val="130"/>
        </w:numPr>
        <w:rPr>
          <w:rFonts w:ascii="Arial" w:cs="Arial" w:eastAsia="Arial" w:hAnsi="Arial"/>
          <w:sz w:val="19"/>
          <w:szCs w:val="19"/>
          <w:color w:val="auto"/>
        </w:rPr>
      </w:pPr>
      <w:r>
        <w:rPr>
          <w:rFonts w:ascii="Arial" w:cs="Arial" w:eastAsia="Arial" w:hAnsi="Arial"/>
          <w:sz w:val="19"/>
          <w:szCs w:val="19"/>
          <w:color w:val="auto"/>
        </w:rPr>
        <w:t>discuss with Borrower Agent (1) the basis for any such difference and (2) any changes made or proposed to be made to the amount of the Borrowing Base, including the reasons for any imposition of or changes in Reserves or any change in advance rates or eligibility criteria with respect to Borrowing Base Assets. The determination of the Borrowing Base by the Administrative Agent shall be presumptively correct and shall constitute the Borrowing Base for all purposes hereunder.</w:t>
      </w:r>
    </w:p>
    <w:p>
      <w:pPr>
        <w:spacing w:after="0" w:line="176"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9"/>
          <w:szCs w:val="19"/>
          <w:b w:val="1"/>
          <w:bCs w:val="1"/>
          <w:color w:val="auto"/>
        </w:rPr>
        <w:t>2.2</w:t>
      </w:r>
      <w:r>
        <w:rPr>
          <w:sz w:val="20"/>
          <w:szCs w:val="20"/>
          <w:color w:val="auto"/>
        </w:rPr>
        <w:tab/>
      </w:r>
      <w:r>
        <w:rPr>
          <w:rFonts w:ascii="Arial" w:cs="Arial" w:eastAsia="Arial" w:hAnsi="Arial"/>
          <w:sz w:val="17"/>
          <w:szCs w:val="17"/>
          <w:b w:val="1"/>
          <w:bCs w:val="1"/>
          <w:color w:val="auto"/>
        </w:rPr>
        <w:t>Borrowings, Conversions and Continuations of Loans</w:t>
      </w:r>
      <w:r>
        <w:rPr>
          <w:rFonts w:ascii="Arial" w:cs="Arial" w:eastAsia="Arial" w:hAnsi="Arial"/>
          <w:sz w:val="17"/>
          <w:szCs w:val="17"/>
          <w:color w:val="auto"/>
        </w:rPr>
        <w:t>.</w:t>
      </w:r>
    </w:p>
    <w:p>
      <w:pPr>
        <w:spacing w:after="0" w:line="220" w:lineRule="exact"/>
        <w:rPr>
          <w:sz w:val="20"/>
          <w:szCs w:val="20"/>
          <w:color w:val="auto"/>
        </w:rPr>
      </w:pPr>
    </w:p>
    <w:p>
      <w:pPr>
        <w:jc w:val="both"/>
        <w:ind w:firstLine="634"/>
        <w:spacing w:after="0" w:line="261" w:lineRule="auto"/>
        <w:tabs>
          <w:tab w:leader="none" w:pos="1249" w:val="left"/>
        </w:tabs>
        <w:numPr>
          <w:ilvl w:val="0"/>
          <w:numId w:val="131"/>
        </w:numPr>
        <w:rPr>
          <w:rFonts w:ascii="Arial" w:cs="Arial" w:eastAsia="Arial" w:hAnsi="Arial"/>
          <w:sz w:val="18"/>
          <w:szCs w:val="18"/>
          <w:color w:val="auto"/>
        </w:rPr>
      </w:pPr>
      <w:r>
        <w:rPr>
          <w:rFonts w:ascii="Arial" w:cs="Arial" w:eastAsia="Arial" w:hAnsi="Arial"/>
          <w:sz w:val="18"/>
          <w:szCs w:val="18"/>
          <w:color w:val="auto"/>
        </w:rPr>
        <w:t xml:space="preserve">Each Borrowing, each conversion of Loans from one Type to the other, and each continuation of Eurocurrency Rate Loans shall be made upon the Borrower’s irrevocable notice to the Administrative Agent, which may be given by telephone. Each such notice must be received by the Administrative Agent not later than 11:00 a.m. (i) three Business Days prior to the requested date of any Borrowing of, conversion to or continuation of Eurocurrency Rate Loans or of any conversion of Eurocurrency Rate Loans to Base Rate Loans or Canadian Prime Rate Loans, and (ii) one Business Day prior to the requested date of any Borrowing of Base Rate Loans or Canadian Prime Rate Loans. Each telephonic notice by the Borrowers pursuant to this </w:t>
      </w:r>
      <w:r>
        <w:rPr>
          <w:rFonts w:ascii="Arial" w:cs="Arial" w:eastAsia="Arial" w:hAnsi="Arial"/>
          <w:sz w:val="18"/>
          <w:szCs w:val="18"/>
          <w:u w:val="single" w:color="auto"/>
          <w:color w:val="auto"/>
        </w:rPr>
        <w:t>Section 2.02(a)</w:t>
      </w:r>
      <w:r>
        <w:rPr>
          <w:rFonts w:ascii="Arial" w:cs="Arial" w:eastAsia="Arial" w:hAnsi="Arial"/>
          <w:sz w:val="18"/>
          <w:szCs w:val="18"/>
          <w:color w:val="auto"/>
        </w:rPr>
        <w:t xml:space="preserve"> must be promptly confirmed in writing by a Responsible Officer of the Borrower Agent. Each Borrowing of, conversion to or continuation of Eurocurrency Rate Loans shall be in a principal amount of the Dollar Equivalent of $100,000 or a whole multiple of the Dollar Equivalent of $100,000 in excess thereof. Except as provided in </w:t>
      </w:r>
      <w:r>
        <w:rPr>
          <w:rFonts w:ascii="Arial" w:cs="Arial" w:eastAsia="Arial" w:hAnsi="Arial"/>
          <w:sz w:val="18"/>
          <w:szCs w:val="18"/>
          <w:u w:val="single" w:color="auto"/>
          <w:color w:val="auto"/>
        </w:rPr>
        <w:t>Sections 2.02(f)</w:t>
      </w:r>
      <w:r>
        <w:rPr>
          <w:rFonts w:ascii="Arial" w:cs="Arial" w:eastAsia="Arial" w:hAnsi="Arial"/>
          <w:sz w:val="18"/>
          <w:szCs w:val="18"/>
          <w:color w:val="auto"/>
        </w:rPr>
        <w:t xml:space="preserve">, </w:t>
      </w:r>
      <w:r>
        <w:rPr>
          <w:rFonts w:ascii="Arial" w:cs="Arial" w:eastAsia="Arial" w:hAnsi="Arial"/>
          <w:sz w:val="18"/>
          <w:szCs w:val="18"/>
          <w:u w:val="single" w:color="auto"/>
          <w:color w:val="auto"/>
        </w:rPr>
        <w:t>2.03(c)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2.04(c)</w:t>
      </w:r>
      <w:r>
        <w:rPr>
          <w:rFonts w:ascii="Arial" w:cs="Arial" w:eastAsia="Arial" w:hAnsi="Arial"/>
          <w:sz w:val="18"/>
          <w:szCs w:val="18"/>
          <w:color w:val="auto"/>
        </w:rPr>
        <w:t>, each Borrowing of or conversion to Base Rate Loans or Canadian Prime Rate Loans shall be in a principal amount of the Dollar Equivalent of $500,000 or a whole multiple of the Dollar Equivalent of $100,000 in excess thereof. During a Dominion Trigger Period, there shall be no minimum borrowing amounts for Base Rate Loans or Canadian Prime Rate Loans. Each such notice (whether telephonic or written) shall specify (i) the principal amount of Loans to be borrowed, converted or continued, (ii) the Type of Loans to be borrowed or to which existing Loans are to be converted, (iii) the requested date of the Borrowing, conversion or continuation, as the case may be (which shall be a Business Day) and (iv) if applicable, the duration of the Interest Period with respect thereto. If the Borrowers fail to specify a Type of Loan or if the Borrowers fail to give a timely notice requesting a conversion or continuation, then the applicable Loans shall be made as, or converted to, Base Rate Loans. Any such automatic conversion to Base Rate Loans shall be effective as of the last day of the Interest Period then in effect with respect to the applicable Eurocurrency Rate Loans. If the Borrowers request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69</w:t>
      </w:r>
    </w:p>
    <w:p>
      <w:pPr>
        <w:sectPr>
          <w:pgSz w:w="11900" w:h="16838" w:orient="portrait"/>
          <w:cols w:equalWidth="0" w:num="1">
            <w:col w:w="11240"/>
          </w:cols>
          <w:pgMar w:left="320" w:top="1381" w:right="339" w:bottom="1440" w:gutter="0" w:footer="0" w:header="0"/>
        </w:sectPr>
      </w:pPr>
    </w:p>
    <w:bookmarkStart w:id="188" w:name="page189"/>
    <w:bookmarkEnd w:id="188"/>
    <w:p>
      <w:pPr>
        <w:spacing w:after="0" w:line="274" w:lineRule="auto"/>
        <w:rPr>
          <w:sz w:val="20"/>
          <w:szCs w:val="20"/>
          <w:color w:val="auto"/>
        </w:rPr>
      </w:pPr>
      <w:r>
        <w:rPr>
          <w:rFonts w:ascii="Arial" w:cs="Arial" w:eastAsia="Arial" w:hAnsi="Arial"/>
          <w:sz w:val="19"/>
          <w:szCs w:val="19"/>
          <w:color w:val="auto"/>
        </w:rPr>
        <w:t>Borrowing of, conversion to, or continuation of Eurocurrency Rate Loans in any such Committed Loan Notice, but fail to specify an Interest Period, they will be deemed to have specified an Interest Period of one month.</w:t>
      </w:r>
    </w:p>
    <w:p>
      <w:pPr>
        <w:spacing w:after="0" w:line="157" w:lineRule="exact"/>
        <w:rPr>
          <w:sz w:val="20"/>
          <w:szCs w:val="20"/>
          <w:color w:val="auto"/>
        </w:rPr>
      </w:pPr>
    </w:p>
    <w:p>
      <w:pPr>
        <w:jc w:val="both"/>
        <w:ind w:firstLine="634"/>
        <w:spacing w:after="0" w:line="262" w:lineRule="auto"/>
        <w:tabs>
          <w:tab w:leader="none" w:pos="1247" w:val="left"/>
        </w:tabs>
        <w:numPr>
          <w:ilvl w:val="0"/>
          <w:numId w:val="132"/>
        </w:numPr>
        <w:rPr>
          <w:rFonts w:ascii="Arial" w:cs="Arial" w:eastAsia="Arial" w:hAnsi="Arial"/>
          <w:sz w:val="18"/>
          <w:szCs w:val="18"/>
          <w:color w:val="auto"/>
        </w:rPr>
      </w:pPr>
      <w:r>
        <w:rPr>
          <w:rFonts w:ascii="Arial" w:cs="Arial" w:eastAsia="Arial" w:hAnsi="Arial"/>
          <w:sz w:val="18"/>
          <w:szCs w:val="18"/>
          <w:color w:val="auto"/>
        </w:rPr>
        <w:t xml:space="preserve">Following receipt of a Committed Loan Notice for the Revolving Credit Facility, the Administrative Agent shall promptly notify each Appropriate Lender of the amount of its Applicable Percentage under the Revolving Credit Facility of the applicable Loans, and if no timely notice of a conversion or continuation is provided by the Borrowers, the Administrative Agent shall notify each Appropriate Lender of the details of any automatic conversion to Base Rate Loans described in the preceding subsection. In the case of a Revolving Credit Borrowing, each Appropriate Lender shall make the amount of its Loan available to the Administrative Agent in immediately available funds at the Administrative Agent’s Office not later than 1:00 p.m. on the Business Day specified in the applicable Committed Loan Notice. Upon satisfaction of the applicable conditions set forth in </w:t>
      </w:r>
      <w:r>
        <w:rPr>
          <w:rFonts w:ascii="Arial" w:cs="Arial" w:eastAsia="Arial" w:hAnsi="Arial"/>
          <w:sz w:val="18"/>
          <w:szCs w:val="18"/>
          <w:u w:val="single" w:color="auto"/>
          <w:color w:val="auto"/>
        </w:rPr>
        <w:t>Section 5.02</w:t>
      </w:r>
      <w:r>
        <w:rPr>
          <w:rFonts w:ascii="Arial" w:cs="Arial" w:eastAsia="Arial" w:hAnsi="Arial"/>
          <w:sz w:val="18"/>
          <w:szCs w:val="18"/>
          <w:color w:val="auto"/>
        </w:rPr>
        <w:t xml:space="preserve"> (and, if such Borrowing is the initial Credit Extension, </w:t>
      </w:r>
      <w:r>
        <w:rPr>
          <w:rFonts w:ascii="Arial" w:cs="Arial" w:eastAsia="Arial" w:hAnsi="Arial"/>
          <w:sz w:val="18"/>
          <w:szCs w:val="18"/>
          <w:u w:val="single" w:color="auto"/>
          <w:color w:val="auto"/>
        </w:rPr>
        <w:t>Section 5.01</w:t>
      </w:r>
      <w:r>
        <w:rPr>
          <w:rFonts w:ascii="Arial" w:cs="Arial" w:eastAsia="Arial" w:hAnsi="Arial"/>
          <w:sz w:val="18"/>
          <w:szCs w:val="18"/>
          <w:color w:val="auto"/>
        </w:rPr>
        <w:t xml:space="preserve">), the Administrative Agent shall make all funds so received available to the Borrowers in like funds as received by the Administrative Agent either by (i) crediting the account of the Borrowers on the books of BMO with the amount of such funds or (ii) wire transfer of such funds, in each case in accordance with instructions provided to (and reasonably acceptable to) the Administrative Agent by the Borrower;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if, on the date a Committed Loan Notice with respect to a Revolving Credit Borrowing is given by the Borrower, there are Letter of Credit Borrowings outstanding, then the proceeds of such Revolving Credit Borrowing, </w:t>
      </w:r>
      <w:r>
        <w:rPr>
          <w:rFonts w:ascii="Arial" w:cs="Arial" w:eastAsia="Arial" w:hAnsi="Arial"/>
          <w:sz w:val="18"/>
          <w:szCs w:val="18"/>
          <w:u w:val="single" w:color="auto"/>
          <w:color w:val="auto"/>
        </w:rPr>
        <w:t>first</w:t>
      </w:r>
      <w:r>
        <w:rPr>
          <w:rFonts w:ascii="Arial" w:cs="Arial" w:eastAsia="Arial" w:hAnsi="Arial"/>
          <w:sz w:val="18"/>
          <w:szCs w:val="18"/>
          <w:color w:val="auto"/>
        </w:rPr>
        <w:t xml:space="preserve">, shall be applied to the payment in full of any such Letter of Credit Borrowings, and </w:t>
      </w:r>
      <w:r>
        <w:rPr>
          <w:rFonts w:ascii="Arial" w:cs="Arial" w:eastAsia="Arial" w:hAnsi="Arial"/>
          <w:sz w:val="18"/>
          <w:szCs w:val="18"/>
          <w:u w:val="single" w:color="auto"/>
          <w:color w:val="auto"/>
        </w:rPr>
        <w:t>second</w:t>
      </w:r>
      <w:r>
        <w:rPr>
          <w:rFonts w:ascii="Arial" w:cs="Arial" w:eastAsia="Arial" w:hAnsi="Arial"/>
          <w:sz w:val="18"/>
          <w:szCs w:val="18"/>
          <w:color w:val="auto"/>
        </w:rPr>
        <w:t>, shall be made available to the Borrowers as provided above.</w:t>
      </w:r>
    </w:p>
    <w:p>
      <w:pPr>
        <w:spacing w:after="0" w:line="170" w:lineRule="exact"/>
        <w:rPr>
          <w:rFonts w:ascii="Arial" w:cs="Arial" w:eastAsia="Arial" w:hAnsi="Arial"/>
          <w:sz w:val="18"/>
          <w:szCs w:val="18"/>
          <w:color w:val="auto"/>
        </w:rPr>
      </w:pPr>
    </w:p>
    <w:p>
      <w:pPr>
        <w:jc w:val="both"/>
        <w:ind w:firstLine="634"/>
        <w:spacing w:after="0" w:line="269" w:lineRule="auto"/>
        <w:tabs>
          <w:tab w:leader="none" w:pos="1249" w:val="left"/>
        </w:tabs>
        <w:numPr>
          <w:ilvl w:val="0"/>
          <w:numId w:val="132"/>
        </w:numPr>
        <w:rPr>
          <w:rFonts w:ascii="Arial" w:cs="Arial" w:eastAsia="Arial" w:hAnsi="Arial"/>
          <w:sz w:val="18"/>
          <w:szCs w:val="18"/>
          <w:color w:val="auto"/>
        </w:rPr>
      </w:pPr>
      <w:r>
        <w:rPr>
          <w:rFonts w:ascii="Arial" w:cs="Arial" w:eastAsia="Arial" w:hAnsi="Arial"/>
          <w:sz w:val="18"/>
          <w:szCs w:val="18"/>
          <w:color w:val="auto"/>
        </w:rPr>
        <w:t>Except as otherwise provided herein, a Eurocurrency Rate Loan may be continued or converted only on the last day of an Interest Period for such Eurocurrency Rate Loan . During the existence of a Default, (i) no Loans may be requested as, converted to or continued as an Eurocurrency Rate Loan without the consent of the Required Lenders, and (ii) the Required Lenders may demand that any or all of the then outstanding Eurocurrency Rate Loans denominated in Canadian Dollars be prepaid, or redenominated into Dollars in the amount of the Dollar Equivalent thereof, on the last day of the then current Interest Period with respect thereto.</w:t>
      </w:r>
    </w:p>
    <w:p>
      <w:pPr>
        <w:spacing w:after="0" w:line="164" w:lineRule="exact"/>
        <w:rPr>
          <w:rFonts w:ascii="Arial" w:cs="Arial" w:eastAsia="Arial" w:hAnsi="Arial"/>
          <w:sz w:val="18"/>
          <w:szCs w:val="18"/>
          <w:color w:val="auto"/>
        </w:rPr>
      </w:pPr>
    </w:p>
    <w:p>
      <w:pPr>
        <w:jc w:val="both"/>
        <w:ind w:firstLine="634"/>
        <w:spacing w:after="0" w:line="254" w:lineRule="auto"/>
        <w:tabs>
          <w:tab w:leader="none" w:pos="1247" w:val="left"/>
        </w:tabs>
        <w:numPr>
          <w:ilvl w:val="0"/>
          <w:numId w:val="132"/>
        </w:numPr>
        <w:rPr>
          <w:rFonts w:ascii="Arial" w:cs="Arial" w:eastAsia="Arial" w:hAnsi="Arial"/>
          <w:sz w:val="19"/>
          <w:szCs w:val="19"/>
          <w:color w:val="auto"/>
        </w:rPr>
      </w:pPr>
      <w:r>
        <w:rPr>
          <w:rFonts w:ascii="Arial" w:cs="Arial" w:eastAsia="Arial" w:hAnsi="Arial"/>
          <w:sz w:val="19"/>
          <w:szCs w:val="19"/>
          <w:color w:val="auto"/>
        </w:rPr>
        <w:t>The Administrative Agent shall promptly notify the Borrower Agent and the Lenders of the interest rate applicable to any Interest Period for Eurocurrency Rate Loans upon determination of such interest rate. At any time that Base Rate Loans are outstanding, the Administrative Agent shall notify the Borrower Agent and the Lenders of any change in BMO’s prime rate used in determining the Base Rate promptly following the public announcement of such change.</w:t>
      </w:r>
    </w:p>
    <w:p>
      <w:pPr>
        <w:spacing w:after="0" w:line="176" w:lineRule="exact"/>
        <w:rPr>
          <w:rFonts w:ascii="Arial" w:cs="Arial" w:eastAsia="Arial" w:hAnsi="Arial"/>
          <w:sz w:val="19"/>
          <w:szCs w:val="19"/>
          <w:color w:val="auto"/>
        </w:rPr>
      </w:pPr>
    </w:p>
    <w:p>
      <w:pPr>
        <w:ind w:firstLine="634"/>
        <w:spacing w:after="0" w:line="274" w:lineRule="auto"/>
        <w:tabs>
          <w:tab w:leader="none" w:pos="1249" w:val="left"/>
        </w:tabs>
        <w:numPr>
          <w:ilvl w:val="0"/>
          <w:numId w:val="132"/>
        </w:numPr>
        <w:rPr>
          <w:rFonts w:ascii="Arial" w:cs="Arial" w:eastAsia="Arial" w:hAnsi="Arial"/>
          <w:sz w:val="19"/>
          <w:szCs w:val="19"/>
          <w:color w:val="auto"/>
        </w:rPr>
      </w:pPr>
      <w:r>
        <w:rPr>
          <w:rFonts w:ascii="Arial" w:cs="Arial" w:eastAsia="Arial" w:hAnsi="Arial"/>
          <w:sz w:val="19"/>
          <w:szCs w:val="19"/>
          <w:color w:val="auto"/>
        </w:rPr>
        <w:t>After giving effect to all conversions of Loans from one Type to the other, and all continuations of Loans as the same Type, there shall not be more than five (5) Interest Periods in effect in respect of the Revolving Credit Facility.</w:t>
      </w:r>
    </w:p>
    <w:p>
      <w:pPr>
        <w:spacing w:after="0" w:line="156" w:lineRule="exact"/>
        <w:rPr>
          <w:rFonts w:ascii="Arial" w:cs="Arial" w:eastAsia="Arial" w:hAnsi="Arial"/>
          <w:sz w:val="19"/>
          <w:szCs w:val="19"/>
          <w:color w:val="auto"/>
        </w:rPr>
      </w:pPr>
    </w:p>
    <w:p>
      <w:pPr>
        <w:jc w:val="both"/>
        <w:ind w:firstLine="634"/>
        <w:spacing w:after="0" w:line="250" w:lineRule="auto"/>
        <w:tabs>
          <w:tab w:leader="none" w:pos="1254" w:val="left"/>
        </w:tabs>
        <w:numPr>
          <w:ilvl w:val="0"/>
          <w:numId w:val="132"/>
        </w:numPr>
        <w:rPr>
          <w:rFonts w:ascii="Arial" w:cs="Arial" w:eastAsia="Arial" w:hAnsi="Arial"/>
          <w:sz w:val="19"/>
          <w:szCs w:val="19"/>
          <w:color w:val="auto"/>
        </w:rPr>
      </w:pPr>
      <w:r>
        <w:rPr>
          <w:rFonts w:ascii="Arial" w:cs="Arial" w:eastAsia="Arial" w:hAnsi="Arial"/>
          <w:sz w:val="19"/>
          <w:szCs w:val="19"/>
          <w:color w:val="auto"/>
        </w:rPr>
        <w:t xml:space="preserve">Borrowers and each Lender hereby irrevocably authorize the Administrative Agent, in the Administrative Agent’s sole discretion, to advance to Borrowers, and/or to pay and charge to Borrowers’ Loan Account hereunder, all sums necessary to pay (i) any interest accrued on the Obligations when due and to pay all fees, costs and expenses and other Obligations at any time owed by any Loan Party to the Administrative Agent or any Lender hereunder and (ii) any service charge or expenses due pursuant to </w:t>
      </w:r>
      <w:r>
        <w:rPr>
          <w:rFonts w:ascii="Arial" w:cs="Arial" w:eastAsia="Arial" w:hAnsi="Arial"/>
          <w:sz w:val="19"/>
          <w:szCs w:val="19"/>
          <w:u w:val="single" w:color="auto"/>
          <w:color w:val="auto"/>
        </w:rPr>
        <w:t>Section 11.04</w:t>
      </w:r>
      <w:r>
        <w:rPr>
          <w:rFonts w:ascii="Arial" w:cs="Arial" w:eastAsia="Arial" w:hAnsi="Arial"/>
          <w:sz w:val="19"/>
          <w:szCs w:val="19"/>
          <w:color w:val="auto"/>
        </w:rPr>
        <w:t xml:space="preserve"> when due. The Administrative Agent shall advise the Borrower Agent of any such advance or charge promptly after the making thereof. Such action on the part of the Administrative Agent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70</w:t>
      </w:r>
    </w:p>
    <w:p>
      <w:pPr>
        <w:sectPr>
          <w:pgSz w:w="11900" w:h="16838" w:orient="portrait"/>
          <w:cols w:equalWidth="0" w:num="1">
            <w:col w:w="11240"/>
          </w:cols>
          <w:pgMar w:left="320" w:top="1382" w:right="339" w:bottom="1440" w:gutter="0" w:footer="0" w:header="0"/>
        </w:sectPr>
      </w:pPr>
    </w:p>
    <w:bookmarkStart w:id="189" w:name="page190"/>
    <w:bookmarkEnd w:id="189"/>
    <w:p>
      <w:pPr>
        <w:jc w:val="both"/>
        <w:spacing w:after="0" w:line="254" w:lineRule="auto"/>
        <w:rPr>
          <w:sz w:val="20"/>
          <w:szCs w:val="20"/>
          <w:color w:val="auto"/>
        </w:rPr>
      </w:pPr>
      <w:r>
        <w:rPr>
          <w:rFonts w:ascii="Arial" w:cs="Arial" w:eastAsia="Arial" w:hAnsi="Arial"/>
          <w:sz w:val="19"/>
          <w:szCs w:val="19"/>
          <w:color w:val="auto"/>
        </w:rPr>
        <w:t xml:space="preserve">not constitute a waiver of the Administrative Agent’s rights and the Borrowers’ obligations under this Agreement. Any amount which is added to the principal balance of the Loan Account as provided in this </w:t>
      </w:r>
      <w:r>
        <w:rPr>
          <w:rFonts w:ascii="Arial" w:cs="Arial" w:eastAsia="Arial" w:hAnsi="Arial"/>
          <w:sz w:val="19"/>
          <w:szCs w:val="19"/>
          <w:u w:val="single" w:color="auto"/>
          <w:color w:val="auto"/>
        </w:rPr>
        <w:t>Section 2.02(f)</w:t>
      </w:r>
      <w:r>
        <w:rPr>
          <w:rFonts w:ascii="Arial" w:cs="Arial" w:eastAsia="Arial" w:hAnsi="Arial"/>
          <w:sz w:val="19"/>
          <w:szCs w:val="19"/>
          <w:color w:val="auto"/>
        </w:rPr>
        <w:t xml:space="preserve"> shall constitute Revolving Credit Loans (notwithstanding the failure of the Borrowers to satisfy any of the conditions to Credit Extensions in </w:t>
      </w:r>
      <w:r>
        <w:rPr>
          <w:rFonts w:ascii="Arial" w:cs="Arial" w:eastAsia="Arial" w:hAnsi="Arial"/>
          <w:sz w:val="19"/>
          <w:szCs w:val="19"/>
          <w:u w:val="single" w:color="auto"/>
          <w:color w:val="auto"/>
        </w:rPr>
        <w:t>Section 5.02</w:t>
      </w:r>
      <w:r>
        <w:rPr>
          <w:rFonts w:ascii="Arial" w:cs="Arial" w:eastAsia="Arial" w:hAnsi="Arial"/>
          <w:sz w:val="19"/>
          <w:szCs w:val="19"/>
          <w:color w:val="auto"/>
        </w:rPr>
        <w:t>) and Obligations hereunder and shall bear interest at the interest rate then and thereafter applicable to Base Rate Loans.</w:t>
      </w:r>
    </w:p>
    <w:p>
      <w:pPr>
        <w:spacing w:after="0" w:line="171"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9"/>
          <w:szCs w:val="19"/>
          <w:b w:val="1"/>
          <w:bCs w:val="1"/>
          <w:color w:val="auto"/>
        </w:rPr>
        <w:t>2.3</w:t>
      </w:r>
      <w:r>
        <w:rPr>
          <w:sz w:val="20"/>
          <w:szCs w:val="20"/>
          <w:color w:val="auto"/>
        </w:rPr>
        <w:tab/>
      </w:r>
      <w:r>
        <w:rPr>
          <w:rFonts w:ascii="Arial" w:cs="Arial" w:eastAsia="Arial" w:hAnsi="Arial"/>
          <w:sz w:val="17"/>
          <w:szCs w:val="17"/>
          <w:b w:val="1"/>
          <w:bCs w:val="1"/>
          <w:color w:val="auto"/>
        </w:rPr>
        <w:t>Letters of Credit.</w:t>
      </w:r>
    </w:p>
    <w:p>
      <w:pPr>
        <w:spacing w:after="0" w:line="220" w:lineRule="exact"/>
        <w:rPr>
          <w:sz w:val="20"/>
          <w:szCs w:val="20"/>
          <w:color w:val="auto"/>
        </w:rPr>
      </w:pPr>
    </w:p>
    <w:p>
      <w:pPr>
        <w:ind w:left="1260" w:hanging="626"/>
        <w:spacing w:after="0"/>
        <w:tabs>
          <w:tab w:leader="none" w:pos="1260" w:val="left"/>
        </w:tabs>
        <w:numPr>
          <w:ilvl w:val="0"/>
          <w:numId w:val="133"/>
        </w:numPr>
        <w:rPr>
          <w:rFonts w:ascii="Arial" w:cs="Arial" w:eastAsia="Arial" w:hAnsi="Arial"/>
          <w:sz w:val="19"/>
          <w:szCs w:val="19"/>
          <w:color w:val="auto"/>
        </w:rPr>
      </w:pPr>
      <w:r>
        <w:rPr>
          <w:rFonts w:ascii="Arial" w:cs="Arial" w:eastAsia="Arial" w:hAnsi="Arial"/>
          <w:sz w:val="19"/>
          <w:szCs w:val="19"/>
          <w:u w:val="single" w:color="auto"/>
          <w:color w:val="auto"/>
        </w:rPr>
        <w:t>The Letter of Credit Commitment</w:t>
      </w:r>
      <w:r>
        <w:rPr>
          <w:rFonts w:ascii="Arial" w:cs="Arial" w:eastAsia="Arial" w:hAnsi="Arial"/>
          <w:sz w:val="19"/>
          <w:szCs w:val="19"/>
          <w:color w:val="auto"/>
        </w:rPr>
        <w:t>.</w:t>
      </w:r>
    </w:p>
    <w:p>
      <w:pPr>
        <w:spacing w:after="0" w:line="214" w:lineRule="exact"/>
        <w:rPr>
          <w:rFonts w:ascii="Arial" w:cs="Arial" w:eastAsia="Arial" w:hAnsi="Arial"/>
          <w:sz w:val="19"/>
          <w:szCs w:val="19"/>
          <w:color w:val="auto"/>
        </w:rPr>
      </w:pPr>
    </w:p>
    <w:p>
      <w:pPr>
        <w:jc w:val="both"/>
        <w:ind w:left="640" w:firstLine="624"/>
        <w:spacing w:after="0" w:line="277" w:lineRule="auto"/>
        <w:tabs>
          <w:tab w:leader="none" w:pos="1897" w:val="left"/>
        </w:tabs>
        <w:numPr>
          <w:ilvl w:val="1"/>
          <w:numId w:val="133"/>
        </w:numPr>
        <w:rPr>
          <w:rFonts w:ascii="Arial" w:cs="Arial" w:eastAsia="Arial" w:hAnsi="Arial"/>
          <w:sz w:val="17"/>
          <w:szCs w:val="17"/>
          <w:color w:val="auto"/>
        </w:rPr>
      </w:pPr>
      <w:r>
        <w:rPr>
          <w:rFonts w:ascii="Arial" w:cs="Arial" w:eastAsia="Arial" w:hAnsi="Arial"/>
          <w:sz w:val="17"/>
          <w:szCs w:val="17"/>
          <w:color w:val="auto"/>
        </w:rPr>
        <w:t xml:space="preserve">Subject to the terms and conditions set forth herein, (A) the Letter of Credit Issuer agrees, in reliance upon the agreements of the Revolving Credit Lenders set forth in this </w:t>
      </w:r>
      <w:r>
        <w:rPr>
          <w:rFonts w:ascii="Arial" w:cs="Arial" w:eastAsia="Arial" w:hAnsi="Arial"/>
          <w:sz w:val="17"/>
          <w:szCs w:val="17"/>
          <w:u w:val="single" w:color="auto"/>
          <w:color w:val="auto"/>
        </w:rPr>
        <w:t>Section 2.03</w:t>
      </w:r>
      <w:r>
        <w:rPr>
          <w:rFonts w:ascii="Arial" w:cs="Arial" w:eastAsia="Arial" w:hAnsi="Arial"/>
          <w:sz w:val="17"/>
          <w:szCs w:val="17"/>
          <w:color w:val="auto"/>
        </w:rPr>
        <w:t xml:space="preserve">, (1) from time to time on any Business Day during the period from the Closing Date until the earlier to occur of the Letter of Credit Expiration Date or the termination of the Availability Period, to issue Letters of Credit at the request of the Borrower Agent for the account of a Borrower (or any other Loan Party or Domestic Subsidiary thereof as to which all “know your customer” or other similar requirements have been satisfied) so long as such Borrower is a joint and several co-applicant; references to a “Borrower” in this </w:t>
      </w:r>
      <w:r>
        <w:rPr>
          <w:rFonts w:ascii="Arial" w:cs="Arial" w:eastAsia="Arial" w:hAnsi="Arial"/>
          <w:sz w:val="17"/>
          <w:szCs w:val="17"/>
          <w:u w:val="single" w:color="auto"/>
          <w:color w:val="auto"/>
        </w:rPr>
        <w:t>Section 2.03</w:t>
      </w:r>
      <w:r>
        <w:rPr>
          <w:rFonts w:ascii="Arial" w:cs="Arial" w:eastAsia="Arial" w:hAnsi="Arial"/>
          <w:sz w:val="17"/>
          <w:szCs w:val="17"/>
          <w:color w:val="auto"/>
        </w:rPr>
        <w:t xml:space="preserve"> shall be deemed to include reference to such other Loan Party and any applicable Domestic Subsidiary, as the case may be, and to amend Letters of Credit previously issued by it, in accordance with subsection (b) below, and (2) to honor drafts under the Letters of Credit; and (B) the Revolving Credit Lenders severally agree to participate in Letters of Credit issued for the account of the a Borrower and any drawings thereunder;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Letter of Credit Issuer shall not be obligated to make any Letter of Credit Extension with respect to any Letter of Credit, and no Revolving Credit Lender shall be obligated to participate in any Letter of Credit, if as of the date of such Letter of Credit Extension, (A) the Total Revolving Credit Outstandings would exceed the Maximum Borrowing Amount, (B) the Revolving Credit Exposure of any Revolving Credit Lender would exceed such Revolving Credit Lender’s Revolving Credit Commitment, or (C) the Outstanding Amount of all Letter of Credit Obligations would exceed the Letter of Credit Sublimit. Each request by the Borrower Agent for the issuance or amendment of a Letter of Credit shall be deemed to be a representation by the Borrower Agent that the Letter of Credit Extension so requested complies with the conditions set forth in the proviso to the preceding sentence. Within the foregoing limits, and subject to the terms and conditions hereof, the Borrowers’ ability to obtain Letters of Credit shall be fully revolving, and accordingly the Borrowers may, during the foregoing period, obtain Letters of Credit to replace Letters of Credit that have expired or that have been drawn upon and reimbursed.</w:t>
      </w:r>
    </w:p>
    <w:p>
      <w:pPr>
        <w:spacing w:after="0" w:line="161" w:lineRule="exact"/>
        <w:rPr>
          <w:rFonts w:ascii="Arial" w:cs="Arial" w:eastAsia="Arial" w:hAnsi="Arial"/>
          <w:sz w:val="17"/>
          <w:szCs w:val="17"/>
          <w:color w:val="auto"/>
        </w:rPr>
      </w:pPr>
    </w:p>
    <w:p>
      <w:pPr>
        <w:ind w:left="1900" w:hanging="636"/>
        <w:spacing w:after="0"/>
        <w:tabs>
          <w:tab w:leader="none" w:pos="1900" w:val="left"/>
        </w:tabs>
        <w:numPr>
          <w:ilvl w:val="1"/>
          <w:numId w:val="133"/>
        </w:numPr>
        <w:rPr>
          <w:rFonts w:ascii="Arial" w:cs="Arial" w:eastAsia="Arial" w:hAnsi="Arial"/>
          <w:sz w:val="19"/>
          <w:szCs w:val="19"/>
          <w:color w:val="auto"/>
        </w:rPr>
      </w:pPr>
      <w:r>
        <w:rPr>
          <w:rFonts w:ascii="Arial" w:cs="Arial" w:eastAsia="Arial" w:hAnsi="Arial"/>
          <w:sz w:val="19"/>
          <w:szCs w:val="19"/>
          <w:color w:val="auto"/>
        </w:rPr>
        <w:t>The Letter of Credit Issuer shall not issue any Letter of Credit, if:</w:t>
      </w:r>
    </w:p>
    <w:p>
      <w:pPr>
        <w:spacing w:after="0" w:line="214" w:lineRule="exact"/>
        <w:rPr>
          <w:rFonts w:ascii="Arial" w:cs="Arial" w:eastAsia="Arial" w:hAnsi="Arial"/>
          <w:sz w:val="19"/>
          <w:szCs w:val="19"/>
          <w:color w:val="auto"/>
        </w:rPr>
      </w:pPr>
    </w:p>
    <w:p>
      <w:pPr>
        <w:jc w:val="both"/>
        <w:ind w:left="1260" w:firstLine="633"/>
        <w:spacing w:after="0" w:line="254" w:lineRule="auto"/>
        <w:tabs>
          <w:tab w:leader="none" w:pos="2510" w:val="left"/>
        </w:tabs>
        <w:numPr>
          <w:ilvl w:val="2"/>
          <w:numId w:val="133"/>
        </w:numPr>
        <w:rPr>
          <w:rFonts w:ascii="Arial" w:cs="Arial" w:eastAsia="Arial" w:hAnsi="Arial"/>
          <w:sz w:val="19"/>
          <w:szCs w:val="19"/>
          <w:color w:val="auto"/>
        </w:rPr>
      </w:pPr>
      <w:r>
        <w:rPr>
          <w:rFonts w:ascii="Arial" w:cs="Arial" w:eastAsia="Arial" w:hAnsi="Arial"/>
          <w:sz w:val="19"/>
          <w:szCs w:val="19"/>
          <w:color w:val="auto"/>
        </w:rPr>
        <w:t xml:space="preserve">subject to </w:t>
      </w:r>
      <w:r>
        <w:rPr>
          <w:rFonts w:ascii="Arial" w:cs="Arial" w:eastAsia="Arial" w:hAnsi="Arial"/>
          <w:sz w:val="19"/>
          <w:szCs w:val="19"/>
          <w:u w:val="single" w:color="auto"/>
          <w:color w:val="auto"/>
        </w:rPr>
        <w:t>Section 2.03(b)(iii)</w:t>
      </w:r>
      <w:r>
        <w:rPr>
          <w:rFonts w:ascii="Arial" w:cs="Arial" w:eastAsia="Arial" w:hAnsi="Arial"/>
          <w:sz w:val="19"/>
          <w:szCs w:val="19"/>
          <w:color w:val="auto"/>
        </w:rPr>
        <w:t>, the expiry date of such requested Letter of Credit would occur (i) as to standby Letters of Credit, more than twelve months after the date of issuance or last renewal, and (ii) as to commercial Letters of Credit, later than the earlier of (1) 270 days after the date of issuance thereof and (2) 60 days before the Letter of Credit Expiration Date, unless in each case the Required Lenders have approved such expiry date; or</w:t>
      </w:r>
    </w:p>
    <w:p>
      <w:pPr>
        <w:spacing w:after="0" w:line="176" w:lineRule="exact"/>
        <w:rPr>
          <w:rFonts w:ascii="Arial" w:cs="Arial" w:eastAsia="Arial" w:hAnsi="Arial"/>
          <w:sz w:val="19"/>
          <w:szCs w:val="19"/>
          <w:color w:val="auto"/>
        </w:rPr>
      </w:pPr>
    </w:p>
    <w:p>
      <w:pPr>
        <w:ind w:left="2520" w:hanging="627"/>
        <w:spacing w:after="0"/>
        <w:tabs>
          <w:tab w:leader="none" w:pos="2520" w:val="left"/>
        </w:tabs>
        <w:numPr>
          <w:ilvl w:val="2"/>
          <w:numId w:val="133"/>
        </w:numPr>
        <w:rPr>
          <w:rFonts w:ascii="Arial" w:cs="Arial" w:eastAsia="Arial" w:hAnsi="Arial"/>
          <w:sz w:val="19"/>
          <w:szCs w:val="19"/>
          <w:color w:val="auto"/>
        </w:rPr>
      </w:pPr>
      <w:r>
        <w:rPr>
          <w:rFonts w:ascii="Arial" w:cs="Arial" w:eastAsia="Arial" w:hAnsi="Arial"/>
          <w:sz w:val="19"/>
          <w:szCs w:val="19"/>
          <w:color w:val="auto"/>
        </w:rPr>
        <w:t>the expiry date of such requested Letter of Credit would occur after the Letter of Credit Expiration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71</w:t>
      </w:r>
    </w:p>
    <w:p>
      <w:pPr>
        <w:sectPr>
          <w:pgSz w:w="11900" w:h="16838" w:orient="portrait"/>
          <w:cols w:equalWidth="0" w:num="1">
            <w:col w:w="11240"/>
          </w:cols>
          <w:pgMar w:left="320" w:top="1382" w:right="339" w:bottom="1440" w:gutter="0" w:footer="0" w:header="0"/>
        </w:sectPr>
      </w:pPr>
    </w:p>
    <w:bookmarkStart w:id="190" w:name="page191"/>
    <w:bookmarkEnd w:id="190"/>
    <w:p>
      <w:pPr>
        <w:ind w:left="780" w:hanging="636"/>
        <w:spacing w:after="0"/>
        <w:tabs>
          <w:tab w:leader="none" w:pos="780" w:val="left"/>
        </w:tabs>
        <w:numPr>
          <w:ilvl w:val="0"/>
          <w:numId w:val="134"/>
        </w:numPr>
        <w:rPr>
          <w:rFonts w:ascii="Arial" w:cs="Arial" w:eastAsia="Arial" w:hAnsi="Arial"/>
          <w:sz w:val="19"/>
          <w:szCs w:val="19"/>
          <w:color w:val="auto"/>
        </w:rPr>
      </w:pPr>
      <w:r>
        <w:rPr>
          <w:rFonts w:ascii="Arial" w:cs="Arial" w:eastAsia="Arial" w:hAnsi="Arial"/>
          <w:sz w:val="19"/>
          <w:szCs w:val="19"/>
          <w:color w:val="auto"/>
        </w:rPr>
        <w:t>The Letter of Credit Issuer shall not be under any obligation to issue any Letter of Credit if:</w:t>
      </w:r>
    </w:p>
    <w:p>
      <w:pPr>
        <w:spacing w:after="0" w:line="214" w:lineRule="exact"/>
        <w:rPr>
          <w:rFonts w:ascii="Arial" w:cs="Arial" w:eastAsia="Arial" w:hAnsi="Arial"/>
          <w:sz w:val="19"/>
          <w:szCs w:val="19"/>
          <w:color w:val="auto"/>
        </w:rPr>
      </w:pPr>
    </w:p>
    <w:p>
      <w:pPr>
        <w:jc w:val="both"/>
        <w:ind w:left="140" w:firstLine="633"/>
        <w:spacing w:after="0" w:line="282" w:lineRule="auto"/>
        <w:tabs>
          <w:tab w:leader="none" w:pos="1390" w:val="left"/>
        </w:tabs>
        <w:numPr>
          <w:ilvl w:val="1"/>
          <w:numId w:val="134"/>
        </w:numPr>
        <w:rPr>
          <w:rFonts w:ascii="Arial" w:cs="Arial" w:eastAsia="Arial" w:hAnsi="Arial"/>
          <w:sz w:val="17"/>
          <w:szCs w:val="17"/>
          <w:color w:val="auto"/>
        </w:rPr>
      </w:pPr>
      <w:r>
        <w:rPr>
          <w:rFonts w:ascii="Arial" w:cs="Arial" w:eastAsia="Arial" w:hAnsi="Arial"/>
          <w:sz w:val="17"/>
          <w:szCs w:val="17"/>
          <w:color w:val="auto"/>
        </w:rPr>
        <w:t>any order, judgment or decree of any Governmental Authority or arbitrator shall by its terms purport to enjoin or restrain the Letter of Credit Issuer from issuing such Letter of Credit or any Law applicable to the Letter of Credit Issuer or any request or directive (whether or not having the force of law) from any Governmental Authority with jurisdiction over the Letter of Credit Issuer shall prohibit, or request that the Letter of Credit Issuer refrain from, the issuance of letters of credit generally or such Letter of Credit in particular or shall impose upon the Letter of Credit Issuer with respect to such Letter of Credit any restriction, reserve or capital requirement (for which the Letter of Credit Issuer is not otherwise compensated hereunder) not in effect on the Closing Date, or shall impose upon the Letter of Credit Issuer any unreimbursed loss, cost or expense which was not applicable on the Closing Date and which the Letter of Credit Issuer in good faith deems material to it;</w:t>
      </w:r>
    </w:p>
    <w:p>
      <w:pPr>
        <w:spacing w:after="0" w:line="155" w:lineRule="exact"/>
        <w:rPr>
          <w:rFonts w:ascii="Arial" w:cs="Arial" w:eastAsia="Arial" w:hAnsi="Arial"/>
          <w:sz w:val="17"/>
          <w:szCs w:val="17"/>
          <w:color w:val="auto"/>
        </w:rPr>
      </w:pPr>
    </w:p>
    <w:p>
      <w:pPr>
        <w:ind w:left="1400" w:hanging="627"/>
        <w:spacing w:after="0"/>
        <w:tabs>
          <w:tab w:leader="none" w:pos="1400" w:val="left"/>
        </w:tabs>
        <w:numPr>
          <w:ilvl w:val="1"/>
          <w:numId w:val="134"/>
        </w:numPr>
        <w:rPr>
          <w:rFonts w:ascii="Arial" w:cs="Arial" w:eastAsia="Arial" w:hAnsi="Arial"/>
          <w:sz w:val="19"/>
          <w:szCs w:val="19"/>
          <w:color w:val="auto"/>
        </w:rPr>
      </w:pPr>
      <w:r>
        <w:rPr>
          <w:rFonts w:ascii="Arial" w:cs="Arial" w:eastAsia="Arial" w:hAnsi="Arial"/>
          <w:sz w:val="19"/>
          <w:szCs w:val="19"/>
          <w:color w:val="auto"/>
        </w:rPr>
        <w:t>the issuance of such Letter of Credit would violate one or more policies of the Letter of Credit Issuer;</w:t>
      </w:r>
    </w:p>
    <w:p>
      <w:pPr>
        <w:spacing w:after="0" w:line="214" w:lineRule="exact"/>
        <w:rPr>
          <w:rFonts w:ascii="Arial" w:cs="Arial" w:eastAsia="Arial" w:hAnsi="Arial"/>
          <w:sz w:val="19"/>
          <w:szCs w:val="19"/>
          <w:color w:val="auto"/>
        </w:rPr>
      </w:pPr>
    </w:p>
    <w:p>
      <w:pPr>
        <w:ind w:left="1400" w:hanging="627"/>
        <w:spacing w:after="0"/>
        <w:tabs>
          <w:tab w:leader="none" w:pos="1400" w:val="left"/>
        </w:tabs>
        <w:numPr>
          <w:ilvl w:val="1"/>
          <w:numId w:val="134"/>
        </w:numPr>
        <w:rPr>
          <w:rFonts w:ascii="Arial" w:cs="Arial" w:eastAsia="Arial" w:hAnsi="Arial"/>
          <w:sz w:val="19"/>
          <w:szCs w:val="19"/>
          <w:color w:val="auto"/>
        </w:rPr>
      </w:pPr>
      <w:r>
        <w:rPr>
          <w:rFonts w:ascii="Arial" w:cs="Arial" w:eastAsia="Arial" w:hAnsi="Arial"/>
          <w:sz w:val="19"/>
          <w:szCs w:val="19"/>
          <w:color w:val="auto"/>
        </w:rPr>
        <w:t>such Letter of Credit is in an initial amount less than the Dollar Equivalent of $10,000; or</w:t>
      </w:r>
    </w:p>
    <w:p>
      <w:pPr>
        <w:spacing w:after="0" w:line="214" w:lineRule="exact"/>
        <w:rPr>
          <w:rFonts w:ascii="Arial" w:cs="Arial" w:eastAsia="Arial" w:hAnsi="Arial"/>
          <w:sz w:val="19"/>
          <w:szCs w:val="19"/>
          <w:color w:val="auto"/>
        </w:rPr>
      </w:pPr>
    </w:p>
    <w:p>
      <w:pPr>
        <w:jc w:val="both"/>
        <w:ind w:left="140" w:firstLine="633"/>
        <w:spacing w:after="0" w:line="250" w:lineRule="auto"/>
        <w:tabs>
          <w:tab w:leader="none" w:pos="1390" w:val="left"/>
        </w:tabs>
        <w:numPr>
          <w:ilvl w:val="1"/>
          <w:numId w:val="134"/>
        </w:numPr>
        <w:rPr>
          <w:rFonts w:ascii="Arial" w:cs="Arial" w:eastAsia="Arial" w:hAnsi="Arial"/>
          <w:sz w:val="19"/>
          <w:szCs w:val="19"/>
          <w:color w:val="auto"/>
        </w:rPr>
      </w:pPr>
      <w:r>
        <w:rPr>
          <w:rFonts w:ascii="Arial" w:cs="Arial" w:eastAsia="Arial" w:hAnsi="Arial"/>
          <w:sz w:val="19"/>
          <w:szCs w:val="19"/>
          <w:color w:val="auto"/>
        </w:rPr>
        <w:t xml:space="preserve">any Lender is at that time a Defaulting Lender, unless the Letter of Credit Issuer has entered into arrangements, including the delivery of Cash Collateral, satisfactory to the Letter of Credit Issuer (in its sole discretion) with the Borrowers or such Lender to eliminate the Letter of Credit Issuer’s actual or potential Fronting Exposure (after giving effect to </w:t>
      </w:r>
      <w:r>
        <w:rPr>
          <w:rFonts w:ascii="Arial" w:cs="Arial" w:eastAsia="Arial" w:hAnsi="Arial"/>
          <w:sz w:val="19"/>
          <w:szCs w:val="19"/>
          <w:u w:val="single" w:color="auto"/>
          <w:color w:val="auto"/>
        </w:rPr>
        <w:t>Section 2.17(a)</w:t>
      </w:r>
      <w:r>
        <w:rPr>
          <w:rFonts w:ascii="Arial" w:cs="Arial" w:eastAsia="Arial" w:hAnsi="Arial"/>
          <w:sz w:val="19"/>
          <w:szCs w:val="19"/>
          <w:color w:val="auto"/>
        </w:rPr>
        <w:t xml:space="preserve"> </w:t>
      </w:r>
      <w:r>
        <w:rPr>
          <w:rFonts w:ascii="Arial" w:cs="Arial" w:eastAsia="Arial" w:hAnsi="Arial"/>
          <w:sz w:val="19"/>
          <w:szCs w:val="19"/>
          <w:u w:val="single" w:color="auto"/>
          <w:color w:val="auto"/>
        </w:rPr>
        <w:t>(iv)</w:t>
      </w:r>
      <w:r>
        <w:rPr>
          <w:rFonts w:ascii="Arial" w:cs="Arial" w:eastAsia="Arial" w:hAnsi="Arial"/>
          <w:sz w:val="19"/>
          <w:szCs w:val="19"/>
          <w:color w:val="auto"/>
        </w:rPr>
        <w:t>) with respect to the Defaulting Lender arising from either the Letter of Credit then proposed to be issued or that Letter of Credit and all other Letter of Credit Obligations as to which the Letter of Credit Issuer has actual or potential Fronting Exposure, as it may elect in its sole discretion.</w:t>
      </w:r>
    </w:p>
    <w:p>
      <w:pPr>
        <w:spacing w:after="0" w:line="181" w:lineRule="exact"/>
        <w:rPr>
          <w:rFonts w:ascii="Arial" w:cs="Arial" w:eastAsia="Arial" w:hAnsi="Arial"/>
          <w:sz w:val="19"/>
          <w:szCs w:val="19"/>
          <w:color w:val="auto"/>
        </w:rPr>
      </w:pPr>
    </w:p>
    <w:p>
      <w:pPr>
        <w:ind w:left="-480" w:firstLine="624"/>
        <w:spacing w:after="0" w:line="274" w:lineRule="auto"/>
        <w:tabs>
          <w:tab w:leader="none" w:pos="768" w:val="left"/>
        </w:tabs>
        <w:numPr>
          <w:ilvl w:val="0"/>
          <w:numId w:val="134"/>
        </w:numPr>
        <w:rPr>
          <w:rFonts w:ascii="Arial" w:cs="Arial" w:eastAsia="Arial" w:hAnsi="Arial"/>
          <w:sz w:val="19"/>
          <w:szCs w:val="19"/>
          <w:color w:val="auto"/>
        </w:rPr>
      </w:pPr>
      <w:r>
        <w:rPr>
          <w:rFonts w:ascii="Arial" w:cs="Arial" w:eastAsia="Arial" w:hAnsi="Arial"/>
          <w:sz w:val="19"/>
          <w:szCs w:val="19"/>
          <w:color w:val="auto"/>
        </w:rPr>
        <w:t>The Letter of Credit Issuer shall not amend any Letter of Credit if the Letter of Credit Issuer would not be permitted at such time to issue such Letter of Credit in its amended form under the terms hereof.</w:t>
      </w:r>
    </w:p>
    <w:p>
      <w:pPr>
        <w:spacing w:after="0" w:line="156" w:lineRule="exact"/>
        <w:rPr>
          <w:rFonts w:ascii="Arial" w:cs="Arial" w:eastAsia="Arial" w:hAnsi="Arial"/>
          <w:sz w:val="19"/>
          <w:szCs w:val="19"/>
          <w:color w:val="auto"/>
        </w:rPr>
      </w:pPr>
    </w:p>
    <w:p>
      <w:pPr>
        <w:jc w:val="both"/>
        <w:ind w:left="-480" w:firstLine="624"/>
        <w:spacing w:after="0" w:line="259" w:lineRule="auto"/>
        <w:tabs>
          <w:tab w:leader="none" w:pos="767" w:val="left"/>
        </w:tabs>
        <w:numPr>
          <w:ilvl w:val="0"/>
          <w:numId w:val="134"/>
        </w:numPr>
        <w:rPr>
          <w:rFonts w:ascii="Arial" w:cs="Arial" w:eastAsia="Arial" w:hAnsi="Arial"/>
          <w:sz w:val="19"/>
          <w:szCs w:val="19"/>
          <w:color w:val="auto"/>
        </w:rPr>
      </w:pPr>
      <w:r>
        <w:rPr>
          <w:rFonts w:ascii="Arial" w:cs="Arial" w:eastAsia="Arial" w:hAnsi="Arial"/>
          <w:sz w:val="19"/>
          <w:szCs w:val="19"/>
          <w:color w:val="auto"/>
        </w:rPr>
        <w:t>The Letter of Credit Issuer shall be under no obligation to amend any Letter of Credit if (A) the Letter of Credit Issuer would have no obligation at such time to issue such Letter of Credit in its amended form under the terms hereof, or (B) the beneficiary of such Letter of Credit does not accept the proposed amendment to such Letter of Credit.</w:t>
      </w:r>
    </w:p>
    <w:p>
      <w:pPr>
        <w:spacing w:after="0" w:line="171" w:lineRule="exact"/>
        <w:rPr>
          <w:rFonts w:ascii="Arial" w:cs="Arial" w:eastAsia="Arial" w:hAnsi="Arial"/>
          <w:sz w:val="19"/>
          <w:szCs w:val="19"/>
          <w:color w:val="auto"/>
        </w:rPr>
      </w:pPr>
    </w:p>
    <w:p>
      <w:pPr>
        <w:jc w:val="both"/>
        <w:ind w:left="-480" w:firstLine="624"/>
        <w:spacing w:after="0" w:line="269" w:lineRule="auto"/>
        <w:tabs>
          <w:tab w:leader="none" w:pos="768" w:val="left"/>
        </w:tabs>
        <w:numPr>
          <w:ilvl w:val="0"/>
          <w:numId w:val="134"/>
        </w:numPr>
        <w:rPr>
          <w:rFonts w:ascii="Arial" w:cs="Arial" w:eastAsia="Arial" w:hAnsi="Arial"/>
          <w:sz w:val="18"/>
          <w:szCs w:val="18"/>
          <w:color w:val="auto"/>
        </w:rPr>
      </w:pPr>
      <w:r>
        <w:rPr>
          <w:rFonts w:ascii="Arial" w:cs="Arial" w:eastAsia="Arial" w:hAnsi="Arial"/>
          <w:sz w:val="18"/>
          <w:szCs w:val="18"/>
          <w:color w:val="auto"/>
        </w:rPr>
        <w:t xml:space="preserve">The Letter of Credit Issuer shall act on behalf of the Revolving Credit Lenders with respect to any Letters of Credit issued by it and the documents associated therewith, and the Letter of Credit Issuer shall have all of the benefits and immunities (A) provided to the Administrative Agent in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with respect to any acts taken or omissions suffered by the Letter of Credit Issuer in connection with Letters of Credit issued by it or proposed to be issued by it and Issuer Documents pertaining to such Letters of Credit as fully as if the term “Administrative Agent” as used in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included the Letter of Credit Issuer with respect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400"/>
        <w:spacing w:after="0"/>
        <w:rPr>
          <w:sz w:val="20"/>
          <w:szCs w:val="20"/>
          <w:color w:val="auto"/>
        </w:rPr>
      </w:pPr>
      <w:r>
        <w:rPr>
          <w:rFonts w:ascii="Arial" w:cs="Arial" w:eastAsia="Arial" w:hAnsi="Arial"/>
          <w:sz w:val="19"/>
          <w:szCs w:val="19"/>
          <w:color w:val="auto"/>
        </w:rPr>
        <w:t>72</w:t>
      </w:r>
    </w:p>
    <w:p>
      <w:pPr>
        <w:sectPr>
          <w:pgSz w:w="11900" w:h="16838" w:orient="portrait"/>
          <w:cols w:equalWidth="0" w:num="1">
            <w:col w:w="10120"/>
          </w:cols>
          <w:pgMar w:left="1440" w:top="1381" w:right="339" w:bottom="1440" w:gutter="0" w:footer="0" w:header="0"/>
        </w:sectPr>
      </w:pPr>
    </w:p>
    <w:bookmarkStart w:id="191" w:name="page192"/>
    <w:bookmarkEnd w:id="191"/>
    <w:p>
      <w:pPr>
        <w:ind w:left="6"/>
        <w:spacing w:after="0"/>
        <w:rPr>
          <w:sz w:val="20"/>
          <w:szCs w:val="20"/>
          <w:color w:val="auto"/>
        </w:rPr>
      </w:pPr>
      <w:r>
        <w:rPr>
          <w:rFonts w:ascii="Arial" w:cs="Arial" w:eastAsia="Arial" w:hAnsi="Arial"/>
          <w:sz w:val="19"/>
          <w:szCs w:val="19"/>
          <w:color w:val="auto"/>
        </w:rPr>
        <w:t>such acts or omissions, and (B) as additionally provided herein with respect to the Letter of Credit Issuer.</w:t>
      </w:r>
    </w:p>
    <w:p>
      <w:pPr>
        <w:spacing w:after="0" w:line="214" w:lineRule="exact"/>
        <w:rPr>
          <w:sz w:val="20"/>
          <w:szCs w:val="20"/>
          <w:color w:val="auto"/>
        </w:rPr>
      </w:pPr>
    </w:p>
    <w:p>
      <w:pPr>
        <w:ind w:left="626" w:hanging="626"/>
        <w:spacing w:after="0"/>
        <w:tabs>
          <w:tab w:leader="none" w:pos="626" w:val="left"/>
        </w:tabs>
        <w:numPr>
          <w:ilvl w:val="0"/>
          <w:numId w:val="135"/>
        </w:numPr>
        <w:rPr>
          <w:rFonts w:ascii="Arial" w:cs="Arial" w:eastAsia="Arial" w:hAnsi="Arial"/>
          <w:sz w:val="19"/>
          <w:szCs w:val="19"/>
          <w:color w:val="auto"/>
        </w:rPr>
      </w:pPr>
      <w:r>
        <w:rPr>
          <w:rFonts w:ascii="Arial" w:cs="Arial" w:eastAsia="Arial" w:hAnsi="Arial"/>
          <w:sz w:val="19"/>
          <w:szCs w:val="19"/>
          <w:u w:val="single" w:color="auto"/>
          <w:color w:val="auto"/>
        </w:rPr>
        <w:t>Procedures for Issuance and Amendment of Letters of Credit; Auto-Extension Letters of Credit</w:t>
      </w:r>
      <w:r>
        <w:rPr>
          <w:rFonts w:ascii="Arial" w:cs="Arial" w:eastAsia="Arial" w:hAnsi="Arial"/>
          <w:sz w:val="19"/>
          <w:szCs w:val="19"/>
          <w:color w:val="auto"/>
        </w:rPr>
        <w:t>.</w:t>
      </w:r>
    </w:p>
    <w:p>
      <w:pPr>
        <w:spacing w:after="0" w:line="214" w:lineRule="exact"/>
        <w:rPr>
          <w:rFonts w:ascii="Arial" w:cs="Arial" w:eastAsia="Arial" w:hAnsi="Arial"/>
          <w:sz w:val="19"/>
          <w:szCs w:val="19"/>
          <w:color w:val="auto"/>
        </w:rPr>
      </w:pPr>
    </w:p>
    <w:p>
      <w:pPr>
        <w:jc w:val="both"/>
        <w:ind w:left="6" w:firstLine="624"/>
        <w:spacing w:after="0" w:line="276" w:lineRule="auto"/>
        <w:tabs>
          <w:tab w:leader="none" w:pos="1262" w:val="left"/>
        </w:tabs>
        <w:numPr>
          <w:ilvl w:val="1"/>
          <w:numId w:val="135"/>
        </w:numPr>
        <w:rPr>
          <w:rFonts w:ascii="Arial" w:cs="Arial" w:eastAsia="Arial" w:hAnsi="Arial"/>
          <w:sz w:val="17"/>
          <w:szCs w:val="17"/>
          <w:color w:val="auto"/>
        </w:rPr>
      </w:pPr>
      <w:r>
        <w:rPr>
          <w:rFonts w:ascii="Arial" w:cs="Arial" w:eastAsia="Arial" w:hAnsi="Arial"/>
          <w:sz w:val="17"/>
          <w:szCs w:val="17"/>
          <w:color w:val="auto"/>
        </w:rPr>
        <w:t>Each Letter of Credit shall be issued or amended, as the case may be, upon the request of the Borrower Agent delivered to the Letter of Credit Issuer (with a copy to the Administrative Agent) in the form of a Letter of Credit Application, appropriately completed and signed by a Responsible Officer of the Borrower Agent and, if applicable, of the applicable Borrower. Such Letter of Credit Application must be received by the Letter of Credit Issuer and the Administrative Agent not later than 11:00 a.m. at least two Business Days (or such later date and time as the Administrative Agent and the Letter of Credit Issuer may agree in a particular instance in its sole discretion) prior to the proposed issuance date or date of amendment, as the case may be. In the case of a request for an initial issuance of a Letter of Credit, such Letter of Credit Application shall specify in form and detail satisfactory to the Letter of Credit Issuer:</w:t>
      </w:r>
    </w:p>
    <w:p>
      <w:pPr>
        <w:spacing w:after="0" w:line="2" w:lineRule="exact"/>
        <w:rPr>
          <w:rFonts w:ascii="Arial" w:cs="Arial" w:eastAsia="Arial" w:hAnsi="Arial"/>
          <w:sz w:val="17"/>
          <w:szCs w:val="17"/>
          <w:color w:val="auto"/>
        </w:rPr>
      </w:pPr>
    </w:p>
    <w:p>
      <w:pPr>
        <w:jc w:val="both"/>
        <w:ind w:left="6"/>
        <w:spacing w:after="0" w:line="246" w:lineRule="auto"/>
        <w:rPr>
          <w:rFonts w:ascii="Arial" w:cs="Arial" w:eastAsia="Arial" w:hAnsi="Arial"/>
          <w:sz w:val="17"/>
          <w:szCs w:val="17"/>
          <w:color w:val="auto"/>
        </w:rPr>
      </w:pPr>
      <w:r>
        <w:rPr>
          <w:rFonts w:ascii="Arial" w:cs="Arial" w:eastAsia="Arial" w:hAnsi="Arial"/>
          <w:sz w:val="19"/>
          <w:szCs w:val="19"/>
          <w:color w:val="auto"/>
        </w:rPr>
        <w:t>(A) the proposed issuance date of the requested Letter of Credit (which shall be a Business Day); (B) the amount thereof; (C) the expiry date thereof; (D) the name and address of the beneficiary thereof; (E) the documents to be presented by such beneficiary in case of any drawing or presentation thereunder; (F) the full text of any certificate to be presented by such beneficiary in case of any drawing or presentation thereunder; and (G) such other matters as the Letter of Credit Issuer may require. In the case of a request for an amendment of any outstanding Letter of Credit, such Letter of Credit Application shall specify in form and detail satisfactory to the Letter of Credit Issuer (1) the Letter of Credit to be amended; (2) the proposed date of amendment thereof (which shall be a Business Day); (3) the nature of the proposed amendment; and (4) such other matters as the Letter of Credit Issuer may require. Additionally, the Borrower Agent shall furnish to the Letter of Credit Issuer and the Administrative Agent such other documents and information pertaining to such requested Letter of Credit issuance or amendment, including any Issuer Documents, as the Letter of Credit Issuer or the Administrative Agent may require.</w:t>
      </w:r>
    </w:p>
    <w:p>
      <w:pPr>
        <w:spacing w:after="0" w:line="183" w:lineRule="exact"/>
        <w:rPr>
          <w:rFonts w:ascii="Arial" w:cs="Arial" w:eastAsia="Arial" w:hAnsi="Arial"/>
          <w:sz w:val="17"/>
          <w:szCs w:val="17"/>
          <w:color w:val="auto"/>
        </w:rPr>
      </w:pPr>
    </w:p>
    <w:p>
      <w:pPr>
        <w:jc w:val="both"/>
        <w:ind w:left="6" w:firstLine="624"/>
        <w:spacing w:after="0" w:line="262" w:lineRule="auto"/>
        <w:tabs>
          <w:tab w:leader="none" w:pos="1263" w:val="left"/>
        </w:tabs>
        <w:numPr>
          <w:ilvl w:val="1"/>
          <w:numId w:val="135"/>
        </w:numPr>
        <w:rPr>
          <w:rFonts w:ascii="Arial" w:cs="Arial" w:eastAsia="Arial" w:hAnsi="Arial"/>
          <w:sz w:val="18"/>
          <w:szCs w:val="18"/>
          <w:color w:val="auto"/>
        </w:rPr>
      </w:pPr>
      <w:r>
        <w:rPr>
          <w:rFonts w:ascii="Arial" w:cs="Arial" w:eastAsia="Arial" w:hAnsi="Arial"/>
          <w:sz w:val="18"/>
          <w:szCs w:val="18"/>
          <w:color w:val="auto"/>
        </w:rPr>
        <w:t xml:space="preserve">Promptly after receipt of any Letter of Credit Application, the Letter of Credit Issuer will confirm with the Administrative Agent (by telephone or in writing) that the Administrative Agent has received a copy of such Letter of Credit Application from the applicable Borrower and, if not, the Letter of Credit Issuer will provide the Administrative Agent with a copy thereof. Unless the Letter of Credit Issuer has received written notice from any Revolving Credit Lender, the Administrative Agent or any Borrower, at least one Business Day prior to the requested date of issuance or amendment of the applicable Letter of Credit, that one or more applicable conditions contained in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shall not then be satisfied, then, subject to the terms and conditions hereof, the Letter of Credit Issuer shall, on the requested date, issue a Letter of Credit for the account of the Company or the Company and the applicable Borrower or enter into the applicable amendment, as the case may be, in each case in accordance with the Letter of Credit Issuer’s usual and customary business practices. Immediately upon the issuance of each Letter of Credit, each Revolving Credit Lender shall be deemed to, and hereby irrevocably and unconditionally agrees to, purchase from the Letter of Credit Issuer a risk participation in such Letter of Credit in an amount equal to the product of such Revolving Credit Lender’s Applicable Percentage </w:t>
      </w:r>
      <w:r>
        <w:rPr>
          <w:rFonts w:ascii="Arial" w:cs="Arial" w:eastAsia="Arial" w:hAnsi="Arial"/>
          <w:sz w:val="18"/>
          <w:szCs w:val="18"/>
          <w:u w:val="single" w:color="auto"/>
          <w:color w:val="auto"/>
        </w:rPr>
        <w:t>times</w:t>
      </w:r>
      <w:r>
        <w:rPr>
          <w:rFonts w:ascii="Arial" w:cs="Arial" w:eastAsia="Arial" w:hAnsi="Arial"/>
          <w:sz w:val="18"/>
          <w:szCs w:val="18"/>
          <w:color w:val="auto"/>
        </w:rPr>
        <w:t xml:space="preserve"> the amount of such Letter of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886"/>
        <w:spacing w:after="0"/>
        <w:rPr>
          <w:sz w:val="20"/>
          <w:szCs w:val="20"/>
          <w:color w:val="auto"/>
        </w:rPr>
      </w:pPr>
      <w:r>
        <w:rPr>
          <w:rFonts w:ascii="Arial" w:cs="Arial" w:eastAsia="Arial" w:hAnsi="Arial"/>
          <w:sz w:val="19"/>
          <w:szCs w:val="19"/>
          <w:color w:val="auto"/>
        </w:rPr>
        <w:t>73</w:t>
      </w:r>
    </w:p>
    <w:p>
      <w:pPr>
        <w:sectPr>
          <w:pgSz w:w="11900" w:h="16838" w:orient="portrait"/>
          <w:cols w:equalWidth="0" w:num="1">
            <w:col w:w="10606"/>
          </w:cols>
          <w:pgMar w:left="954" w:top="1382" w:right="339" w:bottom="1440" w:gutter="0" w:footer="0" w:header="0"/>
        </w:sectPr>
      </w:pPr>
    </w:p>
    <w:bookmarkStart w:id="192" w:name="page193"/>
    <w:bookmarkEnd w:id="192"/>
    <w:p>
      <w:pPr>
        <w:jc w:val="both"/>
        <w:ind w:left="6" w:firstLine="624"/>
        <w:spacing w:after="0" w:line="275" w:lineRule="auto"/>
        <w:tabs>
          <w:tab w:leader="none" w:pos="1264" w:val="left"/>
        </w:tabs>
        <w:numPr>
          <w:ilvl w:val="1"/>
          <w:numId w:val="136"/>
        </w:numPr>
        <w:rPr>
          <w:rFonts w:ascii="Arial" w:cs="Arial" w:eastAsia="Arial" w:hAnsi="Arial"/>
          <w:sz w:val="17"/>
          <w:szCs w:val="17"/>
          <w:color w:val="auto"/>
        </w:rPr>
      </w:pPr>
      <w:r>
        <w:rPr>
          <w:rFonts w:ascii="Arial" w:cs="Arial" w:eastAsia="Arial" w:hAnsi="Arial"/>
          <w:sz w:val="17"/>
          <w:szCs w:val="17"/>
          <w:color w:val="auto"/>
        </w:rPr>
        <w:t>If the Borrower Agent so requests in any applicable Letter of Credit Application, the Letter of Credit Issuer may, in its sole and absolute discretion, agree to issue a Letter of Credit other than a commercial Letter of Credit that has automatic extension provisions (each, an “</w:t>
      </w:r>
      <w:r>
        <w:rPr>
          <w:rFonts w:ascii="Arial" w:cs="Arial" w:eastAsia="Arial" w:hAnsi="Arial"/>
          <w:sz w:val="17"/>
          <w:szCs w:val="17"/>
          <w:u w:val="single" w:color="auto"/>
          <w:color w:val="auto"/>
        </w:rPr>
        <w:t>Auto-Extension Letter of Credit</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such Auto-Extension Letter of Credit must permit the Letter of Credit Issuer to prevent any such extension at least once in each twelve-month period (commencing with the date of issuance of such Letter of Credit) by giving prior notice to the beneficiary thereof not later than a day (the “</w:t>
      </w:r>
      <w:r>
        <w:rPr>
          <w:rFonts w:ascii="Arial" w:cs="Arial" w:eastAsia="Arial" w:hAnsi="Arial"/>
          <w:sz w:val="17"/>
          <w:szCs w:val="17"/>
          <w:u w:val="single" w:color="auto"/>
          <w:color w:val="auto"/>
        </w:rPr>
        <w:t>Non-Extension Notice Date</w:t>
      </w:r>
      <w:r>
        <w:rPr>
          <w:rFonts w:ascii="Arial" w:cs="Arial" w:eastAsia="Arial" w:hAnsi="Arial"/>
          <w:sz w:val="17"/>
          <w:szCs w:val="17"/>
          <w:color w:val="auto"/>
        </w:rPr>
        <w:t xml:space="preserve">”) in each such twelve-month period to be agreed upon at the time such Letter of Credit is issued. Unless otherwise directed by the Letter of Credit Issuer, the Borrower Agent shall not be required to make a specific request to the Letter of Credit Issuer for any such extension. Once an Auto-Extension Letter of Credit has been issued, the Revolving Credit Lenders shall be deemed to have authorized (but may not require) the Letter of Credit Issuer to permit the extension of such Letter of Credit;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Letter of Credit Issuer shall not permit any such extension if (A) the Letter of Credit Issuer has determined that it would not be permitted, or would have no obligation, at such time to issue such Letter of Credit in its revised form (as extended) under the terms hereof (by reason of the provisions clause </w:t>
      </w:r>
      <w:r>
        <w:rPr>
          <w:rFonts w:ascii="Arial" w:cs="Arial" w:eastAsia="Arial" w:hAnsi="Arial"/>
          <w:sz w:val="17"/>
          <w:szCs w:val="17"/>
          <w:u w:val="single" w:color="auto"/>
          <w:color w:val="auto"/>
        </w:rPr>
        <w:t>(ii)</w:t>
      </w:r>
      <w:r>
        <w:rPr>
          <w:rFonts w:ascii="Arial" w:cs="Arial" w:eastAsia="Arial" w:hAnsi="Arial"/>
          <w:sz w:val="17"/>
          <w:szCs w:val="17"/>
          <w:color w:val="auto"/>
        </w:rPr>
        <w:t xml:space="preserve"> or</w:t>
      </w:r>
    </w:p>
    <w:p>
      <w:pPr>
        <w:spacing w:after="0" w:line="4" w:lineRule="exact"/>
        <w:rPr>
          <w:rFonts w:ascii="Arial" w:cs="Arial" w:eastAsia="Arial" w:hAnsi="Arial"/>
          <w:sz w:val="17"/>
          <w:szCs w:val="17"/>
          <w:color w:val="auto"/>
        </w:rPr>
      </w:pPr>
    </w:p>
    <w:p>
      <w:pPr>
        <w:jc w:val="both"/>
        <w:ind w:left="6" w:hanging="6"/>
        <w:spacing w:after="0" w:line="247" w:lineRule="auto"/>
        <w:tabs>
          <w:tab w:leader="none" w:pos="348" w:val="left"/>
        </w:tabs>
        <w:numPr>
          <w:ilvl w:val="0"/>
          <w:numId w:val="137"/>
        </w:numPr>
        <w:rPr>
          <w:rFonts w:ascii="Arial" w:cs="Arial" w:eastAsia="Arial" w:hAnsi="Arial"/>
          <w:sz w:val="19"/>
          <w:szCs w:val="19"/>
          <w:u w:val="single" w:color="auto"/>
          <w:color w:val="auto"/>
        </w:rPr>
      </w:pPr>
      <w:r>
        <w:rPr>
          <w:rFonts w:ascii="Arial" w:cs="Arial" w:eastAsia="Arial" w:hAnsi="Arial"/>
          <w:sz w:val="19"/>
          <w:szCs w:val="19"/>
          <w:color w:val="auto"/>
        </w:rPr>
        <w:t xml:space="preserve">of </w:t>
      </w:r>
      <w:r>
        <w:rPr>
          <w:rFonts w:ascii="Arial" w:cs="Arial" w:eastAsia="Arial" w:hAnsi="Arial"/>
          <w:sz w:val="19"/>
          <w:szCs w:val="19"/>
          <w:u w:val="single" w:color="auto"/>
          <w:color w:val="auto"/>
        </w:rPr>
        <w:t>Section 2.03(a)</w:t>
      </w:r>
      <w:r>
        <w:rPr>
          <w:rFonts w:ascii="Arial" w:cs="Arial" w:eastAsia="Arial" w:hAnsi="Arial"/>
          <w:sz w:val="19"/>
          <w:szCs w:val="19"/>
          <w:color w:val="auto"/>
        </w:rPr>
        <w:t xml:space="preserve"> or otherwise), or (B) it has received notice (which may be by telephone or in writing) on or before the day that is five Business Days before the Non-Extension Notice Date (1) from the Administrative Agent that the Required Lenders have elected not to permit such extension or (2) from the Administrative Agent, any Revolving Credit Lender or the Borrower Agent that one or more of the applicable conditions specified in </w:t>
      </w:r>
      <w:r>
        <w:rPr>
          <w:rFonts w:ascii="Arial" w:cs="Arial" w:eastAsia="Arial" w:hAnsi="Arial"/>
          <w:sz w:val="19"/>
          <w:szCs w:val="19"/>
          <w:u w:val="single" w:color="auto"/>
          <w:color w:val="auto"/>
        </w:rPr>
        <w:t>Section 5.02</w:t>
      </w:r>
      <w:r>
        <w:rPr>
          <w:rFonts w:ascii="Arial" w:cs="Arial" w:eastAsia="Arial" w:hAnsi="Arial"/>
          <w:sz w:val="19"/>
          <w:szCs w:val="19"/>
          <w:color w:val="auto"/>
        </w:rPr>
        <w:t xml:space="preserve"> is not then satisfied, and in each such case directing the Letter of Credit Issuer not to permit such extension.</w:t>
      </w:r>
    </w:p>
    <w:p>
      <w:pPr>
        <w:spacing w:after="0" w:line="184" w:lineRule="exact"/>
        <w:rPr>
          <w:rFonts w:ascii="Arial" w:cs="Arial" w:eastAsia="Arial" w:hAnsi="Arial"/>
          <w:sz w:val="19"/>
          <w:szCs w:val="19"/>
          <w:u w:val="single" w:color="auto"/>
          <w:color w:val="auto"/>
        </w:rPr>
      </w:pPr>
    </w:p>
    <w:p>
      <w:pPr>
        <w:jc w:val="both"/>
        <w:ind w:left="6" w:firstLine="624"/>
        <w:spacing w:after="0" w:line="259" w:lineRule="auto"/>
        <w:tabs>
          <w:tab w:leader="none" w:pos="1253" w:val="left"/>
        </w:tabs>
        <w:numPr>
          <w:ilvl w:val="1"/>
          <w:numId w:val="137"/>
        </w:numPr>
        <w:rPr>
          <w:rFonts w:ascii="Arial" w:cs="Arial" w:eastAsia="Arial" w:hAnsi="Arial"/>
          <w:sz w:val="19"/>
          <w:szCs w:val="19"/>
          <w:color w:val="auto"/>
        </w:rPr>
      </w:pPr>
      <w:r>
        <w:rPr>
          <w:rFonts w:ascii="Arial" w:cs="Arial" w:eastAsia="Arial" w:hAnsi="Arial"/>
          <w:sz w:val="19"/>
          <w:szCs w:val="19"/>
          <w:color w:val="auto"/>
        </w:rPr>
        <w:t>Promptly after its delivery of any Letter of Credit or any amendment to a Letter of Credit to an advising bank with respect thereto or to the beneficiary thereof, the Letter of Credit Issuer will also deliver to the Borrower Agent and the Administrative Agent a true and complete copy of such Letter of Credit or amendment.</w:t>
      </w:r>
    </w:p>
    <w:p>
      <w:pPr>
        <w:spacing w:after="0" w:line="171" w:lineRule="exact"/>
        <w:rPr>
          <w:sz w:val="20"/>
          <w:szCs w:val="20"/>
          <w:color w:val="auto"/>
        </w:rPr>
      </w:pPr>
    </w:p>
    <w:p>
      <w:pPr>
        <w:ind w:left="626" w:hanging="626"/>
        <w:spacing w:after="0"/>
        <w:tabs>
          <w:tab w:leader="none" w:pos="626" w:val="left"/>
        </w:tabs>
        <w:numPr>
          <w:ilvl w:val="0"/>
          <w:numId w:val="138"/>
        </w:numPr>
        <w:rPr>
          <w:rFonts w:ascii="Arial" w:cs="Arial" w:eastAsia="Arial" w:hAnsi="Arial"/>
          <w:sz w:val="19"/>
          <w:szCs w:val="19"/>
          <w:color w:val="auto"/>
        </w:rPr>
      </w:pPr>
      <w:r>
        <w:rPr>
          <w:rFonts w:ascii="Arial" w:cs="Arial" w:eastAsia="Arial" w:hAnsi="Arial"/>
          <w:sz w:val="19"/>
          <w:szCs w:val="19"/>
          <w:u w:val="single" w:color="auto"/>
          <w:color w:val="auto"/>
        </w:rPr>
        <w:t>Drawings and Reimbursements; Funding of Participations</w:t>
      </w:r>
      <w:r>
        <w:rPr>
          <w:rFonts w:ascii="Arial" w:cs="Arial" w:eastAsia="Arial" w:hAnsi="Arial"/>
          <w:sz w:val="19"/>
          <w:szCs w:val="19"/>
          <w:color w:val="auto"/>
        </w:rPr>
        <w:t>.</w:t>
      </w:r>
    </w:p>
    <w:p>
      <w:pPr>
        <w:spacing w:after="0" w:line="214" w:lineRule="exact"/>
        <w:rPr>
          <w:rFonts w:ascii="Arial" w:cs="Arial" w:eastAsia="Arial" w:hAnsi="Arial"/>
          <w:sz w:val="19"/>
          <w:szCs w:val="19"/>
          <w:color w:val="auto"/>
        </w:rPr>
      </w:pPr>
    </w:p>
    <w:p>
      <w:pPr>
        <w:jc w:val="both"/>
        <w:ind w:left="6" w:firstLine="624"/>
        <w:spacing w:after="0" w:line="262" w:lineRule="auto"/>
        <w:tabs>
          <w:tab w:leader="none" w:pos="1262" w:val="left"/>
        </w:tabs>
        <w:numPr>
          <w:ilvl w:val="1"/>
          <w:numId w:val="138"/>
        </w:numPr>
        <w:rPr>
          <w:rFonts w:ascii="Arial" w:cs="Arial" w:eastAsia="Arial" w:hAnsi="Arial"/>
          <w:sz w:val="18"/>
          <w:szCs w:val="18"/>
          <w:color w:val="auto"/>
        </w:rPr>
      </w:pPr>
      <w:r>
        <w:rPr>
          <w:rFonts w:ascii="Arial" w:cs="Arial" w:eastAsia="Arial" w:hAnsi="Arial"/>
          <w:sz w:val="18"/>
          <w:szCs w:val="18"/>
          <w:color w:val="auto"/>
        </w:rPr>
        <w:t>Upon receipt from the beneficiary of any Letter of Credit of any notice of a drawing or presentation of documents under such Letter of Credit, the Letter of Credit Issuer shall notify the Borrower Agent and the Administrative Agent thereof. Not later than 1:00 p.m. on the date of any payment by the Letter of Credit Issuer under a Letter of Credit (each such date, an “</w:t>
      </w:r>
      <w:r>
        <w:rPr>
          <w:rFonts w:ascii="Arial" w:cs="Arial" w:eastAsia="Arial" w:hAnsi="Arial"/>
          <w:sz w:val="18"/>
          <w:szCs w:val="18"/>
          <w:u w:val="single" w:color="auto"/>
          <w:color w:val="auto"/>
        </w:rPr>
        <w:t>Honor Date</w:t>
      </w:r>
      <w:r>
        <w:rPr>
          <w:rFonts w:ascii="Arial" w:cs="Arial" w:eastAsia="Arial" w:hAnsi="Arial"/>
          <w:sz w:val="18"/>
          <w:szCs w:val="18"/>
          <w:color w:val="auto"/>
        </w:rPr>
        <w:t>”), the Borrowers shall reimburse the Letter of Credit Issuer through the Administrative Agent in Dollars (or if the underlying Letter of Credit is denominated in (i) Canadian Dollars, Canadian Dollars or (ii) Australian Dollars, the Dollar Equivalent of such Australian Dollar amount) and in an amount equal to the amount of such drawing. If the Borrowers fail to reimburse the Letter of Credit Issuer by such time, the Administrative Agent shall promptly notify each Revolving Credit Lender of the Honor Date, the amount of the unreimbursed drawing or payment (the “</w:t>
      </w:r>
      <w:r>
        <w:rPr>
          <w:rFonts w:ascii="Arial" w:cs="Arial" w:eastAsia="Arial" w:hAnsi="Arial"/>
          <w:sz w:val="18"/>
          <w:szCs w:val="18"/>
          <w:u w:val="single" w:color="auto"/>
          <w:color w:val="auto"/>
        </w:rPr>
        <w:t>Unreimbursed Amount</w:t>
      </w:r>
      <w:r>
        <w:rPr>
          <w:rFonts w:ascii="Arial" w:cs="Arial" w:eastAsia="Arial" w:hAnsi="Arial"/>
          <w:sz w:val="18"/>
          <w:szCs w:val="18"/>
          <w:color w:val="auto"/>
        </w:rPr>
        <w:t xml:space="preserve">”), and the amount of such Revolving Credit Lender’s Applicable Percentage thereof. In such event, the Borrower Agent shall be deemed to have requested a Revolving Credit Borrowing of Base Rate Loans to be disbursed on the Honor Date in an amount equal to the Unreimbursed Amount, without regard to the minimum and multiples specified in </w:t>
      </w:r>
      <w:r>
        <w:rPr>
          <w:rFonts w:ascii="Arial" w:cs="Arial" w:eastAsia="Arial" w:hAnsi="Arial"/>
          <w:sz w:val="18"/>
          <w:szCs w:val="18"/>
          <w:u w:val="single" w:color="auto"/>
          <w:color w:val="auto"/>
        </w:rPr>
        <w:t>Section 2.03</w:t>
      </w:r>
      <w:r>
        <w:rPr>
          <w:rFonts w:ascii="Arial" w:cs="Arial" w:eastAsia="Arial" w:hAnsi="Arial"/>
          <w:sz w:val="18"/>
          <w:szCs w:val="18"/>
          <w:color w:val="auto"/>
        </w:rPr>
        <w:t xml:space="preserve"> for the principal amount of Base Rate Loans, but subject to the amount of the unutilized portion of the Aggregate Revolving Credit Commitments and the conditions set forth in </w:t>
      </w:r>
      <w:r>
        <w:rPr>
          <w:rFonts w:ascii="Arial" w:cs="Arial" w:eastAsia="Arial" w:hAnsi="Arial"/>
          <w:sz w:val="18"/>
          <w:szCs w:val="18"/>
          <w:u w:val="single" w:color="auto"/>
          <w:color w:val="auto"/>
        </w:rPr>
        <w:t>Section 5.02</w:t>
      </w:r>
      <w:r>
        <w:rPr>
          <w:rFonts w:ascii="Arial" w:cs="Arial" w:eastAsia="Arial" w:hAnsi="Arial"/>
          <w:sz w:val="18"/>
          <w:szCs w:val="18"/>
          <w:color w:val="auto"/>
        </w:rPr>
        <w:t xml:space="preserve"> (other than the delivery of a Committed Loan Notice). Any notice given by the Letter of Credit Issuer or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886"/>
        <w:spacing w:after="0"/>
        <w:rPr>
          <w:sz w:val="20"/>
          <w:szCs w:val="20"/>
          <w:color w:val="auto"/>
        </w:rPr>
      </w:pPr>
      <w:r>
        <w:rPr>
          <w:rFonts w:ascii="Arial" w:cs="Arial" w:eastAsia="Arial" w:hAnsi="Arial"/>
          <w:sz w:val="19"/>
          <w:szCs w:val="19"/>
          <w:color w:val="auto"/>
        </w:rPr>
        <w:t>74</w:t>
      </w:r>
    </w:p>
    <w:p>
      <w:pPr>
        <w:sectPr>
          <w:pgSz w:w="11900" w:h="16838" w:orient="portrait"/>
          <w:cols w:equalWidth="0" w:num="1">
            <w:col w:w="10606"/>
          </w:cols>
          <w:pgMar w:left="954" w:top="1381" w:right="339" w:bottom="1440" w:gutter="0" w:footer="0" w:header="0"/>
        </w:sectPr>
      </w:pPr>
    </w:p>
    <w:bookmarkStart w:id="193" w:name="page194"/>
    <w:bookmarkEnd w:id="193"/>
    <w:p>
      <w:pPr>
        <w:spacing w:after="0" w:line="274" w:lineRule="auto"/>
        <w:rPr>
          <w:sz w:val="20"/>
          <w:szCs w:val="20"/>
          <w:color w:val="auto"/>
        </w:rPr>
      </w:pPr>
      <w:r>
        <w:rPr>
          <w:rFonts w:ascii="Arial" w:cs="Arial" w:eastAsia="Arial" w:hAnsi="Arial"/>
          <w:sz w:val="19"/>
          <w:szCs w:val="19"/>
          <w:color w:val="auto"/>
        </w:rPr>
        <w:t xml:space="preserve">pursuant to this </w:t>
      </w:r>
      <w:r>
        <w:rPr>
          <w:rFonts w:ascii="Arial" w:cs="Arial" w:eastAsia="Arial" w:hAnsi="Arial"/>
          <w:sz w:val="19"/>
          <w:szCs w:val="19"/>
          <w:u w:val="single" w:color="auto"/>
          <w:color w:val="auto"/>
        </w:rPr>
        <w:t>Section 2.03(c)(i)</w:t>
      </w:r>
      <w:r>
        <w:rPr>
          <w:rFonts w:ascii="Arial" w:cs="Arial" w:eastAsia="Arial" w:hAnsi="Arial"/>
          <w:sz w:val="19"/>
          <w:szCs w:val="19"/>
          <w:color w:val="auto"/>
        </w:rPr>
        <w:t xml:space="preserve"> may be given by telephone if immediately confirmed in writing;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lack of such an immediate confirmation shall not affect the conclusiveness or binding effect of such notice.</w:t>
      </w:r>
    </w:p>
    <w:p>
      <w:pPr>
        <w:spacing w:after="0" w:line="157" w:lineRule="exact"/>
        <w:rPr>
          <w:sz w:val="20"/>
          <w:szCs w:val="20"/>
          <w:color w:val="auto"/>
        </w:rPr>
      </w:pPr>
    </w:p>
    <w:p>
      <w:pPr>
        <w:jc w:val="both"/>
        <w:ind w:firstLine="624"/>
        <w:spacing w:after="0" w:line="248" w:lineRule="auto"/>
        <w:tabs>
          <w:tab w:leader="none" w:pos="1257" w:val="left"/>
        </w:tabs>
        <w:numPr>
          <w:ilvl w:val="0"/>
          <w:numId w:val="139"/>
        </w:numPr>
        <w:rPr>
          <w:rFonts w:ascii="Arial" w:cs="Arial" w:eastAsia="Arial" w:hAnsi="Arial"/>
          <w:sz w:val="19"/>
          <w:szCs w:val="19"/>
          <w:color w:val="auto"/>
        </w:rPr>
      </w:pPr>
      <w:r>
        <w:rPr>
          <w:rFonts w:ascii="Arial" w:cs="Arial" w:eastAsia="Arial" w:hAnsi="Arial"/>
          <w:sz w:val="19"/>
          <w:szCs w:val="19"/>
          <w:color w:val="auto"/>
        </w:rPr>
        <w:t xml:space="preserve">Each Revolving Credit Lender shall upon any notice pursuant to </w:t>
      </w:r>
      <w:r>
        <w:rPr>
          <w:rFonts w:ascii="Arial" w:cs="Arial" w:eastAsia="Arial" w:hAnsi="Arial"/>
          <w:sz w:val="19"/>
          <w:szCs w:val="19"/>
          <w:u w:val="single" w:color="auto"/>
          <w:color w:val="auto"/>
        </w:rPr>
        <w:t>Section 2.03(c)(i)</w:t>
      </w:r>
      <w:r>
        <w:rPr>
          <w:rFonts w:ascii="Arial" w:cs="Arial" w:eastAsia="Arial" w:hAnsi="Arial"/>
          <w:sz w:val="19"/>
          <w:szCs w:val="19"/>
          <w:color w:val="auto"/>
        </w:rPr>
        <w:t xml:space="preserve"> make funds available (and the Administrative Agent may apply Cash Collateral provided for this purpose) to the Administrative Agent for the account of the Letter of Credit Issuer, in Dollars (or if the underlying Letter of Credit is denominated in (i) Canadian Dollars, Canadian Dollars or (ii) Australian Dollars, the Dollar Equivalent of such Australian Dollar amount), at the Administrative Agent’s Office for Dollar (or as applicable, Canadian Dollar) denominated payments an amount equal to its Applicable Percentage of the Unreimbursed Amount not later than 3:00 p.m. on the Business Day specified in such notice by the Administrative Agent, whereupon, subject to the provisions of </w:t>
      </w:r>
      <w:r>
        <w:rPr>
          <w:rFonts w:ascii="Arial" w:cs="Arial" w:eastAsia="Arial" w:hAnsi="Arial"/>
          <w:sz w:val="19"/>
          <w:szCs w:val="19"/>
          <w:u w:val="single" w:color="auto"/>
          <w:color w:val="auto"/>
        </w:rPr>
        <w:t>Section 2.03(c)</w:t>
      </w:r>
      <w:r>
        <w:rPr>
          <w:rFonts w:ascii="Arial" w:cs="Arial" w:eastAsia="Arial" w:hAnsi="Arial"/>
          <w:sz w:val="19"/>
          <w:szCs w:val="19"/>
          <w:color w:val="auto"/>
        </w:rPr>
        <w:t xml:space="preserve"> </w:t>
      </w:r>
      <w:r>
        <w:rPr>
          <w:rFonts w:ascii="Arial" w:cs="Arial" w:eastAsia="Arial" w:hAnsi="Arial"/>
          <w:sz w:val="19"/>
          <w:szCs w:val="19"/>
          <w:u w:val="single" w:color="auto"/>
          <w:color w:val="auto"/>
        </w:rPr>
        <w:t>(iii)</w:t>
      </w:r>
      <w:r>
        <w:rPr>
          <w:rFonts w:ascii="Arial" w:cs="Arial" w:eastAsia="Arial" w:hAnsi="Arial"/>
          <w:sz w:val="19"/>
          <w:szCs w:val="19"/>
          <w:color w:val="auto"/>
        </w:rPr>
        <w:t>, each Revolving Credit Lender that so makes funds available shall be deemed to have made a Base Rate Loan to the Borrower Agent in such amount. The Administrative Agent shall remit the funds so received to the Letter of Credit Issuer in Dollars (or as applicable, Canadian Dollars).</w:t>
      </w:r>
    </w:p>
    <w:p>
      <w:pPr>
        <w:spacing w:after="0" w:line="184" w:lineRule="exact"/>
        <w:rPr>
          <w:rFonts w:ascii="Arial" w:cs="Arial" w:eastAsia="Arial" w:hAnsi="Arial"/>
          <w:sz w:val="19"/>
          <w:szCs w:val="19"/>
          <w:color w:val="auto"/>
        </w:rPr>
      </w:pPr>
    </w:p>
    <w:p>
      <w:pPr>
        <w:jc w:val="both"/>
        <w:ind w:firstLine="624"/>
        <w:spacing w:after="0" w:line="249" w:lineRule="auto"/>
        <w:tabs>
          <w:tab w:leader="none" w:pos="1258" w:val="left"/>
        </w:tabs>
        <w:numPr>
          <w:ilvl w:val="0"/>
          <w:numId w:val="139"/>
        </w:numPr>
        <w:rPr>
          <w:rFonts w:ascii="Arial" w:cs="Arial" w:eastAsia="Arial" w:hAnsi="Arial"/>
          <w:sz w:val="19"/>
          <w:szCs w:val="19"/>
          <w:color w:val="auto"/>
        </w:rPr>
      </w:pPr>
      <w:r>
        <w:rPr>
          <w:rFonts w:ascii="Arial" w:cs="Arial" w:eastAsia="Arial" w:hAnsi="Arial"/>
          <w:sz w:val="19"/>
          <w:szCs w:val="19"/>
          <w:color w:val="auto"/>
        </w:rPr>
        <w:t xml:space="preserve">With respect to any Unreimbursed Amount that is not fully refinanced by a Revolving Credit Borrowing of Base Rate Loans because the conditions set forth in </w:t>
      </w:r>
      <w:r>
        <w:rPr>
          <w:rFonts w:ascii="Arial" w:cs="Arial" w:eastAsia="Arial" w:hAnsi="Arial"/>
          <w:sz w:val="19"/>
          <w:szCs w:val="19"/>
          <w:u w:val="single" w:color="auto"/>
          <w:color w:val="auto"/>
        </w:rPr>
        <w:t>Section 5.02</w:t>
      </w:r>
      <w:r>
        <w:rPr>
          <w:rFonts w:ascii="Arial" w:cs="Arial" w:eastAsia="Arial" w:hAnsi="Arial"/>
          <w:sz w:val="19"/>
          <w:szCs w:val="19"/>
          <w:color w:val="auto"/>
        </w:rPr>
        <w:t xml:space="preserve"> cannot be satisfied or for any other reason, the Borrowers shall be deemed to have incurred from the Letter of Credit Issuer an Letter of Credit Borrowing in the amount of the Unreimbursed Amount that is not so refinanced, which Letter of Credit Borrowing shall be due and payable on demand (together with interest) and shall bear interest at the Default Rate. In such event, each Revolving Credit Lender’s payment to the Administrative Agent for the account of the Letter of Credit Issuer pursuant to </w:t>
      </w:r>
      <w:r>
        <w:rPr>
          <w:rFonts w:ascii="Arial" w:cs="Arial" w:eastAsia="Arial" w:hAnsi="Arial"/>
          <w:sz w:val="19"/>
          <w:szCs w:val="19"/>
          <w:u w:val="single" w:color="auto"/>
          <w:color w:val="auto"/>
        </w:rPr>
        <w:t>Section 2.03(c)(ii)</w:t>
      </w:r>
      <w:r>
        <w:rPr>
          <w:rFonts w:ascii="Arial" w:cs="Arial" w:eastAsia="Arial" w:hAnsi="Arial"/>
          <w:sz w:val="19"/>
          <w:szCs w:val="19"/>
          <w:color w:val="auto"/>
        </w:rPr>
        <w:t xml:space="preserve"> shall be deemed payment in respect of its participation in such Letter of Credit Borrowing and shall constitute an Letter of Credit Advance from such Revolving Credit Lender in satisfaction of its participation obligation under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2.03</w:t>
      </w:r>
      <w:r>
        <w:rPr>
          <w:rFonts w:ascii="Arial" w:cs="Arial" w:eastAsia="Arial" w:hAnsi="Arial"/>
          <w:sz w:val="19"/>
          <w:szCs w:val="19"/>
          <w:color w:val="auto"/>
        </w:rPr>
        <w:t>.</w:t>
      </w:r>
    </w:p>
    <w:p>
      <w:pPr>
        <w:spacing w:after="0" w:line="179" w:lineRule="exact"/>
        <w:rPr>
          <w:rFonts w:ascii="Arial" w:cs="Arial" w:eastAsia="Arial" w:hAnsi="Arial"/>
          <w:sz w:val="19"/>
          <w:szCs w:val="19"/>
          <w:color w:val="auto"/>
        </w:rPr>
      </w:pPr>
    </w:p>
    <w:p>
      <w:pPr>
        <w:jc w:val="both"/>
        <w:ind w:firstLine="624"/>
        <w:spacing w:after="0" w:line="280" w:lineRule="auto"/>
        <w:tabs>
          <w:tab w:leader="none" w:pos="1248" w:val="left"/>
        </w:tabs>
        <w:numPr>
          <w:ilvl w:val="0"/>
          <w:numId w:val="139"/>
        </w:numPr>
        <w:rPr>
          <w:rFonts w:ascii="Arial" w:cs="Arial" w:eastAsia="Arial" w:hAnsi="Arial"/>
          <w:sz w:val="18"/>
          <w:szCs w:val="18"/>
          <w:color w:val="auto"/>
        </w:rPr>
      </w:pPr>
      <w:r>
        <w:rPr>
          <w:rFonts w:ascii="Arial" w:cs="Arial" w:eastAsia="Arial" w:hAnsi="Arial"/>
          <w:sz w:val="18"/>
          <w:szCs w:val="18"/>
          <w:color w:val="auto"/>
        </w:rPr>
        <w:t xml:space="preserve">Until each Revolving Credit Lender funds its Revolving Credit Loan or Letter of Credit Advance pursuant to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2.03(c)</w:t>
      </w:r>
      <w:r>
        <w:rPr>
          <w:rFonts w:ascii="Arial" w:cs="Arial" w:eastAsia="Arial" w:hAnsi="Arial"/>
          <w:sz w:val="18"/>
          <w:szCs w:val="18"/>
          <w:color w:val="auto"/>
        </w:rPr>
        <w:t xml:space="preserve"> to reimburse the Letter of Credit Issuer for any amount drawn under any Letter of Credit, interest in respect of such Revolving Credit Lender’s Applicable Percentage of such amount shall be solely for the account of the Letter of Credit Issuer.</w:t>
      </w:r>
    </w:p>
    <w:p>
      <w:pPr>
        <w:spacing w:after="0" w:line="154" w:lineRule="exact"/>
        <w:rPr>
          <w:rFonts w:ascii="Arial" w:cs="Arial" w:eastAsia="Arial" w:hAnsi="Arial"/>
          <w:sz w:val="18"/>
          <w:szCs w:val="18"/>
          <w:color w:val="auto"/>
        </w:rPr>
      </w:pPr>
    </w:p>
    <w:p>
      <w:pPr>
        <w:jc w:val="both"/>
        <w:ind w:firstLine="624"/>
        <w:spacing w:after="0" w:line="249" w:lineRule="auto"/>
        <w:tabs>
          <w:tab w:leader="none" w:pos="1247" w:val="left"/>
        </w:tabs>
        <w:numPr>
          <w:ilvl w:val="0"/>
          <w:numId w:val="139"/>
        </w:numPr>
        <w:rPr>
          <w:rFonts w:ascii="Arial" w:cs="Arial" w:eastAsia="Arial" w:hAnsi="Arial"/>
          <w:sz w:val="19"/>
          <w:szCs w:val="19"/>
          <w:color w:val="auto"/>
        </w:rPr>
      </w:pPr>
      <w:r>
        <w:rPr>
          <w:rFonts w:ascii="Arial" w:cs="Arial" w:eastAsia="Arial" w:hAnsi="Arial"/>
          <w:sz w:val="19"/>
          <w:szCs w:val="19"/>
          <w:color w:val="auto"/>
        </w:rPr>
        <w:t xml:space="preserve">Each Revolving Credit Lender’s obligation to make Revolving Credit Loans or Letter of Credit Advances to reimburse the Letter of Credit Issuer for amounts drawn under Letters of Credit, as contemplated by this </w:t>
      </w:r>
      <w:r>
        <w:rPr>
          <w:rFonts w:ascii="Arial" w:cs="Arial" w:eastAsia="Arial" w:hAnsi="Arial"/>
          <w:sz w:val="19"/>
          <w:szCs w:val="19"/>
          <w:u w:val="single" w:color="auto"/>
          <w:color w:val="auto"/>
        </w:rPr>
        <w:t>Section 2.03(c)</w:t>
      </w:r>
      <w:r>
        <w:rPr>
          <w:rFonts w:ascii="Arial" w:cs="Arial" w:eastAsia="Arial" w:hAnsi="Arial"/>
          <w:sz w:val="19"/>
          <w:szCs w:val="19"/>
          <w:color w:val="auto"/>
        </w:rPr>
        <w:t>, shall be absolute and unconditional and shall not be affected by any circumstance, including (A) any set-off, counterclaim, recoupment, defense or other right which such Revolving Credit Lender may have against the Letter of Credit Issuer, any Borrower or any other Person for any reason whatsoever; (B) the occurrence or continuance of a Default, or (C) any other occurrence, event or condition, whether or not similar to any of the foregoing. No such making of an Letter of Credit Advance shall relieve or otherwise impair the obligation of the Borrowers to reimburse the Letter of Credit Issuer for the amount of any payment made by the Letter of Credit Issuer under any Letter of Credit, together with interest as provided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880"/>
        <w:spacing w:after="0"/>
        <w:rPr>
          <w:sz w:val="20"/>
          <w:szCs w:val="20"/>
          <w:color w:val="auto"/>
        </w:rPr>
      </w:pPr>
      <w:r>
        <w:rPr>
          <w:rFonts w:ascii="Arial" w:cs="Arial" w:eastAsia="Arial" w:hAnsi="Arial"/>
          <w:sz w:val="19"/>
          <w:szCs w:val="19"/>
          <w:color w:val="auto"/>
        </w:rPr>
        <w:t>75</w:t>
      </w:r>
    </w:p>
    <w:p>
      <w:pPr>
        <w:sectPr>
          <w:pgSz w:w="11900" w:h="16838" w:orient="portrait"/>
          <w:cols w:equalWidth="0" w:num="1">
            <w:col w:w="10600"/>
          </w:cols>
          <w:pgMar w:left="960" w:top="1382" w:right="339" w:bottom="1440" w:gutter="0" w:footer="0" w:header="0"/>
        </w:sectPr>
      </w:pPr>
    </w:p>
    <w:bookmarkStart w:id="194" w:name="page195"/>
    <w:bookmarkEnd w:id="194"/>
    <w:p>
      <w:pPr>
        <w:jc w:val="both"/>
        <w:ind w:left="640" w:firstLine="624"/>
        <w:spacing w:after="0" w:line="264" w:lineRule="auto"/>
        <w:tabs>
          <w:tab w:leader="none" w:pos="1888" w:val="left"/>
        </w:tabs>
        <w:numPr>
          <w:ilvl w:val="1"/>
          <w:numId w:val="140"/>
        </w:numPr>
        <w:rPr>
          <w:rFonts w:ascii="Arial" w:cs="Arial" w:eastAsia="Arial" w:hAnsi="Arial"/>
          <w:sz w:val="18"/>
          <w:szCs w:val="18"/>
          <w:color w:val="auto"/>
        </w:rPr>
      </w:pPr>
      <w:r>
        <w:rPr>
          <w:rFonts w:ascii="Arial" w:cs="Arial" w:eastAsia="Arial" w:hAnsi="Arial"/>
          <w:sz w:val="18"/>
          <w:szCs w:val="18"/>
          <w:color w:val="auto"/>
        </w:rPr>
        <w:t xml:space="preserve">If any Revolving Credit Lender fails to make available to the Administrative Agent for the account of the Letter of Credit Issuer any amount required to be paid by such Revolving Credit Lender pursuant to the foregoing provisions of this </w:t>
      </w:r>
      <w:r>
        <w:rPr>
          <w:rFonts w:ascii="Arial" w:cs="Arial" w:eastAsia="Arial" w:hAnsi="Arial"/>
          <w:sz w:val="18"/>
          <w:szCs w:val="18"/>
          <w:u w:val="single" w:color="auto"/>
          <w:color w:val="auto"/>
        </w:rPr>
        <w:t>Section 2.03(c)</w:t>
      </w:r>
      <w:r>
        <w:rPr>
          <w:rFonts w:ascii="Arial" w:cs="Arial" w:eastAsia="Arial" w:hAnsi="Arial"/>
          <w:sz w:val="18"/>
          <w:szCs w:val="18"/>
          <w:color w:val="auto"/>
        </w:rPr>
        <w:t xml:space="preserve"> by the time specified in </w:t>
      </w:r>
      <w:r>
        <w:rPr>
          <w:rFonts w:ascii="Arial" w:cs="Arial" w:eastAsia="Arial" w:hAnsi="Arial"/>
          <w:sz w:val="18"/>
          <w:szCs w:val="18"/>
          <w:u w:val="single" w:color="auto"/>
          <w:color w:val="auto"/>
        </w:rPr>
        <w:t>Section 2.03(c)(ii)</w:t>
      </w:r>
      <w:r>
        <w:rPr>
          <w:rFonts w:ascii="Arial" w:cs="Arial" w:eastAsia="Arial" w:hAnsi="Arial"/>
          <w:sz w:val="18"/>
          <w:szCs w:val="18"/>
          <w:color w:val="auto"/>
        </w:rPr>
        <w:t xml:space="preserve">, then, without limiting the other provisions of this Agreement, the Letter of Credit Issuer shall be entitled to recover from such Revolving Credit Lender (acting through the Administrative Agent), on demand, such amount with interest thereon for the period from the date such payment is required to the date on which such payment is immediately available to the Letter of Credit Issuer at a rate per annum equal to the applicable Overnight Rate for three (3) Business Days and thereafter at the Base Rate,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any administrative, processing or similar fees customarily charged by the Letter of Credit Issuer in connection with the foregoing. A certificate of the Letter of Credit Issuer submitted to any Revolving Credit Lender (through the Administrative Agent) with respect to any amounts owing under this clause (vi) shall be conclusive absent manifest error.</w:t>
      </w:r>
    </w:p>
    <w:p>
      <w:pPr>
        <w:spacing w:after="0" w:line="167" w:lineRule="exact"/>
        <w:rPr>
          <w:rFonts w:ascii="Arial" w:cs="Arial" w:eastAsia="Arial" w:hAnsi="Arial"/>
          <w:sz w:val="18"/>
          <w:szCs w:val="18"/>
          <w:color w:val="auto"/>
        </w:rPr>
      </w:pPr>
    </w:p>
    <w:p>
      <w:pPr>
        <w:jc w:val="both"/>
        <w:ind w:firstLine="634"/>
        <w:spacing w:after="0" w:line="283" w:lineRule="auto"/>
        <w:tabs>
          <w:tab w:leader="none" w:pos="1247" w:val="left"/>
        </w:tabs>
        <w:numPr>
          <w:ilvl w:val="0"/>
          <w:numId w:val="141"/>
        </w:numPr>
        <w:rPr>
          <w:rFonts w:ascii="Arial" w:cs="Arial" w:eastAsia="Arial" w:hAnsi="Arial"/>
          <w:sz w:val="17"/>
          <w:szCs w:val="17"/>
          <w:color w:val="auto"/>
        </w:rPr>
      </w:pPr>
      <w:r>
        <w:rPr>
          <w:rFonts w:ascii="Arial" w:cs="Arial" w:eastAsia="Arial" w:hAnsi="Arial"/>
          <w:sz w:val="17"/>
          <w:szCs w:val="17"/>
          <w:u w:val="single" w:color="auto"/>
          <w:color w:val="auto"/>
        </w:rPr>
        <w:t>Repayment of Participations</w:t>
      </w:r>
      <w:r>
        <w:rPr>
          <w:rFonts w:ascii="Arial" w:cs="Arial" w:eastAsia="Arial" w:hAnsi="Arial"/>
          <w:sz w:val="17"/>
          <w:szCs w:val="17"/>
          <w:color w:val="auto"/>
        </w:rPr>
        <w:t xml:space="preserve">. At any time after the Letter of Credit Issuer has made a payment under any Letter of Credit and has received from any Revolving Credit Lender such Revolving Credit Lender’s Letter of Credit Advance in respect of such payment in accordance with </w:t>
      </w:r>
      <w:r>
        <w:rPr>
          <w:rFonts w:ascii="Arial" w:cs="Arial" w:eastAsia="Arial" w:hAnsi="Arial"/>
          <w:sz w:val="17"/>
          <w:szCs w:val="17"/>
          <w:u w:val="single" w:color="auto"/>
          <w:color w:val="auto"/>
        </w:rPr>
        <w:t>Section 2.03(c)</w:t>
      </w:r>
      <w:r>
        <w:rPr>
          <w:rFonts w:ascii="Arial" w:cs="Arial" w:eastAsia="Arial" w:hAnsi="Arial"/>
          <w:sz w:val="17"/>
          <w:szCs w:val="17"/>
          <w:color w:val="auto"/>
        </w:rPr>
        <w:t>, if the Administrative Agent receives for the account of the Letter of Credit Issuer any payment in respect of the related Unreimbursed Amount or interest thereon (whether directly from the Borrowers or otherwise, including proceeds of Cash Collateral applied thereto by the Administrative Agent), the Administrative Agent will distribute to such Revolving Credit Lender its Applicable Revolving Credit Percentage thereof in Dollars (appropriately adjusted, in the case of interest payments, to reflect the period of time during which such Revolving Credit Lender’s Letter of Credit Advance was outstanding) and in the same funds as those received by the Administrative Agent.</w:t>
      </w:r>
    </w:p>
    <w:p>
      <w:pPr>
        <w:spacing w:after="0" w:line="156" w:lineRule="exact"/>
        <w:rPr>
          <w:rFonts w:ascii="Arial" w:cs="Arial" w:eastAsia="Arial" w:hAnsi="Arial"/>
          <w:sz w:val="17"/>
          <w:szCs w:val="17"/>
          <w:color w:val="auto"/>
        </w:rPr>
      </w:pPr>
    </w:p>
    <w:p>
      <w:pPr>
        <w:jc w:val="both"/>
        <w:ind w:firstLine="634"/>
        <w:spacing w:after="0" w:line="259" w:lineRule="auto"/>
        <w:tabs>
          <w:tab w:leader="none" w:pos="1249" w:val="left"/>
        </w:tabs>
        <w:numPr>
          <w:ilvl w:val="0"/>
          <w:numId w:val="141"/>
        </w:numPr>
        <w:rPr>
          <w:rFonts w:ascii="Arial" w:cs="Arial" w:eastAsia="Arial" w:hAnsi="Arial"/>
          <w:sz w:val="19"/>
          <w:szCs w:val="19"/>
          <w:color w:val="auto"/>
        </w:rPr>
      </w:pPr>
      <w:r>
        <w:rPr>
          <w:rFonts w:ascii="Arial" w:cs="Arial" w:eastAsia="Arial" w:hAnsi="Arial"/>
          <w:sz w:val="19"/>
          <w:szCs w:val="19"/>
          <w:u w:val="single" w:color="auto"/>
          <w:color w:val="auto"/>
        </w:rPr>
        <w:t>Obligations Absolute</w:t>
      </w:r>
      <w:r>
        <w:rPr>
          <w:rFonts w:ascii="Arial" w:cs="Arial" w:eastAsia="Arial" w:hAnsi="Arial"/>
          <w:sz w:val="19"/>
          <w:szCs w:val="19"/>
          <w:color w:val="auto"/>
        </w:rPr>
        <w:t>. The obligation of the Borrowers to reimburse the Letter of Credit Issuer for each drawing under each Letter of Credit, and to repay each Letter of Credit Borrowing shall be joint and several and absolute, unconditional and irrevocable, and shall be paid strictly in accordance with the terms of this Agreement under all circumstances, including the following:</w:t>
      </w:r>
    </w:p>
    <w:p>
      <w:pPr>
        <w:spacing w:after="0" w:line="171" w:lineRule="exact"/>
        <w:rPr>
          <w:rFonts w:ascii="Arial" w:cs="Arial" w:eastAsia="Arial" w:hAnsi="Arial"/>
          <w:sz w:val="19"/>
          <w:szCs w:val="19"/>
          <w:color w:val="auto"/>
        </w:rPr>
      </w:pPr>
    </w:p>
    <w:p>
      <w:pPr>
        <w:ind w:left="1900" w:hanging="636"/>
        <w:spacing w:after="0"/>
        <w:tabs>
          <w:tab w:leader="none" w:pos="190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any lack of validity or enforceability of such Letter of Credit, this Agreement, or any other agreement or instrument</w:t>
      </w:r>
    </w:p>
    <w:p>
      <w:pPr>
        <w:spacing w:after="0" w:line="31"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9"/>
          <w:szCs w:val="19"/>
          <w:color w:val="auto"/>
        </w:rPr>
        <w:t>relating thereto;</w:t>
      </w:r>
    </w:p>
    <w:p>
      <w:pPr>
        <w:spacing w:after="0" w:line="198" w:lineRule="exact"/>
        <w:rPr>
          <w:rFonts w:ascii="Arial" w:cs="Arial" w:eastAsia="Arial" w:hAnsi="Arial"/>
          <w:sz w:val="18"/>
          <w:szCs w:val="18"/>
          <w:color w:val="auto"/>
        </w:rPr>
      </w:pPr>
    </w:p>
    <w:p>
      <w:pPr>
        <w:jc w:val="both"/>
        <w:ind w:left="640" w:firstLine="624"/>
        <w:spacing w:after="0" w:line="294" w:lineRule="auto"/>
        <w:tabs>
          <w:tab w:leader="none" w:pos="1897" w:val="left"/>
        </w:tabs>
        <w:numPr>
          <w:ilvl w:val="1"/>
          <w:numId w:val="141"/>
        </w:numPr>
        <w:rPr>
          <w:rFonts w:ascii="Arial" w:cs="Arial" w:eastAsia="Arial" w:hAnsi="Arial"/>
          <w:sz w:val="17"/>
          <w:szCs w:val="17"/>
          <w:color w:val="auto"/>
        </w:rPr>
      </w:pPr>
      <w:r>
        <w:rPr>
          <w:rFonts w:ascii="Arial" w:cs="Arial" w:eastAsia="Arial" w:hAnsi="Arial"/>
          <w:sz w:val="17"/>
          <w:szCs w:val="17"/>
          <w:color w:val="auto"/>
        </w:rPr>
        <w:t>the existence of any claim, counterclaim, set-off, defense or other right that any Borrower or any Subsidiary may have at any time against any beneficiary or any transferee of such Letter of Credit (or any Person for whom any such beneficiary or any such transferee may be acting), the Letter of Credit Issuer or any other Person, whether in connection with this Agreement, the transactions contemplated hereby or by such Letter of Credit or any agreement or instrument relating thereto, or any unrelated transaction;</w:t>
      </w:r>
    </w:p>
    <w:p>
      <w:pPr>
        <w:spacing w:after="0" w:line="143" w:lineRule="exact"/>
        <w:rPr>
          <w:rFonts w:ascii="Arial" w:cs="Arial" w:eastAsia="Arial" w:hAnsi="Arial"/>
          <w:sz w:val="17"/>
          <w:szCs w:val="17"/>
          <w:color w:val="auto"/>
        </w:rPr>
      </w:pPr>
    </w:p>
    <w:p>
      <w:pPr>
        <w:jc w:val="both"/>
        <w:ind w:left="640" w:firstLine="624"/>
        <w:spacing w:after="0" w:line="254" w:lineRule="auto"/>
        <w:tabs>
          <w:tab w:leader="none" w:pos="1898" w:val="left"/>
        </w:tabs>
        <w:numPr>
          <w:ilvl w:val="1"/>
          <w:numId w:val="141"/>
        </w:numPr>
        <w:rPr>
          <w:rFonts w:ascii="Arial" w:cs="Arial" w:eastAsia="Arial" w:hAnsi="Arial"/>
          <w:sz w:val="19"/>
          <w:szCs w:val="19"/>
          <w:color w:val="auto"/>
        </w:rPr>
      </w:pPr>
      <w:r>
        <w:rPr>
          <w:rFonts w:ascii="Arial" w:cs="Arial" w:eastAsia="Arial" w:hAnsi="Arial"/>
          <w:sz w:val="19"/>
          <w:szCs w:val="19"/>
          <w:color w:val="auto"/>
        </w:rPr>
        <w:t>any draft, demand, certificate or other document or endorsement presented under or in connection with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w:t>
      </w:r>
    </w:p>
    <w:p>
      <w:pPr>
        <w:spacing w:after="0" w:line="176" w:lineRule="exact"/>
        <w:rPr>
          <w:rFonts w:ascii="Arial" w:cs="Arial" w:eastAsia="Arial" w:hAnsi="Arial"/>
          <w:sz w:val="19"/>
          <w:szCs w:val="19"/>
          <w:color w:val="auto"/>
        </w:rPr>
      </w:pPr>
    </w:p>
    <w:p>
      <w:pPr>
        <w:ind w:left="640" w:firstLine="624"/>
        <w:spacing w:after="0" w:line="274" w:lineRule="auto"/>
        <w:tabs>
          <w:tab w:leader="none" w:pos="1888" w:val="left"/>
        </w:tabs>
        <w:numPr>
          <w:ilvl w:val="1"/>
          <w:numId w:val="141"/>
        </w:numPr>
        <w:rPr>
          <w:rFonts w:ascii="Arial" w:cs="Arial" w:eastAsia="Arial" w:hAnsi="Arial"/>
          <w:sz w:val="19"/>
          <w:szCs w:val="19"/>
          <w:color w:val="auto"/>
        </w:rPr>
      </w:pPr>
      <w:r>
        <w:rPr>
          <w:rFonts w:ascii="Arial" w:cs="Arial" w:eastAsia="Arial" w:hAnsi="Arial"/>
          <w:sz w:val="19"/>
          <w:szCs w:val="19"/>
          <w:color w:val="auto"/>
        </w:rPr>
        <w:t>any payment by the Letter of Credit Issuer under such Letter of Credit against presentation of a draft or certificate that does not strictly comply with the terms of such Letter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76</w:t>
      </w:r>
    </w:p>
    <w:p>
      <w:pPr>
        <w:sectPr>
          <w:pgSz w:w="11900" w:h="16838" w:orient="portrait"/>
          <w:cols w:equalWidth="0" w:num="1">
            <w:col w:w="11240"/>
          </w:cols>
          <w:pgMar w:left="320" w:top="1381" w:right="339" w:bottom="1440" w:gutter="0" w:footer="0" w:header="0"/>
        </w:sectPr>
      </w:pPr>
    </w:p>
    <w:bookmarkStart w:id="195" w:name="page196"/>
    <w:bookmarkEnd w:id="195"/>
    <w:p>
      <w:pPr>
        <w:jc w:val="both"/>
        <w:ind w:left="640"/>
        <w:spacing w:after="0" w:line="254" w:lineRule="auto"/>
        <w:rPr>
          <w:sz w:val="20"/>
          <w:szCs w:val="20"/>
          <w:color w:val="auto"/>
        </w:rPr>
      </w:pPr>
      <w:r>
        <w:rPr>
          <w:rFonts w:ascii="Arial" w:cs="Arial" w:eastAsia="Arial" w:hAnsi="Arial"/>
          <w:sz w:val="19"/>
          <w:szCs w:val="19"/>
          <w:color w:val="auto"/>
        </w:rPr>
        <w:t>Credit, or any payment made by the Letter of Credit Issuer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Debtor Relief Law;</w:t>
      </w:r>
    </w:p>
    <w:p>
      <w:pPr>
        <w:spacing w:after="0" w:line="177" w:lineRule="exact"/>
        <w:rPr>
          <w:sz w:val="20"/>
          <w:szCs w:val="20"/>
          <w:color w:val="auto"/>
        </w:rPr>
      </w:pPr>
    </w:p>
    <w:p>
      <w:pPr>
        <w:ind w:left="640" w:firstLine="624"/>
        <w:spacing w:after="0" w:line="302" w:lineRule="auto"/>
        <w:tabs>
          <w:tab w:leader="none" w:pos="1887" w:val="left"/>
        </w:tabs>
        <w:numPr>
          <w:ilvl w:val="1"/>
          <w:numId w:val="142"/>
        </w:numPr>
        <w:rPr>
          <w:rFonts w:ascii="Arial" w:cs="Arial" w:eastAsia="Arial" w:hAnsi="Arial"/>
          <w:sz w:val="18"/>
          <w:szCs w:val="18"/>
          <w:color w:val="auto"/>
        </w:rPr>
      </w:pPr>
      <w:r>
        <w:rPr>
          <w:rFonts w:ascii="Arial" w:cs="Arial" w:eastAsia="Arial" w:hAnsi="Arial"/>
          <w:sz w:val="18"/>
          <w:szCs w:val="18"/>
          <w:color w:val="auto"/>
        </w:rPr>
        <w:t>any other circumstance or happening whatsoever, whether or not similar to any of the foregoing, including any other circumstance that might otherwise constitute a defense available to, or a discharge of, any Borrower or any Subsidiary; or</w:t>
      </w:r>
    </w:p>
    <w:p>
      <w:pPr>
        <w:spacing w:after="0" w:line="134" w:lineRule="exact"/>
        <w:rPr>
          <w:rFonts w:ascii="Arial" w:cs="Arial" w:eastAsia="Arial" w:hAnsi="Arial"/>
          <w:sz w:val="18"/>
          <w:szCs w:val="18"/>
          <w:color w:val="auto"/>
        </w:rPr>
      </w:pPr>
    </w:p>
    <w:p>
      <w:pPr>
        <w:ind w:left="640" w:firstLine="624"/>
        <w:spacing w:after="0" w:line="274" w:lineRule="auto"/>
        <w:tabs>
          <w:tab w:leader="none" w:pos="1888" w:val="left"/>
        </w:tabs>
        <w:numPr>
          <w:ilvl w:val="1"/>
          <w:numId w:val="142"/>
        </w:numPr>
        <w:rPr>
          <w:rFonts w:ascii="Arial" w:cs="Arial" w:eastAsia="Arial" w:hAnsi="Arial"/>
          <w:sz w:val="19"/>
          <w:szCs w:val="19"/>
          <w:color w:val="auto"/>
        </w:rPr>
      </w:pPr>
      <w:r>
        <w:rPr>
          <w:rFonts w:ascii="Arial" w:cs="Arial" w:eastAsia="Arial" w:hAnsi="Arial"/>
          <w:sz w:val="19"/>
          <w:szCs w:val="19"/>
          <w:color w:val="auto"/>
        </w:rPr>
        <w:t>any adverse change in the relevant exchange rates or in the availability of Canadian Dollars or Australian Dollars to the Company or any Subsidiary or in the relevant currency markets generally.</w:t>
      </w:r>
    </w:p>
    <w:p>
      <w:pPr>
        <w:spacing w:after="0" w:line="156" w:lineRule="exact"/>
        <w:rPr>
          <w:rFonts w:ascii="Arial" w:cs="Arial" w:eastAsia="Arial" w:hAnsi="Arial"/>
          <w:sz w:val="19"/>
          <w:szCs w:val="19"/>
          <w:color w:val="auto"/>
        </w:rPr>
      </w:pPr>
    </w:p>
    <w:p>
      <w:pPr>
        <w:jc w:val="both"/>
        <w:ind w:firstLine="634"/>
        <w:spacing w:after="0" w:line="262" w:lineRule="auto"/>
        <w:tabs>
          <w:tab w:leader="none" w:pos="1254" w:val="left"/>
        </w:tabs>
        <w:numPr>
          <w:ilvl w:val="0"/>
          <w:numId w:val="143"/>
        </w:numPr>
        <w:rPr>
          <w:rFonts w:ascii="Arial" w:cs="Arial" w:eastAsia="Arial" w:hAnsi="Arial"/>
          <w:sz w:val="18"/>
          <w:szCs w:val="18"/>
          <w:color w:val="auto"/>
        </w:rPr>
      </w:pPr>
      <w:r>
        <w:rPr>
          <w:rFonts w:ascii="Arial" w:cs="Arial" w:eastAsia="Arial" w:hAnsi="Arial"/>
          <w:sz w:val="18"/>
          <w:szCs w:val="18"/>
          <w:u w:val="single" w:color="auto"/>
          <w:color w:val="auto"/>
        </w:rPr>
        <w:t>Role of Letter of Credit Issuer</w:t>
      </w:r>
      <w:r>
        <w:rPr>
          <w:rFonts w:ascii="Arial" w:cs="Arial" w:eastAsia="Arial" w:hAnsi="Arial"/>
          <w:sz w:val="18"/>
          <w:szCs w:val="18"/>
          <w:color w:val="auto"/>
        </w:rPr>
        <w:t>. Each Revolving Credit Lender and the Borrowers agree that, in paying any drawing under a Letter of Credit, the Letter of Credit Issuer shall not have any responsibility to obtain any document (other than any sight draft, certificates and documents expressly required by the Letter of Credit) or to ascertain or inquire as to the validity or accuracy of any such document or the authority of the Person executing or delivering any such document. None of the Letter of Credit Issuer, the Administrative Agent, any of their respective Related Parties nor any correspondent, participant or assignee of the Letter of Credit Issuer shall be liable to any Lender for (i) any action taken or omitted in connection herewith at the request or with the approval of the Revolving Credit Lenders or the Required Lenders, as applicable; (ii) any action taken or omitted in the absence of gross negligence or willful misconduct; or (iii) the due execution, effectiveness, validity or enforceability of any document or instrument related to any Letter of Credit or Issuer Document. Each Borrower hereby assumes all risks of the acts or omissions of any beneficiary or transferee with respect to its use of any Letter of Credit. The Letter of Credit Issuer may accept documents that appear on their face to be in order, without responsibility for further investigation, regardless of any notice or information to the contrary, and the Letter of Credit Issuer shall not be responsible for the validity or sufficiency of any instrument endorsing, transferring or assigning or purporting to endorse, transfer or assign a Letter of Credit or the rights or benefits thereunder or proceeds thereof, in whole or in part, which may prove to be invalid or ineffective for any reason.</w:t>
      </w:r>
    </w:p>
    <w:p>
      <w:pPr>
        <w:spacing w:after="0" w:line="170" w:lineRule="exact"/>
        <w:rPr>
          <w:rFonts w:ascii="Arial" w:cs="Arial" w:eastAsia="Arial" w:hAnsi="Arial"/>
          <w:sz w:val="18"/>
          <w:szCs w:val="18"/>
          <w:color w:val="auto"/>
        </w:rPr>
      </w:pPr>
    </w:p>
    <w:p>
      <w:pPr>
        <w:jc w:val="both"/>
        <w:ind w:firstLine="634"/>
        <w:spacing w:after="0" w:line="254" w:lineRule="auto"/>
        <w:tabs>
          <w:tab w:leader="none" w:pos="1247" w:val="left"/>
        </w:tabs>
        <w:numPr>
          <w:ilvl w:val="0"/>
          <w:numId w:val="143"/>
        </w:numPr>
        <w:rPr>
          <w:rFonts w:ascii="Arial" w:cs="Arial" w:eastAsia="Arial" w:hAnsi="Arial"/>
          <w:sz w:val="19"/>
          <w:szCs w:val="19"/>
          <w:color w:val="auto"/>
        </w:rPr>
      </w:pPr>
      <w:r>
        <w:rPr>
          <w:rFonts w:ascii="Arial" w:cs="Arial" w:eastAsia="Arial" w:hAnsi="Arial"/>
          <w:sz w:val="19"/>
          <w:szCs w:val="19"/>
          <w:u w:val="single" w:color="auto"/>
          <w:color w:val="auto"/>
        </w:rPr>
        <w:t>Applicability of ISP and UCP</w:t>
      </w:r>
      <w:r>
        <w:rPr>
          <w:rFonts w:ascii="Arial" w:cs="Arial" w:eastAsia="Arial" w:hAnsi="Arial"/>
          <w:sz w:val="19"/>
          <w:szCs w:val="19"/>
          <w:color w:val="auto"/>
        </w:rPr>
        <w:t>. Unless otherwise expressly agreed by the Letter of Credit Issuer and the Borrower Agent, when a Letter of Credit is issued, (i) the rules of the ISP shall apply to each standby Letter of Credit, and (ii) the rules of the Uniform Customs and Practice for Documentary Credits, as most recently published by the International Chamber of Commerce at the time of issuance shall apply to each commercial Letter of Credit.</w:t>
      </w:r>
    </w:p>
    <w:p>
      <w:pPr>
        <w:spacing w:after="0" w:line="176" w:lineRule="exact"/>
        <w:rPr>
          <w:rFonts w:ascii="Arial" w:cs="Arial" w:eastAsia="Arial" w:hAnsi="Arial"/>
          <w:sz w:val="19"/>
          <w:szCs w:val="19"/>
          <w:color w:val="auto"/>
        </w:rPr>
      </w:pPr>
    </w:p>
    <w:p>
      <w:pPr>
        <w:jc w:val="both"/>
        <w:ind w:firstLine="634"/>
        <w:spacing w:after="0" w:line="267" w:lineRule="auto"/>
        <w:tabs>
          <w:tab w:leader="none" w:pos="1247" w:val="left"/>
        </w:tabs>
        <w:numPr>
          <w:ilvl w:val="0"/>
          <w:numId w:val="143"/>
        </w:numPr>
        <w:rPr>
          <w:rFonts w:ascii="Arial" w:cs="Arial" w:eastAsia="Arial" w:hAnsi="Arial"/>
          <w:sz w:val="18"/>
          <w:szCs w:val="18"/>
          <w:color w:val="auto"/>
        </w:rPr>
      </w:pPr>
      <w:r>
        <w:rPr>
          <w:rFonts w:ascii="Arial" w:cs="Arial" w:eastAsia="Arial" w:hAnsi="Arial"/>
          <w:sz w:val="18"/>
          <w:szCs w:val="18"/>
          <w:u w:val="single" w:color="auto"/>
          <w:color w:val="auto"/>
        </w:rPr>
        <w:t>Issuing Fee and Documentary and Processing Charges Payable to Letter of Credit Issuer</w:t>
      </w:r>
      <w:r>
        <w:rPr>
          <w:rFonts w:ascii="Arial" w:cs="Arial" w:eastAsia="Arial" w:hAnsi="Arial"/>
          <w:sz w:val="18"/>
          <w:szCs w:val="18"/>
          <w:color w:val="auto"/>
        </w:rPr>
        <w:t>. The Borrowers shall pay directly to the Letter of Credit Issuer for its own account a fronting fee with respect to each Letter of Credit, at a rate equal to 0.125%, computed on the amount of such Letter of Credit (a “</w:t>
      </w:r>
      <w:r>
        <w:rPr>
          <w:rFonts w:ascii="Arial" w:cs="Arial" w:eastAsia="Arial" w:hAnsi="Arial"/>
          <w:sz w:val="18"/>
          <w:szCs w:val="18"/>
          <w:u w:val="single" w:color="auto"/>
          <w:color w:val="auto"/>
        </w:rPr>
        <w:t>Issuing Fee</w:t>
      </w:r>
      <w:r>
        <w:rPr>
          <w:rFonts w:ascii="Arial" w:cs="Arial" w:eastAsia="Arial" w:hAnsi="Arial"/>
          <w:sz w:val="18"/>
          <w:szCs w:val="18"/>
          <w:color w:val="auto"/>
        </w:rPr>
        <w:t>”), and payable upon the issuance or renewal (automatic or otherwise) thereof or upon any amendment increasing the amount thereof. In addition, the Borrowers shall pay directly to the Letter of Credit Issuer for its own account, in Dollars (or if the underlying Letter of Credit is denominated in Canadian Dollars, in Canadian Dollars), the customary issuance, presentation, amendment and other processing fees, and other standard costs and charges, of the Letter of Credit Issuer relating to letters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77</w:t>
      </w:r>
    </w:p>
    <w:p>
      <w:pPr>
        <w:sectPr>
          <w:pgSz w:w="11900" w:h="16838" w:orient="portrait"/>
          <w:cols w:equalWidth="0" w:num="1">
            <w:col w:w="11240"/>
          </w:cols>
          <w:pgMar w:left="320" w:top="1382" w:right="339" w:bottom="1440" w:gutter="0" w:footer="0" w:header="0"/>
        </w:sectPr>
      </w:pPr>
    </w:p>
    <w:bookmarkStart w:id="196" w:name="page197"/>
    <w:bookmarkEnd w:id="196"/>
    <w:p>
      <w:pPr>
        <w:spacing w:after="0" w:line="274" w:lineRule="auto"/>
        <w:rPr>
          <w:sz w:val="20"/>
          <w:szCs w:val="20"/>
          <w:color w:val="auto"/>
        </w:rPr>
      </w:pPr>
      <w:r>
        <w:rPr>
          <w:rFonts w:ascii="Arial" w:cs="Arial" w:eastAsia="Arial" w:hAnsi="Arial"/>
          <w:sz w:val="19"/>
          <w:szCs w:val="19"/>
          <w:color w:val="auto"/>
        </w:rPr>
        <w:t>credit issued by it as from time to time in effect. Such customary fees and standard costs and charges are due and payable on demand and are nonrefundable.</w:t>
      </w:r>
    </w:p>
    <w:p>
      <w:pPr>
        <w:spacing w:after="0" w:line="157" w:lineRule="exact"/>
        <w:rPr>
          <w:sz w:val="20"/>
          <w:szCs w:val="20"/>
          <w:color w:val="auto"/>
        </w:rPr>
      </w:pPr>
    </w:p>
    <w:p>
      <w:pPr>
        <w:ind w:firstLine="634"/>
        <w:spacing w:after="0" w:line="274" w:lineRule="auto"/>
        <w:tabs>
          <w:tab w:leader="none" w:pos="1257" w:val="left"/>
        </w:tabs>
        <w:numPr>
          <w:ilvl w:val="0"/>
          <w:numId w:val="144"/>
        </w:numPr>
        <w:rPr>
          <w:rFonts w:ascii="Arial" w:cs="Arial" w:eastAsia="Arial" w:hAnsi="Arial"/>
          <w:sz w:val="19"/>
          <w:szCs w:val="19"/>
          <w:color w:val="auto"/>
        </w:rPr>
      </w:pPr>
      <w:r>
        <w:rPr>
          <w:rFonts w:ascii="Arial" w:cs="Arial" w:eastAsia="Arial" w:hAnsi="Arial"/>
          <w:sz w:val="19"/>
          <w:szCs w:val="19"/>
          <w:u w:val="single" w:color="auto"/>
          <w:color w:val="auto"/>
        </w:rPr>
        <w:t>Conflict with Issuer Documents</w:t>
      </w:r>
      <w:r>
        <w:rPr>
          <w:rFonts w:ascii="Arial" w:cs="Arial" w:eastAsia="Arial" w:hAnsi="Arial"/>
          <w:sz w:val="19"/>
          <w:szCs w:val="19"/>
          <w:color w:val="auto"/>
        </w:rPr>
        <w:t>. In the event of any conflict between the terms hereof and the terms of any Issuer Document, the terms hereof shall control.</w:t>
      </w:r>
    </w:p>
    <w:p>
      <w:pPr>
        <w:spacing w:after="0" w:line="156" w:lineRule="exact"/>
        <w:rPr>
          <w:rFonts w:ascii="Arial" w:cs="Arial" w:eastAsia="Arial" w:hAnsi="Arial"/>
          <w:sz w:val="19"/>
          <w:szCs w:val="19"/>
          <w:color w:val="auto"/>
        </w:rPr>
      </w:pPr>
    </w:p>
    <w:p>
      <w:pPr>
        <w:jc w:val="both"/>
        <w:ind w:firstLine="634"/>
        <w:spacing w:after="0" w:line="269" w:lineRule="auto"/>
        <w:tabs>
          <w:tab w:leader="none" w:pos="1257" w:val="left"/>
        </w:tabs>
        <w:numPr>
          <w:ilvl w:val="0"/>
          <w:numId w:val="144"/>
        </w:numPr>
        <w:rPr>
          <w:rFonts w:ascii="Arial" w:cs="Arial" w:eastAsia="Arial" w:hAnsi="Arial"/>
          <w:sz w:val="18"/>
          <w:szCs w:val="18"/>
          <w:color w:val="auto"/>
        </w:rPr>
      </w:pPr>
      <w:r>
        <w:rPr>
          <w:rFonts w:ascii="Arial" w:cs="Arial" w:eastAsia="Arial" w:hAnsi="Arial"/>
          <w:sz w:val="18"/>
          <w:szCs w:val="18"/>
          <w:u w:val="single" w:color="auto"/>
          <w:color w:val="auto"/>
        </w:rPr>
        <w:t>Letters of Credit Issued for Restricted Subsidiaries</w:t>
      </w:r>
      <w:r>
        <w:rPr>
          <w:rFonts w:ascii="Arial" w:cs="Arial" w:eastAsia="Arial" w:hAnsi="Arial"/>
          <w:sz w:val="18"/>
          <w:szCs w:val="18"/>
          <w:color w:val="auto"/>
        </w:rPr>
        <w:t>. Notwithstanding that a Letter of Credit issued or outstanding hereunder is in support of any obligations of, or is for the account of, a Restricted Subsidiary or any other Borrower, each Borrower shall be obligated to reimburse the Letter of Credit Issuer hereunder for any and all drawings under such Letter of Credit. Each Borrower hereby acknowledges that the issuance of Letters of Credit for the account of Restricted Subsidiaries or any other Borrower inures to the benefit of such Borrower, and that such Borrower’s business derives substantial benefits from the businesses of such Restricted Subsidiaries or other Borrower.</w:t>
      </w:r>
    </w:p>
    <w:p>
      <w:pPr>
        <w:spacing w:after="0" w:line="158"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9"/>
          <w:szCs w:val="19"/>
          <w:b w:val="1"/>
          <w:bCs w:val="1"/>
          <w:color w:val="auto"/>
        </w:rPr>
        <w:t>2.4</w:t>
      </w:r>
      <w:r>
        <w:rPr>
          <w:sz w:val="20"/>
          <w:szCs w:val="20"/>
          <w:color w:val="auto"/>
        </w:rPr>
        <w:tab/>
      </w:r>
      <w:r>
        <w:rPr>
          <w:rFonts w:ascii="Arial" w:cs="Arial" w:eastAsia="Arial" w:hAnsi="Arial"/>
          <w:sz w:val="17"/>
          <w:szCs w:val="17"/>
          <w:b w:val="1"/>
          <w:bCs w:val="1"/>
          <w:color w:val="auto"/>
        </w:rPr>
        <w:t>Swing Line Loans</w:t>
      </w:r>
      <w:r>
        <w:rPr>
          <w:rFonts w:ascii="Arial" w:cs="Arial" w:eastAsia="Arial" w:hAnsi="Arial"/>
          <w:sz w:val="17"/>
          <w:szCs w:val="17"/>
          <w:color w:val="auto"/>
        </w:rPr>
        <w:t>.</w:t>
      </w:r>
    </w:p>
    <w:p>
      <w:pPr>
        <w:spacing w:after="0" w:line="220" w:lineRule="exact"/>
        <w:rPr>
          <w:sz w:val="20"/>
          <w:szCs w:val="20"/>
          <w:color w:val="auto"/>
        </w:rPr>
      </w:pPr>
    </w:p>
    <w:p>
      <w:pPr>
        <w:jc w:val="both"/>
        <w:ind w:firstLine="634"/>
        <w:spacing w:after="0" w:line="278" w:lineRule="auto"/>
        <w:tabs>
          <w:tab w:leader="none" w:pos="1249" w:val="left"/>
        </w:tabs>
        <w:numPr>
          <w:ilvl w:val="0"/>
          <w:numId w:val="145"/>
        </w:numPr>
        <w:rPr>
          <w:rFonts w:ascii="Arial" w:cs="Arial" w:eastAsia="Arial" w:hAnsi="Arial"/>
          <w:sz w:val="17"/>
          <w:szCs w:val="17"/>
          <w:color w:val="auto"/>
        </w:rPr>
      </w:pPr>
      <w:r>
        <w:rPr>
          <w:rFonts w:ascii="Arial" w:cs="Arial" w:eastAsia="Arial" w:hAnsi="Arial"/>
          <w:sz w:val="17"/>
          <w:szCs w:val="17"/>
          <w:u w:val="single" w:color="auto"/>
          <w:color w:val="auto"/>
        </w:rPr>
        <w:t>The Swing Line</w:t>
      </w:r>
      <w:r>
        <w:rPr>
          <w:rFonts w:ascii="Arial" w:cs="Arial" w:eastAsia="Arial" w:hAnsi="Arial"/>
          <w:sz w:val="17"/>
          <w:szCs w:val="17"/>
          <w:color w:val="auto"/>
        </w:rPr>
        <w:t xml:space="preserve">. Subject to the terms and conditions set forth herein, the Swing Line Lender may, but shall not be obligated to, make loans in reliance upon the agreements of the other Lenders set forth in this </w:t>
      </w:r>
      <w:r>
        <w:rPr>
          <w:rFonts w:ascii="Arial" w:cs="Arial" w:eastAsia="Arial" w:hAnsi="Arial"/>
          <w:sz w:val="17"/>
          <w:szCs w:val="17"/>
          <w:u w:val="single" w:color="auto"/>
          <w:color w:val="auto"/>
        </w:rPr>
        <w:t>Section 2.04</w:t>
      </w:r>
      <w:r>
        <w:rPr>
          <w:rFonts w:ascii="Arial" w:cs="Arial" w:eastAsia="Arial" w:hAnsi="Arial"/>
          <w:sz w:val="17"/>
          <w:szCs w:val="17"/>
          <w:color w:val="auto"/>
        </w:rPr>
        <w:t xml:space="preserve"> in Dollars (each such loan, a “</w:t>
      </w:r>
      <w:r>
        <w:rPr>
          <w:rFonts w:ascii="Arial" w:cs="Arial" w:eastAsia="Arial" w:hAnsi="Arial"/>
          <w:sz w:val="17"/>
          <w:szCs w:val="17"/>
          <w:u w:val="single" w:color="auto"/>
          <w:color w:val="auto"/>
        </w:rPr>
        <w:t>Swing Line Loan</w:t>
      </w:r>
      <w:r>
        <w:rPr>
          <w:rFonts w:ascii="Arial" w:cs="Arial" w:eastAsia="Arial" w:hAnsi="Arial"/>
          <w:sz w:val="17"/>
          <w:szCs w:val="17"/>
          <w:color w:val="auto"/>
        </w:rPr>
        <w:t xml:space="preserve">”) to the Borrowers from time to time on any Business Day during the Availability Period in an aggregate amount not to exceed at any time outstanding the amount of the Swing Line Sublimit, notwithstanding the fact that such Swing Line Loans, when aggregated with the Applicable Percentage of the Outstanding Amount of Revolving Credit Loans and Letter of Credit Obligations of the Revolving Credit Lender acting as Swing Line Lender, may exceed the amount of such Revolving Credit Lender’s Revolving Credit Commitment;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after giving effect to any Swing Line Loan, (i) the Total Revolving Credit Outstandings shall not exceed the Maximum Borrowing Amount, and (ii) the Revolving Credit Exposure of any Revolving Credit Lender shall not exceed such Revolving Credit Lender’s Revolving Credit Commitment,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the Borrowers shall not use the proceeds of any Swing Line Loan to refinance any outstanding Swing Line Loan. Within the foregoing limits and subject to the discretion of the Swing Line Lender to make Swing Line Loans, and subject to the other terms and conditions hereof, the Borrowers may borrow under this </w:t>
      </w:r>
      <w:r>
        <w:rPr>
          <w:rFonts w:ascii="Arial" w:cs="Arial" w:eastAsia="Arial" w:hAnsi="Arial"/>
          <w:sz w:val="17"/>
          <w:szCs w:val="17"/>
          <w:u w:val="single" w:color="auto"/>
          <w:color w:val="auto"/>
        </w:rPr>
        <w:t>Section 2.04</w:t>
      </w:r>
      <w:r>
        <w:rPr>
          <w:rFonts w:ascii="Arial" w:cs="Arial" w:eastAsia="Arial" w:hAnsi="Arial"/>
          <w:sz w:val="17"/>
          <w:szCs w:val="17"/>
          <w:color w:val="auto"/>
        </w:rPr>
        <w:t xml:space="preserve">, prepay under </w:t>
      </w:r>
      <w:r>
        <w:rPr>
          <w:rFonts w:ascii="Arial" w:cs="Arial" w:eastAsia="Arial" w:hAnsi="Arial"/>
          <w:sz w:val="17"/>
          <w:szCs w:val="17"/>
          <w:u w:val="single" w:color="auto"/>
          <w:color w:val="auto"/>
        </w:rPr>
        <w:t>Section 2.06(a)(ii)</w:t>
      </w:r>
      <w:r>
        <w:rPr>
          <w:rFonts w:ascii="Arial" w:cs="Arial" w:eastAsia="Arial" w:hAnsi="Arial"/>
          <w:sz w:val="17"/>
          <w:szCs w:val="17"/>
          <w:color w:val="auto"/>
        </w:rPr>
        <w:t xml:space="preserve">, and reborrow under this </w:t>
      </w:r>
      <w:r>
        <w:rPr>
          <w:rFonts w:ascii="Arial" w:cs="Arial" w:eastAsia="Arial" w:hAnsi="Arial"/>
          <w:sz w:val="17"/>
          <w:szCs w:val="17"/>
          <w:u w:val="single" w:color="auto"/>
          <w:color w:val="auto"/>
        </w:rPr>
        <w:t>Section 2.04</w:t>
      </w:r>
      <w:r>
        <w:rPr>
          <w:rFonts w:ascii="Arial" w:cs="Arial" w:eastAsia="Arial" w:hAnsi="Arial"/>
          <w:sz w:val="17"/>
          <w:szCs w:val="17"/>
          <w:color w:val="auto"/>
        </w:rPr>
        <w:t xml:space="preserve">. Each Swing Line Loan shall be a Base Rate Loan. Immediately upon the making of a Swing Line Loan, each Revolving Credit Lender shall be deemed to, and hereby irrevocably and unconditionally agrees to, purchase from the Swing Line Lender a risk participation in such Swing Line Loan in an amount equal to the product of such Revolving Credit Lender’s Applicable Percentage </w:t>
      </w:r>
      <w:r>
        <w:rPr>
          <w:rFonts w:ascii="Arial" w:cs="Arial" w:eastAsia="Arial" w:hAnsi="Arial"/>
          <w:sz w:val="17"/>
          <w:szCs w:val="17"/>
          <w:u w:val="single" w:color="auto"/>
          <w:color w:val="auto"/>
        </w:rPr>
        <w:t>times</w:t>
      </w:r>
      <w:r>
        <w:rPr>
          <w:rFonts w:ascii="Arial" w:cs="Arial" w:eastAsia="Arial" w:hAnsi="Arial"/>
          <w:sz w:val="17"/>
          <w:szCs w:val="17"/>
          <w:color w:val="auto"/>
        </w:rPr>
        <w:t xml:space="preserve"> the amount of such Swing Line Loan.</w:t>
      </w:r>
    </w:p>
    <w:p>
      <w:pPr>
        <w:spacing w:after="0" w:line="160" w:lineRule="exact"/>
        <w:rPr>
          <w:rFonts w:ascii="Arial" w:cs="Arial" w:eastAsia="Arial" w:hAnsi="Arial"/>
          <w:sz w:val="17"/>
          <w:szCs w:val="17"/>
          <w:color w:val="auto"/>
        </w:rPr>
      </w:pPr>
    </w:p>
    <w:p>
      <w:pPr>
        <w:jc w:val="both"/>
        <w:ind w:firstLine="634"/>
        <w:spacing w:after="0" w:line="282" w:lineRule="auto"/>
        <w:tabs>
          <w:tab w:leader="none" w:pos="1247" w:val="left"/>
        </w:tabs>
        <w:numPr>
          <w:ilvl w:val="0"/>
          <w:numId w:val="145"/>
        </w:numPr>
        <w:rPr>
          <w:rFonts w:ascii="Arial" w:cs="Arial" w:eastAsia="Arial" w:hAnsi="Arial"/>
          <w:sz w:val="17"/>
          <w:szCs w:val="17"/>
          <w:color w:val="auto"/>
        </w:rPr>
      </w:pPr>
      <w:r>
        <w:rPr>
          <w:rFonts w:ascii="Arial" w:cs="Arial" w:eastAsia="Arial" w:hAnsi="Arial"/>
          <w:sz w:val="17"/>
          <w:szCs w:val="17"/>
          <w:u w:val="single" w:color="auto"/>
          <w:color w:val="auto"/>
        </w:rPr>
        <w:t>Borrowing Procedures</w:t>
      </w:r>
      <w:r>
        <w:rPr>
          <w:rFonts w:ascii="Arial" w:cs="Arial" w:eastAsia="Arial" w:hAnsi="Arial"/>
          <w:sz w:val="17"/>
          <w:szCs w:val="17"/>
          <w:color w:val="auto"/>
        </w:rPr>
        <w:t>. Each Swing Line Borrowing shall be made upon the Borrower Agent’s irrevocable notice to the Swing Line Lender and the Administrative Agent, which may be given by telephone. Each such notice must be received by the Swing Line Lender and the Administrative Agent not later than 12:00 noon on the requested borrowing date, and shall specify (i) the amount to be borrowed, which shall be a minimum of $500,000 and integral multiples of $100,000 in excess thereof, and (ii) the requested borrowing date, which shall be a Business Day. Each such telephonic notice must be confirmed promptly by delivery to the Swing Line Lender and the Administrative Agent of a written Swing Line Loan Notice, appropriately completed and signed by a Responsible Officer of the Borrower Agent. Promptly after receipt by the Swing Line Lender of any telephonic Swing Line Loan Notice, the Swing Line Lender will (i) deliver notice to the Borrower Agent and the Administrative Agent as to whether it will or will not make such Swing Line Loan available to the Borrowers and, if agreeing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78</w:t>
      </w:r>
    </w:p>
    <w:p>
      <w:pPr>
        <w:sectPr>
          <w:pgSz w:w="11900" w:h="16838" w:orient="portrait"/>
          <w:cols w:equalWidth="0" w:num="1">
            <w:col w:w="11240"/>
          </w:cols>
          <w:pgMar w:left="320" w:top="1382" w:right="339" w:bottom="1440" w:gutter="0" w:footer="0" w:header="0"/>
        </w:sectPr>
      </w:pPr>
    </w:p>
    <w:bookmarkStart w:id="197" w:name="page198"/>
    <w:bookmarkEnd w:id="197"/>
    <w:p>
      <w:pPr>
        <w:jc w:val="both"/>
        <w:spacing w:after="0" w:line="248" w:lineRule="auto"/>
        <w:rPr>
          <w:sz w:val="20"/>
          <w:szCs w:val="20"/>
          <w:color w:val="auto"/>
        </w:rPr>
      </w:pPr>
      <w:r>
        <w:rPr>
          <w:rFonts w:ascii="Arial" w:cs="Arial" w:eastAsia="Arial" w:hAnsi="Arial"/>
          <w:sz w:val="19"/>
          <w:szCs w:val="19"/>
          <w:color w:val="auto"/>
        </w:rPr>
        <w:t xml:space="preserve">make such Swing Line Loan, (ii) confirm with the Administrative Agent (by telephone or in writing) that the Administrative Agent has also received such Swing Line Loan Notice and, if not, the Swing Line Lender will notify the Administrative Agent (by telephone or in writing) of the contents thereof. Unless the Swing Line Lender has received notice (by telephone or in writing) from the Administrative Agent (including at the request of any Revolving Credit Lender) prior to 1:00 p.m. on the date of the proposed Swing Line Borrowing (A) directing the Swing Line Lender not to make such Swing Line Loan as a result of the limitations set forth in the proviso to the first sentence of </w:t>
      </w:r>
      <w:r>
        <w:rPr>
          <w:rFonts w:ascii="Arial" w:cs="Arial" w:eastAsia="Arial" w:hAnsi="Arial"/>
          <w:sz w:val="19"/>
          <w:szCs w:val="19"/>
          <w:u w:val="single" w:color="auto"/>
          <w:color w:val="auto"/>
        </w:rPr>
        <w:t>Section 2.04(a)</w:t>
      </w:r>
      <w:r>
        <w:rPr>
          <w:rFonts w:ascii="Arial" w:cs="Arial" w:eastAsia="Arial" w:hAnsi="Arial"/>
          <w:sz w:val="19"/>
          <w:szCs w:val="19"/>
          <w:color w:val="auto"/>
        </w:rPr>
        <w:t xml:space="preserve">, or (B) that one or more of the applicable conditions specified in </w:t>
      </w:r>
      <w:r>
        <w:rPr>
          <w:rFonts w:ascii="Arial" w:cs="Arial" w:eastAsia="Arial" w:hAnsi="Arial"/>
          <w:sz w:val="19"/>
          <w:szCs w:val="19"/>
          <w:u w:val="single" w:color="auto"/>
          <w:color w:val="auto"/>
        </w:rPr>
        <w:t>Article V</w:t>
      </w:r>
      <w:r>
        <w:rPr>
          <w:rFonts w:ascii="Arial" w:cs="Arial" w:eastAsia="Arial" w:hAnsi="Arial"/>
          <w:sz w:val="19"/>
          <w:szCs w:val="19"/>
          <w:color w:val="auto"/>
        </w:rPr>
        <w:t xml:space="preserve"> is not then satisfied, then, subject to the terms and conditions hereof, the Swing Line Lender may, not later than 3:00 p.m. on the borrowing date specified in such Swing Line Loan Notice, make the amount of its Swing Line Loan available to the Borrower Agent at its office by crediting the account of the Borrower Agent on the books of the Swing Line Lender in Same Day Funds.</w:t>
      </w:r>
    </w:p>
    <w:p>
      <w:pPr>
        <w:spacing w:after="0" w:line="184" w:lineRule="exact"/>
        <w:rPr>
          <w:sz w:val="20"/>
          <w:szCs w:val="20"/>
          <w:color w:val="auto"/>
        </w:rPr>
      </w:pPr>
    </w:p>
    <w:p>
      <w:pPr>
        <w:ind w:left="1260" w:hanging="626"/>
        <w:spacing w:after="0"/>
        <w:tabs>
          <w:tab w:leader="none" w:pos="1260" w:val="left"/>
        </w:tabs>
        <w:numPr>
          <w:ilvl w:val="0"/>
          <w:numId w:val="146"/>
        </w:numPr>
        <w:rPr>
          <w:rFonts w:ascii="Arial" w:cs="Arial" w:eastAsia="Arial" w:hAnsi="Arial"/>
          <w:sz w:val="19"/>
          <w:szCs w:val="19"/>
          <w:color w:val="auto"/>
        </w:rPr>
      </w:pPr>
      <w:r>
        <w:rPr>
          <w:rFonts w:ascii="Arial" w:cs="Arial" w:eastAsia="Arial" w:hAnsi="Arial"/>
          <w:sz w:val="19"/>
          <w:szCs w:val="19"/>
          <w:u w:val="single" w:color="auto"/>
          <w:color w:val="auto"/>
        </w:rPr>
        <w:t>Refinancing of Swing Line Loans</w:t>
      </w:r>
      <w:r>
        <w:rPr>
          <w:rFonts w:ascii="Arial" w:cs="Arial" w:eastAsia="Arial" w:hAnsi="Arial"/>
          <w:sz w:val="19"/>
          <w:szCs w:val="19"/>
          <w:color w:val="auto"/>
        </w:rPr>
        <w:t>.</w:t>
      </w:r>
    </w:p>
    <w:p>
      <w:pPr>
        <w:spacing w:after="0" w:line="214" w:lineRule="exact"/>
        <w:rPr>
          <w:rFonts w:ascii="Arial" w:cs="Arial" w:eastAsia="Arial" w:hAnsi="Arial"/>
          <w:sz w:val="19"/>
          <w:szCs w:val="19"/>
          <w:color w:val="auto"/>
        </w:rPr>
      </w:pPr>
    </w:p>
    <w:p>
      <w:pPr>
        <w:jc w:val="both"/>
        <w:ind w:left="640" w:firstLine="624"/>
        <w:spacing w:after="0" w:line="261" w:lineRule="auto"/>
        <w:tabs>
          <w:tab w:leader="none" w:pos="1897" w:val="left"/>
        </w:tabs>
        <w:numPr>
          <w:ilvl w:val="1"/>
          <w:numId w:val="146"/>
        </w:numPr>
        <w:rPr>
          <w:rFonts w:ascii="Arial" w:cs="Arial" w:eastAsia="Arial" w:hAnsi="Arial"/>
          <w:sz w:val="18"/>
          <w:szCs w:val="18"/>
          <w:color w:val="auto"/>
        </w:rPr>
      </w:pPr>
      <w:r>
        <w:rPr>
          <w:rFonts w:ascii="Arial" w:cs="Arial" w:eastAsia="Arial" w:hAnsi="Arial"/>
          <w:sz w:val="18"/>
          <w:szCs w:val="18"/>
          <w:color w:val="auto"/>
        </w:rPr>
        <w:t xml:space="preserve">The Swing Line Lender at any time in its sole and absolute discretion, but no less frequently than weekly, may request, on behalf of the Borrowers (which hereby irrevocably authorizes the Swing Line Lender to so request on its behalf), that each Revolving Credit Lender make a Base Rate Loan in an amount equal to such Revolving Credit Lender’s Applicable Revolving Credit Percentage of the amount of Swing Line Loans then outstanding. Such request shall be made in writing (which written request shall be deemed to be a Committed Loan Notice for purposes hereof) and in accordance with the requirements of </w:t>
      </w:r>
      <w:r>
        <w:rPr>
          <w:rFonts w:ascii="Arial" w:cs="Arial" w:eastAsia="Arial" w:hAnsi="Arial"/>
          <w:sz w:val="18"/>
          <w:szCs w:val="18"/>
          <w:u w:val="single" w:color="auto"/>
          <w:color w:val="auto"/>
        </w:rPr>
        <w:t>Section 2.02</w:t>
      </w:r>
      <w:r>
        <w:rPr>
          <w:rFonts w:ascii="Arial" w:cs="Arial" w:eastAsia="Arial" w:hAnsi="Arial"/>
          <w:sz w:val="18"/>
          <w:szCs w:val="18"/>
          <w:color w:val="auto"/>
        </w:rPr>
        <w:t xml:space="preserve"> without regard to the minimum and multiples specified therein for the principal amount of Base Rate Loans, but subject to the unutilized portion of the Aggregate Revolving Credit Commitments and the conditions set forth in </w:t>
      </w:r>
      <w:r>
        <w:rPr>
          <w:rFonts w:ascii="Arial" w:cs="Arial" w:eastAsia="Arial" w:hAnsi="Arial"/>
          <w:sz w:val="18"/>
          <w:szCs w:val="18"/>
          <w:u w:val="single" w:color="auto"/>
          <w:color w:val="auto"/>
        </w:rPr>
        <w:t>Section 5.02</w:t>
      </w:r>
      <w:r>
        <w:rPr>
          <w:rFonts w:ascii="Arial" w:cs="Arial" w:eastAsia="Arial" w:hAnsi="Arial"/>
          <w:sz w:val="18"/>
          <w:szCs w:val="18"/>
          <w:color w:val="auto"/>
        </w:rPr>
        <w:t xml:space="preserve">. The Swing Line Lender shall furnish the Borrower Agent with a copy of the applicable Committed Loan Notice promptly after delivering such notice to the Administrative Agent. Each Revolving Credit Lender shall make an amount equal to its Applicable Percentage of the amount specified in such Committed Loan Notice available to the Administrative Agent in Same Day Funds (and the Administrative Agent may apply Cash Collateral available with respect to the applicable Swing Line Loan) for the account of the Swing Line Lender at the Administrative Agent’s Office not later than 2:00 p.m. on the day specified in such Committed Loan Notice, whereupon, subject to </w:t>
      </w:r>
      <w:r>
        <w:rPr>
          <w:rFonts w:ascii="Arial" w:cs="Arial" w:eastAsia="Arial" w:hAnsi="Arial"/>
          <w:sz w:val="18"/>
          <w:szCs w:val="18"/>
          <w:u w:val="single" w:color="auto"/>
          <w:color w:val="auto"/>
        </w:rPr>
        <w:t>Section 2.04(c)(ii),</w:t>
      </w:r>
      <w:r>
        <w:rPr>
          <w:rFonts w:ascii="Arial" w:cs="Arial" w:eastAsia="Arial" w:hAnsi="Arial"/>
          <w:sz w:val="18"/>
          <w:szCs w:val="18"/>
          <w:color w:val="auto"/>
        </w:rPr>
        <w:t xml:space="preserve"> each Revolving Credit Lender that so makes funds available shall be deemed to have made a Base Rate Loan to the Borrowers in such amount. The Administrative Agent shall remit the funds so received to the Swing Line Lender.</w:t>
      </w:r>
    </w:p>
    <w:p>
      <w:pPr>
        <w:spacing w:after="0" w:line="179" w:lineRule="exact"/>
        <w:rPr>
          <w:rFonts w:ascii="Arial" w:cs="Arial" w:eastAsia="Arial" w:hAnsi="Arial"/>
          <w:sz w:val="18"/>
          <w:szCs w:val="18"/>
          <w:color w:val="auto"/>
        </w:rPr>
      </w:pPr>
    </w:p>
    <w:p>
      <w:pPr>
        <w:jc w:val="both"/>
        <w:ind w:left="640" w:firstLine="624"/>
        <w:spacing w:after="0" w:line="252" w:lineRule="auto"/>
        <w:tabs>
          <w:tab w:leader="none" w:pos="1897" w:val="left"/>
        </w:tabs>
        <w:numPr>
          <w:ilvl w:val="1"/>
          <w:numId w:val="146"/>
        </w:numPr>
        <w:rPr>
          <w:rFonts w:ascii="Arial" w:cs="Arial" w:eastAsia="Arial" w:hAnsi="Arial"/>
          <w:sz w:val="19"/>
          <w:szCs w:val="19"/>
          <w:color w:val="auto"/>
        </w:rPr>
      </w:pPr>
      <w:r>
        <w:rPr>
          <w:rFonts w:ascii="Arial" w:cs="Arial" w:eastAsia="Arial" w:hAnsi="Arial"/>
          <w:sz w:val="19"/>
          <w:szCs w:val="19"/>
          <w:color w:val="auto"/>
        </w:rPr>
        <w:t xml:space="preserve">If for any reason any Swing Line Loan cannot be refinanced by such a Revolving Credit Borrowing in accordance with </w:t>
      </w:r>
      <w:r>
        <w:rPr>
          <w:rFonts w:ascii="Arial" w:cs="Arial" w:eastAsia="Arial" w:hAnsi="Arial"/>
          <w:sz w:val="19"/>
          <w:szCs w:val="19"/>
          <w:u w:val="single" w:color="auto"/>
          <w:color w:val="auto"/>
        </w:rPr>
        <w:t>Section 2.04(c)(i)</w:t>
      </w:r>
      <w:r>
        <w:rPr>
          <w:rFonts w:ascii="Arial" w:cs="Arial" w:eastAsia="Arial" w:hAnsi="Arial"/>
          <w:sz w:val="19"/>
          <w:szCs w:val="19"/>
          <w:color w:val="auto"/>
        </w:rPr>
        <w:t xml:space="preserve">, the request for Base Rate Loans submitted by the Swing Line Lender as set forth herein shall be deemed to be a request by the Swing Line Lender that each of the Revolving Credit Lenders fund its risk participation in the relevant Swing Line Loan and each Revolving Credit Lender’s payment to the Administrative Agent for the account of the Swing Line Lender pursuant to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2.04(c)(i)</w:t>
      </w:r>
      <w:r>
        <w:rPr>
          <w:rFonts w:ascii="Arial" w:cs="Arial" w:eastAsia="Arial" w:hAnsi="Arial"/>
          <w:sz w:val="19"/>
          <w:szCs w:val="19"/>
          <w:color w:val="auto"/>
        </w:rPr>
        <w:t xml:space="preserve"> shall be deemed payment in respect of such participation.</w:t>
      </w:r>
    </w:p>
    <w:p>
      <w:pPr>
        <w:spacing w:after="0" w:line="177" w:lineRule="exact"/>
        <w:rPr>
          <w:rFonts w:ascii="Arial" w:cs="Arial" w:eastAsia="Arial" w:hAnsi="Arial"/>
          <w:sz w:val="19"/>
          <w:szCs w:val="19"/>
          <w:color w:val="auto"/>
        </w:rPr>
      </w:pPr>
    </w:p>
    <w:p>
      <w:pPr>
        <w:jc w:val="both"/>
        <w:ind w:left="640" w:firstLine="624"/>
        <w:spacing w:after="0" w:line="259" w:lineRule="auto"/>
        <w:tabs>
          <w:tab w:leader="none" w:pos="1898" w:val="left"/>
        </w:tabs>
        <w:numPr>
          <w:ilvl w:val="1"/>
          <w:numId w:val="146"/>
        </w:numPr>
        <w:rPr>
          <w:rFonts w:ascii="Arial" w:cs="Arial" w:eastAsia="Arial" w:hAnsi="Arial"/>
          <w:sz w:val="19"/>
          <w:szCs w:val="19"/>
          <w:color w:val="auto"/>
        </w:rPr>
      </w:pPr>
      <w:r>
        <w:rPr>
          <w:rFonts w:ascii="Arial" w:cs="Arial" w:eastAsia="Arial" w:hAnsi="Arial"/>
          <w:sz w:val="19"/>
          <w:szCs w:val="19"/>
          <w:color w:val="auto"/>
        </w:rPr>
        <w:t xml:space="preserve">If any Revolving Credit Lender fails to make available to the Administrative Agent for the account of the Swing Line Lender any amount required to be paid by such Revolving Credit Lender pursuant to the foregoing provisions of this </w:t>
      </w:r>
      <w:r>
        <w:rPr>
          <w:rFonts w:ascii="Arial" w:cs="Arial" w:eastAsia="Arial" w:hAnsi="Arial"/>
          <w:sz w:val="19"/>
          <w:szCs w:val="19"/>
          <w:u w:val="single" w:color="auto"/>
          <w:color w:val="auto"/>
        </w:rPr>
        <w:t>Section 2.04(c)</w:t>
      </w:r>
      <w:r>
        <w:rPr>
          <w:rFonts w:ascii="Arial" w:cs="Arial" w:eastAsia="Arial" w:hAnsi="Arial"/>
          <w:sz w:val="19"/>
          <w:szCs w:val="19"/>
          <w:color w:val="auto"/>
        </w:rPr>
        <w:t xml:space="preserve"> by the time specified in </w:t>
      </w:r>
      <w:r>
        <w:rPr>
          <w:rFonts w:ascii="Arial" w:cs="Arial" w:eastAsia="Arial" w:hAnsi="Arial"/>
          <w:sz w:val="19"/>
          <w:szCs w:val="19"/>
          <w:u w:val="single" w:color="auto"/>
          <w:color w:val="auto"/>
        </w:rPr>
        <w:t>Section 2.04(c)(i)</w:t>
      </w:r>
      <w:r>
        <w:rPr>
          <w:rFonts w:ascii="Arial" w:cs="Arial" w:eastAsia="Arial" w:hAnsi="Arial"/>
          <w:sz w:val="19"/>
          <w:szCs w:val="19"/>
          <w:color w:val="auto"/>
        </w:rPr>
        <w:t>, the Swing Line Lender shall be entitled to recover from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79</w:t>
      </w:r>
    </w:p>
    <w:p>
      <w:pPr>
        <w:sectPr>
          <w:pgSz w:w="11900" w:h="16838" w:orient="portrait"/>
          <w:cols w:equalWidth="0" w:num="1">
            <w:col w:w="11240"/>
          </w:cols>
          <w:pgMar w:left="320" w:top="1382" w:right="339" w:bottom="1440" w:gutter="0" w:footer="0" w:header="0"/>
        </w:sectPr>
      </w:pPr>
    </w:p>
    <w:bookmarkStart w:id="198" w:name="page199"/>
    <w:bookmarkEnd w:id="198"/>
    <w:p>
      <w:pPr>
        <w:jc w:val="both"/>
        <w:ind w:left="640"/>
        <w:spacing w:after="0" w:line="250" w:lineRule="auto"/>
        <w:rPr>
          <w:sz w:val="20"/>
          <w:szCs w:val="20"/>
          <w:color w:val="auto"/>
        </w:rPr>
      </w:pPr>
      <w:r>
        <w:rPr>
          <w:rFonts w:ascii="Arial" w:cs="Arial" w:eastAsia="Arial" w:hAnsi="Arial"/>
          <w:sz w:val="19"/>
          <w:szCs w:val="19"/>
          <w:color w:val="auto"/>
        </w:rPr>
        <w:t xml:space="preserve">Revolving Credit Lender (acting through the Administrative Agent), on demand, such amount with interest thereon for the period from the date such payment is required to the date on which such payment is immediately available to the Swing Line Lender at a rate per annum equal to the applicable Overnight Rate for three (3) Business Days and thereafter at the Base Rate,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any administrative processing or similar fees customarily charged by the Swing Line Lender in connection with the foregoing. A certificate of the Swing Line Lender submitted to any Revolving Credit Lender (through the Administrative Agent) with respect to any amounts owing under this clause (iii) shall be conclusive absent manifest error.</w:t>
      </w:r>
    </w:p>
    <w:p>
      <w:pPr>
        <w:spacing w:after="0" w:line="182" w:lineRule="exact"/>
        <w:rPr>
          <w:sz w:val="20"/>
          <w:szCs w:val="20"/>
          <w:color w:val="auto"/>
        </w:rPr>
      </w:pPr>
    </w:p>
    <w:p>
      <w:pPr>
        <w:jc w:val="both"/>
        <w:ind w:left="640" w:firstLine="624"/>
        <w:spacing w:after="0" w:line="264" w:lineRule="auto"/>
        <w:tabs>
          <w:tab w:leader="none" w:pos="1888" w:val="left"/>
        </w:tabs>
        <w:numPr>
          <w:ilvl w:val="1"/>
          <w:numId w:val="147"/>
        </w:numPr>
        <w:rPr>
          <w:rFonts w:ascii="Arial" w:cs="Arial" w:eastAsia="Arial" w:hAnsi="Arial"/>
          <w:sz w:val="18"/>
          <w:szCs w:val="18"/>
          <w:color w:val="auto"/>
        </w:rPr>
      </w:pPr>
      <w:r>
        <w:rPr>
          <w:rFonts w:ascii="Arial" w:cs="Arial" w:eastAsia="Arial" w:hAnsi="Arial"/>
          <w:sz w:val="18"/>
          <w:szCs w:val="18"/>
          <w:color w:val="auto"/>
        </w:rPr>
        <w:t xml:space="preserve">Each Revolving Credit Lender’s obligation to make Revolving Credit Loans or to purchase and fund risk participations in Swing Line Loans pursuant to this </w:t>
      </w:r>
      <w:r>
        <w:rPr>
          <w:rFonts w:ascii="Arial" w:cs="Arial" w:eastAsia="Arial" w:hAnsi="Arial"/>
          <w:sz w:val="18"/>
          <w:szCs w:val="18"/>
          <w:u w:val="single" w:color="auto"/>
          <w:color w:val="auto"/>
        </w:rPr>
        <w:t>Section 2.04(c)</w:t>
      </w:r>
      <w:r>
        <w:rPr>
          <w:rFonts w:ascii="Arial" w:cs="Arial" w:eastAsia="Arial" w:hAnsi="Arial"/>
          <w:sz w:val="18"/>
          <w:szCs w:val="18"/>
          <w:color w:val="auto"/>
        </w:rPr>
        <w:t xml:space="preserve"> shall be absolute and unconditional and shall not be affected by any circumstance, including (A) any set-off, counterclaim, recoupment, defense or other right which such Revolving Credit Lender may have against the Swing Line Lender, the Borrowers or any other Person for any reason whatsoever, (B) the occurrence or continuance of a Default, or (C) any other occurrence, event or condition, whether or not similar to any of the foregoing; provided, however, that each Revolving Credit Lender’s obligation to make Revolving Credit Loans pursuant to this </w:t>
      </w:r>
      <w:r>
        <w:rPr>
          <w:rFonts w:ascii="Arial" w:cs="Arial" w:eastAsia="Arial" w:hAnsi="Arial"/>
          <w:sz w:val="18"/>
          <w:szCs w:val="18"/>
          <w:u w:val="single" w:color="auto"/>
          <w:color w:val="auto"/>
        </w:rPr>
        <w:t>Section 2.04(c)</w:t>
      </w:r>
      <w:r>
        <w:rPr>
          <w:rFonts w:ascii="Arial" w:cs="Arial" w:eastAsia="Arial" w:hAnsi="Arial"/>
          <w:sz w:val="18"/>
          <w:szCs w:val="18"/>
          <w:color w:val="auto"/>
        </w:rPr>
        <w:t xml:space="preserve"> is subject to the conditions set forth in </w:t>
      </w:r>
      <w:r>
        <w:rPr>
          <w:rFonts w:ascii="Arial" w:cs="Arial" w:eastAsia="Arial" w:hAnsi="Arial"/>
          <w:sz w:val="18"/>
          <w:szCs w:val="18"/>
          <w:u w:val="single" w:color="auto"/>
          <w:color w:val="auto"/>
        </w:rPr>
        <w:t>Section 5.02</w:t>
      </w:r>
      <w:r>
        <w:rPr>
          <w:rFonts w:ascii="Arial" w:cs="Arial" w:eastAsia="Arial" w:hAnsi="Arial"/>
          <w:sz w:val="18"/>
          <w:szCs w:val="18"/>
          <w:color w:val="auto"/>
        </w:rPr>
        <w:t>. No such funding of risk participations shall relieve or otherwise impair the obligation of the Borrowers to repay Swing Line Loans, together with interest as provided herein.</w:t>
      </w:r>
    </w:p>
    <w:p>
      <w:pPr>
        <w:spacing w:after="0" w:line="171" w:lineRule="exact"/>
        <w:rPr>
          <w:rFonts w:ascii="Arial" w:cs="Arial" w:eastAsia="Arial" w:hAnsi="Arial"/>
          <w:sz w:val="18"/>
          <w:szCs w:val="18"/>
          <w:color w:val="auto"/>
        </w:rPr>
      </w:pPr>
    </w:p>
    <w:p>
      <w:pPr>
        <w:ind w:left="640" w:firstLine="624"/>
        <w:spacing w:after="0" w:line="274" w:lineRule="auto"/>
        <w:tabs>
          <w:tab w:leader="none" w:pos="1887" w:val="left"/>
        </w:tabs>
        <w:numPr>
          <w:ilvl w:val="1"/>
          <w:numId w:val="147"/>
        </w:numPr>
        <w:rPr>
          <w:rFonts w:ascii="Arial" w:cs="Arial" w:eastAsia="Arial" w:hAnsi="Arial"/>
          <w:sz w:val="19"/>
          <w:szCs w:val="19"/>
          <w:color w:val="auto"/>
        </w:rPr>
      </w:pPr>
      <w:r>
        <w:rPr>
          <w:rFonts w:ascii="Arial" w:cs="Arial" w:eastAsia="Arial" w:hAnsi="Arial"/>
          <w:sz w:val="19"/>
          <w:szCs w:val="19"/>
          <w:color w:val="auto"/>
        </w:rPr>
        <w:t xml:space="preserve">All refinancings and fundings under this </w:t>
      </w:r>
      <w:r>
        <w:rPr>
          <w:rFonts w:ascii="Arial" w:cs="Arial" w:eastAsia="Arial" w:hAnsi="Arial"/>
          <w:sz w:val="19"/>
          <w:szCs w:val="19"/>
          <w:u w:val="single" w:color="auto"/>
          <w:color w:val="auto"/>
        </w:rPr>
        <w:t>Section 2.04(c)</w:t>
      </w:r>
      <w:r>
        <w:rPr>
          <w:rFonts w:ascii="Arial" w:cs="Arial" w:eastAsia="Arial" w:hAnsi="Arial"/>
          <w:sz w:val="19"/>
          <w:szCs w:val="19"/>
          <w:color w:val="auto"/>
        </w:rPr>
        <w:t xml:space="preserve"> shall be in addition to and without duplication of the settlement procedures and obligations under </w:t>
      </w:r>
      <w:r>
        <w:rPr>
          <w:rFonts w:ascii="Arial" w:cs="Arial" w:eastAsia="Arial" w:hAnsi="Arial"/>
          <w:sz w:val="19"/>
          <w:szCs w:val="19"/>
          <w:u w:val="single" w:color="auto"/>
          <w:color w:val="auto"/>
        </w:rPr>
        <w:t>Section 2.14</w:t>
      </w:r>
      <w:r>
        <w:rPr>
          <w:rFonts w:ascii="Arial" w:cs="Arial" w:eastAsia="Arial" w:hAnsi="Arial"/>
          <w:sz w:val="19"/>
          <w:szCs w:val="19"/>
          <w:color w:val="auto"/>
        </w:rPr>
        <w:t>.</w:t>
      </w:r>
    </w:p>
    <w:p>
      <w:pPr>
        <w:spacing w:after="0" w:line="156" w:lineRule="exact"/>
        <w:rPr>
          <w:rFonts w:ascii="Arial" w:cs="Arial" w:eastAsia="Arial" w:hAnsi="Arial"/>
          <w:sz w:val="19"/>
          <w:szCs w:val="19"/>
          <w:color w:val="auto"/>
        </w:rPr>
      </w:pPr>
    </w:p>
    <w:p>
      <w:pPr>
        <w:jc w:val="both"/>
        <w:ind w:firstLine="634"/>
        <w:spacing w:after="0" w:line="252" w:lineRule="auto"/>
        <w:tabs>
          <w:tab w:leader="none" w:pos="1247" w:val="left"/>
        </w:tabs>
        <w:numPr>
          <w:ilvl w:val="0"/>
          <w:numId w:val="148"/>
        </w:numPr>
        <w:rPr>
          <w:rFonts w:ascii="Arial" w:cs="Arial" w:eastAsia="Arial" w:hAnsi="Arial"/>
          <w:sz w:val="19"/>
          <w:szCs w:val="19"/>
          <w:color w:val="auto"/>
        </w:rPr>
      </w:pPr>
      <w:r>
        <w:rPr>
          <w:rFonts w:ascii="Arial" w:cs="Arial" w:eastAsia="Arial" w:hAnsi="Arial"/>
          <w:sz w:val="19"/>
          <w:szCs w:val="19"/>
          <w:u w:val="single" w:color="auto"/>
          <w:color w:val="auto"/>
        </w:rPr>
        <w:t>Repayment of Participations</w:t>
      </w:r>
      <w:r>
        <w:rPr>
          <w:rFonts w:ascii="Arial" w:cs="Arial" w:eastAsia="Arial" w:hAnsi="Arial"/>
          <w:sz w:val="19"/>
          <w:szCs w:val="19"/>
          <w:color w:val="auto"/>
        </w:rPr>
        <w:t>. At any time after any Revolving Credit Lender has purchased and funded a risk participation in a Swing Line Loan, if the Swing Line Lender receives any payment on account of such Swing Line Loan, the Swing Line Lender will distribute to such Revolving Credit Lender its Applicable Percentage of such payment (appropriately adjusted, in the case of interest payments, to reflect the period of time during which such Revolving Credit Lender’s risk participation was funded) in the same funds as those received by the Swing Line Lender.</w:t>
      </w:r>
    </w:p>
    <w:p>
      <w:pPr>
        <w:spacing w:after="0" w:line="177" w:lineRule="exact"/>
        <w:rPr>
          <w:rFonts w:ascii="Arial" w:cs="Arial" w:eastAsia="Arial" w:hAnsi="Arial"/>
          <w:sz w:val="19"/>
          <w:szCs w:val="19"/>
          <w:color w:val="auto"/>
        </w:rPr>
      </w:pPr>
    </w:p>
    <w:p>
      <w:pPr>
        <w:jc w:val="both"/>
        <w:ind w:firstLine="634"/>
        <w:spacing w:after="0" w:line="254" w:lineRule="auto"/>
        <w:tabs>
          <w:tab w:leader="none" w:pos="1249" w:val="left"/>
        </w:tabs>
        <w:numPr>
          <w:ilvl w:val="0"/>
          <w:numId w:val="148"/>
        </w:numPr>
        <w:rPr>
          <w:rFonts w:ascii="Arial" w:cs="Arial" w:eastAsia="Arial" w:hAnsi="Arial"/>
          <w:sz w:val="19"/>
          <w:szCs w:val="19"/>
          <w:color w:val="auto"/>
        </w:rPr>
      </w:pPr>
      <w:r>
        <w:rPr>
          <w:rFonts w:ascii="Arial" w:cs="Arial" w:eastAsia="Arial" w:hAnsi="Arial"/>
          <w:sz w:val="19"/>
          <w:szCs w:val="19"/>
          <w:u w:val="single" w:color="auto"/>
          <w:color w:val="auto"/>
        </w:rPr>
        <w:t>Interest for Account of Swing Line Lender</w:t>
      </w:r>
      <w:r>
        <w:rPr>
          <w:rFonts w:ascii="Arial" w:cs="Arial" w:eastAsia="Arial" w:hAnsi="Arial"/>
          <w:sz w:val="19"/>
          <w:szCs w:val="19"/>
          <w:color w:val="auto"/>
        </w:rPr>
        <w:t xml:space="preserve">. The Swing Line Lender shall be responsible for invoicing the Borrowers for interest on the Swing Line Loans. Until each Revolving Credit Lender funds its Base Rate Loan or risk participation pursuant to this </w:t>
      </w:r>
      <w:r>
        <w:rPr>
          <w:rFonts w:ascii="Arial" w:cs="Arial" w:eastAsia="Arial" w:hAnsi="Arial"/>
          <w:sz w:val="19"/>
          <w:szCs w:val="19"/>
          <w:u w:val="single" w:color="auto"/>
          <w:color w:val="auto"/>
        </w:rPr>
        <w:t>Section 2.04</w:t>
      </w:r>
      <w:r>
        <w:rPr>
          <w:rFonts w:ascii="Arial" w:cs="Arial" w:eastAsia="Arial" w:hAnsi="Arial"/>
          <w:sz w:val="19"/>
          <w:szCs w:val="19"/>
          <w:color w:val="auto"/>
        </w:rPr>
        <w:t xml:space="preserve"> to refinance such Revolving Credit Lender’s Applicable Percentage of any Swing Line Loan, interest in respect of such Applicable Percentage shall be solely for the account of the Swing Line Lender.</w:t>
      </w:r>
    </w:p>
    <w:p>
      <w:pPr>
        <w:spacing w:after="0" w:line="176" w:lineRule="exact"/>
        <w:rPr>
          <w:rFonts w:ascii="Arial" w:cs="Arial" w:eastAsia="Arial" w:hAnsi="Arial"/>
          <w:sz w:val="19"/>
          <w:szCs w:val="19"/>
          <w:color w:val="auto"/>
        </w:rPr>
      </w:pPr>
    </w:p>
    <w:p>
      <w:pPr>
        <w:ind w:firstLine="634"/>
        <w:spacing w:after="0" w:line="274" w:lineRule="auto"/>
        <w:tabs>
          <w:tab w:leader="none" w:pos="1254" w:val="left"/>
        </w:tabs>
        <w:numPr>
          <w:ilvl w:val="0"/>
          <w:numId w:val="148"/>
        </w:numPr>
        <w:rPr>
          <w:rFonts w:ascii="Arial" w:cs="Arial" w:eastAsia="Arial" w:hAnsi="Arial"/>
          <w:sz w:val="19"/>
          <w:szCs w:val="19"/>
          <w:color w:val="auto"/>
        </w:rPr>
      </w:pPr>
      <w:r>
        <w:rPr>
          <w:rFonts w:ascii="Arial" w:cs="Arial" w:eastAsia="Arial" w:hAnsi="Arial"/>
          <w:sz w:val="19"/>
          <w:szCs w:val="19"/>
          <w:u w:val="single" w:color="auto"/>
          <w:color w:val="auto"/>
        </w:rPr>
        <w:t>Payments Directly to Swing Line Lender</w:t>
      </w:r>
      <w:r>
        <w:rPr>
          <w:rFonts w:ascii="Arial" w:cs="Arial" w:eastAsia="Arial" w:hAnsi="Arial"/>
          <w:sz w:val="19"/>
          <w:szCs w:val="19"/>
          <w:color w:val="auto"/>
        </w:rPr>
        <w:t>. The Borrowers shall make all payments of principal and interest in respect of the Swing Line Loans directly to the Swing Line Lender.</w:t>
      </w:r>
    </w:p>
    <w:p>
      <w:pPr>
        <w:spacing w:after="0" w:line="151"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9"/>
          <w:szCs w:val="19"/>
          <w:b w:val="1"/>
          <w:bCs w:val="1"/>
          <w:color w:val="auto"/>
        </w:rPr>
        <w:t>2.5</w:t>
      </w:r>
      <w:r>
        <w:rPr>
          <w:sz w:val="20"/>
          <w:szCs w:val="20"/>
          <w:color w:val="auto"/>
        </w:rPr>
        <w:tab/>
      </w:r>
      <w:r>
        <w:rPr>
          <w:rFonts w:ascii="Arial" w:cs="Arial" w:eastAsia="Arial" w:hAnsi="Arial"/>
          <w:sz w:val="17"/>
          <w:szCs w:val="17"/>
          <w:b w:val="1"/>
          <w:bCs w:val="1"/>
          <w:color w:val="auto"/>
        </w:rPr>
        <w:t>Repayment of Loans</w:t>
      </w:r>
      <w:r>
        <w:rPr>
          <w:rFonts w:ascii="Arial" w:cs="Arial" w:eastAsia="Arial" w:hAnsi="Arial"/>
          <w:sz w:val="17"/>
          <w:szCs w:val="17"/>
          <w:color w:val="auto"/>
        </w:rPr>
        <w:t>.</w:t>
      </w:r>
    </w:p>
    <w:p>
      <w:pPr>
        <w:spacing w:after="0" w:line="220" w:lineRule="exact"/>
        <w:rPr>
          <w:sz w:val="20"/>
          <w:szCs w:val="20"/>
          <w:color w:val="auto"/>
        </w:rPr>
      </w:pPr>
    </w:p>
    <w:p>
      <w:pPr>
        <w:ind w:left="1260" w:hanging="626"/>
        <w:spacing w:after="0"/>
        <w:tabs>
          <w:tab w:leader="none" w:pos="1260" w:val="left"/>
        </w:tabs>
        <w:numPr>
          <w:ilvl w:val="0"/>
          <w:numId w:val="149"/>
        </w:numPr>
        <w:rPr>
          <w:rFonts w:ascii="Arial" w:cs="Arial" w:eastAsia="Arial" w:hAnsi="Arial"/>
          <w:sz w:val="19"/>
          <w:szCs w:val="19"/>
          <w:color w:val="auto"/>
        </w:rPr>
      </w:pPr>
      <w:r>
        <w:rPr>
          <w:rFonts w:ascii="Arial" w:cs="Arial" w:eastAsia="Arial" w:hAnsi="Arial"/>
          <w:sz w:val="19"/>
          <w:szCs w:val="19"/>
          <w:u w:val="single" w:color="auto"/>
          <w:color w:val="auto"/>
        </w:rPr>
        <w:t>[Reserved]</w:t>
      </w:r>
    </w:p>
    <w:p>
      <w:pPr>
        <w:spacing w:after="0" w:line="214" w:lineRule="exact"/>
        <w:rPr>
          <w:rFonts w:ascii="Arial" w:cs="Arial" w:eastAsia="Arial" w:hAnsi="Arial"/>
          <w:sz w:val="19"/>
          <w:szCs w:val="19"/>
          <w:color w:val="auto"/>
        </w:rPr>
      </w:pPr>
    </w:p>
    <w:p>
      <w:pPr>
        <w:jc w:val="both"/>
        <w:ind w:firstLine="634"/>
        <w:spacing w:after="0" w:line="259" w:lineRule="auto"/>
        <w:tabs>
          <w:tab w:leader="none" w:pos="1247" w:val="left"/>
        </w:tabs>
        <w:numPr>
          <w:ilvl w:val="0"/>
          <w:numId w:val="149"/>
        </w:numPr>
        <w:rPr>
          <w:rFonts w:ascii="Arial" w:cs="Arial" w:eastAsia="Arial" w:hAnsi="Arial"/>
          <w:sz w:val="19"/>
          <w:szCs w:val="19"/>
          <w:color w:val="auto"/>
        </w:rPr>
      </w:pPr>
      <w:r>
        <w:rPr>
          <w:rFonts w:ascii="Arial" w:cs="Arial" w:eastAsia="Arial" w:hAnsi="Arial"/>
          <w:sz w:val="19"/>
          <w:szCs w:val="19"/>
          <w:u w:val="single" w:color="auto"/>
          <w:color w:val="auto"/>
        </w:rPr>
        <w:t>Revolving Credit Loans</w:t>
      </w:r>
      <w:r>
        <w:rPr>
          <w:rFonts w:ascii="Arial" w:cs="Arial" w:eastAsia="Arial" w:hAnsi="Arial"/>
          <w:sz w:val="19"/>
          <w:szCs w:val="19"/>
          <w:color w:val="auto"/>
        </w:rPr>
        <w:t>. The Borrowers shall repay to the Administrative Agent for the account of each the Revolving Credit Lenders on the Maturity Date the aggregate principal amount of and all accrued and unpaid interest on all Revolving Credit Loans outstanding on such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80</w:t>
      </w:r>
    </w:p>
    <w:p>
      <w:pPr>
        <w:sectPr>
          <w:pgSz w:w="11900" w:h="16838" w:orient="portrait"/>
          <w:cols w:equalWidth="0" w:num="1">
            <w:col w:w="11240"/>
          </w:cols>
          <w:pgMar w:left="320" w:top="1382" w:right="339" w:bottom="1440" w:gutter="0" w:footer="0" w:header="0"/>
        </w:sectPr>
      </w:pPr>
    </w:p>
    <w:bookmarkStart w:id="199" w:name="page200"/>
    <w:bookmarkEnd w:id="199"/>
    <w:p>
      <w:pPr>
        <w:ind w:firstLine="634"/>
        <w:spacing w:after="0" w:line="274" w:lineRule="auto"/>
        <w:tabs>
          <w:tab w:leader="none" w:pos="1249" w:val="left"/>
        </w:tabs>
        <w:numPr>
          <w:ilvl w:val="0"/>
          <w:numId w:val="150"/>
        </w:numPr>
        <w:rPr>
          <w:rFonts w:ascii="Arial" w:cs="Arial" w:eastAsia="Arial" w:hAnsi="Arial"/>
          <w:sz w:val="19"/>
          <w:szCs w:val="19"/>
          <w:color w:val="auto"/>
        </w:rPr>
      </w:pPr>
      <w:r>
        <w:rPr>
          <w:rFonts w:ascii="Arial" w:cs="Arial" w:eastAsia="Arial" w:hAnsi="Arial"/>
          <w:sz w:val="19"/>
          <w:szCs w:val="19"/>
          <w:u w:val="single" w:color="auto"/>
          <w:color w:val="auto"/>
        </w:rPr>
        <w:t>Swing Line Loans</w:t>
      </w:r>
      <w:r>
        <w:rPr>
          <w:rFonts w:ascii="Arial" w:cs="Arial" w:eastAsia="Arial" w:hAnsi="Arial"/>
          <w:sz w:val="19"/>
          <w:szCs w:val="19"/>
          <w:color w:val="auto"/>
        </w:rPr>
        <w:t xml:space="preserve">. The Borrowers shall repay each Swing Line Loan on the earlier to occur of (i) each refinancing date arising under </w:t>
      </w:r>
      <w:r>
        <w:rPr>
          <w:rFonts w:ascii="Arial" w:cs="Arial" w:eastAsia="Arial" w:hAnsi="Arial"/>
          <w:sz w:val="19"/>
          <w:szCs w:val="19"/>
          <w:u w:val="single" w:color="auto"/>
          <w:color w:val="auto"/>
        </w:rPr>
        <w:t>Section 2.04(c)</w:t>
      </w:r>
      <w:r>
        <w:rPr>
          <w:rFonts w:ascii="Arial" w:cs="Arial" w:eastAsia="Arial" w:hAnsi="Arial"/>
          <w:sz w:val="19"/>
          <w:szCs w:val="19"/>
          <w:color w:val="auto"/>
        </w:rPr>
        <w:t xml:space="preserve"> and (ii) the Maturity Date.</w:t>
      </w:r>
    </w:p>
    <w:p>
      <w:pPr>
        <w:spacing w:after="0" w:line="156" w:lineRule="exact"/>
        <w:rPr>
          <w:rFonts w:ascii="Arial" w:cs="Arial" w:eastAsia="Arial" w:hAnsi="Arial"/>
          <w:sz w:val="19"/>
          <w:szCs w:val="19"/>
          <w:color w:val="auto"/>
        </w:rPr>
      </w:pPr>
    </w:p>
    <w:p>
      <w:pPr>
        <w:ind w:firstLine="634"/>
        <w:spacing w:after="0" w:line="274" w:lineRule="auto"/>
        <w:tabs>
          <w:tab w:leader="none" w:pos="1247" w:val="left"/>
        </w:tabs>
        <w:numPr>
          <w:ilvl w:val="0"/>
          <w:numId w:val="150"/>
        </w:numPr>
        <w:rPr>
          <w:rFonts w:ascii="Arial" w:cs="Arial" w:eastAsia="Arial" w:hAnsi="Arial"/>
          <w:sz w:val="19"/>
          <w:szCs w:val="19"/>
          <w:color w:val="auto"/>
        </w:rPr>
      </w:pPr>
      <w:r>
        <w:rPr>
          <w:rFonts w:ascii="Arial" w:cs="Arial" w:eastAsia="Arial" w:hAnsi="Arial"/>
          <w:sz w:val="19"/>
          <w:szCs w:val="19"/>
          <w:u w:val="single" w:color="auto"/>
          <w:color w:val="auto"/>
        </w:rPr>
        <w:t>Protective Advances</w:t>
      </w:r>
      <w:r>
        <w:rPr>
          <w:rFonts w:ascii="Arial" w:cs="Arial" w:eastAsia="Arial" w:hAnsi="Arial"/>
          <w:sz w:val="19"/>
          <w:szCs w:val="19"/>
          <w:color w:val="auto"/>
        </w:rPr>
        <w:t>. The Borrowers shall repay all Protective Advances on the earlier to occur of (i) demand by the Administrative Agent and (ii) the Maturity Date.</w:t>
      </w:r>
    </w:p>
    <w:p>
      <w:pPr>
        <w:spacing w:after="0" w:line="156" w:lineRule="exact"/>
        <w:rPr>
          <w:rFonts w:ascii="Arial" w:cs="Arial" w:eastAsia="Arial" w:hAnsi="Arial"/>
          <w:sz w:val="19"/>
          <w:szCs w:val="19"/>
          <w:color w:val="auto"/>
        </w:rPr>
      </w:pPr>
    </w:p>
    <w:p>
      <w:pPr>
        <w:jc w:val="both"/>
        <w:ind w:firstLine="634"/>
        <w:spacing w:after="0" w:line="259" w:lineRule="auto"/>
        <w:tabs>
          <w:tab w:leader="none" w:pos="1249" w:val="left"/>
        </w:tabs>
        <w:numPr>
          <w:ilvl w:val="0"/>
          <w:numId w:val="150"/>
        </w:numPr>
        <w:rPr>
          <w:rFonts w:ascii="Arial" w:cs="Arial" w:eastAsia="Arial" w:hAnsi="Arial"/>
          <w:sz w:val="19"/>
          <w:szCs w:val="19"/>
          <w:color w:val="auto"/>
        </w:rPr>
      </w:pPr>
      <w:r>
        <w:rPr>
          <w:rFonts w:ascii="Arial" w:cs="Arial" w:eastAsia="Arial" w:hAnsi="Arial"/>
          <w:sz w:val="19"/>
          <w:szCs w:val="19"/>
          <w:u w:val="single" w:color="auto"/>
          <w:color w:val="auto"/>
        </w:rPr>
        <w:t>Other Obligations</w:t>
      </w:r>
      <w:r>
        <w:rPr>
          <w:rFonts w:ascii="Arial" w:cs="Arial" w:eastAsia="Arial" w:hAnsi="Arial"/>
          <w:sz w:val="19"/>
          <w:szCs w:val="19"/>
          <w:color w:val="auto"/>
        </w:rPr>
        <w:t>. Obligations other than principal and interest on the Loans, including Letter of Credit Obligations and Extraordinary Expenses, shall be paid by Borrowers as specifically provided herein and in any other applicable Loan Documents or, if no payment date is specified, on demand.</w:t>
      </w:r>
    </w:p>
    <w:p>
      <w:pPr>
        <w:spacing w:after="0" w:line="165"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9"/>
          <w:szCs w:val="19"/>
          <w:b w:val="1"/>
          <w:bCs w:val="1"/>
          <w:color w:val="auto"/>
        </w:rPr>
        <w:t>2.6</w:t>
      </w:r>
      <w:r>
        <w:rPr>
          <w:sz w:val="20"/>
          <w:szCs w:val="20"/>
          <w:color w:val="auto"/>
        </w:rPr>
        <w:tab/>
      </w:r>
      <w:r>
        <w:rPr>
          <w:rFonts w:ascii="Arial" w:cs="Arial" w:eastAsia="Arial" w:hAnsi="Arial"/>
          <w:sz w:val="17"/>
          <w:szCs w:val="17"/>
          <w:b w:val="1"/>
          <w:bCs w:val="1"/>
          <w:color w:val="auto"/>
        </w:rPr>
        <w:t>Prepayments</w:t>
      </w:r>
      <w:r>
        <w:rPr>
          <w:rFonts w:ascii="Arial" w:cs="Arial" w:eastAsia="Arial" w:hAnsi="Arial"/>
          <w:sz w:val="17"/>
          <w:szCs w:val="17"/>
          <w:color w:val="auto"/>
        </w:rPr>
        <w:t>.</w:t>
      </w:r>
    </w:p>
    <w:p>
      <w:pPr>
        <w:spacing w:after="0" w:line="220" w:lineRule="exact"/>
        <w:rPr>
          <w:sz w:val="20"/>
          <w:szCs w:val="20"/>
          <w:color w:val="auto"/>
        </w:rPr>
      </w:pPr>
    </w:p>
    <w:p>
      <w:pPr>
        <w:ind w:left="1260" w:hanging="626"/>
        <w:spacing w:after="0"/>
        <w:tabs>
          <w:tab w:leader="none" w:pos="1260" w:val="left"/>
        </w:tabs>
        <w:numPr>
          <w:ilvl w:val="0"/>
          <w:numId w:val="151"/>
        </w:numPr>
        <w:rPr>
          <w:rFonts w:ascii="Arial" w:cs="Arial" w:eastAsia="Arial" w:hAnsi="Arial"/>
          <w:sz w:val="19"/>
          <w:szCs w:val="19"/>
          <w:color w:val="auto"/>
        </w:rPr>
      </w:pPr>
      <w:r>
        <w:rPr>
          <w:rFonts w:ascii="Arial" w:cs="Arial" w:eastAsia="Arial" w:hAnsi="Arial"/>
          <w:sz w:val="19"/>
          <w:szCs w:val="19"/>
          <w:u w:val="single" w:color="auto"/>
          <w:color w:val="auto"/>
        </w:rPr>
        <w:t>Optional</w:t>
      </w:r>
      <w:r>
        <w:rPr>
          <w:rFonts w:ascii="Arial" w:cs="Arial" w:eastAsia="Arial" w:hAnsi="Arial"/>
          <w:sz w:val="19"/>
          <w:szCs w:val="19"/>
          <w:color w:val="auto"/>
        </w:rPr>
        <w:t>.</w:t>
      </w:r>
    </w:p>
    <w:p>
      <w:pPr>
        <w:spacing w:after="0" w:line="214" w:lineRule="exact"/>
        <w:rPr>
          <w:rFonts w:ascii="Arial" w:cs="Arial" w:eastAsia="Arial" w:hAnsi="Arial"/>
          <w:sz w:val="19"/>
          <w:szCs w:val="19"/>
          <w:color w:val="auto"/>
        </w:rPr>
      </w:pPr>
    </w:p>
    <w:p>
      <w:pPr>
        <w:jc w:val="both"/>
        <w:ind w:left="640" w:firstLine="624"/>
        <w:spacing w:after="0" w:line="280" w:lineRule="auto"/>
        <w:tabs>
          <w:tab w:leader="none" w:pos="1897" w:val="left"/>
        </w:tabs>
        <w:numPr>
          <w:ilvl w:val="1"/>
          <w:numId w:val="151"/>
        </w:numPr>
        <w:rPr>
          <w:rFonts w:ascii="Arial" w:cs="Arial" w:eastAsia="Arial" w:hAnsi="Arial"/>
          <w:sz w:val="17"/>
          <w:szCs w:val="17"/>
          <w:color w:val="auto"/>
        </w:rPr>
      </w:pPr>
      <w:r>
        <w:rPr>
          <w:rFonts w:ascii="Arial" w:cs="Arial" w:eastAsia="Arial" w:hAnsi="Arial"/>
          <w:sz w:val="17"/>
          <w:szCs w:val="17"/>
          <w:color w:val="auto"/>
        </w:rPr>
        <w:t xml:space="preserve">The Borrowers may, upon notice to the Administrative Agent from the Borrower Agent, at any time or from time to time voluntarily prepay Revolving Credit Loans in whole or in part without premium or penalty;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except with respect to prepayments in accordance with </w:t>
      </w:r>
      <w:r>
        <w:rPr>
          <w:rFonts w:ascii="Arial" w:cs="Arial" w:eastAsia="Arial" w:hAnsi="Arial"/>
          <w:sz w:val="17"/>
          <w:szCs w:val="17"/>
          <w:u w:val="single" w:color="auto"/>
          <w:color w:val="auto"/>
        </w:rPr>
        <w:t>Section 4.04(c)</w:t>
      </w:r>
      <w:r>
        <w:rPr>
          <w:rFonts w:ascii="Arial" w:cs="Arial" w:eastAsia="Arial" w:hAnsi="Arial"/>
          <w:sz w:val="17"/>
          <w:szCs w:val="17"/>
          <w:color w:val="auto"/>
        </w:rPr>
        <w:t>, (A) such notice must be received by the Administrative Agent not later than 11:00 a.m.</w:t>
      </w:r>
    </w:p>
    <w:p>
      <w:pPr>
        <w:jc w:val="both"/>
        <w:ind w:left="640"/>
        <w:spacing w:after="0" w:line="277" w:lineRule="auto"/>
        <w:rPr>
          <w:rFonts w:ascii="Arial" w:cs="Arial" w:eastAsia="Arial" w:hAnsi="Arial"/>
          <w:sz w:val="17"/>
          <w:szCs w:val="17"/>
          <w:color w:val="auto"/>
        </w:rPr>
      </w:pPr>
      <w:r>
        <w:rPr>
          <w:rFonts w:ascii="Arial" w:cs="Arial" w:eastAsia="Arial" w:hAnsi="Arial"/>
          <w:sz w:val="17"/>
          <w:szCs w:val="17"/>
          <w:color w:val="auto"/>
        </w:rPr>
        <w:t xml:space="preserve">(1) three Business Days prior to any date of prepayment of Eurocurrency Rate Loans and (2) one Business Day prior to any date of prepayment of Base Rate Loans or Canadian Prime Rate Loans; (B) any prepayment of Eurocurrency Rate Loans shall be in a Dollar Equivalent principal amount of $100,000 or a whole multiple of $100,000 in excess thereof; and (C) any prepayment of Base Rate Loans or Canadian Prime Rate Loans shall be in a Dollar Equivalent principal amount of $500,000 or a whole multiple of $100,000 in excess thereof or, in each case, if less, the entire principal amount thereof then outstanding. During a Dominion Trigger Period, there shall be no minimum repayment amount for Base Rate Loans or Canadian Prime Rate Loans. Each such notice shall specify the date and amount of such prepayment and the Type(s) of Loans to be prepaid and, if Eurocurrency Rate Loans are to be prepaid, the Interest Period(s) of such Loans. The Administrative Agent will promptly notify each Lender of its receipt of each such notice, and of the amount of such Lender’s ratable portion of such prepayment (based on such Lender’s Applicable Percentage in respect of the Revolving Credit Facility). If such notice is given by the Borrower Agent, the Borrowers shall make such prepayment and the payment amount specified in such notice shall be due and payable on the date specified therein. Any prepayment of a Eurocurrency Rate Loan shall be accompanied by all accrued interest on the amount prepaid, together with any additional amounts required pursuant to </w:t>
      </w:r>
      <w:r>
        <w:rPr>
          <w:rFonts w:ascii="Arial" w:cs="Arial" w:eastAsia="Arial" w:hAnsi="Arial"/>
          <w:sz w:val="17"/>
          <w:szCs w:val="17"/>
          <w:u w:val="single" w:color="auto"/>
          <w:color w:val="auto"/>
        </w:rPr>
        <w:t>Section 3.05</w:t>
      </w:r>
      <w:r>
        <w:rPr>
          <w:rFonts w:ascii="Arial" w:cs="Arial" w:eastAsia="Arial" w:hAnsi="Arial"/>
          <w:sz w:val="17"/>
          <w:szCs w:val="17"/>
          <w:color w:val="auto"/>
        </w:rPr>
        <w:t xml:space="preserve">. Subject to </w:t>
      </w:r>
      <w:r>
        <w:rPr>
          <w:rFonts w:ascii="Arial" w:cs="Arial" w:eastAsia="Arial" w:hAnsi="Arial"/>
          <w:sz w:val="17"/>
          <w:szCs w:val="17"/>
          <w:u w:val="single" w:color="auto"/>
          <w:color w:val="auto"/>
        </w:rPr>
        <w:t>Section 2.17</w:t>
      </w:r>
      <w:r>
        <w:rPr>
          <w:rFonts w:ascii="Arial" w:cs="Arial" w:eastAsia="Arial" w:hAnsi="Arial"/>
          <w:sz w:val="17"/>
          <w:szCs w:val="17"/>
          <w:color w:val="auto"/>
        </w:rPr>
        <w:t>, such prepayments shall be paid to the Lenders in accordance with their respective Applicable Percentages.</w:t>
      </w:r>
    </w:p>
    <w:p>
      <w:pPr>
        <w:spacing w:after="0" w:line="158" w:lineRule="exact"/>
        <w:rPr>
          <w:rFonts w:ascii="Arial" w:cs="Arial" w:eastAsia="Arial" w:hAnsi="Arial"/>
          <w:sz w:val="17"/>
          <w:szCs w:val="17"/>
          <w:color w:val="auto"/>
        </w:rPr>
      </w:pPr>
    </w:p>
    <w:p>
      <w:pPr>
        <w:jc w:val="both"/>
        <w:ind w:left="640" w:firstLine="624"/>
        <w:spacing w:after="0" w:line="267" w:lineRule="auto"/>
        <w:tabs>
          <w:tab w:leader="none" w:pos="1897" w:val="left"/>
        </w:tabs>
        <w:numPr>
          <w:ilvl w:val="1"/>
          <w:numId w:val="151"/>
        </w:numPr>
        <w:rPr>
          <w:rFonts w:ascii="Arial" w:cs="Arial" w:eastAsia="Arial" w:hAnsi="Arial"/>
          <w:sz w:val="18"/>
          <w:szCs w:val="18"/>
          <w:color w:val="auto"/>
        </w:rPr>
      </w:pPr>
      <w:r>
        <w:rPr>
          <w:rFonts w:ascii="Arial" w:cs="Arial" w:eastAsia="Arial" w:hAnsi="Arial"/>
          <w:sz w:val="18"/>
          <w:szCs w:val="18"/>
          <w:color w:val="auto"/>
        </w:rPr>
        <w:t xml:space="preserve">The Borrowers may, upon notice to the Swing Line Lender (with a copy to the Administrative Agent) from the Borrower Agent, at any time or from time to time, voluntarily prepay Swing Line Loans in whole or in part without premium or penalty;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such notice must be received by the Swing Line Lender and the Administrative Agent not later than 1:00 p.m. on the date of the prepayment, and (B) any such prepayment shall be in a minimum principal amount of $100,000. Each such notice shall specify the date and amount of such prepayment. If such notice is given by the Borrower Agent, the Borrowers shall make such prepayment and the payment amount specified in such notice shall be due and payable on the date specified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81</w:t>
      </w:r>
    </w:p>
    <w:p>
      <w:pPr>
        <w:sectPr>
          <w:pgSz w:w="11900" w:h="16838" w:orient="portrait"/>
          <w:cols w:equalWidth="0" w:num="1">
            <w:col w:w="11240"/>
          </w:cols>
          <w:pgMar w:left="320" w:top="1382" w:right="339" w:bottom="1440" w:gutter="0" w:footer="0" w:header="0"/>
        </w:sectPr>
      </w:pPr>
    </w:p>
    <w:bookmarkStart w:id="200" w:name="page201"/>
    <w:bookmarkEnd w:id="200"/>
    <w:p>
      <w:pPr>
        <w:ind w:left="626" w:hanging="626"/>
        <w:spacing w:after="0"/>
        <w:tabs>
          <w:tab w:leader="none" w:pos="626" w:val="left"/>
        </w:tabs>
        <w:numPr>
          <w:ilvl w:val="0"/>
          <w:numId w:val="152"/>
        </w:numPr>
        <w:rPr>
          <w:rFonts w:ascii="Arial" w:cs="Arial" w:eastAsia="Arial" w:hAnsi="Arial"/>
          <w:sz w:val="19"/>
          <w:szCs w:val="19"/>
          <w:color w:val="auto"/>
        </w:rPr>
      </w:pPr>
      <w:r>
        <w:rPr>
          <w:rFonts w:ascii="Arial" w:cs="Arial" w:eastAsia="Arial" w:hAnsi="Arial"/>
          <w:sz w:val="19"/>
          <w:szCs w:val="19"/>
          <w:u w:val="single" w:color="auto"/>
          <w:color w:val="auto"/>
        </w:rPr>
        <w:t>Mandatory</w:t>
      </w:r>
      <w:r>
        <w:rPr>
          <w:rFonts w:ascii="Arial" w:cs="Arial" w:eastAsia="Arial" w:hAnsi="Arial"/>
          <w:sz w:val="19"/>
          <w:szCs w:val="19"/>
          <w:color w:val="auto"/>
        </w:rPr>
        <w:t>.</w:t>
      </w:r>
    </w:p>
    <w:p>
      <w:pPr>
        <w:spacing w:after="0" w:line="214" w:lineRule="exact"/>
        <w:rPr>
          <w:rFonts w:ascii="Arial" w:cs="Arial" w:eastAsia="Arial" w:hAnsi="Arial"/>
          <w:sz w:val="19"/>
          <w:szCs w:val="19"/>
          <w:color w:val="auto"/>
        </w:rPr>
      </w:pPr>
    </w:p>
    <w:p>
      <w:pPr>
        <w:ind w:left="1266" w:hanging="636"/>
        <w:spacing w:after="0"/>
        <w:tabs>
          <w:tab w:leader="none" w:pos="1266" w:val="left"/>
        </w:tabs>
        <w:numPr>
          <w:ilvl w:val="1"/>
          <w:numId w:val="152"/>
        </w:numPr>
        <w:rPr>
          <w:rFonts w:ascii="Arial" w:cs="Arial" w:eastAsia="Arial" w:hAnsi="Arial"/>
          <w:sz w:val="19"/>
          <w:szCs w:val="19"/>
          <w:color w:val="auto"/>
        </w:rPr>
      </w:pPr>
      <w:r>
        <w:rPr>
          <w:rFonts w:ascii="Arial" w:cs="Arial" w:eastAsia="Arial" w:hAnsi="Arial"/>
          <w:sz w:val="19"/>
          <w:szCs w:val="19"/>
          <w:u w:val="single" w:color="auto"/>
          <w:color w:val="auto"/>
        </w:rPr>
        <w:t>[Reserved]</w:t>
      </w:r>
      <w:r>
        <w:rPr>
          <w:rFonts w:ascii="Arial" w:cs="Arial" w:eastAsia="Arial" w:hAnsi="Arial"/>
          <w:sz w:val="19"/>
          <w:szCs w:val="19"/>
          <w:color w:val="auto"/>
        </w:rPr>
        <w:t>.</w:t>
      </w:r>
    </w:p>
    <w:p>
      <w:pPr>
        <w:spacing w:after="0" w:line="214" w:lineRule="exact"/>
        <w:rPr>
          <w:rFonts w:ascii="Arial" w:cs="Arial" w:eastAsia="Arial" w:hAnsi="Arial"/>
          <w:sz w:val="19"/>
          <w:szCs w:val="19"/>
          <w:color w:val="auto"/>
        </w:rPr>
      </w:pPr>
    </w:p>
    <w:p>
      <w:pPr>
        <w:jc w:val="both"/>
        <w:ind w:left="6" w:firstLine="624"/>
        <w:spacing w:after="0" w:line="250" w:lineRule="auto"/>
        <w:tabs>
          <w:tab w:leader="none" w:pos="1263" w:val="left"/>
        </w:tabs>
        <w:numPr>
          <w:ilvl w:val="1"/>
          <w:numId w:val="152"/>
        </w:numPr>
        <w:rPr>
          <w:rFonts w:ascii="Arial" w:cs="Arial" w:eastAsia="Arial" w:hAnsi="Arial"/>
          <w:sz w:val="19"/>
          <w:szCs w:val="19"/>
          <w:color w:val="auto"/>
        </w:rPr>
      </w:pPr>
      <w:r>
        <w:rPr>
          <w:rFonts w:ascii="Arial" w:cs="Arial" w:eastAsia="Arial" w:hAnsi="Arial"/>
          <w:sz w:val="19"/>
          <w:szCs w:val="19"/>
          <w:u w:val="single" w:color="auto"/>
          <w:color w:val="auto"/>
        </w:rPr>
        <w:t>Asset Dispositions</w:t>
      </w:r>
      <w:r>
        <w:rPr>
          <w:rFonts w:ascii="Arial" w:cs="Arial" w:eastAsia="Arial" w:hAnsi="Arial"/>
          <w:sz w:val="19"/>
          <w:szCs w:val="19"/>
          <w:color w:val="auto"/>
        </w:rPr>
        <w:t xml:space="preserve">. If a Disposition occurs with respect to any property of any Loan Party or any of its Restricted Subsidiaries (other than any Disposition of property permitted by </w:t>
      </w:r>
      <w:r>
        <w:rPr>
          <w:rFonts w:ascii="Arial" w:cs="Arial" w:eastAsia="Arial" w:hAnsi="Arial"/>
          <w:sz w:val="19"/>
          <w:szCs w:val="19"/>
          <w:u w:val="single" w:color="auto"/>
          <w:color w:val="auto"/>
        </w:rPr>
        <w:t>Section 8.05 (b)</w:t>
      </w:r>
      <w:r>
        <w:rPr>
          <w:rFonts w:ascii="Arial" w:cs="Arial" w:eastAsia="Arial" w:hAnsi="Arial"/>
          <w:sz w:val="19"/>
          <w:szCs w:val="19"/>
          <w:color w:val="auto"/>
        </w:rPr>
        <w:t xml:space="preserve">, </w:t>
      </w:r>
      <w:r>
        <w:rPr>
          <w:rFonts w:ascii="Arial" w:cs="Arial" w:eastAsia="Arial" w:hAnsi="Arial"/>
          <w:sz w:val="19"/>
          <w:szCs w:val="19"/>
          <w:u w:val="single" w:color="auto"/>
          <w:color w:val="auto"/>
        </w:rPr>
        <w:t>(h)</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(k)</w:t>
      </w:r>
      <w:r>
        <w:rPr>
          <w:rFonts w:ascii="Arial" w:cs="Arial" w:eastAsia="Arial" w:hAnsi="Arial"/>
          <w:sz w:val="19"/>
          <w:szCs w:val="19"/>
          <w:color w:val="auto"/>
        </w:rPr>
        <w:t xml:space="preserve">) which results in the realization by such Person of Net Cash Proceeds in excess of the Dollar Equivalent of $250,000, the Borrowers shall prepay an aggregate principal amount of Loans (and during the continuance of any Default arising under </w:t>
      </w:r>
      <w:r>
        <w:rPr>
          <w:rFonts w:ascii="Arial" w:cs="Arial" w:eastAsia="Arial" w:hAnsi="Arial"/>
          <w:sz w:val="19"/>
          <w:szCs w:val="19"/>
          <w:u w:val="single" w:color="auto"/>
          <w:color w:val="auto"/>
        </w:rPr>
        <w:t>Section 9.01(a)</w:t>
      </w:r>
      <w:r>
        <w:rPr>
          <w:rFonts w:ascii="Arial" w:cs="Arial" w:eastAsia="Arial" w:hAnsi="Arial"/>
          <w:sz w:val="19"/>
          <w:szCs w:val="19"/>
          <w:color w:val="auto"/>
        </w:rPr>
        <w:t xml:space="preserve">, </w:t>
      </w:r>
      <w:r>
        <w:rPr>
          <w:rFonts w:ascii="Arial" w:cs="Arial" w:eastAsia="Arial" w:hAnsi="Arial"/>
          <w:sz w:val="19"/>
          <w:szCs w:val="19"/>
          <w:u w:val="single" w:color="auto"/>
          <w:color w:val="auto"/>
        </w:rPr>
        <w:t>(b)</w:t>
      </w:r>
      <w:r>
        <w:rPr>
          <w:rFonts w:ascii="Arial" w:cs="Arial" w:eastAsia="Arial" w:hAnsi="Arial"/>
          <w:sz w:val="19"/>
          <w:szCs w:val="19"/>
          <w:color w:val="auto"/>
        </w:rPr>
        <w:t xml:space="preserve">(with respect to a breach of </w:t>
      </w:r>
      <w:r>
        <w:rPr>
          <w:rFonts w:ascii="Arial" w:cs="Arial" w:eastAsia="Arial" w:hAnsi="Arial"/>
          <w:sz w:val="19"/>
          <w:szCs w:val="19"/>
          <w:u w:val="single" w:color="auto"/>
          <w:color w:val="auto"/>
        </w:rPr>
        <w:t>Section 7.01</w:t>
      </w:r>
      <w:r>
        <w:rPr>
          <w:rFonts w:ascii="Arial" w:cs="Arial" w:eastAsia="Arial" w:hAnsi="Arial"/>
          <w:sz w:val="19"/>
          <w:szCs w:val="19"/>
          <w:color w:val="auto"/>
        </w:rPr>
        <w:t xml:space="preserve">, </w:t>
      </w:r>
      <w:r>
        <w:rPr>
          <w:rFonts w:ascii="Arial" w:cs="Arial" w:eastAsia="Arial" w:hAnsi="Arial"/>
          <w:sz w:val="19"/>
          <w:szCs w:val="19"/>
          <w:u w:val="single" w:color="auto"/>
          <w:color w:val="auto"/>
        </w:rPr>
        <w:t>7.02</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8.12</w:t>
      </w:r>
      <w:r>
        <w:rPr>
          <w:rFonts w:ascii="Arial" w:cs="Arial" w:eastAsia="Arial" w:hAnsi="Arial"/>
          <w:sz w:val="19"/>
          <w:szCs w:val="19"/>
          <w:color w:val="auto"/>
        </w:rPr>
        <w:t xml:space="preserve">), </w:t>
      </w:r>
      <w:r>
        <w:rPr>
          <w:rFonts w:ascii="Arial" w:cs="Arial" w:eastAsia="Arial" w:hAnsi="Arial"/>
          <w:sz w:val="19"/>
          <w:szCs w:val="19"/>
          <w:u w:val="single" w:color="auto"/>
          <w:color w:val="auto"/>
        </w:rPr>
        <w:t>(f)</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(p)</w:t>
      </w:r>
      <w:r>
        <w:rPr>
          <w:rFonts w:ascii="Arial" w:cs="Arial" w:eastAsia="Arial" w:hAnsi="Arial"/>
          <w:sz w:val="19"/>
          <w:szCs w:val="19"/>
          <w:color w:val="auto"/>
        </w:rPr>
        <w:t xml:space="preserve"> or any Event of Default, Cash Collateralize Letter of Credit Obligations, if applicable) equal to 100% of such Net Cash Proceeds immediately upon receipt thereof by such Person.</w:t>
      </w:r>
    </w:p>
    <w:p>
      <w:pPr>
        <w:spacing w:after="0" w:line="181" w:lineRule="exact"/>
        <w:rPr>
          <w:rFonts w:ascii="Arial" w:cs="Arial" w:eastAsia="Arial" w:hAnsi="Arial"/>
          <w:sz w:val="19"/>
          <w:szCs w:val="19"/>
          <w:color w:val="auto"/>
        </w:rPr>
      </w:pPr>
    </w:p>
    <w:p>
      <w:pPr>
        <w:jc w:val="both"/>
        <w:ind w:left="6" w:firstLine="624"/>
        <w:spacing w:after="0" w:line="250" w:lineRule="auto"/>
        <w:tabs>
          <w:tab w:leader="none" w:pos="1264" w:val="left"/>
        </w:tabs>
        <w:numPr>
          <w:ilvl w:val="1"/>
          <w:numId w:val="152"/>
        </w:numPr>
        <w:rPr>
          <w:rFonts w:ascii="Arial" w:cs="Arial" w:eastAsia="Arial" w:hAnsi="Arial"/>
          <w:sz w:val="19"/>
          <w:szCs w:val="19"/>
          <w:color w:val="auto"/>
        </w:rPr>
      </w:pPr>
      <w:r>
        <w:rPr>
          <w:rFonts w:ascii="Arial" w:cs="Arial" w:eastAsia="Arial" w:hAnsi="Arial"/>
          <w:sz w:val="19"/>
          <w:szCs w:val="19"/>
          <w:u w:val="single" w:color="auto"/>
          <w:color w:val="auto"/>
        </w:rPr>
        <w:t>Equity Issuance</w:t>
      </w:r>
      <w:r>
        <w:rPr>
          <w:rFonts w:ascii="Arial" w:cs="Arial" w:eastAsia="Arial" w:hAnsi="Arial"/>
          <w:sz w:val="19"/>
          <w:szCs w:val="19"/>
          <w:color w:val="auto"/>
        </w:rPr>
        <w:t xml:space="preserve">. Upon the sale or issuance by any Loan Party (other than, in the case of the Company, the sale or issuance of Equity Interests that do not constitute Disqualified Equity Interests) or any of its Restricted Subsidiaries of any of its Equity Interests, the Borrowers shall prepay an aggregate principal amount of Loans (and during the continuance of any Default arising under </w:t>
      </w:r>
      <w:r>
        <w:rPr>
          <w:rFonts w:ascii="Arial" w:cs="Arial" w:eastAsia="Arial" w:hAnsi="Arial"/>
          <w:sz w:val="19"/>
          <w:szCs w:val="19"/>
          <w:u w:val="single" w:color="auto"/>
          <w:color w:val="auto"/>
        </w:rPr>
        <w:t>Section 9.01(a)</w:t>
      </w:r>
      <w:r>
        <w:rPr>
          <w:rFonts w:ascii="Arial" w:cs="Arial" w:eastAsia="Arial" w:hAnsi="Arial"/>
          <w:sz w:val="19"/>
          <w:szCs w:val="19"/>
          <w:color w:val="auto"/>
        </w:rPr>
        <w:t xml:space="preserve">, </w:t>
      </w:r>
      <w:r>
        <w:rPr>
          <w:rFonts w:ascii="Arial" w:cs="Arial" w:eastAsia="Arial" w:hAnsi="Arial"/>
          <w:sz w:val="19"/>
          <w:szCs w:val="19"/>
          <w:u w:val="single" w:color="auto"/>
          <w:color w:val="auto"/>
        </w:rPr>
        <w:t>(b)</w:t>
      </w:r>
      <w:r>
        <w:rPr>
          <w:rFonts w:ascii="Arial" w:cs="Arial" w:eastAsia="Arial" w:hAnsi="Arial"/>
          <w:sz w:val="19"/>
          <w:szCs w:val="19"/>
          <w:color w:val="auto"/>
        </w:rPr>
        <w:t xml:space="preserve">(with respect to a breach of </w:t>
      </w:r>
      <w:r>
        <w:rPr>
          <w:rFonts w:ascii="Arial" w:cs="Arial" w:eastAsia="Arial" w:hAnsi="Arial"/>
          <w:sz w:val="19"/>
          <w:szCs w:val="19"/>
          <w:u w:val="single" w:color="auto"/>
          <w:color w:val="auto"/>
        </w:rPr>
        <w:t>Section 7.01</w:t>
      </w:r>
      <w:r>
        <w:rPr>
          <w:rFonts w:ascii="Arial" w:cs="Arial" w:eastAsia="Arial" w:hAnsi="Arial"/>
          <w:sz w:val="19"/>
          <w:szCs w:val="19"/>
          <w:color w:val="auto"/>
        </w:rPr>
        <w:t xml:space="preserve">, </w:t>
      </w:r>
      <w:r>
        <w:rPr>
          <w:rFonts w:ascii="Arial" w:cs="Arial" w:eastAsia="Arial" w:hAnsi="Arial"/>
          <w:sz w:val="19"/>
          <w:szCs w:val="19"/>
          <w:u w:val="single" w:color="auto"/>
          <w:color w:val="auto"/>
        </w:rPr>
        <w:t>7.02</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8.12</w:t>
      </w:r>
      <w:r>
        <w:rPr>
          <w:rFonts w:ascii="Arial" w:cs="Arial" w:eastAsia="Arial" w:hAnsi="Arial"/>
          <w:sz w:val="19"/>
          <w:szCs w:val="19"/>
          <w:color w:val="auto"/>
        </w:rPr>
        <w:t xml:space="preserve">), </w:t>
      </w:r>
      <w:r>
        <w:rPr>
          <w:rFonts w:ascii="Arial" w:cs="Arial" w:eastAsia="Arial" w:hAnsi="Arial"/>
          <w:sz w:val="19"/>
          <w:szCs w:val="19"/>
          <w:u w:val="single" w:color="auto"/>
          <w:color w:val="auto"/>
        </w:rPr>
        <w:t>(f)</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(p)</w:t>
      </w:r>
      <w:r>
        <w:rPr>
          <w:rFonts w:ascii="Arial" w:cs="Arial" w:eastAsia="Arial" w:hAnsi="Arial"/>
          <w:sz w:val="19"/>
          <w:szCs w:val="19"/>
          <w:color w:val="auto"/>
        </w:rPr>
        <w:t xml:space="preserve"> or any Event of Default, Cash Collateralize Letter of Credit Obligations, if applicable) equal to 100% of all Net Cash Proceeds received therefrom immediately upon receipt thereof by such Loan Party or such Restricted Subsidiary.</w:t>
      </w:r>
    </w:p>
    <w:p>
      <w:pPr>
        <w:spacing w:after="0" w:line="181" w:lineRule="exact"/>
        <w:rPr>
          <w:rFonts w:ascii="Arial" w:cs="Arial" w:eastAsia="Arial" w:hAnsi="Arial"/>
          <w:sz w:val="19"/>
          <w:szCs w:val="19"/>
          <w:color w:val="auto"/>
        </w:rPr>
      </w:pPr>
    </w:p>
    <w:p>
      <w:pPr>
        <w:jc w:val="both"/>
        <w:ind w:left="6" w:firstLine="624"/>
        <w:spacing w:after="0" w:line="288" w:lineRule="auto"/>
        <w:tabs>
          <w:tab w:leader="none" w:pos="1253" w:val="left"/>
        </w:tabs>
        <w:numPr>
          <w:ilvl w:val="1"/>
          <w:numId w:val="152"/>
        </w:numPr>
        <w:rPr>
          <w:rFonts w:ascii="Arial" w:cs="Arial" w:eastAsia="Arial" w:hAnsi="Arial"/>
          <w:sz w:val="17"/>
          <w:szCs w:val="17"/>
          <w:color w:val="auto"/>
        </w:rPr>
      </w:pPr>
      <w:r>
        <w:rPr>
          <w:rFonts w:ascii="Arial" w:cs="Arial" w:eastAsia="Arial" w:hAnsi="Arial"/>
          <w:sz w:val="17"/>
          <w:szCs w:val="17"/>
          <w:u w:val="single" w:color="auto"/>
          <w:color w:val="auto"/>
        </w:rPr>
        <w:t>Debt Incurrence</w:t>
      </w:r>
      <w:r>
        <w:rPr>
          <w:rFonts w:ascii="Arial" w:cs="Arial" w:eastAsia="Arial" w:hAnsi="Arial"/>
          <w:sz w:val="17"/>
          <w:szCs w:val="17"/>
          <w:color w:val="auto"/>
        </w:rPr>
        <w:t xml:space="preserve">. Upon the incurrence or issuance by any Loan Party or any of its Restricted Subsidiaries of any Indebtedness (other than Indebtedness expressly permitted to be incurred or issued pursuant to </w:t>
      </w:r>
      <w:r>
        <w:rPr>
          <w:rFonts w:ascii="Arial" w:cs="Arial" w:eastAsia="Arial" w:hAnsi="Arial"/>
          <w:sz w:val="17"/>
          <w:szCs w:val="17"/>
          <w:u w:val="single" w:color="auto"/>
          <w:color w:val="auto"/>
        </w:rPr>
        <w:t>Section 8.01</w:t>
      </w:r>
      <w:r>
        <w:rPr>
          <w:rFonts w:ascii="Arial" w:cs="Arial" w:eastAsia="Arial" w:hAnsi="Arial"/>
          <w:sz w:val="17"/>
          <w:szCs w:val="17"/>
          <w:color w:val="auto"/>
        </w:rPr>
        <w:t xml:space="preserve">), the Borrowers shall prepay an aggregate principal amount of Loans (and during the continuance of any Default arising under </w:t>
      </w:r>
      <w:r>
        <w:rPr>
          <w:rFonts w:ascii="Arial" w:cs="Arial" w:eastAsia="Arial" w:hAnsi="Arial"/>
          <w:sz w:val="17"/>
          <w:szCs w:val="17"/>
          <w:u w:val="single" w:color="auto"/>
          <w:color w:val="auto"/>
        </w:rPr>
        <w:t>Section 9.01(a)</w:t>
      </w:r>
      <w:r>
        <w:rPr>
          <w:rFonts w:ascii="Arial" w:cs="Arial" w:eastAsia="Arial" w:hAnsi="Arial"/>
          <w:sz w:val="17"/>
          <w:szCs w:val="17"/>
          <w:color w:val="auto"/>
        </w:rPr>
        <w:t xml:space="preserve">, </w:t>
      </w:r>
      <w:r>
        <w:rPr>
          <w:rFonts w:ascii="Arial" w:cs="Arial" w:eastAsia="Arial" w:hAnsi="Arial"/>
          <w:sz w:val="17"/>
          <w:szCs w:val="17"/>
          <w:u w:val="single" w:color="auto"/>
          <w:color w:val="auto"/>
        </w:rPr>
        <w:t>(b)</w:t>
      </w:r>
      <w:r>
        <w:rPr>
          <w:rFonts w:ascii="Arial" w:cs="Arial" w:eastAsia="Arial" w:hAnsi="Arial"/>
          <w:sz w:val="17"/>
          <w:szCs w:val="17"/>
          <w:color w:val="auto"/>
        </w:rPr>
        <w:t xml:space="preserve">(with respect to a breach of </w:t>
      </w:r>
      <w:r>
        <w:rPr>
          <w:rFonts w:ascii="Arial" w:cs="Arial" w:eastAsia="Arial" w:hAnsi="Arial"/>
          <w:sz w:val="17"/>
          <w:szCs w:val="17"/>
          <w:u w:val="single" w:color="auto"/>
          <w:color w:val="auto"/>
        </w:rPr>
        <w:t>Section 7.01</w:t>
      </w:r>
      <w:r>
        <w:rPr>
          <w:rFonts w:ascii="Arial" w:cs="Arial" w:eastAsia="Arial" w:hAnsi="Arial"/>
          <w:sz w:val="17"/>
          <w:szCs w:val="17"/>
          <w:color w:val="auto"/>
        </w:rPr>
        <w:t xml:space="preserve">, </w:t>
      </w:r>
      <w:r>
        <w:rPr>
          <w:rFonts w:ascii="Arial" w:cs="Arial" w:eastAsia="Arial" w:hAnsi="Arial"/>
          <w:sz w:val="17"/>
          <w:szCs w:val="17"/>
          <w:u w:val="single" w:color="auto"/>
          <w:color w:val="auto"/>
        </w:rPr>
        <w:t>7.02</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8.12</w:t>
      </w:r>
      <w:r>
        <w:rPr>
          <w:rFonts w:ascii="Arial" w:cs="Arial" w:eastAsia="Arial" w:hAnsi="Arial"/>
          <w:sz w:val="17"/>
          <w:szCs w:val="17"/>
          <w:color w:val="auto"/>
        </w:rPr>
        <w:t xml:space="preserve">), </w:t>
      </w:r>
      <w:r>
        <w:rPr>
          <w:rFonts w:ascii="Arial" w:cs="Arial" w:eastAsia="Arial" w:hAnsi="Arial"/>
          <w:sz w:val="17"/>
          <w:szCs w:val="17"/>
          <w:u w:val="single" w:color="auto"/>
          <w:color w:val="auto"/>
        </w:rPr>
        <w:t>(f)</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(p)</w:t>
      </w:r>
      <w:r>
        <w:rPr>
          <w:rFonts w:ascii="Arial" w:cs="Arial" w:eastAsia="Arial" w:hAnsi="Arial"/>
          <w:sz w:val="17"/>
          <w:szCs w:val="17"/>
          <w:color w:val="auto"/>
        </w:rPr>
        <w:t xml:space="preserve"> or any Event of Default, Cash Collateralize Letter of Credit Obligations, if applicable) equal to 100% of all Net Cash Proceeds received therefrom immediately upon receipt thereof by such Loan Party or such Subsidiary.</w:t>
      </w:r>
    </w:p>
    <w:p>
      <w:pPr>
        <w:spacing w:after="0" w:line="151" w:lineRule="exact"/>
        <w:rPr>
          <w:rFonts w:ascii="Arial" w:cs="Arial" w:eastAsia="Arial" w:hAnsi="Arial"/>
          <w:sz w:val="17"/>
          <w:szCs w:val="17"/>
          <w:color w:val="auto"/>
        </w:rPr>
      </w:pPr>
    </w:p>
    <w:p>
      <w:pPr>
        <w:jc w:val="both"/>
        <w:ind w:left="6" w:firstLine="624"/>
        <w:spacing w:after="0" w:line="248" w:lineRule="auto"/>
        <w:tabs>
          <w:tab w:leader="none" w:pos="1252" w:val="left"/>
        </w:tabs>
        <w:numPr>
          <w:ilvl w:val="1"/>
          <w:numId w:val="152"/>
        </w:numPr>
        <w:rPr>
          <w:rFonts w:ascii="Arial" w:cs="Arial" w:eastAsia="Arial" w:hAnsi="Arial"/>
          <w:sz w:val="19"/>
          <w:szCs w:val="19"/>
          <w:color w:val="auto"/>
        </w:rPr>
      </w:pPr>
      <w:r>
        <w:rPr>
          <w:rFonts w:ascii="Arial" w:cs="Arial" w:eastAsia="Arial" w:hAnsi="Arial"/>
          <w:sz w:val="19"/>
          <w:szCs w:val="19"/>
          <w:u w:val="single" w:color="auto"/>
          <w:color w:val="auto"/>
        </w:rPr>
        <w:t>Extraordinary Receipts</w:t>
      </w:r>
      <w:r>
        <w:rPr>
          <w:rFonts w:ascii="Arial" w:cs="Arial" w:eastAsia="Arial" w:hAnsi="Arial"/>
          <w:sz w:val="19"/>
          <w:szCs w:val="19"/>
          <w:color w:val="auto"/>
        </w:rPr>
        <w:t xml:space="preserve">. Upon receipt of any cash by (or paid to or for the account of) any Loan Party or its Restricted Subsidiaries not in the ordinary course of business, including tax refunds, pension plan reversions or surplus withdrawals, proceeds of insurance (other than proceeds of business interruption insurance to the extent such proceeds constitute compensation for lost earnings), indemnity payments, purchase price adjustments, judgments, settlements or other payments in connection with any cause of action, and not otherwise included in </w:t>
      </w:r>
      <w:r>
        <w:rPr>
          <w:rFonts w:ascii="Arial" w:cs="Arial" w:eastAsia="Arial" w:hAnsi="Arial"/>
          <w:sz w:val="19"/>
          <w:szCs w:val="19"/>
          <w:u w:val="single" w:color="auto"/>
          <w:color w:val="auto"/>
        </w:rPr>
        <w:t>clause (ii)</w:t>
      </w:r>
      <w:r>
        <w:rPr>
          <w:rFonts w:ascii="Arial" w:cs="Arial" w:eastAsia="Arial" w:hAnsi="Arial"/>
          <w:sz w:val="19"/>
          <w:szCs w:val="19"/>
          <w:color w:val="auto"/>
        </w:rPr>
        <w:t xml:space="preserve">, </w:t>
      </w:r>
      <w:r>
        <w:rPr>
          <w:rFonts w:ascii="Arial" w:cs="Arial" w:eastAsia="Arial" w:hAnsi="Arial"/>
          <w:sz w:val="19"/>
          <w:szCs w:val="19"/>
          <w:u w:val="single" w:color="auto"/>
          <w:color w:val="auto"/>
        </w:rPr>
        <w:t>(iii)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(iv)</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Section 2.06(b)</w:t>
      </w:r>
      <w:r>
        <w:rPr>
          <w:rFonts w:ascii="Arial" w:cs="Arial" w:eastAsia="Arial" w:hAnsi="Arial"/>
          <w:sz w:val="19"/>
          <w:szCs w:val="19"/>
          <w:color w:val="auto"/>
        </w:rPr>
        <w:t xml:space="preserve">, the Borrowers shall prepay an aggregate principal amount of Loans (and during the continuance of any Default arising under </w:t>
      </w:r>
      <w:r>
        <w:rPr>
          <w:rFonts w:ascii="Arial" w:cs="Arial" w:eastAsia="Arial" w:hAnsi="Arial"/>
          <w:sz w:val="19"/>
          <w:szCs w:val="19"/>
          <w:u w:val="single" w:color="auto"/>
          <w:color w:val="auto"/>
        </w:rPr>
        <w:t>Section 9.01(a)</w:t>
      </w:r>
      <w:r>
        <w:rPr>
          <w:rFonts w:ascii="Arial" w:cs="Arial" w:eastAsia="Arial" w:hAnsi="Arial"/>
          <w:sz w:val="19"/>
          <w:szCs w:val="19"/>
          <w:color w:val="auto"/>
        </w:rPr>
        <w:t xml:space="preserve">, </w:t>
      </w:r>
      <w:r>
        <w:rPr>
          <w:rFonts w:ascii="Arial" w:cs="Arial" w:eastAsia="Arial" w:hAnsi="Arial"/>
          <w:sz w:val="19"/>
          <w:szCs w:val="19"/>
          <w:u w:val="single" w:color="auto"/>
          <w:color w:val="auto"/>
        </w:rPr>
        <w:t>(b)</w:t>
      </w:r>
      <w:r>
        <w:rPr>
          <w:rFonts w:ascii="Arial" w:cs="Arial" w:eastAsia="Arial" w:hAnsi="Arial"/>
          <w:sz w:val="19"/>
          <w:szCs w:val="19"/>
          <w:color w:val="auto"/>
        </w:rPr>
        <w:t xml:space="preserve">(with respect to a breach of </w:t>
      </w:r>
      <w:r>
        <w:rPr>
          <w:rFonts w:ascii="Arial" w:cs="Arial" w:eastAsia="Arial" w:hAnsi="Arial"/>
          <w:sz w:val="19"/>
          <w:szCs w:val="19"/>
          <w:u w:val="single" w:color="auto"/>
          <w:color w:val="auto"/>
        </w:rPr>
        <w:t>Section 7.01</w:t>
      </w:r>
      <w:r>
        <w:rPr>
          <w:rFonts w:ascii="Arial" w:cs="Arial" w:eastAsia="Arial" w:hAnsi="Arial"/>
          <w:sz w:val="19"/>
          <w:szCs w:val="19"/>
          <w:color w:val="auto"/>
        </w:rPr>
        <w:t xml:space="preserve">, </w:t>
      </w:r>
      <w:r>
        <w:rPr>
          <w:rFonts w:ascii="Arial" w:cs="Arial" w:eastAsia="Arial" w:hAnsi="Arial"/>
          <w:sz w:val="19"/>
          <w:szCs w:val="19"/>
          <w:u w:val="single" w:color="auto"/>
          <w:color w:val="auto"/>
        </w:rPr>
        <w:t>7.02</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8.12</w:t>
      </w:r>
      <w:r>
        <w:rPr>
          <w:rFonts w:ascii="Arial" w:cs="Arial" w:eastAsia="Arial" w:hAnsi="Arial"/>
          <w:sz w:val="19"/>
          <w:szCs w:val="19"/>
          <w:color w:val="auto"/>
        </w:rPr>
        <w:t xml:space="preserve">), </w:t>
      </w:r>
      <w:r>
        <w:rPr>
          <w:rFonts w:ascii="Arial" w:cs="Arial" w:eastAsia="Arial" w:hAnsi="Arial"/>
          <w:sz w:val="19"/>
          <w:szCs w:val="19"/>
          <w:u w:val="single" w:color="auto"/>
          <w:color w:val="auto"/>
        </w:rPr>
        <w:t>(f)</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(p)</w:t>
      </w:r>
      <w:r>
        <w:rPr>
          <w:rFonts w:ascii="Arial" w:cs="Arial" w:eastAsia="Arial" w:hAnsi="Arial"/>
          <w:sz w:val="19"/>
          <w:szCs w:val="19"/>
          <w:color w:val="auto"/>
        </w:rPr>
        <w:t xml:space="preserve"> or any Event of Default, Cash Collateralize Letter of Credit Obligations, if applicable) equal to 100% of the cash amount thereof (net of all reasonable out-of-pocket expenses or other amounts required to be paid in connection therewith) immediately upon receipt.</w:t>
      </w:r>
    </w:p>
    <w:p>
      <w:pPr>
        <w:spacing w:after="0" w:line="184" w:lineRule="exact"/>
        <w:rPr>
          <w:rFonts w:ascii="Arial" w:cs="Arial" w:eastAsia="Arial" w:hAnsi="Arial"/>
          <w:sz w:val="19"/>
          <w:szCs w:val="19"/>
          <w:color w:val="auto"/>
        </w:rPr>
      </w:pPr>
    </w:p>
    <w:p>
      <w:pPr>
        <w:jc w:val="both"/>
        <w:ind w:left="6" w:firstLine="624"/>
        <w:spacing w:after="0" w:line="254" w:lineRule="auto"/>
        <w:tabs>
          <w:tab w:leader="none" w:pos="1253" w:val="left"/>
        </w:tabs>
        <w:numPr>
          <w:ilvl w:val="1"/>
          <w:numId w:val="152"/>
        </w:numPr>
        <w:rPr>
          <w:rFonts w:ascii="Arial" w:cs="Arial" w:eastAsia="Arial" w:hAnsi="Arial"/>
          <w:sz w:val="19"/>
          <w:szCs w:val="19"/>
          <w:color w:val="auto"/>
        </w:rPr>
      </w:pPr>
      <w:r>
        <w:rPr>
          <w:rFonts w:ascii="Arial" w:cs="Arial" w:eastAsia="Arial" w:hAnsi="Arial"/>
          <w:sz w:val="19"/>
          <w:szCs w:val="19"/>
          <w:u w:val="single" w:color="auto"/>
          <w:color w:val="auto"/>
        </w:rPr>
        <w:t>Overadvances</w:t>
      </w:r>
      <w:r>
        <w:rPr>
          <w:rFonts w:ascii="Arial" w:cs="Arial" w:eastAsia="Arial" w:hAnsi="Arial"/>
          <w:sz w:val="19"/>
          <w:szCs w:val="19"/>
          <w:color w:val="auto"/>
        </w:rPr>
        <w:t xml:space="preserve">. If, for any reason, the Dollar Equivalent of the Total Revolving Credit Outstandings at any time exceed the Dollar Equivalent of the Borrowing Base at such time, the Borrowers shall upon demand prepay Revolving Credit Loans, Swing Line Loans and Letter of Credit Borrowings and/or Cash Collateralize the Letter of Credit Obligations in an aggregate amount equal to such excess;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Borrowers shall not be required to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4886"/>
        <w:spacing w:after="0"/>
        <w:rPr>
          <w:sz w:val="20"/>
          <w:szCs w:val="20"/>
          <w:color w:val="auto"/>
        </w:rPr>
      </w:pPr>
      <w:r>
        <w:rPr>
          <w:rFonts w:ascii="Arial" w:cs="Arial" w:eastAsia="Arial" w:hAnsi="Arial"/>
          <w:sz w:val="19"/>
          <w:szCs w:val="19"/>
          <w:color w:val="auto"/>
        </w:rPr>
        <w:t>82</w:t>
      </w:r>
    </w:p>
    <w:p>
      <w:pPr>
        <w:sectPr>
          <w:pgSz w:w="11900" w:h="16838" w:orient="portrait"/>
          <w:cols w:equalWidth="0" w:num="1">
            <w:col w:w="10606"/>
          </w:cols>
          <w:pgMar w:left="954" w:top="1382" w:right="339" w:bottom="1440" w:gutter="0" w:footer="0" w:header="0"/>
        </w:sectPr>
      </w:pPr>
    </w:p>
    <w:bookmarkStart w:id="201" w:name="page202"/>
    <w:bookmarkEnd w:id="201"/>
    <w:p>
      <w:pPr>
        <w:jc w:val="both"/>
        <w:ind w:left="640"/>
        <w:spacing w:after="0" w:line="259" w:lineRule="auto"/>
        <w:rPr>
          <w:sz w:val="20"/>
          <w:szCs w:val="20"/>
          <w:color w:val="auto"/>
        </w:rPr>
      </w:pPr>
      <w:r>
        <w:rPr>
          <w:rFonts w:ascii="Arial" w:cs="Arial" w:eastAsia="Arial" w:hAnsi="Arial"/>
          <w:sz w:val="19"/>
          <w:szCs w:val="19"/>
          <w:color w:val="auto"/>
        </w:rPr>
        <w:t xml:space="preserve">Collateralize the Letter of Credit Obligations pursuant to this </w:t>
      </w:r>
      <w:r>
        <w:rPr>
          <w:rFonts w:ascii="Arial" w:cs="Arial" w:eastAsia="Arial" w:hAnsi="Arial"/>
          <w:sz w:val="19"/>
          <w:szCs w:val="19"/>
          <w:u w:val="single" w:color="auto"/>
          <w:color w:val="auto"/>
        </w:rPr>
        <w:t>Section 2.06(b)(vi)</w:t>
      </w:r>
      <w:r>
        <w:rPr>
          <w:rFonts w:ascii="Arial" w:cs="Arial" w:eastAsia="Arial" w:hAnsi="Arial"/>
          <w:sz w:val="19"/>
          <w:szCs w:val="19"/>
          <w:color w:val="auto"/>
        </w:rPr>
        <w:t xml:space="preserve"> unless, after the prepayment of the Revolving Credit Loans and Swing Line Loans, the Total Revolving Credit Outstandings exceed the Aggregate Revolving Credit Commitments at such time.</w:t>
      </w:r>
    </w:p>
    <w:p>
      <w:pPr>
        <w:spacing w:after="0" w:line="171" w:lineRule="exact"/>
        <w:rPr>
          <w:sz w:val="20"/>
          <w:szCs w:val="20"/>
          <w:color w:val="auto"/>
        </w:rPr>
      </w:pPr>
    </w:p>
    <w:p>
      <w:pPr>
        <w:jc w:val="both"/>
        <w:ind w:left="640" w:firstLine="624"/>
        <w:spacing w:after="0" w:line="273" w:lineRule="auto"/>
        <w:tabs>
          <w:tab w:leader="none" w:pos="1889" w:val="left"/>
        </w:tabs>
        <w:numPr>
          <w:ilvl w:val="1"/>
          <w:numId w:val="153"/>
        </w:numPr>
        <w:rPr>
          <w:rFonts w:ascii="Arial" w:cs="Arial" w:eastAsia="Arial" w:hAnsi="Arial"/>
          <w:sz w:val="18"/>
          <w:szCs w:val="18"/>
          <w:color w:val="auto"/>
        </w:rPr>
      </w:pPr>
      <w:r>
        <w:rPr>
          <w:rFonts w:ascii="Arial" w:cs="Arial" w:eastAsia="Arial" w:hAnsi="Arial"/>
          <w:sz w:val="18"/>
          <w:szCs w:val="18"/>
          <w:u w:val="single" w:color="auto"/>
          <w:color w:val="auto"/>
        </w:rPr>
        <w:t>Canadian Dollars</w:t>
      </w:r>
      <w:r>
        <w:rPr>
          <w:rFonts w:ascii="Arial" w:cs="Arial" w:eastAsia="Arial" w:hAnsi="Arial"/>
          <w:sz w:val="18"/>
          <w:szCs w:val="18"/>
          <w:color w:val="auto"/>
        </w:rPr>
        <w:t>. If the Administrative Agent notifies the Company at any time that the Outstanding Amount of all Loans denominated in Canadian Dollars at such time exceeds the Canadian Dollar Sublimit then in effect, then, within two (2) Business Days after receipt of such notice, the Borrowers shall prepay Loans in an aggregate amount sufficient to reduce such Outstanding Amount as of such date of payment to an amount not to exceed 100% of the Canadian Dollar Sublimit then in effect.</w:t>
      </w:r>
    </w:p>
    <w:p>
      <w:pPr>
        <w:spacing w:after="0" w:line="159" w:lineRule="exact"/>
        <w:rPr>
          <w:rFonts w:ascii="Arial" w:cs="Arial" w:eastAsia="Arial" w:hAnsi="Arial"/>
          <w:sz w:val="18"/>
          <w:szCs w:val="18"/>
          <w:color w:val="auto"/>
        </w:rPr>
      </w:pPr>
    </w:p>
    <w:p>
      <w:pPr>
        <w:ind w:left="1260" w:hanging="626"/>
        <w:spacing w:after="0"/>
        <w:tabs>
          <w:tab w:leader="none" w:pos="1260" w:val="left"/>
        </w:tabs>
        <w:numPr>
          <w:ilvl w:val="0"/>
          <w:numId w:val="154"/>
        </w:numPr>
        <w:rPr>
          <w:rFonts w:ascii="Arial" w:cs="Arial" w:eastAsia="Arial" w:hAnsi="Arial"/>
          <w:sz w:val="19"/>
          <w:szCs w:val="19"/>
          <w:color w:val="auto"/>
        </w:rPr>
      </w:pPr>
      <w:r>
        <w:rPr>
          <w:rFonts w:ascii="Arial" w:cs="Arial" w:eastAsia="Arial" w:hAnsi="Arial"/>
          <w:sz w:val="19"/>
          <w:szCs w:val="19"/>
          <w:u w:val="single" w:color="auto"/>
          <w:color w:val="auto"/>
        </w:rPr>
        <w:t>Application of Mandatory Prepayments</w:t>
      </w:r>
      <w:r>
        <w:rPr>
          <w:rFonts w:ascii="Arial" w:cs="Arial" w:eastAsia="Arial" w:hAnsi="Arial"/>
          <w:sz w:val="19"/>
          <w:szCs w:val="19"/>
          <w:color w:val="auto"/>
        </w:rPr>
        <w:t xml:space="preserve">. Subject to </w:t>
      </w:r>
      <w:r>
        <w:rPr>
          <w:rFonts w:ascii="Arial" w:cs="Arial" w:eastAsia="Arial" w:hAnsi="Arial"/>
          <w:sz w:val="19"/>
          <w:szCs w:val="19"/>
          <w:u w:val="single" w:color="auto"/>
          <w:color w:val="auto"/>
        </w:rPr>
        <w:t>Section 9.03</w:t>
      </w:r>
      <w:r>
        <w:rPr>
          <w:rFonts w:ascii="Arial" w:cs="Arial" w:eastAsia="Arial" w:hAnsi="Arial"/>
          <w:sz w:val="19"/>
          <w:szCs w:val="19"/>
          <w:color w:val="auto"/>
        </w:rPr>
        <w:t>:</w:t>
      </w:r>
    </w:p>
    <w:p>
      <w:pPr>
        <w:spacing w:after="0" w:line="214" w:lineRule="exact"/>
        <w:rPr>
          <w:rFonts w:ascii="Arial" w:cs="Arial" w:eastAsia="Arial" w:hAnsi="Arial"/>
          <w:sz w:val="19"/>
          <w:szCs w:val="19"/>
          <w:color w:val="auto"/>
        </w:rPr>
      </w:pPr>
    </w:p>
    <w:p>
      <w:pPr>
        <w:jc w:val="both"/>
        <w:ind w:left="640" w:firstLine="624"/>
        <w:spacing w:after="0" w:line="269" w:lineRule="auto"/>
        <w:tabs>
          <w:tab w:leader="none" w:pos="1897" w:val="left"/>
        </w:tabs>
        <w:numPr>
          <w:ilvl w:val="1"/>
          <w:numId w:val="154"/>
        </w:numPr>
        <w:rPr>
          <w:rFonts w:ascii="Arial" w:cs="Arial" w:eastAsia="Arial" w:hAnsi="Arial"/>
          <w:sz w:val="18"/>
          <w:szCs w:val="18"/>
          <w:color w:val="auto"/>
        </w:rPr>
      </w:pPr>
      <w:r>
        <w:rPr>
          <w:rFonts w:ascii="Arial" w:cs="Arial" w:eastAsia="Arial" w:hAnsi="Arial"/>
          <w:sz w:val="18"/>
          <w:szCs w:val="18"/>
          <w:color w:val="auto"/>
        </w:rPr>
        <w:t xml:space="preserve">Each prepayment of Loans pursuant to the provisions of </w:t>
      </w:r>
      <w:r>
        <w:rPr>
          <w:rFonts w:ascii="Arial" w:cs="Arial" w:eastAsia="Arial" w:hAnsi="Arial"/>
          <w:sz w:val="18"/>
          <w:szCs w:val="18"/>
          <w:u w:val="single" w:color="auto"/>
          <w:color w:val="auto"/>
        </w:rPr>
        <w:t>Section 2.06(b)</w:t>
      </w:r>
      <w:r>
        <w:rPr>
          <w:rFonts w:ascii="Arial" w:cs="Arial" w:eastAsia="Arial" w:hAnsi="Arial"/>
          <w:sz w:val="18"/>
          <w:szCs w:val="18"/>
          <w:color w:val="auto"/>
        </w:rPr>
        <w:t xml:space="preserve"> (other than prepayments from any Disposition of assets of the type included in the Borrowing Base) shall be applied to the Revolving Credit Facility in the manner set forth in </w:t>
      </w:r>
      <w:r>
        <w:rPr>
          <w:rFonts w:ascii="Arial" w:cs="Arial" w:eastAsia="Arial" w:hAnsi="Arial"/>
          <w:sz w:val="18"/>
          <w:szCs w:val="18"/>
          <w:u w:val="single" w:color="auto"/>
          <w:color w:val="auto"/>
        </w:rPr>
        <w:t>clause (ii)</w:t>
      </w:r>
      <w:r>
        <w:rPr>
          <w:rFonts w:ascii="Arial" w:cs="Arial" w:eastAsia="Arial" w:hAnsi="Arial"/>
          <w:sz w:val="18"/>
          <w:szCs w:val="18"/>
          <w:color w:val="auto"/>
        </w:rPr>
        <w:t xml:space="preserve"> below. Subject to </w:t>
      </w:r>
      <w:r>
        <w:rPr>
          <w:rFonts w:ascii="Arial" w:cs="Arial" w:eastAsia="Arial" w:hAnsi="Arial"/>
          <w:sz w:val="18"/>
          <w:szCs w:val="18"/>
          <w:u w:val="single" w:color="auto"/>
          <w:color w:val="auto"/>
        </w:rPr>
        <w:t>Section 2.17</w:t>
      </w:r>
      <w:r>
        <w:rPr>
          <w:rFonts w:ascii="Arial" w:cs="Arial" w:eastAsia="Arial" w:hAnsi="Arial"/>
          <w:sz w:val="18"/>
          <w:szCs w:val="18"/>
          <w:color w:val="auto"/>
        </w:rPr>
        <w:t>, such prepayments shall be paid to the Lenders in accordance with their respective Applicable Percentage. Notwithstanding the foregoing, any prepayment hereunder arising from a Disposition of assets of the type then included in the Borrowing Base shall be applied to repay Revolving Credit Facility in accordance with clause (ii) below.</w:t>
      </w:r>
    </w:p>
    <w:p>
      <w:pPr>
        <w:spacing w:after="0" w:line="164" w:lineRule="exact"/>
        <w:rPr>
          <w:rFonts w:ascii="Arial" w:cs="Arial" w:eastAsia="Arial" w:hAnsi="Arial"/>
          <w:sz w:val="18"/>
          <w:szCs w:val="18"/>
          <w:color w:val="auto"/>
        </w:rPr>
      </w:pPr>
    </w:p>
    <w:p>
      <w:pPr>
        <w:jc w:val="both"/>
        <w:ind w:left="640" w:firstLine="624"/>
        <w:spacing w:after="0" w:line="262" w:lineRule="auto"/>
        <w:tabs>
          <w:tab w:leader="none" w:pos="1897" w:val="left"/>
        </w:tabs>
        <w:numPr>
          <w:ilvl w:val="1"/>
          <w:numId w:val="154"/>
        </w:numPr>
        <w:rPr>
          <w:rFonts w:ascii="Arial" w:cs="Arial" w:eastAsia="Arial" w:hAnsi="Arial"/>
          <w:sz w:val="18"/>
          <w:szCs w:val="18"/>
          <w:color w:val="auto"/>
        </w:rPr>
      </w:pPr>
      <w:r>
        <w:rPr>
          <w:rFonts w:ascii="Arial" w:cs="Arial" w:eastAsia="Arial" w:hAnsi="Arial"/>
          <w:sz w:val="18"/>
          <w:szCs w:val="18"/>
          <w:color w:val="auto"/>
        </w:rPr>
        <w:t xml:space="preserve">Except as otherwise provided in </w:t>
      </w:r>
      <w:r>
        <w:rPr>
          <w:rFonts w:ascii="Arial" w:cs="Arial" w:eastAsia="Arial" w:hAnsi="Arial"/>
          <w:sz w:val="18"/>
          <w:szCs w:val="18"/>
          <w:u w:val="single" w:color="auto"/>
          <w:color w:val="auto"/>
        </w:rPr>
        <w:t>Section 2.17</w:t>
      </w:r>
      <w:r>
        <w:rPr>
          <w:rFonts w:ascii="Arial" w:cs="Arial" w:eastAsia="Arial" w:hAnsi="Arial"/>
          <w:sz w:val="18"/>
          <w:szCs w:val="18"/>
          <w:color w:val="auto"/>
        </w:rPr>
        <w:t xml:space="preserve">, prepayments of the Revolving Credit Facility made pursuant to </w:t>
      </w:r>
      <w:r>
        <w:rPr>
          <w:rFonts w:ascii="Arial" w:cs="Arial" w:eastAsia="Arial" w:hAnsi="Arial"/>
          <w:sz w:val="18"/>
          <w:szCs w:val="18"/>
          <w:u w:val="single" w:color="auto"/>
          <w:color w:val="auto"/>
        </w:rPr>
        <w:t>Section 2.06(b)</w:t>
      </w:r>
      <w:r>
        <w:rPr>
          <w:rFonts w:ascii="Arial" w:cs="Arial" w:eastAsia="Arial" w:hAnsi="Arial"/>
          <w:sz w:val="18"/>
          <w:szCs w:val="18"/>
          <w:color w:val="auto"/>
        </w:rPr>
        <w:t xml:space="preserve">, </w:t>
      </w:r>
      <w:r>
        <w:rPr>
          <w:rFonts w:ascii="Arial" w:cs="Arial" w:eastAsia="Arial" w:hAnsi="Arial"/>
          <w:sz w:val="18"/>
          <w:szCs w:val="18"/>
          <w:u w:val="single" w:color="auto"/>
          <w:color w:val="auto"/>
        </w:rPr>
        <w:t>first</w:t>
      </w:r>
      <w:r>
        <w:rPr>
          <w:rFonts w:ascii="Arial" w:cs="Arial" w:eastAsia="Arial" w:hAnsi="Arial"/>
          <w:sz w:val="18"/>
          <w:szCs w:val="18"/>
          <w:color w:val="auto"/>
        </w:rPr>
        <w:t xml:space="preserve">, shall be applied ratably to the Letter of Credit Borrowings and the Swing Line Loans, </w:t>
      </w:r>
      <w:r>
        <w:rPr>
          <w:rFonts w:ascii="Arial" w:cs="Arial" w:eastAsia="Arial" w:hAnsi="Arial"/>
          <w:sz w:val="18"/>
          <w:szCs w:val="18"/>
          <w:u w:val="single" w:color="auto"/>
          <w:color w:val="auto"/>
        </w:rPr>
        <w:t>second</w:t>
      </w:r>
      <w:r>
        <w:rPr>
          <w:rFonts w:ascii="Arial" w:cs="Arial" w:eastAsia="Arial" w:hAnsi="Arial"/>
          <w:sz w:val="18"/>
          <w:szCs w:val="18"/>
          <w:color w:val="auto"/>
        </w:rPr>
        <w:t xml:space="preserve">, shall be applied ratably to the outstanding Revolving Credit Loans, </w:t>
      </w:r>
      <w:r>
        <w:rPr>
          <w:rFonts w:ascii="Arial" w:cs="Arial" w:eastAsia="Arial" w:hAnsi="Arial"/>
          <w:sz w:val="18"/>
          <w:szCs w:val="18"/>
          <w:u w:val="single" w:color="auto"/>
          <w:color w:val="auto"/>
        </w:rPr>
        <w:t>third</w:t>
      </w:r>
      <w:r>
        <w:rPr>
          <w:rFonts w:ascii="Arial" w:cs="Arial" w:eastAsia="Arial" w:hAnsi="Arial"/>
          <w:sz w:val="18"/>
          <w:szCs w:val="18"/>
          <w:color w:val="auto"/>
        </w:rPr>
        <w:t xml:space="preserve">, unless either waived by the Administrative Agent or neither any Default arising under </w:t>
      </w:r>
      <w:r>
        <w:rPr>
          <w:rFonts w:ascii="Arial" w:cs="Arial" w:eastAsia="Arial" w:hAnsi="Arial"/>
          <w:sz w:val="18"/>
          <w:szCs w:val="18"/>
          <w:u w:val="single" w:color="auto"/>
          <w:color w:val="auto"/>
        </w:rPr>
        <w:t>Section 9.01(a)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(with respect to a breach of </w:t>
      </w:r>
      <w:r>
        <w:rPr>
          <w:rFonts w:ascii="Arial" w:cs="Arial" w:eastAsia="Arial" w:hAnsi="Arial"/>
          <w:sz w:val="18"/>
          <w:szCs w:val="18"/>
          <w:u w:val="single" w:color="auto"/>
          <w:color w:val="auto"/>
        </w:rPr>
        <w:t>Section 7.01</w:t>
      </w:r>
      <w:r>
        <w:rPr>
          <w:rFonts w:ascii="Arial" w:cs="Arial" w:eastAsia="Arial" w:hAnsi="Arial"/>
          <w:sz w:val="18"/>
          <w:szCs w:val="18"/>
          <w:color w:val="auto"/>
        </w:rPr>
        <w:t xml:space="preserve">, </w:t>
      </w:r>
      <w:r>
        <w:rPr>
          <w:rFonts w:ascii="Arial" w:cs="Arial" w:eastAsia="Arial" w:hAnsi="Arial"/>
          <w:sz w:val="18"/>
          <w:szCs w:val="18"/>
          <w:u w:val="single" w:color="auto"/>
          <w:color w:val="auto"/>
        </w:rPr>
        <w:t>7.02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8.12</w:t>
      </w:r>
      <w:r>
        <w:rPr>
          <w:rFonts w:ascii="Arial" w:cs="Arial" w:eastAsia="Arial" w:hAnsi="Arial"/>
          <w:sz w:val="18"/>
          <w:szCs w:val="18"/>
          <w:color w:val="auto"/>
        </w:rPr>
        <w:t xml:space="preserve">), </w:t>
      </w:r>
      <w:r>
        <w:rPr>
          <w:rFonts w:ascii="Arial" w:cs="Arial" w:eastAsia="Arial" w:hAnsi="Arial"/>
          <w:sz w:val="18"/>
          <w:szCs w:val="18"/>
          <w:u w:val="single" w:color="auto"/>
          <w:color w:val="auto"/>
        </w:rPr>
        <w:t>(f)</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(p)</w:t>
      </w:r>
      <w:r>
        <w:rPr>
          <w:rFonts w:ascii="Arial" w:cs="Arial" w:eastAsia="Arial" w:hAnsi="Arial"/>
          <w:sz w:val="18"/>
          <w:szCs w:val="18"/>
          <w:color w:val="auto"/>
        </w:rPr>
        <w:t xml:space="preserve"> nor any Event of Default shall be continuing, shall be used to Cash Collateralize the remaining Letter of Credit Obligations in the Minimum Collateral Amount and, </w:t>
      </w:r>
      <w:r>
        <w:rPr>
          <w:rFonts w:ascii="Arial" w:cs="Arial" w:eastAsia="Arial" w:hAnsi="Arial"/>
          <w:sz w:val="18"/>
          <w:szCs w:val="18"/>
          <w:u w:val="single" w:color="auto"/>
          <w:color w:val="auto"/>
        </w:rPr>
        <w:t>fourth</w:t>
      </w:r>
      <w:r>
        <w:rPr>
          <w:rFonts w:ascii="Arial" w:cs="Arial" w:eastAsia="Arial" w:hAnsi="Arial"/>
          <w:sz w:val="18"/>
          <w:szCs w:val="18"/>
          <w:color w:val="auto"/>
        </w:rPr>
        <w:t xml:space="preserve">, the amount remaining, if any, after the prepayment in full of all outstanding Obligations (other than Credit Product Obligations) and the Cash Collateralization of the remaining Letter of Credit Obligations in the Minimum Collateral Amount (unless either waived by the Administrative Agent or neither any Default arising under </w:t>
      </w:r>
      <w:r>
        <w:rPr>
          <w:rFonts w:ascii="Arial" w:cs="Arial" w:eastAsia="Arial" w:hAnsi="Arial"/>
          <w:sz w:val="18"/>
          <w:szCs w:val="18"/>
          <w:u w:val="single" w:color="auto"/>
          <w:color w:val="auto"/>
        </w:rPr>
        <w:t>Section 9.01(a)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(with respect to a breach of </w:t>
      </w:r>
      <w:r>
        <w:rPr>
          <w:rFonts w:ascii="Arial" w:cs="Arial" w:eastAsia="Arial" w:hAnsi="Arial"/>
          <w:sz w:val="18"/>
          <w:szCs w:val="18"/>
          <w:u w:val="single" w:color="auto"/>
          <w:color w:val="auto"/>
        </w:rPr>
        <w:t>Section 7.01</w:t>
      </w:r>
      <w:r>
        <w:rPr>
          <w:rFonts w:ascii="Arial" w:cs="Arial" w:eastAsia="Arial" w:hAnsi="Arial"/>
          <w:sz w:val="18"/>
          <w:szCs w:val="18"/>
          <w:color w:val="auto"/>
        </w:rPr>
        <w:t xml:space="preserve">, </w:t>
      </w:r>
      <w:r>
        <w:rPr>
          <w:rFonts w:ascii="Arial" w:cs="Arial" w:eastAsia="Arial" w:hAnsi="Arial"/>
          <w:sz w:val="18"/>
          <w:szCs w:val="18"/>
          <w:u w:val="single" w:color="auto"/>
          <w:color w:val="auto"/>
        </w:rPr>
        <w:t>7.02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8.12</w:t>
      </w:r>
      <w:r>
        <w:rPr>
          <w:rFonts w:ascii="Arial" w:cs="Arial" w:eastAsia="Arial" w:hAnsi="Arial"/>
          <w:sz w:val="18"/>
          <w:szCs w:val="18"/>
          <w:color w:val="auto"/>
        </w:rPr>
        <w:t xml:space="preserve">), </w:t>
      </w:r>
      <w:r>
        <w:rPr>
          <w:rFonts w:ascii="Arial" w:cs="Arial" w:eastAsia="Arial" w:hAnsi="Arial"/>
          <w:sz w:val="18"/>
          <w:szCs w:val="18"/>
          <w:u w:val="single" w:color="auto"/>
          <w:color w:val="auto"/>
        </w:rPr>
        <w:t>(f)</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(p)</w:t>
      </w:r>
      <w:r>
        <w:rPr>
          <w:rFonts w:ascii="Arial" w:cs="Arial" w:eastAsia="Arial" w:hAnsi="Arial"/>
          <w:sz w:val="18"/>
          <w:szCs w:val="18"/>
          <w:color w:val="auto"/>
        </w:rPr>
        <w:t xml:space="preserve"> nor any Event of Default shall be continuing), may be retained by the Borrowers for use in the ordinary course of Borrowers’ business. Upon the drawing of any Letter of Credit that has been Cash Collateralized, the funds held as Cash Collateral shall be applied (without any further action by or notice to or from the Borrowers or any other Loan Party or any Defaulting Lender that has provided Cash Collateral) to reimburse the Letter of Credit Issuer or the Revolving Credit Lenders, as applicable.</w:t>
      </w:r>
    </w:p>
    <w:p>
      <w:pPr>
        <w:spacing w:after="0" w:line="167"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9"/>
          <w:szCs w:val="19"/>
          <w:b w:val="1"/>
          <w:bCs w:val="1"/>
          <w:color w:val="auto"/>
        </w:rPr>
        <w:t>2.7</w:t>
      </w:r>
      <w:r>
        <w:rPr>
          <w:sz w:val="20"/>
          <w:szCs w:val="20"/>
          <w:color w:val="auto"/>
        </w:rPr>
        <w:tab/>
      </w:r>
      <w:r>
        <w:rPr>
          <w:rFonts w:ascii="Arial" w:cs="Arial" w:eastAsia="Arial" w:hAnsi="Arial"/>
          <w:sz w:val="17"/>
          <w:szCs w:val="17"/>
          <w:b w:val="1"/>
          <w:bCs w:val="1"/>
          <w:color w:val="auto"/>
        </w:rPr>
        <w:t>Termination or Reduction of Commitments</w:t>
      </w:r>
      <w:r>
        <w:rPr>
          <w:rFonts w:ascii="Arial" w:cs="Arial" w:eastAsia="Arial" w:hAnsi="Arial"/>
          <w:sz w:val="17"/>
          <w:szCs w:val="17"/>
          <w:color w:val="auto"/>
        </w:rPr>
        <w:t>.</w:t>
      </w:r>
    </w:p>
    <w:p>
      <w:pPr>
        <w:spacing w:after="0" w:line="220" w:lineRule="exact"/>
        <w:rPr>
          <w:sz w:val="20"/>
          <w:szCs w:val="20"/>
          <w:color w:val="auto"/>
        </w:rPr>
      </w:pPr>
    </w:p>
    <w:p>
      <w:pPr>
        <w:jc w:val="both"/>
        <w:ind w:firstLine="634"/>
        <w:spacing w:after="0" w:line="250" w:lineRule="auto"/>
        <w:tabs>
          <w:tab w:leader="none" w:pos="1249" w:val="left"/>
        </w:tabs>
        <w:numPr>
          <w:ilvl w:val="0"/>
          <w:numId w:val="155"/>
        </w:numPr>
        <w:rPr>
          <w:rFonts w:ascii="Arial" w:cs="Arial" w:eastAsia="Arial" w:hAnsi="Arial"/>
          <w:sz w:val="19"/>
          <w:szCs w:val="19"/>
          <w:color w:val="auto"/>
        </w:rPr>
      </w:pPr>
      <w:r>
        <w:rPr>
          <w:rFonts w:ascii="Arial" w:cs="Arial" w:eastAsia="Arial" w:hAnsi="Arial"/>
          <w:sz w:val="19"/>
          <w:szCs w:val="19"/>
          <w:u w:val="single" w:color="auto"/>
          <w:color w:val="auto"/>
        </w:rPr>
        <w:t>Revolving Credit Commitment</w:t>
      </w:r>
      <w:r>
        <w:rPr>
          <w:rFonts w:ascii="Arial" w:cs="Arial" w:eastAsia="Arial" w:hAnsi="Arial"/>
          <w:sz w:val="19"/>
          <w:szCs w:val="19"/>
          <w:color w:val="auto"/>
        </w:rPr>
        <w:t xml:space="preserve">. The Borrowers may, upon notice to the Administrative Agent from the Borrower Agent, terminate the Aggregate Revolving Credit Commitments, the Letter of Credit Sublimit, Canadian Dollar Sublimit or the Swing Line Sublimit, or from time to time permanently reduce the Aggregate Revolving Credit Commitments, the Letter of Credit Sublimit, Canadian Dollar Sublimit or the Swing Line Sublimit;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any such notice shall be received by the Administrative Agent not later than 11:00 a.m. five (5) Business Days prior to the date of termination or reduction, (ii) any such partial reduction shall be in an aggregate amount of $5,000,000 or any whole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83</w:t>
      </w:r>
    </w:p>
    <w:p>
      <w:pPr>
        <w:sectPr>
          <w:pgSz w:w="11900" w:h="16838" w:orient="portrait"/>
          <w:cols w:equalWidth="0" w:num="1">
            <w:col w:w="11240"/>
          </w:cols>
          <w:pgMar w:left="320" w:top="1381" w:right="339" w:bottom="1440" w:gutter="0" w:footer="0" w:header="0"/>
        </w:sectPr>
      </w:pPr>
    </w:p>
    <w:bookmarkStart w:id="202" w:name="page203"/>
    <w:bookmarkEnd w:id="202"/>
    <w:p>
      <w:pPr>
        <w:jc w:val="both"/>
        <w:spacing w:after="0" w:line="261" w:lineRule="auto"/>
        <w:rPr>
          <w:sz w:val="20"/>
          <w:szCs w:val="20"/>
          <w:color w:val="auto"/>
        </w:rPr>
      </w:pPr>
      <w:r>
        <w:rPr>
          <w:rFonts w:ascii="Arial" w:cs="Arial" w:eastAsia="Arial" w:hAnsi="Arial"/>
          <w:sz w:val="18"/>
          <w:szCs w:val="18"/>
          <w:color w:val="auto"/>
        </w:rPr>
        <w:t>multiple of $1,000,000 in excess thereof, (iii) the Borrowers shall not terminate or reduce (A) the Aggregate Revolving Credit Commitments if, after giving effect thereto and to any concurrent prepayments hereunder, the Total Revolving Credit Outstandings would exceed the Aggregate Revolving Credit Commitments, (B) the Letter of Credit Sublimit if, after giving effect thereto, the Outstanding Amount of Letter of Credit Obligations not fully Cash Collateralized hereunder would exceed the Letter of Credit Sublimit, or (C) the Swing Line Sublimit if, after giving effect thereto and to any concurrent prepayments hereunder, the Outstanding Amount of Swing Line Loans would exceed the Swing Line Sublimit or (D) the Canadian Dollar Sublimit if, after giving effect thereto, the Outstanding Amount of Loans denominated in Canadian Dollars would exceed the Canadian Dollar Sublimit and (iv) if, after giving effect to any reduction or termination of the Aggregate Revolving Credit Commitments, the Letter of Credit Sublimit, Canadian Dollar Sublimit or the Swing Line Sublimit exceeds the amount of the Aggregate Revolving Credit Commitments, such Sublimit shall be automatically reduced by the amount of such excess. The Administrative Agent will promptly notify the Lenders of any such notice of termination or reduction of the Aggregate Revolving Credit Commitments, the Letter of Credit Sublimit, Canadian Dollar Sublimit or the Swing Line Sublimit. Any reduction of the Aggregate Revolving Credit Commitments shall be applied to the Revolving Credit Commitment of each Revolving Credit Lender according to its Applicable Revolving Credit Percentage. All fees accrued until the effective date of any termination of the Aggregate Revolving Credit Commitments shall be paid on the effective date of such termination.</w:t>
      </w:r>
    </w:p>
    <w:p>
      <w:pPr>
        <w:spacing w:after="0" w:line="173"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9"/>
          <w:szCs w:val="19"/>
          <w:b w:val="1"/>
          <w:bCs w:val="1"/>
          <w:color w:val="auto"/>
        </w:rPr>
        <w:t>2.8</w:t>
      </w:r>
      <w:r>
        <w:rPr>
          <w:sz w:val="20"/>
          <w:szCs w:val="20"/>
          <w:color w:val="auto"/>
        </w:rPr>
        <w:tab/>
      </w:r>
      <w:r>
        <w:rPr>
          <w:rFonts w:ascii="Arial" w:cs="Arial" w:eastAsia="Arial" w:hAnsi="Arial"/>
          <w:sz w:val="17"/>
          <w:szCs w:val="17"/>
          <w:b w:val="1"/>
          <w:bCs w:val="1"/>
          <w:color w:val="auto"/>
        </w:rPr>
        <w:t>Interest.</w:t>
      </w:r>
    </w:p>
    <w:p>
      <w:pPr>
        <w:spacing w:after="0" w:line="220" w:lineRule="exact"/>
        <w:rPr>
          <w:sz w:val="20"/>
          <w:szCs w:val="20"/>
          <w:color w:val="auto"/>
        </w:rPr>
      </w:pPr>
    </w:p>
    <w:p>
      <w:pPr>
        <w:jc w:val="both"/>
        <w:ind w:firstLine="634"/>
        <w:spacing w:after="0" w:line="277" w:lineRule="auto"/>
        <w:tabs>
          <w:tab w:leader="none" w:pos="1249" w:val="left"/>
        </w:tabs>
        <w:numPr>
          <w:ilvl w:val="1"/>
          <w:numId w:val="156"/>
        </w:numPr>
        <w:rPr>
          <w:rFonts w:ascii="Arial" w:cs="Arial" w:eastAsia="Arial" w:hAnsi="Arial"/>
          <w:sz w:val="17"/>
          <w:szCs w:val="17"/>
          <w:color w:val="auto"/>
        </w:rPr>
      </w:pPr>
      <w:r>
        <w:rPr>
          <w:rFonts w:ascii="Arial" w:cs="Arial" w:eastAsia="Arial" w:hAnsi="Arial"/>
          <w:sz w:val="17"/>
          <w:szCs w:val="17"/>
          <w:color w:val="auto"/>
        </w:rPr>
        <w:t xml:space="preserve">Subject to the provisions of </w:t>
      </w:r>
      <w:r>
        <w:rPr>
          <w:rFonts w:ascii="Arial" w:cs="Arial" w:eastAsia="Arial" w:hAnsi="Arial"/>
          <w:sz w:val="17"/>
          <w:szCs w:val="17"/>
          <w:u w:val="single" w:color="auto"/>
          <w:color w:val="auto"/>
        </w:rPr>
        <w:t>Sections 2.08(b)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3.03</w:t>
      </w:r>
      <w:r>
        <w:rPr>
          <w:rFonts w:ascii="Arial" w:cs="Arial" w:eastAsia="Arial" w:hAnsi="Arial"/>
          <w:sz w:val="17"/>
          <w:szCs w:val="17"/>
          <w:color w:val="auto"/>
        </w:rPr>
        <w:t xml:space="preserve"> below, (i) each Eurocurrency Rate Loan shall bear interest on the outstanding principal amount thereof for each Interest Period at a rate per annum equal to the applicable Eurocurrency Rate for such Interest Period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Applicable Margin; (ii) each Base Rate Loan shall bear interest on the outstanding principal amount thereof from the applicable borrowing date at a rate per annum equal to the Base Rate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Applicable Margin; (iii) each Swing Line Loan shall bear interest on the outstanding principal amount thereof from the applicable borrowing date at a rate per annum equal to the Base Rate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Applicable Margin;</w:t>
      </w:r>
    </w:p>
    <w:p>
      <w:pPr>
        <w:spacing w:after="0" w:line="2" w:lineRule="exact"/>
        <w:rPr>
          <w:rFonts w:ascii="Arial" w:cs="Arial" w:eastAsia="Arial" w:hAnsi="Arial"/>
          <w:sz w:val="17"/>
          <w:szCs w:val="17"/>
          <w:color w:val="auto"/>
        </w:rPr>
      </w:pPr>
    </w:p>
    <w:p>
      <w:pPr>
        <w:jc w:val="both"/>
        <w:ind w:firstLine="5"/>
        <w:spacing w:after="0" w:line="248" w:lineRule="auto"/>
        <w:tabs>
          <w:tab w:leader="none" w:pos="334" w:val="left"/>
        </w:tabs>
        <w:numPr>
          <w:ilvl w:val="0"/>
          <w:numId w:val="157"/>
        </w:numPr>
        <w:rPr>
          <w:rFonts w:ascii="Arial" w:cs="Arial" w:eastAsia="Arial" w:hAnsi="Arial"/>
          <w:sz w:val="19"/>
          <w:szCs w:val="19"/>
          <w:color w:val="auto"/>
        </w:rPr>
      </w:pPr>
      <w:r>
        <w:rPr>
          <w:rFonts w:ascii="Arial" w:cs="Arial" w:eastAsia="Arial" w:hAnsi="Arial"/>
          <w:sz w:val="19"/>
          <w:szCs w:val="19"/>
          <w:color w:val="auto"/>
        </w:rPr>
        <w:t xml:space="preserve">each Canadian Prime Rate Loan shall bear interest on the outstanding principal amount thereof from the applicable borrowing date at a rate per annum equal to the Canadian Prime Rate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the Applicable Margin; and (v) each other Obligation (including, to the extent not prohibited by applicable Law, interest not paid when due) shall bear interest on the unpaid amount thereof at a rate per annum equal to the Base Rate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the Applicable Margin.</w:t>
      </w:r>
    </w:p>
    <w:p>
      <w:pPr>
        <w:spacing w:after="0" w:line="182" w:lineRule="exact"/>
        <w:rPr>
          <w:rFonts w:ascii="Arial" w:cs="Arial" w:eastAsia="Arial" w:hAnsi="Arial"/>
          <w:sz w:val="19"/>
          <w:szCs w:val="19"/>
          <w:color w:val="auto"/>
        </w:rPr>
      </w:pPr>
    </w:p>
    <w:p>
      <w:pPr>
        <w:jc w:val="both"/>
        <w:ind w:firstLine="634"/>
        <w:spacing w:after="0" w:line="259" w:lineRule="auto"/>
        <w:tabs>
          <w:tab w:leader="none" w:pos="1496" w:val="left"/>
        </w:tabs>
        <w:numPr>
          <w:ilvl w:val="1"/>
          <w:numId w:val="157"/>
        </w:numPr>
        <w:rPr>
          <w:rFonts w:ascii="Arial" w:cs="Arial" w:eastAsia="Arial" w:hAnsi="Arial"/>
          <w:sz w:val="19"/>
          <w:szCs w:val="19"/>
          <w:color w:val="auto"/>
        </w:rPr>
      </w:pPr>
      <w:r>
        <w:rPr>
          <w:rFonts w:ascii="Arial" w:cs="Arial" w:eastAsia="Arial" w:hAnsi="Arial"/>
          <w:sz w:val="19"/>
          <w:szCs w:val="19"/>
          <w:color w:val="auto"/>
        </w:rPr>
        <w:t>If any amount payable by the Borrowers under any Loan Document is not paid when due (without regard to any applicable grace periods), whether at stated maturity, by acceleration or otherwise, then such amount shall thereafter bear interest at a fluctuating interest rate per annum at all times equal to the Default Rate to the fullest extent not prohibited by applicable Laws.</w:t>
      </w:r>
    </w:p>
    <w:p>
      <w:pPr>
        <w:spacing w:after="0" w:line="171" w:lineRule="exact"/>
        <w:rPr>
          <w:rFonts w:ascii="Arial" w:cs="Arial" w:eastAsia="Arial" w:hAnsi="Arial"/>
          <w:sz w:val="19"/>
          <w:szCs w:val="19"/>
          <w:color w:val="auto"/>
        </w:rPr>
      </w:pPr>
    </w:p>
    <w:p>
      <w:pPr>
        <w:jc w:val="both"/>
        <w:ind w:left="640" w:firstLine="624"/>
        <w:spacing w:after="0" w:line="259" w:lineRule="auto"/>
        <w:tabs>
          <w:tab w:leader="none" w:pos="1897" w:val="left"/>
        </w:tabs>
        <w:numPr>
          <w:ilvl w:val="2"/>
          <w:numId w:val="157"/>
        </w:numPr>
        <w:rPr>
          <w:rFonts w:ascii="Arial" w:cs="Arial" w:eastAsia="Arial" w:hAnsi="Arial"/>
          <w:sz w:val="19"/>
          <w:szCs w:val="19"/>
          <w:color w:val="auto"/>
        </w:rPr>
      </w:pPr>
      <w:r>
        <w:rPr>
          <w:rFonts w:ascii="Arial" w:cs="Arial" w:eastAsia="Arial" w:hAnsi="Arial"/>
          <w:sz w:val="19"/>
          <w:szCs w:val="19"/>
          <w:color w:val="auto"/>
        </w:rPr>
        <w:t>If any other Event of Default exists, then the Administrative Agent may, and upon the request of the Required Lenders shall, require (and notify the Borrower Agent thereof) that all outstanding Loan Obligations shall thereafter bear interest at a fluctuating interest rate per annum at all times equal to the Default Rate.</w:t>
      </w:r>
    </w:p>
    <w:p>
      <w:pPr>
        <w:spacing w:after="0" w:line="171" w:lineRule="exact"/>
        <w:rPr>
          <w:rFonts w:ascii="Arial" w:cs="Arial" w:eastAsia="Arial" w:hAnsi="Arial"/>
          <w:sz w:val="19"/>
          <w:szCs w:val="19"/>
          <w:color w:val="auto"/>
        </w:rPr>
      </w:pPr>
    </w:p>
    <w:p>
      <w:pPr>
        <w:ind w:left="1900" w:hanging="636"/>
        <w:spacing w:after="0"/>
        <w:tabs>
          <w:tab w:leader="none" w:pos="1900" w:val="left"/>
        </w:tabs>
        <w:numPr>
          <w:ilvl w:val="2"/>
          <w:numId w:val="157"/>
        </w:numPr>
        <w:rPr>
          <w:rFonts w:ascii="Arial" w:cs="Arial" w:eastAsia="Arial" w:hAnsi="Arial"/>
          <w:sz w:val="17"/>
          <w:szCs w:val="17"/>
          <w:color w:val="auto"/>
        </w:rPr>
      </w:pPr>
      <w:r>
        <w:rPr>
          <w:rFonts w:ascii="Arial" w:cs="Arial" w:eastAsia="Arial" w:hAnsi="Arial"/>
          <w:sz w:val="17"/>
          <w:szCs w:val="17"/>
          <w:color w:val="auto"/>
        </w:rPr>
        <w:t>Accrued and unpaid interest on past due amounts (including interest on past due interest) shall be due and payable upon</w:t>
      </w:r>
    </w:p>
    <w:p>
      <w:pPr>
        <w:spacing w:after="0" w:line="43" w:lineRule="exact"/>
        <w:rPr>
          <w:rFonts w:ascii="Arial" w:cs="Arial" w:eastAsia="Arial" w:hAnsi="Arial"/>
          <w:sz w:val="17"/>
          <w:szCs w:val="17"/>
          <w:color w:val="auto"/>
        </w:rPr>
      </w:pPr>
    </w:p>
    <w:p>
      <w:pPr>
        <w:ind w:left="640"/>
        <w:spacing w:after="0"/>
        <w:rPr>
          <w:rFonts w:ascii="Arial" w:cs="Arial" w:eastAsia="Arial" w:hAnsi="Arial"/>
          <w:sz w:val="17"/>
          <w:szCs w:val="17"/>
          <w:color w:val="auto"/>
        </w:rPr>
      </w:pPr>
      <w:r>
        <w:rPr>
          <w:rFonts w:ascii="Arial" w:cs="Arial" w:eastAsia="Arial" w:hAnsi="Arial"/>
          <w:sz w:val="19"/>
          <w:szCs w:val="19"/>
          <w:color w:val="auto"/>
        </w:rPr>
        <w:t>demand.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84</w:t>
      </w:r>
    </w:p>
    <w:p>
      <w:pPr>
        <w:sectPr>
          <w:pgSz w:w="11900" w:h="16838" w:orient="portrait"/>
          <w:cols w:equalWidth="0" w:num="1">
            <w:col w:w="11240"/>
          </w:cols>
          <w:pgMar w:left="320" w:top="1381" w:right="339" w:bottom="1440" w:gutter="0" w:footer="0" w:header="0"/>
        </w:sectPr>
      </w:pPr>
    </w:p>
    <w:bookmarkStart w:id="203" w:name="page204"/>
    <w:bookmarkEnd w:id="203"/>
    <w:p>
      <w:pPr>
        <w:jc w:val="both"/>
        <w:ind w:firstLine="634"/>
        <w:spacing w:after="0" w:line="259" w:lineRule="auto"/>
        <w:tabs>
          <w:tab w:leader="none" w:pos="1249" w:val="left"/>
        </w:tabs>
        <w:numPr>
          <w:ilvl w:val="0"/>
          <w:numId w:val="158"/>
        </w:numPr>
        <w:rPr>
          <w:rFonts w:ascii="Arial" w:cs="Arial" w:eastAsia="Arial" w:hAnsi="Arial"/>
          <w:sz w:val="19"/>
          <w:szCs w:val="19"/>
          <w:color w:val="auto"/>
        </w:rPr>
      </w:pPr>
      <w:r>
        <w:rPr>
          <w:rFonts w:ascii="Arial" w:cs="Arial" w:eastAsia="Arial" w:hAnsi="Arial"/>
          <w:sz w:val="19"/>
          <w:szCs w:val="19"/>
          <w:color w:val="auto"/>
        </w:rPr>
        <w:t>Interest on each Loan shall be due and payable in arrears on each Interest Payment Date applicable thereto and at such other times as may be specified herein. Interest hereunder shall be due and payable in accordance with the terms hereof before and after judgment, and before and after the commencement of any proceeding under any Debtor Relief Law.</w:t>
      </w:r>
    </w:p>
    <w:p>
      <w:pPr>
        <w:spacing w:after="0" w:line="171" w:lineRule="exact"/>
        <w:rPr>
          <w:rFonts w:ascii="Arial" w:cs="Arial" w:eastAsia="Arial" w:hAnsi="Arial"/>
          <w:sz w:val="19"/>
          <w:szCs w:val="19"/>
          <w:color w:val="auto"/>
        </w:rPr>
      </w:pPr>
    </w:p>
    <w:p>
      <w:pPr>
        <w:jc w:val="both"/>
        <w:ind w:firstLine="634"/>
        <w:spacing w:after="0" w:line="294" w:lineRule="auto"/>
        <w:tabs>
          <w:tab w:leader="none" w:pos="1247" w:val="left"/>
        </w:tabs>
        <w:numPr>
          <w:ilvl w:val="0"/>
          <w:numId w:val="158"/>
        </w:numPr>
        <w:rPr>
          <w:rFonts w:ascii="Arial" w:cs="Arial" w:eastAsia="Arial" w:hAnsi="Arial"/>
          <w:sz w:val="17"/>
          <w:szCs w:val="17"/>
          <w:color w:val="auto"/>
        </w:rPr>
      </w:pPr>
      <w:r>
        <w:rPr>
          <w:rFonts w:ascii="Arial" w:cs="Arial" w:eastAsia="Arial" w:hAnsi="Arial"/>
          <w:sz w:val="17"/>
          <w:szCs w:val="17"/>
          <w:color w:val="auto"/>
        </w:rPr>
        <w:t>If, for any reason (including inaccurate reporting in any Compliance Certificate, Borrowing Base Certificate or other Borrower Materials), it is determined that a higher Applicable Margin should have applied to a period than was actually applied, then the proper margin shall be applied retroactively and Borrowers shall immediately pay to the Administrative Agent, for the ratable benefit of Lenders, an amount equal to the difference between the amount of interest and fees that would have accrued using the proper margin and the amount actually paid.</w:t>
      </w:r>
    </w:p>
    <w:p>
      <w:pPr>
        <w:spacing w:after="0" w:line="143" w:lineRule="exact"/>
        <w:rPr>
          <w:rFonts w:ascii="Arial" w:cs="Arial" w:eastAsia="Arial" w:hAnsi="Arial"/>
          <w:sz w:val="17"/>
          <w:szCs w:val="17"/>
          <w:color w:val="auto"/>
        </w:rPr>
      </w:pPr>
    </w:p>
    <w:p>
      <w:pPr>
        <w:jc w:val="both"/>
        <w:ind w:firstLine="634"/>
        <w:spacing w:after="0" w:line="288" w:lineRule="auto"/>
        <w:tabs>
          <w:tab w:leader="none" w:pos="1249" w:val="left"/>
        </w:tabs>
        <w:numPr>
          <w:ilvl w:val="0"/>
          <w:numId w:val="158"/>
        </w:numPr>
        <w:rPr>
          <w:rFonts w:ascii="Arial" w:cs="Arial" w:eastAsia="Arial" w:hAnsi="Arial"/>
          <w:sz w:val="17"/>
          <w:szCs w:val="17"/>
          <w:color w:val="auto"/>
        </w:rPr>
      </w:pPr>
      <w:r>
        <w:rPr>
          <w:rFonts w:ascii="Arial" w:cs="Arial" w:eastAsia="Arial" w:hAnsi="Arial"/>
          <w:sz w:val="17"/>
          <w:szCs w:val="17"/>
          <w:color w:val="auto"/>
        </w:rPr>
        <w:t>For the purposes of the Interest Act (Canada), (i) whenever a rate of interest or fee rate hereunder is calculated on the basis of a year (the “</w:t>
      </w:r>
      <w:r>
        <w:rPr>
          <w:rFonts w:ascii="Arial" w:cs="Arial" w:eastAsia="Arial" w:hAnsi="Arial"/>
          <w:sz w:val="17"/>
          <w:szCs w:val="17"/>
          <w:u w:val="single" w:color="auto"/>
          <w:color w:val="auto"/>
        </w:rPr>
        <w:t>deemed year</w:t>
      </w:r>
      <w:r>
        <w:rPr>
          <w:rFonts w:ascii="Arial" w:cs="Arial" w:eastAsia="Arial" w:hAnsi="Arial"/>
          <w:sz w:val="17"/>
          <w:szCs w:val="17"/>
          <w:color w:val="auto"/>
        </w:rPr>
        <w:t>”) that contains fewer days than the actual number of days in the calendar year of calculation, such rate of interest or fee rate shall be expressed as a yearly rate by multiplying such rate of interest or fee rate by the actual number of days in the calendar year of calculation and dividing it by the number of days in the deemed year, (ii) the principle of deemed reinvestment of interest shall not apply to any interest calculation hereunder and (iii) the rates of interest stipulated herein are intended to be nominal rates and not effective rates or yields.</w:t>
      </w:r>
    </w:p>
    <w:p>
      <w:pPr>
        <w:spacing w:after="0" w:line="151" w:lineRule="exact"/>
        <w:rPr>
          <w:rFonts w:ascii="Arial" w:cs="Arial" w:eastAsia="Arial" w:hAnsi="Arial"/>
          <w:sz w:val="17"/>
          <w:szCs w:val="17"/>
          <w:color w:val="auto"/>
        </w:rPr>
      </w:pPr>
    </w:p>
    <w:p>
      <w:pPr>
        <w:jc w:val="both"/>
        <w:ind w:firstLine="634"/>
        <w:spacing w:after="0" w:line="249" w:lineRule="auto"/>
        <w:tabs>
          <w:tab w:leader="none" w:pos="1254" w:val="left"/>
        </w:tabs>
        <w:numPr>
          <w:ilvl w:val="0"/>
          <w:numId w:val="158"/>
        </w:numPr>
        <w:rPr>
          <w:rFonts w:ascii="Arial" w:cs="Arial" w:eastAsia="Arial" w:hAnsi="Arial"/>
          <w:sz w:val="19"/>
          <w:szCs w:val="19"/>
          <w:color w:val="auto"/>
        </w:rPr>
      </w:pPr>
      <w:r>
        <w:rPr>
          <w:rFonts w:ascii="Arial" w:cs="Arial" w:eastAsia="Arial" w:hAnsi="Arial"/>
          <w:sz w:val="19"/>
          <w:szCs w:val="19"/>
          <w:color w:val="auto"/>
        </w:rPr>
        <w:t>If any provision of this Agreement would oblige any Loan Party that is incorporated or otherwise organized under the Laws of Canada or any province or territory thereof, to make any payment of interest or other amount payable to any Lender in an amount or calculated at a rate which would be prohibited by applicable Law or would result in a receipt by such Lender of “interest” at a “criminal rate” (as such terms are construed under the Criminal Code (Canada)), then, notwithstanding such provision, such amount or rate shall be deemed to have been adjusted with retroactive effect to the maximum amount or rate of interest, as the case may be, as would not be so prohibited by law or so result in a receipt by that Lender of “interest” at a “criminal rate”, such adjustment to be effected, to the extent necessary (but only to the extent necessary), as follows:</w:t>
      </w:r>
    </w:p>
    <w:p>
      <w:pPr>
        <w:spacing w:after="0" w:line="183" w:lineRule="exact"/>
        <w:rPr>
          <w:rFonts w:ascii="Arial" w:cs="Arial" w:eastAsia="Arial" w:hAnsi="Arial"/>
          <w:sz w:val="19"/>
          <w:szCs w:val="19"/>
          <w:color w:val="auto"/>
        </w:rPr>
      </w:pPr>
    </w:p>
    <w:p>
      <w:pPr>
        <w:ind w:left="1900" w:hanging="636"/>
        <w:spacing w:after="0"/>
        <w:tabs>
          <w:tab w:leader="none" w:pos="190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 xml:space="preserve">first, by reducing the amount or rate of interest required to be paid to the affected Lender under this </w:t>
      </w:r>
      <w:r>
        <w:rPr>
          <w:rFonts w:ascii="Arial" w:cs="Arial" w:eastAsia="Arial" w:hAnsi="Arial"/>
          <w:sz w:val="18"/>
          <w:szCs w:val="18"/>
          <w:u w:val="single" w:color="auto"/>
          <w:color w:val="auto"/>
        </w:rPr>
        <w:t>Section 2.08</w:t>
      </w:r>
      <w:r>
        <w:rPr>
          <w:rFonts w:ascii="Arial" w:cs="Arial" w:eastAsia="Arial" w:hAnsi="Arial"/>
          <w:sz w:val="18"/>
          <w:szCs w:val="18"/>
          <w:color w:val="auto"/>
        </w:rPr>
        <w:t>; and</w:t>
      </w:r>
    </w:p>
    <w:p>
      <w:pPr>
        <w:spacing w:after="0" w:line="225" w:lineRule="exact"/>
        <w:rPr>
          <w:rFonts w:ascii="Arial" w:cs="Arial" w:eastAsia="Arial" w:hAnsi="Arial"/>
          <w:sz w:val="18"/>
          <w:szCs w:val="18"/>
          <w:color w:val="auto"/>
        </w:rPr>
      </w:pPr>
    </w:p>
    <w:p>
      <w:pPr>
        <w:ind w:left="640" w:firstLine="624"/>
        <w:spacing w:after="0" w:line="274" w:lineRule="auto"/>
        <w:tabs>
          <w:tab w:leader="none" w:pos="1897" w:val="left"/>
        </w:tabs>
        <w:numPr>
          <w:ilvl w:val="1"/>
          <w:numId w:val="158"/>
        </w:numPr>
        <w:rPr>
          <w:rFonts w:ascii="Arial" w:cs="Arial" w:eastAsia="Arial" w:hAnsi="Arial"/>
          <w:sz w:val="19"/>
          <w:szCs w:val="19"/>
          <w:color w:val="auto"/>
        </w:rPr>
      </w:pPr>
      <w:r>
        <w:rPr>
          <w:rFonts w:ascii="Arial" w:cs="Arial" w:eastAsia="Arial" w:hAnsi="Arial"/>
          <w:sz w:val="19"/>
          <w:szCs w:val="19"/>
          <w:color w:val="auto"/>
        </w:rPr>
        <w:t>thereafter, by reducing any fees, commissions, costs, expenses, premiums and other amounts required to be paid to the affected Lender which would constitute interest for purposes of section 347 of the Criminal Code (Canada).</w:t>
      </w:r>
    </w:p>
    <w:p>
      <w:pPr>
        <w:spacing w:after="0" w:line="151"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9"/>
          <w:szCs w:val="19"/>
          <w:b w:val="1"/>
          <w:bCs w:val="1"/>
          <w:color w:val="auto"/>
        </w:rPr>
        <w:t>2.9</w:t>
      </w:r>
      <w:r>
        <w:rPr>
          <w:sz w:val="20"/>
          <w:szCs w:val="20"/>
          <w:color w:val="auto"/>
        </w:rPr>
        <w:tab/>
      </w:r>
      <w:r>
        <w:rPr>
          <w:rFonts w:ascii="Arial" w:cs="Arial" w:eastAsia="Arial" w:hAnsi="Arial"/>
          <w:sz w:val="15"/>
          <w:szCs w:val="15"/>
          <w:b w:val="1"/>
          <w:bCs w:val="1"/>
          <w:color w:val="auto"/>
        </w:rPr>
        <w:t>Fees.</w:t>
      </w:r>
    </w:p>
    <w:p>
      <w:pPr>
        <w:spacing w:after="0" w:line="220" w:lineRule="exact"/>
        <w:rPr>
          <w:sz w:val="20"/>
          <w:szCs w:val="20"/>
          <w:color w:val="auto"/>
        </w:rPr>
      </w:pPr>
    </w:p>
    <w:p>
      <w:pPr>
        <w:jc w:val="both"/>
        <w:ind w:firstLine="634"/>
        <w:spacing w:after="0" w:line="249" w:lineRule="auto"/>
        <w:tabs>
          <w:tab w:leader="none" w:pos="1249" w:val="left"/>
        </w:tabs>
        <w:numPr>
          <w:ilvl w:val="0"/>
          <w:numId w:val="159"/>
        </w:numPr>
        <w:rPr>
          <w:rFonts w:ascii="Arial" w:cs="Arial" w:eastAsia="Arial" w:hAnsi="Arial"/>
          <w:sz w:val="19"/>
          <w:szCs w:val="19"/>
          <w:color w:val="auto"/>
        </w:rPr>
      </w:pPr>
      <w:r>
        <w:rPr>
          <w:rFonts w:ascii="Arial" w:cs="Arial" w:eastAsia="Arial" w:hAnsi="Arial"/>
          <w:sz w:val="19"/>
          <w:szCs w:val="19"/>
          <w:u w:val="single" w:color="auto"/>
          <w:color w:val="auto"/>
        </w:rPr>
        <w:t>Unused Fee</w:t>
      </w:r>
      <w:r>
        <w:rPr>
          <w:rFonts w:ascii="Arial" w:cs="Arial" w:eastAsia="Arial" w:hAnsi="Arial"/>
          <w:sz w:val="19"/>
          <w:szCs w:val="19"/>
          <w:color w:val="auto"/>
        </w:rPr>
        <w:t>. The Borrowers shall pay to the Administrative Agent for the account of each Revolving Credit Lender in accordance with its Applicable Revolving Credit Percentage, a fee (the “</w:t>
      </w:r>
      <w:r>
        <w:rPr>
          <w:rFonts w:ascii="Arial" w:cs="Arial" w:eastAsia="Arial" w:hAnsi="Arial"/>
          <w:sz w:val="19"/>
          <w:szCs w:val="19"/>
          <w:u w:val="single" w:color="auto"/>
          <w:color w:val="auto"/>
        </w:rPr>
        <w:t>Unused Fee</w:t>
      </w:r>
      <w:r>
        <w:rPr>
          <w:rFonts w:ascii="Arial" w:cs="Arial" w:eastAsia="Arial" w:hAnsi="Arial"/>
          <w:sz w:val="19"/>
          <w:szCs w:val="19"/>
          <w:color w:val="auto"/>
        </w:rPr>
        <w:t xml:space="preserve">”) equal to the Unused Fee Rate </w:t>
      </w:r>
      <w:r>
        <w:rPr>
          <w:rFonts w:ascii="Arial" w:cs="Arial" w:eastAsia="Arial" w:hAnsi="Arial"/>
          <w:sz w:val="19"/>
          <w:szCs w:val="19"/>
          <w:u w:val="single" w:color="auto"/>
          <w:color w:val="auto"/>
        </w:rPr>
        <w:t>times</w:t>
      </w:r>
      <w:r>
        <w:rPr>
          <w:rFonts w:ascii="Arial" w:cs="Arial" w:eastAsia="Arial" w:hAnsi="Arial"/>
          <w:sz w:val="19"/>
          <w:szCs w:val="19"/>
          <w:color w:val="auto"/>
        </w:rPr>
        <w:t xml:space="preserve"> the Unused Facility Amount. The Unused Fee shall accrue at all times during the Availability Period, including at any time during which one or more of the conditions in </w:t>
      </w:r>
      <w:r>
        <w:rPr>
          <w:rFonts w:ascii="Arial" w:cs="Arial" w:eastAsia="Arial" w:hAnsi="Arial"/>
          <w:sz w:val="19"/>
          <w:szCs w:val="19"/>
          <w:u w:val="single" w:color="auto"/>
          <w:color w:val="auto"/>
        </w:rPr>
        <w:t>Article V</w:t>
      </w:r>
      <w:r>
        <w:rPr>
          <w:rFonts w:ascii="Arial" w:cs="Arial" w:eastAsia="Arial" w:hAnsi="Arial"/>
          <w:sz w:val="19"/>
          <w:szCs w:val="19"/>
          <w:color w:val="auto"/>
        </w:rPr>
        <w:t xml:space="preserve"> is not met, and shall be due and payable in Dollars quarterly in arrears on the first Business Day after each calendar quarter, commencing with the first such date to occur after the Closing Date, and on the last day of the Availability Period. If there is any change in the Unused Fee Rate during any quarter, the actual daily amount shall be computed and multiplied by the Unused Fee Rate separately for each period during such quarter that such Unused Fee Rate was in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85</w:t>
      </w:r>
    </w:p>
    <w:p>
      <w:pPr>
        <w:sectPr>
          <w:pgSz w:w="11900" w:h="16838" w:orient="portrait"/>
          <w:cols w:equalWidth="0" w:num="1">
            <w:col w:w="11240"/>
          </w:cols>
          <w:pgMar w:left="320" w:top="1382" w:right="339" w:bottom="1440" w:gutter="0" w:footer="0" w:header="0"/>
        </w:sectPr>
      </w:pPr>
    </w:p>
    <w:bookmarkStart w:id="204" w:name="page205"/>
    <w:bookmarkEnd w:id="204"/>
    <w:p>
      <w:pPr>
        <w:jc w:val="both"/>
        <w:ind w:firstLine="634"/>
        <w:spacing w:after="0" w:line="261" w:lineRule="auto"/>
        <w:tabs>
          <w:tab w:leader="none" w:pos="1247" w:val="left"/>
        </w:tabs>
        <w:numPr>
          <w:ilvl w:val="0"/>
          <w:numId w:val="160"/>
        </w:numPr>
        <w:rPr>
          <w:rFonts w:ascii="Arial" w:cs="Arial" w:eastAsia="Arial" w:hAnsi="Arial"/>
          <w:sz w:val="18"/>
          <w:szCs w:val="18"/>
          <w:color w:val="auto"/>
        </w:rPr>
      </w:pPr>
      <w:r>
        <w:rPr>
          <w:rFonts w:ascii="Arial" w:cs="Arial" w:eastAsia="Arial" w:hAnsi="Arial"/>
          <w:sz w:val="18"/>
          <w:szCs w:val="18"/>
          <w:u w:val="single" w:color="auto"/>
          <w:color w:val="auto"/>
        </w:rPr>
        <w:t>Letter of Credit Fees</w:t>
      </w:r>
      <w:r>
        <w:rPr>
          <w:rFonts w:ascii="Arial" w:cs="Arial" w:eastAsia="Arial" w:hAnsi="Arial"/>
          <w:sz w:val="18"/>
          <w:szCs w:val="18"/>
          <w:color w:val="auto"/>
        </w:rPr>
        <w:t>. Subject to the provisions of the last sentence of this clause (b), the Borrowers shall pay to the Administrative Agent for the account of each Revolving Credit Lender in accordance with its Applicable Percentage, in Dollars, a Letter of Credit fee (“</w:t>
      </w:r>
      <w:r>
        <w:rPr>
          <w:rFonts w:ascii="Arial" w:cs="Arial" w:eastAsia="Arial" w:hAnsi="Arial"/>
          <w:sz w:val="18"/>
          <w:szCs w:val="18"/>
          <w:u w:val="single" w:color="auto"/>
          <w:color w:val="auto"/>
        </w:rPr>
        <w:t>Letter of Credit Fee</w:t>
      </w:r>
      <w:r>
        <w:rPr>
          <w:rFonts w:ascii="Arial" w:cs="Arial" w:eastAsia="Arial" w:hAnsi="Arial"/>
          <w:sz w:val="18"/>
          <w:szCs w:val="18"/>
          <w:color w:val="auto"/>
        </w:rPr>
        <w:t xml:space="preserve">”) for each Letter of Credit equal to the Applicable Margin for Eurocurrency Rate Loans </w:t>
      </w:r>
      <w:r>
        <w:rPr>
          <w:rFonts w:ascii="Arial" w:cs="Arial" w:eastAsia="Arial" w:hAnsi="Arial"/>
          <w:sz w:val="18"/>
          <w:szCs w:val="18"/>
          <w:u w:val="single" w:color="auto"/>
          <w:color w:val="auto"/>
        </w:rPr>
        <w:t>times</w:t>
      </w:r>
      <w:r>
        <w:rPr>
          <w:rFonts w:ascii="Arial" w:cs="Arial" w:eastAsia="Arial" w:hAnsi="Arial"/>
          <w:sz w:val="18"/>
          <w:szCs w:val="18"/>
          <w:color w:val="auto"/>
        </w:rPr>
        <w:t xml:space="preserve"> the Dollar Equivalent of the daily maximum amount available to be drawn under such Letter of Credit (whether or not such maximum amount is then in effect under such Letter of Credit);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any Letter of Credit Fees otherwise payable for the account of a Defaulting Lender with respect to any Letter of Credit as to which such Defaulting Lender has not provided Cash Collateral satisfactory to the Letter of Credit Issuer shall be payable, to the maximum extent permitted by applicable Law, to the other Revolving Credit Lenders in accordance with the upward adjustments in their respective Applicable Percentages allocable to such Letter of Credit pursuant to </w:t>
      </w:r>
      <w:r>
        <w:rPr>
          <w:rFonts w:ascii="Arial" w:cs="Arial" w:eastAsia="Arial" w:hAnsi="Arial"/>
          <w:sz w:val="18"/>
          <w:szCs w:val="18"/>
          <w:u w:val="single" w:color="auto"/>
          <w:color w:val="auto"/>
        </w:rPr>
        <w:t>Section 2.17(a)(iv)</w:t>
      </w:r>
      <w:r>
        <w:rPr>
          <w:rFonts w:ascii="Arial" w:cs="Arial" w:eastAsia="Arial" w:hAnsi="Arial"/>
          <w:sz w:val="18"/>
          <w:szCs w:val="18"/>
          <w:color w:val="auto"/>
        </w:rPr>
        <w:t xml:space="preserve">, with the balance of such fee, if any, payable to the Letter of Credit Issuer for its own account. For purposes of computing the daily amount available to be drawn under any Letter of Credit, the amount of such Letter of Credit shall be determined in accordance with </w:t>
      </w:r>
      <w:r>
        <w:rPr>
          <w:rFonts w:ascii="Arial" w:cs="Arial" w:eastAsia="Arial" w:hAnsi="Arial"/>
          <w:sz w:val="18"/>
          <w:szCs w:val="18"/>
          <w:u w:val="single" w:color="auto"/>
          <w:color w:val="auto"/>
        </w:rPr>
        <w:t>Section 1.07</w:t>
      </w:r>
      <w:r>
        <w:rPr>
          <w:rFonts w:ascii="Arial" w:cs="Arial" w:eastAsia="Arial" w:hAnsi="Arial"/>
          <w:sz w:val="18"/>
          <w:szCs w:val="18"/>
          <w:color w:val="auto"/>
        </w:rPr>
        <w:t xml:space="preserve">. The Letter of Credit Fee shall accrue at all times during the Availability Period, including at any time during which one or more of the conditions in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is not met, and shall be due and payable quarterly in arrears on the first Business Day after each calendar quarter, commencing with the first such date to occur after the Closing Date, and on the last day of the Availability Period. If there is any change in the Applicable Margin for Eurocurrency Rate Loans during any quarter, the daily maximum amount of each Letter of Credit shall be computed and multiplied by the Applicable Margin for Eurocurrency Rate Loans separately for each period during such quarter that such Applicable Margin was in effect. At all times that the Default Rate shall be applicable to any Loans pursuant to </w:t>
      </w:r>
      <w:r>
        <w:rPr>
          <w:rFonts w:ascii="Arial" w:cs="Arial" w:eastAsia="Arial" w:hAnsi="Arial"/>
          <w:sz w:val="18"/>
          <w:szCs w:val="18"/>
          <w:u w:val="single" w:color="auto"/>
          <w:color w:val="auto"/>
        </w:rPr>
        <w:t>Section 2.08(b)</w:t>
      </w:r>
      <w:r>
        <w:rPr>
          <w:rFonts w:ascii="Arial" w:cs="Arial" w:eastAsia="Arial" w:hAnsi="Arial"/>
          <w:sz w:val="18"/>
          <w:szCs w:val="18"/>
          <w:color w:val="auto"/>
        </w:rPr>
        <w:t>, the Letter of Credit Fees payable under this clause (b) shall accrue and be payable at the Default Rate.</w:t>
      </w:r>
    </w:p>
    <w:p>
      <w:pPr>
        <w:spacing w:after="0" w:line="172" w:lineRule="exact"/>
        <w:rPr>
          <w:rFonts w:ascii="Arial" w:cs="Arial" w:eastAsia="Arial" w:hAnsi="Arial"/>
          <w:sz w:val="18"/>
          <w:szCs w:val="18"/>
          <w:color w:val="auto"/>
        </w:rPr>
      </w:pPr>
    </w:p>
    <w:p>
      <w:pPr>
        <w:ind w:firstLine="634"/>
        <w:spacing w:after="0" w:line="274" w:lineRule="auto"/>
        <w:tabs>
          <w:tab w:leader="none" w:pos="1249" w:val="left"/>
        </w:tabs>
        <w:numPr>
          <w:ilvl w:val="0"/>
          <w:numId w:val="160"/>
        </w:numPr>
        <w:rPr>
          <w:rFonts w:ascii="Arial" w:cs="Arial" w:eastAsia="Arial" w:hAnsi="Arial"/>
          <w:sz w:val="19"/>
          <w:szCs w:val="19"/>
          <w:color w:val="auto"/>
        </w:rPr>
      </w:pPr>
      <w:r>
        <w:rPr>
          <w:rFonts w:ascii="Arial" w:cs="Arial" w:eastAsia="Arial" w:hAnsi="Arial"/>
          <w:sz w:val="19"/>
          <w:szCs w:val="19"/>
          <w:u w:val="single" w:color="auto"/>
          <w:color w:val="auto"/>
        </w:rPr>
        <w:t>Fee Letter</w:t>
      </w:r>
      <w:r>
        <w:rPr>
          <w:rFonts w:ascii="Arial" w:cs="Arial" w:eastAsia="Arial" w:hAnsi="Arial"/>
          <w:sz w:val="19"/>
          <w:szCs w:val="19"/>
          <w:color w:val="auto"/>
        </w:rPr>
        <w:t>. The Borrowers agree to pay to the Administrative Agent, for its own account, the fees payable in the amounts and at the times set forth in the Fee Letter.</w:t>
      </w:r>
    </w:p>
    <w:p>
      <w:pPr>
        <w:spacing w:after="0" w:line="156" w:lineRule="exact"/>
        <w:rPr>
          <w:rFonts w:ascii="Arial" w:cs="Arial" w:eastAsia="Arial" w:hAnsi="Arial"/>
          <w:sz w:val="19"/>
          <w:szCs w:val="19"/>
          <w:color w:val="auto"/>
        </w:rPr>
      </w:pPr>
    </w:p>
    <w:p>
      <w:pPr>
        <w:jc w:val="both"/>
        <w:ind w:firstLine="634"/>
        <w:spacing w:after="0" w:line="254" w:lineRule="auto"/>
        <w:tabs>
          <w:tab w:leader="none" w:pos="1247" w:val="left"/>
        </w:tabs>
        <w:numPr>
          <w:ilvl w:val="0"/>
          <w:numId w:val="160"/>
        </w:numPr>
        <w:rPr>
          <w:rFonts w:ascii="Arial" w:cs="Arial" w:eastAsia="Arial" w:hAnsi="Arial"/>
          <w:sz w:val="19"/>
          <w:szCs w:val="19"/>
          <w:color w:val="auto"/>
        </w:rPr>
      </w:pPr>
      <w:r>
        <w:rPr>
          <w:rFonts w:ascii="Arial" w:cs="Arial" w:eastAsia="Arial" w:hAnsi="Arial"/>
          <w:sz w:val="19"/>
          <w:szCs w:val="19"/>
          <w:u w:val="single" w:color="auto"/>
          <w:color w:val="auto"/>
        </w:rPr>
        <w:t>Generally</w:t>
      </w:r>
      <w:r>
        <w:rPr>
          <w:rFonts w:ascii="Arial" w:cs="Arial" w:eastAsia="Arial" w:hAnsi="Arial"/>
          <w:sz w:val="19"/>
          <w:szCs w:val="19"/>
          <w:color w:val="auto"/>
        </w:rPr>
        <w:t>. All fees payable hereunder shall be paid on the dates due, in Dollars in immediately available funds, to (i) the Administrative Agent for distribution, in the case of commitment fees and participation fees, to the Revolving Credit Lenders, and otherwise, to the Lenders entitled thereto or (ii) the Letter of Credit Issuer, in the case of fees payable to it. Fees paid shall not be refundable under any circumstances.</w:t>
      </w:r>
    </w:p>
    <w:p>
      <w:pPr>
        <w:spacing w:after="0" w:line="171" w:lineRule="exact"/>
        <w:rPr>
          <w:sz w:val="20"/>
          <w:szCs w:val="20"/>
          <w:color w:val="auto"/>
        </w:rPr>
      </w:pPr>
    </w:p>
    <w:p>
      <w:pPr>
        <w:jc w:val="both"/>
        <w:ind w:firstLine="629"/>
        <w:spacing w:after="0" w:line="283" w:lineRule="auto"/>
        <w:rPr>
          <w:sz w:val="20"/>
          <w:szCs w:val="20"/>
          <w:color w:val="auto"/>
        </w:rPr>
      </w:pPr>
      <w:r>
        <w:rPr>
          <w:rFonts w:ascii="Arial" w:cs="Arial" w:eastAsia="Arial" w:hAnsi="Arial"/>
          <w:sz w:val="17"/>
          <w:szCs w:val="17"/>
          <w:b w:val="1"/>
          <w:bCs w:val="1"/>
          <w:color w:val="auto"/>
        </w:rPr>
        <w:t xml:space="preserve">2.10 Computation of Interest and Fees. </w:t>
      </w:r>
      <w:r>
        <w:rPr>
          <w:rFonts w:ascii="Arial" w:cs="Arial" w:eastAsia="Arial" w:hAnsi="Arial"/>
          <w:sz w:val="17"/>
          <w:szCs w:val="17"/>
          <w:color w:val="auto"/>
        </w:rPr>
        <w:t>All computations of interest for Base Rate Loans (including Base Rate Loans determined by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reference to the Eurocurrency Rate) and the Unused Fee shall be made on the basis of a year of 365 or 366 days, as the case may be, and actual days elapsed. All other computations of fees and interest shall be made on the basis of a 360-day year and actual days elapsed (which results in more fees or interest, as applicable, being paid than if computed on the basis of a 365-day year). Interest shall accrue on each Loan or other Loan Obligation not paid when due for the day on which the Loan is made or such Loan Obligation is due and unpaid, and shall not accrue on a Loan, or any portion thereof, or such Loan Obligation for the day on which the Loan, or such portion thereof, or Loan Obligation is paid,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Loan that is repaid on the same day on which it is made shall, subject to </w:t>
      </w:r>
      <w:r>
        <w:rPr>
          <w:rFonts w:ascii="Arial" w:cs="Arial" w:eastAsia="Arial" w:hAnsi="Arial"/>
          <w:sz w:val="17"/>
          <w:szCs w:val="17"/>
          <w:u w:val="single" w:color="auto"/>
          <w:color w:val="auto"/>
        </w:rPr>
        <w:t>Section 2.12(a)</w:t>
      </w:r>
      <w:r>
        <w:rPr>
          <w:rFonts w:ascii="Arial" w:cs="Arial" w:eastAsia="Arial" w:hAnsi="Arial"/>
          <w:sz w:val="17"/>
          <w:szCs w:val="17"/>
          <w:color w:val="auto"/>
        </w:rPr>
        <w:t>, bear interest for one day. Each determination by the Administrative Agent of an interest rate or fee hereunder shall be conclusive and binding for all purposes, absent manifest error.</w:t>
      </w:r>
    </w:p>
    <w:p>
      <w:pPr>
        <w:spacing w:after="0" w:line="149" w:lineRule="exact"/>
        <w:rPr>
          <w:sz w:val="20"/>
          <w:szCs w:val="20"/>
          <w:color w:val="auto"/>
        </w:rPr>
      </w:pPr>
    </w:p>
    <w:p>
      <w:pPr>
        <w:ind w:left="640"/>
        <w:spacing w:after="0"/>
        <w:tabs>
          <w:tab w:leader="none" w:pos="1220" w:val="left"/>
        </w:tabs>
        <w:rPr>
          <w:sz w:val="20"/>
          <w:szCs w:val="20"/>
          <w:color w:val="auto"/>
        </w:rPr>
      </w:pPr>
      <w:r>
        <w:rPr>
          <w:rFonts w:ascii="Arial" w:cs="Arial" w:eastAsia="Arial" w:hAnsi="Arial"/>
          <w:sz w:val="19"/>
          <w:szCs w:val="19"/>
          <w:b w:val="1"/>
          <w:bCs w:val="1"/>
          <w:color w:val="auto"/>
        </w:rPr>
        <w:t>2.11</w:t>
      </w:r>
      <w:r>
        <w:rPr>
          <w:sz w:val="20"/>
          <w:szCs w:val="20"/>
          <w:color w:val="auto"/>
        </w:rPr>
        <w:tab/>
      </w:r>
      <w:r>
        <w:rPr>
          <w:rFonts w:ascii="Arial" w:cs="Arial" w:eastAsia="Arial" w:hAnsi="Arial"/>
          <w:sz w:val="17"/>
          <w:szCs w:val="17"/>
          <w:b w:val="1"/>
          <w:bCs w:val="1"/>
          <w:color w:val="auto"/>
        </w:rPr>
        <w:t>Evidence of Debt.</w:t>
      </w:r>
    </w:p>
    <w:p>
      <w:pPr>
        <w:spacing w:after="0" w:line="220" w:lineRule="exact"/>
        <w:rPr>
          <w:sz w:val="20"/>
          <w:szCs w:val="20"/>
          <w:color w:val="auto"/>
        </w:rPr>
      </w:pPr>
    </w:p>
    <w:p>
      <w:pPr>
        <w:ind w:firstLine="634"/>
        <w:spacing w:after="0" w:line="274" w:lineRule="auto"/>
        <w:tabs>
          <w:tab w:leader="none" w:pos="1249" w:val="left"/>
        </w:tabs>
        <w:numPr>
          <w:ilvl w:val="0"/>
          <w:numId w:val="161"/>
        </w:numPr>
        <w:rPr>
          <w:rFonts w:ascii="Arial" w:cs="Arial" w:eastAsia="Arial" w:hAnsi="Arial"/>
          <w:sz w:val="19"/>
          <w:szCs w:val="19"/>
          <w:color w:val="auto"/>
        </w:rPr>
      </w:pPr>
      <w:r>
        <w:rPr>
          <w:rFonts w:ascii="Arial" w:cs="Arial" w:eastAsia="Arial" w:hAnsi="Arial"/>
          <w:sz w:val="19"/>
          <w:szCs w:val="19"/>
          <w:u w:val="single" w:color="auto"/>
          <w:color w:val="auto"/>
        </w:rPr>
        <w:t>Loan Account</w:t>
      </w:r>
      <w:r>
        <w:rPr>
          <w:rFonts w:ascii="Arial" w:cs="Arial" w:eastAsia="Arial" w:hAnsi="Arial"/>
          <w:sz w:val="19"/>
          <w:szCs w:val="19"/>
          <w:color w:val="auto"/>
        </w:rPr>
        <w:t>. The Credit Extensions made by each Lender shall be evidenced by one or more accounts or records maintained by the Administrative Agent (the “</w:t>
      </w:r>
      <w:r>
        <w:rPr>
          <w:rFonts w:ascii="Arial" w:cs="Arial" w:eastAsia="Arial" w:hAnsi="Arial"/>
          <w:sz w:val="19"/>
          <w:szCs w:val="19"/>
          <w:u w:val="single" w:color="auto"/>
          <w:color w:val="auto"/>
        </w:rPr>
        <w:t>Loan Account</w:t>
      </w:r>
      <w:r>
        <w:rPr>
          <w:rFonts w:ascii="Arial" w:cs="Arial" w:eastAsia="Arial" w:hAnsi="Arial"/>
          <w:sz w:val="19"/>
          <w:szCs w:val="19"/>
          <w:color w:val="auto"/>
        </w:rPr>
        <w:t>”) in the ordinary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86</w:t>
      </w:r>
    </w:p>
    <w:p>
      <w:pPr>
        <w:sectPr>
          <w:pgSz w:w="11900" w:h="16838" w:orient="portrait"/>
          <w:cols w:equalWidth="0" w:num="1">
            <w:col w:w="11240"/>
          </w:cols>
          <w:pgMar w:left="320" w:top="1382" w:right="339" w:bottom="1440" w:gutter="0" w:footer="0" w:header="0"/>
        </w:sectPr>
      </w:pPr>
    </w:p>
    <w:bookmarkStart w:id="205" w:name="page206"/>
    <w:bookmarkEnd w:id="205"/>
    <w:p>
      <w:pPr>
        <w:jc w:val="both"/>
        <w:spacing w:after="0" w:line="279" w:lineRule="auto"/>
        <w:rPr>
          <w:sz w:val="20"/>
          <w:szCs w:val="20"/>
          <w:color w:val="auto"/>
        </w:rPr>
      </w:pPr>
      <w:r>
        <w:rPr>
          <w:rFonts w:ascii="Arial" w:cs="Arial" w:eastAsia="Arial" w:hAnsi="Arial"/>
          <w:sz w:val="17"/>
          <w:szCs w:val="17"/>
          <w:color w:val="auto"/>
        </w:rPr>
        <w:t>course of business. In addition, each Lender may record in such Lender’s internal records, an appropriate notation evidencing the date and amount of each Loan from such Lender, each payment and prepayment of principal of any such Loan, and each payment of interest, fees and other amounts due in connection with the Loan Obligations due to such Lender. The accounts or records maintained by the Administrative Agent and each Lender shall be conclusive absent manifest error of the amount of the Credit Extensions made by the Lenders to the Borrowers and the interest and payments thereon. Any failure to so record or any error in doing so shall not, however, limit or otherwise affect the obligation of the Borrowers hereunder to pay any amount owing with respect to the Loan Obligations. In the event of any conflict between the accounts and records maintained by any Lender and the accounts and records of the Administrative Agent in respect of such matters, the accounts and records of the Administrative Agent shall control in the absence of manifest error. Upon the request of any Lender made through the Administrative Agent, the Borrowers shall execute and deliver to such Lender (through the Administrative Agent) a Revolving Credit Loan Note, which shall evidence such Lender’s Loans in addition to such accounts or records. Each Lender may attach schedules to its Revolving Credit Loan Note and endorse thereon the date, Type (if applicable), amount and maturity of its Loans and payments with respect thereto.</w:t>
      </w:r>
    </w:p>
    <w:p>
      <w:pPr>
        <w:spacing w:after="0" w:line="162" w:lineRule="exact"/>
        <w:rPr>
          <w:sz w:val="20"/>
          <w:szCs w:val="20"/>
          <w:color w:val="auto"/>
        </w:rPr>
      </w:pPr>
    </w:p>
    <w:p>
      <w:pPr>
        <w:jc w:val="both"/>
        <w:ind w:firstLine="634"/>
        <w:spacing w:after="0" w:line="252" w:lineRule="auto"/>
        <w:tabs>
          <w:tab w:leader="none" w:pos="1247" w:val="left"/>
        </w:tabs>
        <w:numPr>
          <w:ilvl w:val="0"/>
          <w:numId w:val="162"/>
        </w:numPr>
        <w:rPr>
          <w:rFonts w:ascii="Arial" w:cs="Arial" w:eastAsia="Arial" w:hAnsi="Arial"/>
          <w:sz w:val="19"/>
          <w:szCs w:val="19"/>
          <w:color w:val="auto"/>
        </w:rPr>
      </w:pPr>
      <w:r>
        <w:rPr>
          <w:rFonts w:ascii="Arial" w:cs="Arial" w:eastAsia="Arial" w:hAnsi="Arial"/>
          <w:sz w:val="19"/>
          <w:szCs w:val="19"/>
          <w:u w:val="single" w:color="auto"/>
          <w:color w:val="auto"/>
        </w:rPr>
        <w:t>Account Records</w:t>
      </w:r>
      <w:r>
        <w:rPr>
          <w:rFonts w:ascii="Arial" w:cs="Arial" w:eastAsia="Arial" w:hAnsi="Arial"/>
          <w:sz w:val="19"/>
          <w:szCs w:val="19"/>
          <w:color w:val="auto"/>
        </w:rPr>
        <w:t>. In addition to the accounts and records referred to in (a) above, each Lender and the Administrative Agent shall maintain in accordance with its usual practice accounts or records evidencing the purchases and sales by such Lender of participations in Letters of Credit and Swing Line Loans. In the event of any conflict between the accounts and records maintained by the Administrative Agent and the accounts and records of any Lender in respect of such matters, the accounts and records of the Administrative Agent shall control in the absence of manifest error.</w:t>
      </w:r>
    </w:p>
    <w:p>
      <w:pPr>
        <w:spacing w:after="0" w:line="171"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9"/>
          <w:szCs w:val="19"/>
          <w:b w:val="1"/>
          <w:bCs w:val="1"/>
          <w:color w:val="auto"/>
        </w:rPr>
        <w:t>2.12</w:t>
      </w:r>
      <w:r>
        <w:rPr>
          <w:sz w:val="20"/>
          <w:szCs w:val="20"/>
          <w:color w:val="auto"/>
        </w:rPr>
        <w:tab/>
      </w:r>
      <w:r>
        <w:rPr>
          <w:rFonts w:ascii="Arial" w:cs="Arial" w:eastAsia="Arial" w:hAnsi="Arial"/>
          <w:sz w:val="17"/>
          <w:szCs w:val="17"/>
          <w:b w:val="1"/>
          <w:bCs w:val="1"/>
          <w:color w:val="auto"/>
        </w:rPr>
        <w:t>Payments Generally; the Administrative Agent’s Clawback</w:t>
      </w:r>
      <w:r>
        <w:rPr>
          <w:rFonts w:ascii="Arial" w:cs="Arial" w:eastAsia="Arial" w:hAnsi="Arial"/>
          <w:sz w:val="17"/>
          <w:szCs w:val="17"/>
          <w:color w:val="auto"/>
        </w:rPr>
        <w:t>.</w:t>
      </w:r>
    </w:p>
    <w:p>
      <w:pPr>
        <w:spacing w:after="0" w:line="220" w:lineRule="exact"/>
        <w:rPr>
          <w:sz w:val="20"/>
          <w:szCs w:val="20"/>
          <w:color w:val="auto"/>
        </w:rPr>
      </w:pPr>
    </w:p>
    <w:p>
      <w:pPr>
        <w:jc w:val="both"/>
        <w:ind w:firstLine="634"/>
        <w:spacing w:after="0" w:line="280" w:lineRule="auto"/>
        <w:tabs>
          <w:tab w:leader="none" w:pos="1249" w:val="left"/>
        </w:tabs>
        <w:numPr>
          <w:ilvl w:val="0"/>
          <w:numId w:val="163"/>
        </w:numPr>
        <w:rPr>
          <w:rFonts w:ascii="Arial" w:cs="Arial" w:eastAsia="Arial" w:hAnsi="Arial"/>
          <w:sz w:val="17"/>
          <w:szCs w:val="17"/>
          <w:color w:val="auto"/>
        </w:rPr>
      </w:pPr>
      <w:r>
        <w:rPr>
          <w:rFonts w:ascii="Arial" w:cs="Arial" w:eastAsia="Arial" w:hAnsi="Arial"/>
          <w:sz w:val="17"/>
          <w:szCs w:val="17"/>
          <w:u w:val="single" w:color="auto"/>
          <w:color w:val="auto"/>
        </w:rPr>
        <w:t>General</w:t>
      </w:r>
      <w:r>
        <w:rPr>
          <w:rFonts w:ascii="Arial" w:cs="Arial" w:eastAsia="Arial" w:hAnsi="Arial"/>
          <w:sz w:val="17"/>
          <w:szCs w:val="17"/>
          <w:color w:val="auto"/>
        </w:rPr>
        <w:t xml:space="preserve">. All payments to be made by the Borrowers shall be made without condition or deduction for any counterclaim, defense, recoupment or setoff. Except as otherwise expressly provided herein, all payments by the Borrowers hereunder shall be made to the Administrative Agent, for the account of the respective Lenders to which such payment is owed, at the Administrative Agent’s Office in Dollars (or when required hereunder, Canadian Dollars) and in immediately available funds not later than 2:00 p.m. on the date specified herein. Subject to </w:t>
      </w:r>
      <w:r>
        <w:rPr>
          <w:rFonts w:ascii="Arial" w:cs="Arial" w:eastAsia="Arial" w:hAnsi="Arial"/>
          <w:sz w:val="17"/>
          <w:szCs w:val="17"/>
          <w:u w:val="single" w:color="auto"/>
          <w:color w:val="auto"/>
        </w:rPr>
        <w:t>Section 2.14</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9.03</w:t>
      </w:r>
      <w:r>
        <w:rPr>
          <w:rFonts w:ascii="Arial" w:cs="Arial" w:eastAsia="Arial" w:hAnsi="Arial"/>
          <w:sz w:val="17"/>
          <w:szCs w:val="17"/>
          <w:color w:val="auto"/>
        </w:rPr>
        <w:t xml:space="preserve"> and payments made during a Dominion Trigger Period from the Concentration Account, the Administrative Agent will promptly distribute to each Lender its Applicable Percentage in respect of the Revolving Credit Facility (or other applicable share as provided herein) of such payment in like funds as received by wire transfer to such Lender’s Lending Office. All payments received by the Administrative Agent after 2:00 p.m. shall be deemed received on the next succeeding Business Day and any applicable interest or fee shall continue to accrue. If any payment to be made by the Borrowers shall come due on a day other than a Business Day, payment shall be made on the next following Business Day, and such extension of time shall be reflected on computing interest or fees, as the case may be.</w:t>
      </w:r>
    </w:p>
    <w:p>
      <w:pPr>
        <w:spacing w:after="0" w:line="158" w:lineRule="exact"/>
        <w:rPr>
          <w:rFonts w:ascii="Arial" w:cs="Arial" w:eastAsia="Arial" w:hAnsi="Arial"/>
          <w:sz w:val="17"/>
          <w:szCs w:val="17"/>
          <w:color w:val="auto"/>
        </w:rPr>
      </w:pPr>
    </w:p>
    <w:p>
      <w:pPr>
        <w:ind w:left="1260" w:hanging="626"/>
        <w:spacing w:after="0"/>
        <w:tabs>
          <w:tab w:leader="none" w:pos="1260" w:val="left"/>
        </w:tabs>
        <w:numPr>
          <w:ilvl w:val="0"/>
          <w:numId w:val="163"/>
        </w:numPr>
        <w:rPr>
          <w:rFonts w:ascii="Arial" w:cs="Arial" w:eastAsia="Arial" w:hAnsi="Arial"/>
          <w:sz w:val="19"/>
          <w:szCs w:val="19"/>
          <w:color w:val="auto"/>
        </w:rPr>
      </w:pPr>
      <w:r>
        <w:rPr>
          <w:rFonts w:ascii="Arial" w:cs="Arial" w:eastAsia="Arial" w:hAnsi="Arial"/>
          <w:sz w:val="19"/>
          <w:szCs w:val="19"/>
          <w:u w:val="single" w:color="auto"/>
          <w:color w:val="auto"/>
        </w:rPr>
        <w:t>Presumptions by Administrative Agent</w:t>
      </w:r>
      <w:r>
        <w:rPr>
          <w:rFonts w:ascii="Arial" w:cs="Arial" w:eastAsia="Arial" w:hAnsi="Arial"/>
          <w:sz w:val="19"/>
          <w:szCs w:val="19"/>
          <w:color w:val="auto"/>
        </w:rPr>
        <w:t>.</w:t>
      </w:r>
    </w:p>
    <w:p>
      <w:pPr>
        <w:spacing w:after="0" w:line="214" w:lineRule="exact"/>
        <w:rPr>
          <w:rFonts w:ascii="Arial" w:cs="Arial" w:eastAsia="Arial" w:hAnsi="Arial"/>
          <w:sz w:val="19"/>
          <w:szCs w:val="19"/>
          <w:color w:val="auto"/>
        </w:rPr>
      </w:pPr>
    </w:p>
    <w:p>
      <w:pPr>
        <w:jc w:val="both"/>
        <w:ind w:left="640" w:firstLine="624"/>
        <w:spacing w:after="0" w:line="254" w:lineRule="auto"/>
        <w:tabs>
          <w:tab w:leader="none" w:pos="1897" w:val="left"/>
        </w:tabs>
        <w:numPr>
          <w:ilvl w:val="1"/>
          <w:numId w:val="163"/>
        </w:numPr>
        <w:rPr>
          <w:rFonts w:ascii="Arial" w:cs="Arial" w:eastAsia="Arial" w:hAnsi="Arial"/>
          <w:sz w:val="19"/>
          <w:szCs w:val="19"/>
          <w:color w:val="auto"/>
        </w:rPr>
      </w:pPr>
      <w:r>
        <w:rPr>
          <w:rFonts w:ascii="Arial" w:cs="Arial" w:eastAsia="Arial" w:hAnsi="Arial"/>
          <w:sz w:val="19"/>
          <w:szCs w:val="19"/>
          <w:u w:val="single" w:color="auto"/>
          <w:color w:val="auto"/>
        </w:rPr>
        <w:t>Funding by Lenders</w:t>
      </w:r>
      <w:r>
        <w:rPr>
          <w:rFonts w:ascii="Arial" w:cs="Arial" w:eastAsia="Arial" w:hAnsi="Arial"/>
          <w:sz w:val="19"/>
          <w:szCs w:val="19"/>
          <w:color w:val="auto"/>
        </w:rPr>
        <w:t>. Unless the Administrative Agent shall have received notice from a Lender prior to the proposed date of any Borrowing of Eurocurrency Rate Loans (or, in the case of any Borrowing of Base Rate Loans or Canadian Prime Rate Loans, prior to 12:00 noon on the date of such Borrowing) that such Lender will not make available to the Administrative Agent such Lender’s share of such Borrowing, the Administrative Agent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87</w:t>
      </w:r>
    </w:p>
    <w:p>
      <w:pPr>
        <w:sectPr>
          <w:pgSz w:w="11900" w:h="16838" w:orient="portrait"/>
          <w:cols w:equalWidth="0" w:num="1">
            <w:col w:w="11240"/>
          </w:cols>
          <w:pgMar w:left="320" w:top="1382" w:right="339" w:bottom="1440" w:gutter="0" w:footer="0" w:header="0"/>
        </w:sectPr>
      </w:pPr>
    </w:p>
    <w:bookmarkStart w:id="206" w:name="page207"/>
    <w:bookmarkEnd w:id="206"/>
    <w:p>
      <w:pPr>
        <w:jc w:val="both"/>
        <w:ind w:left="640"/>
        <w:spacing w:after="0" w:line="278" w:lineRule="auto"/>
        <w:rPr>
          <w:sz w:val="20"/>
          <w:szCs w:val="20"/>
          <w:color w:val="auto"/>
        </w:rPr>
      </w:pPr>
      <w:r>
        <w:rPr>
          <w:rFonts w:ascii="Arial" w:cs="Arial" w:eastAsia="Arial" w:hAnsi="Arial"/>
          <w:sz w:val="17"/>
          <w:szCs w:val="17"/>
          <w:color w:val="auto"/>
        </w:rPr>
        <w:t xml:space="preserve">assume that such Lender has made such share available on such date in accordance with </w:t>
      </w:r>
      <w:r>
        <w:rPr>
          <w:rFonts w:ascii="Arial" w:cs="Arial" w:eastAsia="Arial" w:hAnsi="Arial"/>
          <w:sz w:val="17"/>
          <w:szCs w:val="17"/>
          <w:u w:val="single" w:color="auto"/>
          <w:color w:val="auto"/>
        </w:rPr>
        <w:t>Section 2.02</w:t>
      </w:r>
      <w:r>
        <w:rPr>
          <w:rFonts w:ascii="Arial" w:cs="Arial" w:eastAsia="Arial" w:hAnsi="Arial"/>
          <w:sz w:val="17"/>
          <w:szCs w:val="17"/>
          <w:color w:val="auto"/>
        </w:rPr>
        <w:t xml:space="preserve"> (or, in the case of a Borrowing of Base Rate Loans or Canadian Prime Rate Loans, that such Lender has made such share available in accordance with and at the time required by </w:t>
      </w:r>
      <w:r>
        <w:rPr>
          <w:rFonts w:ascii="Arial" w:cs="Arial" w:eastAsia="Arial" w:hAnsi="Arial"/>
          <w:sz w:val="17"/>
          <w:szCs w:val="17"/>
          <w:u w:val="single" w:color="auto"/>
          <w:color w:val="auto"/>
        </w:rPr>
        <w:t>Section 2.02)</w:t>
      </w:r>
      <w:r>
        <w:rPr>
          <w:rFonts w:ascii="Arial" w:cs="Arial" w:eastAsia="Arial" w:hAnsi="Arial"/>
          <w:sz w:val="17"/>
          <w:szCs w:val="17"/>
          <w:color w:val="auto"/>
        </w:rPr>
        <w:t xml:space="preserve"> and may, in reliance upon such assumption, make available to the Borrowers a corresponding amount. In such event, if a Lender has not in fact made its share of the applicable Borrowing available to the Administrative Agent, then the applicable Lender and the Borrowers severally agree to pay to the Administrative Agent forthwith on demand such corresponding amount in immediately available funds with interest thereon, for each day from and including the date such amount is made available to the Borrowers to but excluding the date of payment to the Administrative Agent, at (A) in the case of a payment to be made by such Lender, the Overnight Rate, plus any administrative, processing or similar fees customarily charged by the Administrative Agent in connection with the foregoing, and (B) in the case of a payment to be made by the Borrower, the interest rate applicable to Base Rate Loans or Canadian Prime Rate Loans. If the Borrowers and such Lender shall pay such interest to the Administrative Agent for the same or an overlapping period, the Administrative Agent shall promptly remit to the Borrowers the amount of such interest paid by the Borrowers for such period. If such Lender pays its share of the applicable Borrowing to the Administrative Agent, then the amount so paid shall constitute such Lender’s Loan included in such Borrowing. Any payment by the Borrowers shall be without prejudice to any claim the Borrowers may have against a Lender that shall have failed to make such payment to the Administrative Agent.</w:t>
      </w:r>
    </w:p>
    <w:p>
      <w:pPr>
        <w:spacing w:after="0" w:line="161" w:lineRule="exact"/>
        <w:rPr>
          <w:sz w:val="20"/>
          <w:szCs w:val="20"/>
          <w:color w:val="auto"/>
        </w:rPr>
      </w:pPr>
    </w:p>
    <w:p>
      <w:pPr>
        <w:jc w:val="both"/>
        <w:ind w:left="640" w:firstLine="624"/>
        <w:spacing w:after="0" w:line="262" w:lineRule="auto"/>
        <w:tabs>
          <w:tab w:leader="none" w:pos="1897" w:val="left"/>
        </w:tabs>
        <w:numPr>
          <w:ilvl w:val="0"/>
          <w:numId w:val="164"/>
        </w:numPr>
        <w:rPr>
          <w:rFonts w:ascii="Arial" w:cs="Arial" w:eastAsia="Arial" w:hAnsi="Arial"/>
          <w:sz w:val="18"/>
          <w:szCs w:val="18"/>
          <w:color w:val="auto"/>
        </w:rPr>
      </w:pPr>
      <w:r>
        <w:rPr>
          <w:rFonts w:ascii="Arial" w:cs="Arial" w:eastAsia="Arial" w:hAnsi="Arial"/>
          <w:sz w:val="18"/>
          <w:szCs w:val="18"/>
          <w:u w:val="single" w:color="auto"/>
          <w:color w:val="auto"/>
        </w:rPr>
        <w:t>Payments by Borrower</w:t>
      </w:r>
      <w:r>
        <w:rPr>
          <w:rFonts w:ascii="Arial" w:cs="Arial" w:eastAsia="Arial" w:hAnsi="Arial"/>
          <w:sz w:val="18"/>
          <w:szCs w:val="18"/>
          <w:color w:val="auto"/>
        </w:rPr>
        <w:t>. Unless the Administrative Agent shall have received notice from the Borrower Agent prior to the time at which any payment is due to the Administrative Agent for the account of the Lenders, the Letter of Credit Issuer or the Swing Line Lender hereunder that the Borrowers will not make such payment, the Administrative Agent may assume that the Borrowers have made such payment on such date in accordance herewith and may (but shall not be required to) in reliance upon such assumption, distribute to the Appropriate Lenders the amount due. With respect to any payment that the Administrative Agent makes to any Lender, the Letter of Credit Issuer, the Swing Line Lender or any other Secured Party as to which the Administrative Agent determines (in its sole and absolute discretion) that any of the following applies (such payment referred to as the “</w:t>
      </w:r>
      <w:r>
        <w:rPr>
          <w:rFonts w:ascii="Arial" w:cs="Arial" w:eastAsia="Arial" w:hAnsi="Arial"/>
          <w:sz w:val="18"/>
          <w:szCs w:val="18"/>
          <w:u w:val="single" w:color="auto"/>
          <w:color w:val="auto"/>
        </w:rPr>
        <w:t>Rescindable Amount</w:t>
      </w:r>
      <w:r>
        <w:rPr>
          <w:rFonts w:ascii="Arial" w:cs="Arial" w:eastAsia="Arial" w:hAnsi="Arial"/>
          <w:sz w:val="18"/>
          <w:szCs w:val="18"/>
          <w:color w:val="auto"/>
        </w:rPr>
        <w:t>”): (1) the Borrowers have not in fact made the corresponding payment to the Administrative Agent; (2) the Administrative Agent has made a payment in excess of the amount(s) received by it from Borrowers either individually or in the aggregate (whether or not then owed); or (3) the Administrative Agent has for any reason otherwise erroneously made such payment; then each of the Secured Parties severally agrees to repay to the Administrative Agent forthwith on demand the Rescindable Amount so distributed to such Secured Party, in immediately available funds with interest thereon, for each day from and including the date such amount is distributed to it to but excluding the date of payment to the Administrative Agent, at the Overnight Rate.</w:t>
      </w:r>
    </w:p>
    <w:p>
      <w:pPr>
        <w:spacing w:after="0" w:line="170" w:lineRule="exact"/>
        <w:rPr>
          <w:sz w:val="20"/>
          <w:szCs w:val="20"/>
          <w:color w:val="auto"/>
        </w:rPr>
      </w:pPr>
    </w:p>
    <w:p>
      <w:pPr>
        <w:spacing w:after="0" w:line="274" w:lineRule="auto"/>
        <w:rPr>
          <w:sz w:val="20"/>
          <w:szCs w:val="20"/>
          <w:color w:val="auto"/>
        </w:rPr>
      </w:pPr>
      <w:r>
        <w:rPr>
          <w:rFonts w:ascii="Arial" w:cs="Arial" w:eastAsia="Arial" w:hAnsi="Arial"/>
          <w:sz w:val="19"/>
          <w:szCs w:val="19"/>
          <w:color w:val="auto"/>
        </w:rPr>
        <w:t>A notice of the Administrative Agent to any Lender or any Borrower with respect to any amount owing under this subsection (b) shall be conclusive, absent manifest error.</w:t>
      </w:r>
    </w:p>
    <w:p>
      <w:pPr>
        <w:spacing w:after="0" w:line="157" w:lineRule="exact"/>
        <w:rPr>
          <w:sz w:val="20"/>
          <w:szCs w:val="20"/>
          <w:color w:val="auto"/>
        </w:rPr>
      </w:pPr>
    </w:p>
    <w:p>
      <w:pPr>
        <w:jc w:val="both"/>
        <w:ind w:firstLine="634"/>
        <w:spacing w:after="0" w:line="259" w:lineRule="auto"/>
        <w:tabs>
          <w:tab w:leader="none" w:pos="1249" w:val="left"/>
        </w:tabs>
        <w:numPr>
          <w:ilvl w:val="0"/>
          <w:numId w:val="165"/>
        </w:numPr>
        <w:rPr>
          <w:rFonts w:ascii="Arial" w:cs="Arial" w:eastAsia="Arial" w:hAnsi="Arial"/>
          <w:sz w:val="19"/>
          <w:szCs w:val="19"/>
          <w:color w:val="auto"/>
        </w:rPr>
      </w:pPr>
      <w:r>
        <w:rPr>
          <w:rFonts w:ascii="Arial" w:cs="Arial" w:eastAsia="Arial" w:hAnsi="Arial"/>
          <w:sz w:val="19"/>
          <w:szCs w:val="19"/>
          <w:u w:val="single" w:color="auto"/>
          <w:color w:val="auto"/>
        </w:rPr>
        <w:t>Failure to Satisfy Conditions Precedent</w:t>
      </w:r>
      <w:r>
        <w:rPr>
          <w:rFonts w:ascii="Arial" w:cs="Arial" w:eastAsia="Arial" w:hAnsi="Arial"/>
          <w:sz w:val="19"/>
          <w:szCs w:val="19"/>
          <w:color w:val="auto"/>
        </w:rPr>
        <w:t xml:space="preserve">. If any Lender makes available to the Administrative Agent funds for any Loan to be made by such Lender as provided in the foregoing provisions of this </w:t>
      </w:r>
      <w:r>
        <w:rPr>
          <w:rFonts w:ascii="Arial" w:cs="Arial" w:eastAsia="Arial" w:hAnsi="Arial"/>
          <w:sz w:val="19"/>
          <w:szCs w:val="19"/>
          <w:u w:val="single" w:color="auto"/>
          <w:color w:val="auto"/>
        </w:rPr>
        <w:t>Article II</w:t>
      </w:r>
      <w:r>
        <w:rPr>
          <w:rFonts w:ascii="Arial" w:cs="Arial" w:eastAsia="Arial" w:hAnsi="Arial"/>
          <w:sz w:val="19"/>
          <w:szCs w:val="19"/>
          <w:color w:val="auto"/>
        </w:rPr>
        <w:t xml:space="preserve">, and such funds are not made available to the Borrowers by the Administrative Agent because the conditions to the applicable Credit Extension set forth in </w:t>
      </w:r>
      <w:r>
        <w:rPr>
          <w:rFonts w:ascii="Arial" w:cs="Arial" w:eastAsia="Arial" w:hAnsi="Arial"/>
          <w:sz w:val="19"/>
          <w:szCs w:val="19"/>
          <w:u w:val="single" w:color="auto"/>
          <w:color w:val="auto"/>
        </w:rPr>
        <w:t>Article V</w:t>
      </w:r>
      <w:r>
        <w:rPr>
          <w:rFonts w:ascii="Arial" w:cs="Arial" w:eastAsia="Arial" w:hAnsi="Arial"/>
          <w:sz w:val="19"/>
          <w:szCs w:val="19"/>
          <w:color w:val="auto"/>
        </w:rPr>
        <w:t xml:space="preserve">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88</w:t>
      </w:r>
    </w:p>
    <w:p>
      <w:pPr>
        <w:sectPr>
          <w:pgSz w:w="11900" w:h="16838" w:orient="portrait"/>
          <w:cols w:equalWidth="0" w:num="1">
            <w:col w:w="11240"/>
          </w:cols>
          <w:pgMar w:left="320" w:top="1382" w:right="339" w:bottom="1440" w:gutter="0" w:footer="0" w:header="0"/>
        </w:sectPr>
      </w:pPr>
    </w:p>
    <w:bookmarkStart w:id="207" w:name="page208"/>
    <w:bookmarkEnd w:id="207"/>
    <w:p>
      <w:pPr>
        <w:spacing w:after="0" w:line="274" w:lineRule="auto"/>
        <w:rPr>
          <w:sz w:val="20"/>
          <w:szCs w:val="20"/>
          <w:color w:val="auto"/>
        </w:rPr>
      </w:pPr>
      <w:r>
        <w:rPr>
          <w:rFonts w:ascii="Arial" w:cs="Arial" w:eastAsia="Arial" w:hAnsi="Arial"/>
          <w:sz w:val="19"/>
          <w:szCs w:val="19"/>
          <w:color w:val="auto"/>
        </w:rPr>
        <w:t>not satisfied or waived in accordance with the terms hereof, the Administrative Agent shall return such funds (in like funds as received from such Lender) to such Lender, without interest.</w:t>
      </w:r>
    </w:p>
    <w:p>
      <w:pPr>
        <w:spacing w:after="0" w:line="157" w:lineRule="exact"/>
        <w:rPr>
          <w:sz w:val="20"/>
          <w:szCs w:val="20"/>
          <w:color w:val="auto"/>
        </w:rPr>
      </w:pPr>
    </w:p>
    <w:p>
      <w:pPr>
        <w:jc w:val="both"/>
        <w:ind w:firstLine="634"/>
        <w:spacing w:after="0" w:line="269" w:lineRule="auto"/>
        <w:tabs>
          <w:tab w:leader="none" w:pos="1247" w:val="left"/>
        </w:tabs>
        <w:numPr>
          <w:ilvl w:val="0"/>
          <w:numId w:val="166"/>
        </w:numPr>
        <w:rPr>
          <w:rFonts w:ascii="Arial" w:cs="Arial" w:eastAsia="Arial" w:hAnsi="Arial"/>
          <w:sz w:val="18"/>
          <w:szCs w:val="18"/>
          <w:color w:val="auto"/>
        </w:rPr>
      </w:pPr>
      <w:r>
        <w:rPr>
          <w:rFonts w:ascii="Arial" w:cs="Arial" w:eastAsia="Arial" w:hAnsi="Arial"/>
          <w:sz w:val="18"/>
          <w:szCs w:val="18"/>
          <w:u w:val="single" w:color="auto"/>
          <w:color w:val="auto"/>
        </w:rPr>
        <w:t>Obligations of Lenders Several</w:t>
      </w:r>
      <w:r>
        <w:rPr>
          <w:rFonts w:ascii="Arial" w:cs="Arial" w:eastAsia="Arial" w:hAnsi="Arial"/>
          <w:sz w:val="18"/>
          <w:szCs w:val="18"/>
          <w:color w:val="auto"/>
        </w:rPr>
        <w:t xml:space="preserve">. The obligations of the Lenders hereunder to make Revolving Credit Loans, to fund participations in Letters of Credit and Swing Line Loans and to make payments pursuant to </w:t>
      </w:r>
      <w:r>
        <w:rPr>
          <w:rFonts w:ascii="Arial" w:cs="Arial" w:eastAsia="Arial" w:hAnsi="Arial"/>
          <w:sz w:val="18"/>
          <w:szCs w:val="18"/>
          <w:u w:val="single" w:color="auto"/>
          <w:color w:val="auto"/>
        </w:rPr>
        <w:t>Section 11.04(c)</w:t>
      </w:r>
      <w:r>
        <w:rPr>
          <w:rFonts w:ascii="Arial" w:cs="Arial" w:eastAsia="Arial" w:hAnsi="Arial"/>
          <w:sz w:val="18"/>
          <w:szCs w:val="18"/>
          <w:color w:val="auto"/>
        </w:rPr>
        <w:t xml:space="preserve"> are several and not joint. The failure of any Lender to make any Loan, to fund any such participation or to make any payment under </w:t>
      </w:r>
      <w:r>
        <w:rPr>
          <w:rFonts w:ascii="Arial" w:cs="Arial" w:eastAsia="Arial" w:hAnsi="Arial"/>
          <w:sz w:val="18"/>
          <w:szCs w:val="18"/>
          <w:u w:val="single" w:color="auto"/>
          <w:color w:val="auto"/>
        </w:rPr>
        <w:t>Section 11.04(c)</w:t>
      </w:r>
      <w:r>
        <w:rPr>
          <w:rFonts w:ascii="Arial" w:cs="Arial" w:eastAsia="Arial" w:hAnsi="Arial"/>
          <w:sz w:val="18"/>
          <w:szCs w:val="18"/>
          <w:color w:val="auto"/>
        </w:rPr>
        <w:t xml:space="preserve"> on any date required hereunder shall not relieve any other Lender of its corresponding obligation to do so on such date, and no Lender shall be responsible for the failure of any other Lender to so make its Loan, to purchase its participation or to make its payment under </w:t>
      </w:r>
      <w:r>
        <w:rPr>
          <w:rFonts w:ascii="Arial" w:cs="Arial" w:eastAsia="Arial" w:hAnsi="Arial"/>
          <w:sz w:val="18"/>
          <w:szCs w:val="18"/>
          <w:u w:val="single" w:color="auto"/>
          <w:color w:val="auto"/>
        </w:rPr>
        <w:t>Section 11.04(c)</w:t>
      </w:r>
      <w:r>
        <w:rPr>
          <w:rFonts w:ascii="Arial" w:cs="Arial" w:eastAsia="Arial" w:hAnsi="Arial"/>
          <w:sz w:val="18"/>
          <w:szCs w:val="18"/>
          <w:color w:val="auto"/>
        </w:rPr>
        <w:t>.</w:t>
      </w:r>
    </w:p>
    <w:p>
      <w:pPr>
        <w:spacing w:after="0" w:line="164" w:lineRule="exact"/>
        <w:rPr>
          <w:rFonts w:ascii="Arial" w:cs="Arial" w:eastAsia="Arial" w:hAnsi="Arial"/>
          <w:sz w:val="18"/>
          <w:szCs w:val="18"/>
          <w:color w:val="auto"/>
        </w:rPr>
      </w:pPr>
    </w:p>
    <w:p>
      <w:pPr>
        <w:jc w:val="both"/>
        <w:ind w:firstLine="634"/>
        <w:spacing w:after="0" w:line="259" w:lineRule="auto"/>
        <w:tabs>
          <w:tab w:leader="none" w:pos="1249" w:val="left"/>
        </w:tabs>
        <w:numPr>
          <w:ilvl w:val="0"/>
          <w:numId w:val="166"/>
        </w:numPr>
        <w:rPr>
          <w:rFonts w:ascii="Arial" w:cs="Arial" w:eastAsia="Arial" w:hAnsi="Arial"/>
          <w:sz w:val="19"/>
          <w:szCs w:val="19"/>
          <w:color w:val="auto"/>
        </w:rPr>
      </w:pPr>
      <w:r>
        <w:rPr>
          <w:rFonts w:ascii="Arial" w:cs="Arial" w:eastAsia="Arial" w:hAnsi="Arial"/>
          <w:sz w:val="19"/>
          <w:szCs w:val="19"/>
          <w:u w:val="single" w:color="auto"/>
          <w:color w:val="auto"/>
        </w:rPr>
        <w:t>Funding Source</w:t>
      </w:r>
      <w:r>
        <w:rPr>
          <w:rFonts w:ascii="Arial" w:cs="Arial" w:eastAsia="Arial" w:hAnsi="Arial"/>
          <w:sz w:val="19"/>
          <w:szCs w:val="19"/>
          <w:color w:val="auto"/>
        </w:rPr>
        <w:t>. Nothing herein shall be deemed to obligate any Lender to obtain the funds for any Loan in any particular place or manner or to constitute a representation by any Lender that it has obtained or will obtain the funds for any Loan in any particular place or manner.</w:t>
      </w:r>
    </w:p>
    <w:p>
      <w:pPr>
        <w:spacing w:after="0" w:line="171" w:lineRule="exact"/>
        <w:rPr>
          <w:rFonts w:ascii="Arial" w:cs="Arial" w:eastAsia="Arial" w:hAnsi="Arial"/>
          <w:sz w:val="19"/>
          <w:szCs w:val="19"/>
          <w:color w:val="auto"/>
        </w:rPr>
      </w:pPr>
    </w:p>
    <w:p>
      <w:pPr>
        <w:jc w:val="both"/>
        <w:ind w:firstLine="634"/>
        <w:spacing w:after="0" w:line="259" w:lineRule="auto"/>
        <w:tabs>
          <w:tab w:leader="none" w:pos="1254" w:val="left"/>
        </w:tabs>
        <w:numPr>
          <w:ilvl w:val="0"/>
          <w:numId w:val="166"/>
        </w:numPr>
        <w:rPr>
          <w:rFonts w:ascii="Arial" w:cs="Arial" w:eastAsia="Arial" w:hAnsi="Arial"/>
          <w:sz w:val="19"/>
          <w:szCs w:val="19"/>
          <w:color w:val="auto"/>
        </w:rPr>
      </w:pPr>
      <w:r>
        <w:rPr>
          <w:rFonts w:ascii="Arial" w:cs="Arial" w:eastAsia="Arial" w:hAnsi="Arial"/>
          <w:sz w:val="19"/>
          <w:szCs w:val="19"/>
          <w:u w:val="single" w:color="auto"/>
          <w:color w:val="auto"/>
        </w:rPr>
        <w:t>Insufficient Funds</w:t>
      </w:r>
      <w:r>
        <w:rPr>
          <w:rFonts w:ascii="Arial" w:cs="Arial" w:eastAsia="Arial" w:hAnsi="Arial"/>
          <w:sz w:val="19"/>
          <w:szCs w:val="19"/>
          <w:color w:val="auto"/>
        </w:rPr>
        <w:t xml:space="preserve">. If at any time insufficient funds are received by and available to the Administrative Agent to pay fully all amounts of principal, Letter of Credit Borrowings, interest and fees then due hereunder, such funds shall be applied as provided in </w:t>
      </w:r>
      <w:r>
        <w:rPr>
          <w:rFonts w:ascii="Arial" w:cs="Arial" w:eastAsia="Arial" w:hAnsi="Arial"/>
          <w:sz w:val="19"/>
          <w:szCs w:val="19"/>
          <w:u w:val="single" w:color="auto"/>
          <w:color w:val="auto"/>
        </w:rPr>
        <w:t>Section 2.06(c)</w:t>
      </w:r>
      <w:r>
        <w:rPr>
          <w:rFonts w:ascii="Arial" w:cs="Arial" w:eastAsia="Arial" w:hAnsi="Arial"/>
          <w:sz w:val="19"/>
          <w:szCs w:val="19"/>
          <w:color w:val="auto"/>
        </w:rPr>
        <w:t>.</w:t>
      </w:r>
    </w:p>
    <w:p>
      <w:pPr>
        <w:spacing w:after="0" w:line="165" w:lineRule="exact"/>
        <w:rPr>
          <w:sz w:val="20"/>
          <w:szCs w:val="20"/>
          <w:color w:val="auto"/>
        </w:rPr>
      </w:pPr>
    </w:p>
    <w:p>
      <w:pPr>
        <w:jc w:val="both"/>
        <w:ind w:firstLine="629"/>
        <w:spacing w:after="0" w:line="276" w:lineRule="auto"/>
        <w:rPr>
          <w:sz w:val="20"/>
          <w:szCs w:val="20"/>
          <w:color w:val="auto"/>
        </w:rPr>
      </w:pPr>
      <w:r>
        <w:rPr>
          <w:rFonts w:ascii="Arial" w:cs="Arial" w:eastAsia="Arial" w:hAnsi="Arial"/>
          <w:sz w:val="17"/>
          <w:szCs w:val="17"/>
          <w:b w:val="1"/>
          <w:bCs w:val="1"/>
          <w:color w:val="auto"/>
        </w:rPr>
        <w:t>2.13 Sharing of Payments by Lenders</w:t>
      </w:r>
      <w:r>
        <w:rPr>
          <w:rFonts w:ascii="Arial" w:cs="Arial" w:eastAsia="Arial" w:hAnsi="Arial"/>
          <w:sz w:val="17"/>
          <w:szCs w:val="17"/>
          <w:color w:val="auto"/>
        </w:rPr>
        <w:t>. If any Lender shall, by exercising any right of setoff or counterclaim or otherwise (other than</w:t>
      </w:r>
      <w:r>
        <w:rPr>
          <w:rFonts w:ascii="Arial" w:cs="Arial" w:eastAsia="Arial" w:hAnsi="Arial"/>
          <w:sz w:val="17"/>
          <w:szCs w:val="17"/>
          <w:b w:val="1"/>
          <w:bCs w:val="1"/>
          <w:color w:val="auto"/>
        </w:rPr>
        <w:t xml:space="preserve"> </w:t>
      </w:r>
      <w:r>
        <w:rPr>
          <w:rFonts w:ascii="Arial" w:cs="Arial" w:eastAsia="Arial" w:hAnsi="Arial"/>
          <w:sz w:val="17"/>
          <w:szCs w:val="17"/>
          <w:color w:val="auto"/>
        </w:rPr>
        <w:t>in connection with a Supplemental Facility), obtain payment in respect of (a) the Loan Obligations due and payable to such Lender hereunder and under the other Loan Documents at such time in excess of its ratable share (according to the proportion of (i) the amount of such Loan Obligations due and payable to such Lender at such time to (ii) the aggregate amount of the Loan Obligations due and payable to all Lenders hereunder and under the other Loan Documents at such time) of payments on account of the Loan Obligations due and payable to all Lenders hereunder and under the other Loan Documents at such time obtained by all the Lenders at such time or (b) the Loan Obligations owing (but not due and payable) to such Lender hereunder and under the other Loan Documents at such time in excess of its ratable share (according to the proportion of (i) the amount of such Loan Obligations owing (but not due and payable) to such Lender at such time to (ii) the aggregate amount of the Loan Obligations owing (but not due and payable) to all Lenders hereunder and under the other Loan Documents at such time) of payments on account of the Loan Obligations owing (but not due and payable) to all Lenders hereunder and under the other Loan Documents at such time obtained by all of the Lenders at such time, then, in each case under clauses (a) and (b) above, the Lender receiving such greater proportion shall</w:t>
      </w:r>
    </w:p>
    <w:p>
      <w:pPr>
        <w:spacing w:after="0" w:line="1" w:lineRule="exact"/>
        <w:rPr>
          <w:sz w:val="20"/>
          <w:szCs w:val="20"/>
          <w:color w:val="auto"/>
        </w:rPr>
      </w:pPr>
    </w:p>
    <w:p>
      <w:pPr>
        <w:jc w:val="both"/>
        <w:ind w:firstLine="5"/>
        <w:spacing w:after="0" w:line="267" w:lineRule="auto"/>
        <w:tabs>
          <w:tab w:leader="none" w:pos="329" w:val="left"/>
        </w:tabs>
        <w:numPr>
          <w:ilvl w:val="0"/>
          <w:numId w:val="167"/>
        </w:numPr>
        <w:rPr>
          <w:rFonts w:ascii="Arial" w:cs="Arial" w:eastAsia="Arial" w:hAnsi="Arial"/>
          <w:sz w:val="18"/>
          <w:szCs w:val="18"/>
          <w:color w:val="auto"/>
        </w:rPr>
      </w:pPr>
      <w:r>
        <w:rPr>
          <w:rFonts w:ascii="Arial" w:cs="Arial" w:eastAsia="Arial" w:hAnsi="Arial"/>
          <w:sz w:val="18"/>
          <w:szCs w:val="18"/>
          <w:color w:val="auto"/>
        </w:rPr>
        <w:t xml:space="preserve">notify the Administrative Agent of such fact, and (B) purchase (for cash at face value) participations in the Loans and subparticipations in Letter of Credit Obligations and Swing Line Loans of the other Lenders, or make such other adjustments as shall be equitable, so that the benefit of all such payments shall be shared by the Lenders ratably in accordance with the aggregate amount of Loan Obligations then due and payable to the Lenders or owing (but not due and payable) to the Lenders, as the case may be,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164" w:lineRule="exact"/>
        <w:rPr>
          <w:rFonts w:ascii="Arial" w:cs="Arial" w:eastAsia="Arial" w:hAnsi="Arial"/>
          <w:sz w:val="18"/>
          <w:szCs w:val="18"/>
          <w:color w:val="auto"/>
        </w:rPr>
      </w:pPr>
    </w:p>
    <w:p>
      <w:pPr>
        <w:jc w:val="both"/>
        <w:ind w:left="640" w:firstLine="624"/>
        <w:spacing w:after="0" w:line="259" w:lineRule="auto"/>
        <w:tabs>
          <w:tab w:leader="none" w:pos="1897" w:val="left"/>
        </w:tabs>
        <w:numPr>
          <w:ilvl w:val="1"/>
          <w:numId w:val="167"/>
        </w:numPr>
        <w:rPr>
          <w:rFonts w:ascii="Arial" w:cs="Arial" w:eastAsia="Arial" w:hAnsi="Arial"/>
          <w:sz w:val="19"/>
          <w:szCs w:val="19"/>
          <w:color w:val="auto"/>
        </w:rPr>
      </w:pPr>
      <w:r>
        <w:rPr>
          <w:rFonts w:ascii="Arial" w:cs="Arial" w:eastAsia="Arial" w:hAnsi="Arial"/>
          <w:sz w:val="19"/>
          <w:szCs w:val="19"/>
          <w:color w:val="auto"/>
        </w:rPr>
        <w:t>if any such participations or subparticipations are purchased and all or any portion of the payment giving rise thereto is recovered, such participations or subparticipations shall be rescinded and the purchase price restored to the extent of such recovery, without interest; and</w:t>
      </w:r>
    </w:p>
    <w:p>
      <w:pPr>
        <w:spacing w:after="0" w:line="171" w:lineRule="exact"/>
        <w:rPr>
          <w:rFonts w:ascii="Arial" w:cs="Arial" w:eastAsia="Arial" w:hAnsi="Arial"/>
          <w:sz w:val="19"/>
          <w:szCs w:val="19"/>
          <w:color w:val="auto"/>
        </w:rPr>
      </w:pPr>
    </w:p>
    <w:p>
      <w:pPr>
        <w:ind w:left="640" w:firstLine="624"/>
        <w:spacing w:after="0" w:line="274" w:lineRule="auto"/>
        <w:tabs>
          <w:tab w:leader="none" w:pos="1897" w:val="left"/>
        </w:tabs>
        <w:numPr>
          <w:ilvl w:val="1"/>
          <w:numId w:val="167"/>
        </w:numPr>
        <w:rPr>
          <w:rFonts w:ascii="Arial" w:cs="Arial" w:eastAsia="Arial" w:hAnsi="Arial"/>
          <w:sz w:val="19"/>
          <w:szCs w:val="19"/>
          <w:color w:val="auto"/>
        </w:rPr>
      </w:pPr>
      <w:r>
        <w:rPr>
          <w:rFonts w:ascii="Arial" w:cs="Arial" w:eastAsia="Arial" w:hAnsi="Arial"/>
          <w:sz w:val="19"/>
          <w:szCs w:val="19"/>
          <w:color w:val="auto"/>
        </w:rPr>
        <w:t>the provisions of this Section shall not be construed to apply to (A) any payment made by or on behalf of any Loan Party pursuant to and in accordance with the express terms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89</w:t>
      </w:r>
    </w:p>
    <w:p>
      <w:pPr>
        <w:sectPr>
          <w:pgSz w:w="11900" w:h="16838" w:orient="portrait"/>
          <w:cols w:equalWidth="0" w:num="1">
            <w:col w:w="11240"/>
          </w:cols>
          <w:pgMar w:left="320" w:top="1381" w:right="339" w:bottom="1440" w:gutter="0" w:footer="0" w:header="0"/>
        </w:sectPr>
      </w:pPr>
    </w:p>
    <w:bookmarkStart w:id="208" w:name="page209"/>
    <w:bookmarkEnd w:id="208"/>
    <w:p>
      <w:pPr>
        <w:jc w:val="both"/>
        <w:ind w:left="640"/>
        <w:spacing w:after="0" w:line="273" w:lineRule="auto"/>
        <w:rPr>
          <w:sz w:val="20"/>
          <w:szCs w:val="20"/>
          <w:color w:val="auto"/>
        </w:rPr>
      </w:pPr>
      <w:r>
        <w:rPr>
          <w:rFonts w:ascii="Arial" w:cs="Arial" w:eastAsia="Arial" w:hAnsi="Arial"/>
          <w:sz w:val="18"/>
          <w:szCs w:val="18"/>
          <w:color w:val="auto"/>
        </w:rPr>
        <w:t xml:space="preserve">this Agreement (including the application of funds arising from the existence of a Defaulting Lender), (B) the application of Cash Collateral provided for in </w:t>
      </w:r>
      <w:r>
        <w:rPr>
          <w:rFonts w:ascii="Arial" w:cs="Arial" w:eastAsia="Arial" w:hAnsi="Arial"/>
          <w:sz w:val="18"/>
          <w:szCs w:val="18"/>
          <w:u w:val="single" w:color="auto"/>
          <w:color w:val="auto"/>
        </w:rPr>
        <w:t>Section 2.16</w:t>
      </w:r>
      <w:r>
        <w:rPr>
          <w:rFonts w:ascii="Arial" w:cs="Arial" w:eastAsia="Arial" w:hAnsi="Arial"/>
          <w:sz w:val="18"/>
          <w:szCs w:val="18"/>
          <w:color w:val="auto"/>
        </w:rPr>
        <w:t>, or (C) any payment obtained by a Lender as consideration for the assignment of or sale of a participation in any of its Loans or subparticipations in Letter of Credit Obligations or Swing Line Loans to any assignee or participant, other than an assignment to any Loan Party or any Affiliate thereof (as to which the provisions of this Section shall apply).</w:t>
      </w:r>
    </w:p>
    <w:p>
      <w:pPr>
        <w:spacing w:after="0" w:line="160"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auto"/>
        </w:rPr>
        <w:t>Each Loan Party consents to the foregoing and agrees, to the extent it may effectively do so under applicable Law, that any Lender acquiring a participation pursuant to the foregoing arrangements may exercise against such Loan Party rights of setoff and counterclaim with respect to such participation as fully as if such Lender were a direct creditor of such Loan Party in the amount of such participation.</w:t>
      </w:r>
    </w:p>
    <w:p>
      <w:pPr>
        <w:spacing w:after="0" w:line="148"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9"/>
          <w:szCs w:val="19"/>
          <w:b w:val="1"/>
          <w:bCs w:val="1"/>
          <w:color w:val="auto"/>
        </w:rPr>
        <w:t>2.14</w:t>
      </w:r>
      <w:r>
        <w:rPr>
          <w:sz w:val="20"/>
          <w:szCs w:val="20"/>
          <w:color w:val="auto"/>
        </w:rPr>
        <w:tab/>
      </w:r>
      <w:r>
        <w:rPr>
          <w:rFonts w:ascii="Arial" w:cs="Arial" w:eastAsia="Arial" w:hAnsi="Arial"/>
          <w:sz w:val="17"/>
          <w:szCs w:val="17"/>
          <w:b w:val="1"/>
          <w:bCs w:val="1"/>
          <w:color w:val="auto"/>
        </w:rPr>
        <w:t>Settlement Among Lenders</w:t>
      </w:r>
      <w:r>
        <w:rPr>
          <w:rFonts w:ascii="Arial" w:cs="Arial" w:eastAsia="Arial" w:hAnsi="Arial"/>
          <w:sz w:val="17"/>
          <w:szCs w:val="17"/>
          <w:color w:val="auto"/>
        </w:rPr>
        <w:t>.</w:t>
      </w:r>
    </w:p>
    <w:p>
      <w:pPr>
        <w:spacing w:after="0" w:line="220" w:lineRule="exact"/>
        <w:rPr>
          <w:sz w:val="20"/>
          <w:szCs w:val="20"/>
          <w:color w:val="auto"/>
        </w:rPr>
      </w:pPr>
    </w:p>
    <w:p>
      <w:pPr>
        <w:jc w:val="both"/>
        <w:ind w:firstLine="634"/>
        <w:spacing w:after="0" w:line="273" w:lineRule="auto"/>
        <w:tabs>
          <w:tab w:leader="none" w:pos="1249"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amount of each Revolving Credit Lender’s Applicable Revolving Credit Percentage of outstanding Revolving Credit Loans shall be computed weekly (or more frequently in the Administrative Agent’s discretion) and such amount shall be adjusted upward or downward based on all Revolving Credit Loans and repayments of Revolving Credit Loans received by the Administrative Agent as of 3:00 p.m. on the first Business Day (such date, the “</w:t>
      </w:r>
      <w:r>
        <w:rPr>
          <w:rFonts w:ascii="Arial" w:cs="Arial" w:eastAsia="Arial" w:hAnsi="Arial"/>
          <w:sz w:val="18"/>
          <w:szCs w:val="18"/>
          <w:u w:val="single" w:color="auto"/>
          <w:color w:val="auto"/>
        </w:rPr>
        <w:t>Settlement Date</w:t>
      </w:r>
      <w:r>
        <w:rPr>
          <w:rFonts w:ascii="Arial" w:cs="Arial" w:eastAsia="Arial" w:hAnsi="Arial"/>
          <w:sz w:val="18"/>
          <w:szCs w:val="18"/>
          <w:color w:val="auto"/>
        </w:rPr>
        <w:t>”) following the end of the period specified by the Administrative Agent.</w:t>
      </w:r>
    </w:p>
    <w:p>
      <w:pPr>
        <w:spacing w:after="0" w:line="159" w:lineRule="exact"/>
        <w:rPr>
          <w:rFonts w:ascii="Arial" w:cs="Arial" w:eastAsia="Arial" w:hAnsi="Arial"/>
          <w:sz w:val="18"/>
          <w:szCs w:val="18"/>
          <w:color w:val="auto"/>
        </w:rPr>
      </w:pPr>
    </w:p>
    <w:p>
      <w:pPr>
        <w:jc w:val="both"/>
        <w:ind w:firstLine="634"/>
        <w:spacing w:after="0" w:line="261" w:lineRule="auto"/>
        <w:tabs>
          <w:tab w:leader="none" w:pos="1247"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Administrative Agent shall deliver to each of the Revolving Credit Lenders promptly after a Settlement Date a summary statement of the amount of outstanding Revolving Credit Loans for the period and the amount of repayments received for the period. As reflected on the summary statement, (i) the Administrative Agent shall transfer to each Revolving Credit Lender its Applicable Percentage of repayments, and (ii) each Revolving Credit Lender shall transfer to the Administrative Agent (as provided below) or the Administrative Agent shall transfer to each Revolving Credit Lender, such amounts as are necessary to insure that, after giving effect to all such transfers, the Revolving Credit Exposure of each Revolving Credit Lender shall be equal to such Revolving Credit Lender’s Applicable Percentage of the Total Revolving Credit Outstandings as of such Settlement Date. If the summary statement requires transfers to be made to the Administrative Agent by the Revolving Credit Lenders and is received prior to 1:00 p.m. on a Business Day, such transfers shall be made in immediately available funds no later than 3:00 p.m. that day; and, if received after 1:00 p.m., then no later than 3:00 p.m. on the next Business Day. The obligation of each Revolving Credit Lender to transfer such funds is irrevocable, unconditional and without recourse to or warranty by the Administrative Agent. If and to the extent any Revolving Credit Lender shall not have so made its transfer to the Administrative Agent, such Lender agrees to pay to the Administrative Agent, forthwith on demand such amount, together with interest thereon, for each day from such date until the date such amount is paid to the Administrative Agent, equal to the Overnight Rate plus any reasonable administrative, processing, or similar fees customarily charged by the Administrative Agent in connection with the foregoing.</w:t>
      </w:r>
    </w:p>
    <w:p>
      <w:pPr>
        <w:spacing w:after="0" w:line="173"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9"/>
          <w:szCs w:val="19"/>
          <w:b w:val="1"/>
          <w:bCs w:val="1"/>
          <w:color w:val="auto"/>
        </w:rPr>
        <w:t>2.15</w:t>
      </w:r>
      <w:r>
        <w:rPr>
          <w:sz w:val="20"/>
          <w:szCs w:val="20"/>
          <w:color w:val="auto"/>
        </w:rPr>
        <w:tab/>
      </w:r>
      <w:r>
        <w:rPr>
          <w:rFonts w:ascii="Arial" w:cs="Arial" w:eastAsia="Arial" w:hAnsi="Arial"/>
          <w:sz w:val="17"/>
          <w:szCs w:val="17"/>
          <w:b w:val="1"/>
          <w:bCs w:val="1"/>
          <w:color w:val="auto"/>
        </w:rPr>
        <w:t>Nature and Extent of Each Borrower’s Liability</w:t>
      </w:r>
      <w:r>
        <w:rPr>
          <w:rFonts w:ascii="Arial" w:cs="Arial" w:eastAsia="Arial" w:hAnsi="Arial"/>
          <w:sz w:val="17"/>
          <w:szCs w:val="17"/>
          <w:color w:val="auto"/>
        </w:rPr>
        <w:t>.</w:t>
      </w:r>
    </w:p>
    <w:p>
      <w:pPr>
        <w:spacing w:after="0" w:line="220" w:lineRule="exact"/>
        <w:rPr>
          <w:sz w:val="20"/>
          <w:szCs w:val="20"/>
          <w:color w:val="auto"/>
        </w:rPr>
      </w:pPr>
    </w:p>
    <w:p>
      <w:pPr>
        <w:jc w:val="both"/>
        <w:ind w:firstLine="634"/>
        <w:spacing w:after="0" w:line="254" w:lineRule="auto"/>
        <w:tabs>
          <w:tab w:leader="none" w:pos="1249" w:val="left"/>
        </w:tabs>
        <w:numPr>
          <w:ilvl w:val="0"/>
          <w:numId w:val="169"/>
        </w:numPr>
        <w:rPr>
          <w:rFonts w:ascii="Arial" w:cs="Arial" w:eastAsia="Arial" w:hAnsi="Arial"/>
          <w:sz w:val="19"/>
          <w:szCs w:val="19"/>
          <w:color w:val="auto"/>
        </w:rPr>
      </w:pPr>
      <w:r>
        <w:rPr>
          <w:rFonts w:ascii="Arial" w:cs="Arial" w:eastAsia="Arial" w:hAnsi="Arial"/>
          <w:sz w:val="19"/>
          <w:szCs w:val="19"/>
          <w:u w:val="single" w:color="auto"/>
          <w:color w:val="auto"/>
        </w:rPr>
        <w:t>Joint and Several Liability</w:t>
      </w:r>
      <w:r>
        <w:rPr>
          <w:rFonts w:ascii="Arial" w:cs="Arial" w:eastAsia="Arial" w:hAnsi="Arial"/>
          <w:sz w:val="19"/>
          <w:szCs w:val="19"/>
          <w:color w:val="auto"/>
        </w:rPr>
        <w:t>. Each Borrower agrees that it is jointly and severally liable for all Obligations, except Excluded Swap Obligations, and all agreements under the Loan Documents. Each Borrower agrees that its guaranty obligations hereunder constitute a continuing guaranty of payment and not of collection, that such obligations shall not be discharged until the Facility Termination Date, and that such obligations are absolute and unconditional, irrespective of (i) the genuineness, validity,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90</w:t>
      </w:r>
    </w:p>
    <w:p>
      <w:pPr>
        <w:sectPr>
          <w:pgSz w:w="11900" w:h="16838" w:orient="portrait"/>
          <w:cols w:equalWidth="0" w:num="1">
            <w:col w:w="11240"/>
          </w:cols>
          <w:pgMar w:left="320" w:top="1382" w:right="339" w:bottom="1440" w:gutter="0" w:footer="0" w:header="0"/>
        </w:sectPr>
      </w:pPr>
    </w:p>
    <w:bookmarkStart w:id="209" w:name="page210"/>
    <w:bookmarkEnd w:id="209"/>
    <w:p>
      <w:pPr>
        <w:jc w:val="both"/>
        <w:spacing w:after="0" w:line="262" w:lineRule="auto"/>
        <w:rPr>
          <w:sz w:val="20"/>
          <w:szCs w:val="20"/>
          <w:color w:val="auto"/>
        </w:rPr>
      </w:pPr>
      <w:r>
        <w:rPr>
          <w:rFonts w:ascii="Arial" w:cs="Arial" w:eastAsia="Arial" w:hAnsi="Arial"/>
          <w:sz w:val="18"/>
          <w:szCs w:val="18"/>
          <w:color w:val="auto"/>
        </w:rPr>
        <w:t>regularity, enforceability, subordination or any future modification of, or change in, any Obligations or Loan Document, or any other document, instrument or agreement to which any Borrower is or may become a party or be bound; (ii) the absence of any action to enforce this Agreement (including this Section) or any other Loan Document, or any waiver, consent or indulgence of any kind by the Administrative Agent or any Lender with respect thereto; (iii) the existence, value or condition of, or failure to perfect a Lien or to preserve rights against, any security or guaranty for the Obligations or any action, or the absence of any action, by the Administrative Agent or any Lender in respect thereof (including the release of any security or guaranty); (iv) the insolvency of any Borrower; (v) any election by the Administrative Agent or any Lender in proceeding under Debtor Relief Laws for the application of Section 1111(b)(2) of the Bankruptcy Code; (vi) any borrowing or grant of a Lien by any other Borrower, as debtor-in-possession under Section 364 of the Bankruptcy Code or otherwise; (vii) the disallowance of any claims of the Administrative Agent or any Lender against any Borrower for the repayment of any Obligations under Section 502 of the Bankruptcy Code or otherwise; or (viii) any other action or circumstances that might otherwise constitute a legal or equitable discharge or defense of a surety or guarantor, except full payment in cash or Cash Collateralization of all Obligations on the Facility Termination Date.</w:t>
      </w:r>
    </w:p>
    <w:p>
      <w:pPr>
        <w:spacing w:after="0" w:line="176" w:lineRule="exact"/>
        <w:rPr>
          <w:sz w:val="20"/>
          <w:szCs w:val="20"/>
          <w:color w:val="auto"/>
        </w:rPr>
      </w:pPr>
    </w:p>
    <w:p>
      <w:pPr>
        <w:ind w:left="1260" w:hanging="626"/>
        <w:spacing w:after="0"/>
        <w:tabs>
          <w:tab w:leader="none" w:pos="1260" w:val="left"/>
        </w:tabs>
        <w:numPr>
          <w:ilvl w:val="0"/>
          <w:numId w:val="170"/>
        </w:numPr>
        <w:rPr>
          <w:rFonts w:ascii="Arial" w:cs="Arial" w:eastAsia="Arial" w:hAnsi="Arial"/>
          <w:sz w:val="19"/>
          <w:szCs w:val="19"/>
          <w:color w:val="auto"/>
        </w:rPr>
      </w:pPr>
      <w:r>
        <w:rPr>
          <w:rFonts w:ascii="Arial" w:cs="Arial" w:eastAsia="Arial" w:hAnsi="Arial"/>
          <w:sz w:val="19"/>
          <w:szCs w:val="19"/>
          <w:u w:val="single" w:color="auto"/>
          <w:color w:val="auto"/>
        </w:rPr>
        <w:t>Waivers</w:t>
      </w:r>
      <w:r>
        <w:rPr>
          <w:rFonts w:ascii="Arial" w:cs="Arial" w:eastAsia="Arial" w:hAnsi="Arial"/>
          <w:sz w:val="19"/>
          <w:szCs w:val="19"/>
          <w:color w:val="auto"/>
        </w:rPr>
        <w:t>.</w:t>
      </w:r>
    </w:p>
    <w:p>
      <w:pPr>
        <w:spacing w:after="0" w:line="214" w:lineRule="exact"/>
        <w:rPr>
          <w:rFonts w:ascii="Arial" w:cs="Arial" w:eastAsia="Arial" w:hAnsi="Arial"/>
          <w:sz w:val="19"/>
          <w:szCs w:val="19"/>
          <w:color w:val="auto"/>
        </w:rPr>
      </w:pPr>
    </w:p>
    <w:p>
      <w:pPr>
        <w:jc w:val="both"/>
        <w:ind w:left="640" w:firstLine="624"/>
        <w:spacing w:after="0" w:line="264" w:lineRule="auto"/>
        <w:tabs>
          <w:tab w:leader="none" w:pos="1897" w:val="left"/>
        </w:tabs>
        <w:numPr>
          <w:ilvl w:val="1"/>
          <w:numId w:val="170"/>
        </w:numPr>
        <w:rPr>
          <w:rFonts w:ascii="Arial" w:cs="Arial" w:eastAsia="Arial" w:hAnsi="Arial"/>
          <w:sz w:val="18"/>
          <w:szCs w:val="18"/>
          <w:color w:val="auto"/>
        </w:rPr>
      </w:pPr>
      <w:r>
        <w:rPr>
          <w:rFonts w:ascii="Arial" w:cs="Arial" w:eastAsia="Arial" w:hAnsi="Arial"/>
          <w:sz w:val="18"/>
          <w:szCs w:val="18"/>
          <w:color w:val="auto"/>
        </w:rPr>
        <w:t xml:space="preserve">Each Borrower expressly waives all rights that it may have now or in the future under any statute, at common law, in equity or otherwise, to compel the Administrative Agent or Lenders to marshal assets or to proceed against any Borrower, other Person or security for the payment or performance of any Obligations before, or as a condition to, proceeding against such Borrower. Each Borrower waives all defenses available to a surety, guarantor or accommodation co-obligor other than full payment of all Obligations. It is agreed among each Borrower, the Administrative Agent and Lenders that the provisions of this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are of the essence of the transaction contemplated by the Loan Documents and that, but for such provisions, the Administrative Agent and Lenders would decline to make Loans and issue Letters of Credit. Each Borrower acknowledges that its guaranty pursuant to this Section is necessary to the conduct and promotion of its business, and can be expected to benefit such business.</w:t>
      </w:r>
    </w:p>
    <w:p>
      <w:pPr>
        <w:spacing w:after="0" w:line="171" w:lineRule="exact"/>
        <w:rPr>
          <w:rFonts w:ascii="Arial" w:cs="Arial" w:eastAsia="Arial" w:hAnsi="Arial"/>
          <w:sz w:val="18"/>
          <w:szCs w:val="18"/>
          <w:color w:val="auto"/>
        </w:rPr>
      </w:pPr>
    </w:p>
    <w:p>
      <w:pPr>
        <w:jc w:val="both"/>
        <w:ind w:left="640" w:firstLine="624"/>
        <w:spacing w:after="0" w:line="279" w:lineRule="auto"/>
        <w:tabs>
          <w:tab w:leader="none" w:pos="1897" w:val="left"/>
        </w:tabs>
        <w:numPr>
          <w:ilvl w:val="1"/>
          <w:numId w:val="170"/>
        </w:numPr>
        <w:rPr>
          <w:rFonts w:ascii="Arial" w:cs="Arial" w:eastAsia="Arial" w:hAnsi="Arial"/>
          <w:sz w:val="17"/>
          <w:szCs w:val="17"/>
          <w:color w:val="auto"/>
        </w:rPr>
      </w:pPr>
      <w:r>
        <w:rPr>
          <w:rFonts w:ascii="Arial" w:cs="Arial" w:eastAsia="Arial" w:hAnsi="Arial"/>
          <w:sz w:val="17"/>
          <w:szCs w:val="17"/>
          <w:color w:val="auto"/>
        </w:rPr>
        <w:t xml:space="preserve">The Administrative Agent and Lenders may, in their discretion, pursue such rights and remedies as they deem appropriate, including realization upon Collateral by judicial foreclosure or nonjudicial sale or enforcement, without affecting any rights and remedies under this </w:t>
      </w:r>
      <w:r>
        <w:rPr>
          <w:rFonts w:ascii="Arial" w:cs="Arial" w:eastAsia="Arial" w:hAnsi="Arial"/>
          <w:sz w:val="17"/>
          <w:szCs w:val="17"/>
          <w:u w:val="single" w:color="auto"/>
          <w:color w:val="auto"/>
        </w:rPr>
        <w:t>Section 2.15</w:t>
      </w:r>
      <w:r>
        <w:rPr>
          <w:rFonts w:ascii="Arial" w:cs="Arial" w:eastAsia="Arial" w:hAnsi="Arial"/>
          <w:sz w:val="17"/>
          <w:szCs w:val="17"/>
          <w:color w:val="auto"/>
        </w:rPr>
        <w:t>. If, in taking any action in connection with the exercise of any rights or remedies, the Administrative Agent or any Lender shall forfeit any other rights or remedies, including the right to enter a deficiency judgment against any Borrower or other Person, whether because of any applicable Laws pertaining to “election of remedies” or otherwise, each Borrower consents to such action and waives any claim of forfeiture of such rights or remedies based upon it, even if the action may result in loss of any rights of subrogation that such Borrower might otherwise have had. Any election of remedies that results in denial or impairment of the right of the Administrative Agent or any Lender to seek a deficiency judgment against any Borrower shall not impair any other Borrower’s obligation to pay the full amount of the Obligations. Each Borrower waives all rights and defenses arising out of an election of remedies, such as nonjudicial foreclosure with respect to any security for the Obligations, even though that election of remedies destroys such Borrower’s rights of subrogation against any other Person. The Administrative Agent may bid all or a portion of the Obligations at any foreclosure or trustee’s sale or at any private sale, and the amount of such bid need not be paid by the Administrative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91</w:t>
      </w:r>
    </w:p>
    <w:p>
      <w:pPr>
        <w:sectPr>
          <w:pgSz w:w="11900" w:h="16838" w:orient="portrait"/>
          <w:cols w:equalWidth="0" w:num="1">
            <w:col w:w="11240"/>
          </w:cols>
          <w:pgMar w:left="320" w:top="1381" w:right="339" w:bottom="1440" w:gutter="0" w:footer="0" w:header="0"/>
        </w:sectPr>
      </w:pPr>
    </w:p>
    <w:bookmarkStart w:id="210" w:name="page211"/>
    <w:bookmarkEnd w:id="210"/>
    <w:p>
      <w:pPr>
        <w:jc w:val="both"/>
        <w:ind w:left="640"/>
        <w:spacing w:after="0" w:line="250" w:lineRule="auto"/>
        <w:rPr>
          <w:sz w:val="20"/>
          <w:szCs w:val="20"/>
          <w:color w:val="auto"/>
        </w:rPr>
      </w:pPr>
      <w:r>
        <w:rPr>
          <w:rFonts w:ascii="Arial" w:cs="Arial" w:eastAsia="Arial" w:hAnsi="Arial"/>
          <w:sz w:val="19"/>
          <w:szCs w:val="19"/>
          <w:color w:val="auto"/>
        </w:rPr>
        <w:t xml:space="preserve">Agent but shall be credited against the Obligations. The amount of the successful bid at any such sale, whether the Administrative Agent or any other Person is the successful bidder, shall be conclusively deemed to be the fair market value of the Collateral, and the difference between such bid amount and the remaining balance of the Obligations shall be conclusively deemed to be the amount of the Obligations guaranteed under this </w:t>
      </w:r>
      <w:r>
        <w:rPr>
          <w:rFonts w:ascii="Arial" w:cs="Arial" w:eastAsia="Arial" w:hAnsi="Arial"/>
          <w:sz w:val="19"/>
          <w:szCs w:val="19"/>
          <w:u w:val="single" w:color="auto"/>
          <w:color w:val="auto"/>
        </w:rPr>
        <w:t>Section 2.15</w:t>
      </w:r>
      <w:r>
        <w:rPr>
          <w:rFonts w:ascii="Arial" w:cs="Arial" w:eastAsia="Arial" w:hAnsi="Arial"/>
          <w:sz w:val="19"/>
          <w:szCs w:val="19"/>
          <w:color w:val="auto"/>
        </w:rPr>
        <w:t>, notwithstanding that any present or future law or court decision may have the effect of reducing the amount of any deficiency claim to which the Administrative Agent or any Lender might otherwise be entitled but for such bidding at any such sale.</w:t>
      </w:r>
    </w:p>
    <w:p>
      <w:pPr>
        <w:spacing w:after="0" w:line="182" w:lineRule="exact"/>
        <w:rPr>
          <w:sz w:val="20"/>
          <w:szCs w:val="20"/>
          <w:color w:val="auto"/>
        </w:rPr>
      </w:pPr>
    </w:p>
    <w:p>
      <w:pPr>
        <w:ind w:left="1260" w:hanging="626"/>
        <w:spacing w:after="0"/>
        <w:tabs>
          <w:tab w:leader="none" w:pos="1260" w:val="left"/>
        </w:tabs>
        <w:numPr>
          <w:ilvl w:val="0"/>
          <w:numId w:val="171"/>
        </w:numPr>
        <w:rPr>
          <w:rFonts w:ascii="Arial" w:cs="Arial" w:eastAsia="Arial" w:hAnsi="Arial"/>
          <w:sz w:val="19"/>
          <w:szCs w:val="19"/>
          <w:color w:val="auto"/>
        </w:rPr>
      </w:pPr>
      <w:r>
        <w:rPr>
          <w:rFonts w:ascii="Arial" w:cs="Arial" w:eastAsia="Arial" w:hAnsi="Arial"/>
          <w:sz w:val="19"/>
          <w:szCs w:val="19"/>
          <w:u w:val="single" w:color="auto"/>
          <w:color w:val="auto"/>
        </w:rPr>
        <w:t>Extent of Liability; Contribution</w:t>
      </w:r>
      <w:r>
        <w:rPr>
          <w:rFonts w:ascii="Arial" w:cs="Arial" w:eastAsia="Arial" w:hAnsi="Arial"/>
          <w:sz w:val="19"/>
          <w:szCs w:val="19"/>
          <w:color w:val="auto"/>
        </w:rPr>
        <w:t>.</w:t>
      </w:r>
    </w:p>
    <w:p>
      <w:pPr>
        <w:spacing w:after="0" w:line="214" w:lineRule="exact"/>
        <w:rPr>
          <w:rFonts w:ascii="Arial" w:cs="Arial" w:eastAsia="Arial" w:hAnsi="Arial"/>
          <w:sz w:val="19"/>
          <w:szCs w:val="19"/>
          <w:color w:val="auto"/>
        </w:rPr>
      </w:pPr>
    </w:p>
    <w:p>
      <w:pPr>
        <w:ind w:left="640" w:firstLine="624"/>
        <w:spacing w:after="0" w:line="334" w:lineRule="auto"/>
        <w:tabs>
          <w:tab w:leader="none" w:pos="1897" w:val="left"/>
        </w:tabs>
        <w:numPr>
          <w:ilvl w:val="1"/>
          <w:numId w:val="171"/>
        </w:numPr>
        <w:rPr>
          <w:rFonts w:ascii="Arial" w:cs="Arial" w:eastAsia="Arial" w:hAnsi="Arial"/>
          <w:sz w:val="17"/>
          <w:szCs w:val="17"/>
          <w:color w:val="auto"/>
        </w:rPr>
      </w:pPr>
      <w:r>
        <w:rPr>
          <w:rFonts w:ascii="Arial" w:cs="Arial" w:eastAsia="Arial" w:hAnsi="Arial"/>
          <w:sz w:val="17"/>
          <w:szCs w:val="17"/>
          <w:color w:val="auto"/>
        </w:rPr>
        <w:t xml:space="preserve">Notwithstanding anything herein to the contrary, each Borrower’s liability under this </w:t>
      </w:r>
      <w:r>
        <w:rPr>
          <w:rFonts w:ascii="Arial" w:cs="Arial" w:eastAsia="Arial" w:hAnsi="Arial"/>
          <w:sz w:val="17"/>
          <w:szCs w:val="17"/>
          <w:u w:val="single" w:color="auto"/>
          <w:color w:val="auto"/>
        </w:rPr>
        <w:t>Section 2.15</w:t>
      </w:r>
      <w:r>
        <w:rPr>
          <w:rFonts w:ascii="Arial" w:cs="Arial" w:eastAsia="Arial" w:hAnsi="Arial"/>
          <w:sz w:val="17"/>
          <w:szCs w:val="17"/>
          <w:color w:val="auto"/>
        </w:rPr>
        <w:t xml:space="preserve"> shall be limited to the greater of (i) all amounts for which such Borrower is primarily liable, as described below, and (ii) such Borrower’s Allocable Amount.</w:t>
      </w:r>
    </w:p>
    <w:p>
      <w:pPr>
        <w:spacing w:after="0" w:line="111" w:lineRule="exact"/>
        <w:rPr>
          <w:rFonts w:ascii="Arial" w:cs="Arial" w:eastAsia="Arial" w:hAnsi="Arial"/>
          <w:sz w:val="17"/>
          <w:szCs w:val="17"/>
          <w:color w:val="auto"/>
        </w:rPr>
      </w:pPr>
    </w:p>
    <w:p>
      <w:pPr>
        <w:jc w:val="both"/>
        <w:ind w:left="640" w:firstLine="624"/>
        <w:spacing w:after="0" w:line="281" w:lineRule="auto"/>
        <w:tabs>
          <w:tab w:leader="none" w:pos="1897" w:val="left"/>
        </w:tabs>
        <w:numPr>
          <w:ilvl w:val="1"/>
          <w:numId w:val="171"/>
        </w:numPr>
        <w:rPr>
          <w:rFonts w:ascii="Arial" w:cs="Arial" w:eastAsia="Arial" w:hAnsi="Arial"/>
          <w:sz w:val="17"/>
          <w:szCs w:val="17"/>
          <w:color w:val="auto"/>
        </w:rPr>
      </w:pPr>
      <w:r>
        <w:rPr>
          <w:rFonts w:ascii="Arial" w:cs="Arial" w:eastAsia="Arial" w:hAnsi="Arial"/>
          <w:sz w:val="17"/>
          <w:szCs w:val="17"/>
          <w:color w:val="auto"/>
        </w:rPr>
        <w:t xml:space="preserve">If any Borrower makes a payment under this </w:t>
      </w:r>
      <w:r>
        <w:rPr>
          <w:rFonts w:ascii="Arial" w:cs="Arial" w:eastAsia="Arial" w:hAnsi="Arial"/>
          <w:sz w:val="17"/>
          <w:szCs w:val="17"/>
          <w:u w:val="single" w:color="auto"/>
          <w:color w:val="auto"/>
        </w:rPr>
        <w:t>Section 2.15</w:t>
      </w:r>
      <w:r>
        <w:rPr>
          <w:rFonts w:ascii="Arial" w:cs="Arial" w:eastAsia="Arial" w:hAnsi="Arial"/>
          <w:sz w:val="17"/>
          <w:szCs w:val="17"/>
          <w:color w:val="auto"/>
        </w:rPr>
        <w:t xml:space="preserve"> of any Obligations (other than amounts for which such Borrower is primarily liable) (a “</w:t>
      </w:r>
      <w:r>
        <w:rPr>
          <w:rFonts w:ascii="Arial" w:cs="Arial" w:eastAsia="Arial" w:hAnsi="Arial"/>
          <w:sz w:val="17"/>
          <w:szCs w:val="17"/>
          <w:u w:val="single" w:color="auto"/>
          <w:color w:val="auto"/>
        </w:rPr>
        <w:t>Guarantor Payment</w:t>
      </w:r>
      <w:r>
        <w:rPr>
          <w:rFonts w:ascii="Arial" w:cs="Arial" w:eastAsia="Arial" w:hAnsi="Arial"/>
          <w:sz w:val="17"/>
          <w:szCs w:val="17"/>
          <w:color w:val="auto"/>
        </w:rPr>
        <w:t>”) that, taking into account all other Guarantor Payments previously or concurrently made by any other Borrower, exceeds the amount that such Borrower would otherwise have paid if each Borrower had paid the aggregate Obligations satisfied by such Guarantor Payments in the same proportion that such Borrower’s Allocable Amount bore to the total Allocable Amounts of all Borrowers, then such Borrower shall be entitled to receive contribution and indemnification payments from, and to be reimbursed by, each other Borrower for the amount of such excess, pro rata based upon their respective Allocable Amounts in effect immediately prior to such Guarantor Payment. The “</w:t>
      </w:r>
      <w:r>
        <w:rPr>
          <w:rFonts w:ascii="Arial" w:cs="Arial" w:eastAsia="Arial" w:hAnsi="Arial"/>
          <w:sz w:val="17"/>
          <w:szCs w:val="17"/>
          <w:u w:val="single" w:color="auto"/>
          <w:color w:val="auto"/>
        </w:rPr>
        <w:t>Allocable Amount</w:t>
      </w:r>
      <w:r>
        <w:rPr>
          <w:rFonts w:ascii="Arial" w:cs="Arial" w:eastAsia="Arial" w:hAnsi="Arial"/>
          <w:sz w:val="17"/>
          <w:szCs w:val="17"/>
          <w:color w:val="auto"/>
        </w:rPr>
        <w:t xml:space="preserve">” for any Borrower shall be the maximum amount that could then be recovered from such Borrower under this </w:t>
      </w:r>
      <w:r>
        <w:rPr>
          <w:rFonts w:ascii="Arial" w:cs="Arial" w:eastAsia="Arial" w:hAnsi="Arial"/>
          <w:sz w:val="17"/>
          <w:szCs w:val="17"/>
          <w:u w:val="single" w:color="auto"/>
          <w:color w:val="auto"/>
        </w:rPr>
        <w:t>Section 2.15</w:t>
      </w:r>
      <w:r>
        <w:rPr>
          <w:rFonts w:ascii="Arial" w:cs="Arial" w:eastAsia="Arial" w:hAnsi="Arial"/>
          <w:sz w:val="17"/>
          <w:szCs w:val="17"/>
          <w:color w:val="auto"/>
        </w:rPr>
        <w:t xml:space="preserve"> without rendering such payment voidable under Section 548 of the Bankruptcy Code or under any applicable state fraudulent transfer or conveyance act, or similar statute or common law.</w:t>
      </w:r>
    </w:p>
    <w:p>
      <w:pPr>
        <w:spacing w:after="0" w:line="156" w:lineRule="exact"/>
        <w:rPr>
          <w:rFonts w:ascii="Arial" w:cs="Arial" w:eastAsia="Arial" w:hAnsi="Arial"/>
          <w:sz w:val="17"/>
          <w:szCs w:val="17"/>
          <w:color w:val="auto"/>
        </w:rPr>
      </w:pPr>
    </w:p>
    <w:p>
      <w:pPr>
        <w:jc w:val="both"/>
        <w:ind w:left="640" w:firstLine="624"/>
        <w:spacing w:after="0" w:line="264" w:lineRule="auto"/>
        <w:tabs>
          <w:tab w:leader="none" w:pos="1898" w:val="left"/>
        </w:tabs>
        <w:numPr>
          <w:ilvl w:val="1"/>
          <w:numId w:val="171"/>
        </w:numPr>
        <w:rPr>
          <w:rFonts w:ascii="Arial" w:cs="Arial" w:eastAsia="Arial" w:hAnsi="Arial"/>
          <w:sz w:val="18"/>
          <w:szCs w:val="18"/>
          <w:color w:val="auto"/>
        </w:rPr>
      </w:pPr>
      <w:r>
        <w:rPr>
          <w:rFonts w:ascii="Arial" w:cs="Arial" w:eastAsia="Arial" w:hAnsi="Arial"/>
          <w:sz w:val="18"/>
          <w:szCs w:val="18"/>
          <w:color w:val="auto"/>
        </w:rPr>
        <w:t xml:space="preserve">Each Loan Party that is a Qualified ECP when its guaranty of or grant of Lien as security for a Swap Obligation becomes effective hereby jointly and severally, absolutely, unconditionally and irrevocably undertakes to provide such funds or other support to each Specified Loan Party with respect to such Swap Obligation as may be needed by such Specified Loan Party from time to time to honor all of its obligations under the Loan Documents in respect of such Swap Obligation (but, in each case, only up to the maximum amount of such liability that can be hereby incurred without rendering such Qualified ECP’s obligations and undertakings under this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voidable under any applicable fraudulent transfer or conveyance act). The obligations and undertakings of each Qualified ECP under this Section shall remain in full force and effect until Payment in Full. Each Loan Party intends this Section to constitute, and this Section shall be deemed to constitute, a guarantee of the obligations of, and a “keepwell, support or other agreement” for the benefit of, each Loan Party for all purposes of the Commodity Exchange Act.</w:t>
      </w:r>
    </w:p>
    <w:p>
      <w:pPr>
        <w:spacing w:after="0" w:line="167" w:lineRule="exact"/>
        <w:rPr>
          <w:rFonts w:ascii="Arial" w:cs="Arial" w:eastAsia="Arial" w:hAnsi="Arial"/>
          <w:sz w:val="18"/>
          <w:szCs w:val="18"/>
          <w:color w:val="auto"/>
        </w:rPr>
      </w:pPr>
    </w:p>
    <w:p>
      <w:pPr>
        <w:jc w:val="both"/>
        <w:ind w:firstLine="634"/>
        <w:spacing w:after="0" w:line="254" w:lineRule="auto"/>
        <w:tabs>
          <w:tab w:leader="none" w:pos="1247" w:val="left"/>
        </w:tabs>
        <w:numPr>
          <w:ilvl w:val="0"/>
          <w:numId w:val="171"/>
        </w:numPr>
        <w:rPr>
          <w:rFonts w:ascii="Arial" w:cs="Arial" w:eastAsia="Arial" w:hAnsi="Arial"/>
          <w:sz w:val="19"/>
          <w:szCs w:val="19"/>
          <w:color w:val="auto"/>
        </w:rPr>
      </w:pPr>
      <w:r>
        <w:rPr>
          <w:rFonts w:ascii="Arial" w:cs="Arial" w:eastAsia="Arial" w:hAnsi="Arial"/>
          <w:sz w:val="19"/>
          <w:szCs w:val="19"/>
          <w:u w:val="single" w:color="auto"/>
          <w:color w:val="auto"/>
        </w:rPr>
        <w:t>Direct Liability; Separate Borrowing Availability</w:t>
      </w:r>
      <w:r>
        <w:rPr>
          <w:rFonts w:ascii="Arial" w:cs="Arial" w:eastAsia="Arial" w:hAnsi="Arial"/>
          <w:sz w:val="19"/>
          <w:szCs w:val="19"/>
          <w:color w:val="auto"/>
        </w:rPr>
        <w:t xml:space="preserve">. Nothing contained in this </w:t>
      </w:r>
      <w:r>
        <w:rPr>
          <w:rFonts w:ascii="Arial" w:cs="Arial" w:eastAsia="Arial" w:hAnsi="Arial"/>
          <w:sz w:val="19"/>
          <w:szCs w:val="19"/>
          <w:u w:val="single" w:color="auto"/>
          <w:color w:val="auto"/>
        </w:rPr>
        <w:t>Section 2.15</w:t>
      </w:r>
      <w:r>
        <w:rPr>
          <w:rFonts w:ascii="Arial" w:cs="Arial" w:eastAsia="Arial" w:hAnsi="Arial"/>
          <w:sz w:val="19"/>
          <w:szCs w:val="19"/>
          <w:color w:val="auto"/>
        </w:rPr>
        <w:t xml:space="preserve"> shall limit the liability of any Borrower to pay Loans made directly or indirectly to that Borrower (including Loans advanced to any other Borrower and then re-loaned or otherwise transferred to, or for the benefit of, such Borrower), Letter of Credit Obligations relating to Letters of Credit issued to support such Borrower’s business, and all accrued interest, fees, expenses and other related Obligations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92</w:t>
      </w:r>
    </w:p>
    <w:p>
      <w:pPr>
        <w:sectPr>
          <w:pgSz w:w="11900" w:h="16838" w:orient="portrait"/>
          <w:cols w:equalWidth="0" w:num="1">
            <w:col w:w="11240"/>
          </w:cols>
          <w:pgMar w:left="320" w:top="1382" w:right="339" w:bottom="1440" w:gutter="0" w:footer="0" w:header="0"/>
        </w:sectPr>
      </w:pPr>
    </w:p>
    <w:bookmarkStart w:id="211" w:name="page212"/>
    <w:bookmarkEnd w:id="211"/>
    <w:p>
      <w:pPr>
        <w:jc w:val="both"/>
        <w:spacing w:after="0" w:line="254" w:lineRule="auto"/>
        <w:rPr>
          <w:sz w:val="20"/>
          <w:szCs w:val="20"/>
          <w:color w:val="auto"/>
        </w:rPr>
      </w:pPr>
      <w:r>
        <w:rPr>
          <w:rFonts w:ascii="Arial" w:cs="Arial" w:eastAsia="Arial" w:hAnsi="Arial"/>
          <w:sz w:val="19"/>
          <w:szCs w:val="19"/>
          <w:color w:val="auto"/>
        </w:rPr>
        <w:t>respect thereto, for which such Borrower shall be primarily liable for all purposes hereunder. The Administrative Agent and Lenders shall have the right, at any time in their discretion, to condition Revolving Credit Loans and Letters of Credit upon a separate calculation of borrowing availability consistent with the Borrowing Base for each Borrower and to restrict the disbursement and use of such Revolving Credit Loans and Letters of Credit to such Borrower.</w:t>
      </w:r>
    </w:p>
    <w:p>
      <w:pPr>
        <w:spacing w:after="0" w:line="177" w:lineRule="exact"/>
        <w:rPr>
          <w:sz w:val="20"/>
          <w:szCs w:val="20"/>
          <w:color w:val="auto"/>
        </w:rPr>
      </w:pPr>
    </w:p>
    <w:p>
      <w:pPr>
        <w:jc w:val="both"/>
        <w:ind w:firstLine="634"/>
        <w:spacing w:after="0" w:line="249" w:lineRule="auto"/>
        <w:tabs>
          <w:tab w:leader="none" w:pos="1249" w:val="left"/>
        </w:tabs>
        <w:numPr>
          <w:ilvl w:val="0"/>
          <w:numId w:val="172"/>
        </w:numPr>
        <w:rPr>
          <w:rFonts w:ascii="Arial" w:cs="Arial" w:eastAsia="Arial" w:hAnsi="Arial"/>
          <w:sz w:val="19"/>
          <w:szCs w:val="19"/>
          <w:color w:val="auto"/>
        </w:rPr>
      </w:pPr>
      <w:r>
        <w:rPr>
          <w:rFonts w:ascii="Arial" w:cs="Arial" w:eastAsia="Arial" w:hAnsi="Arial"/>
          <w:sz w:val="19"/>
          <w:szCs w:val="19"/>
          <w:u w:val="single" w:color="auto"/>
          <w:color w:val="auto"/>
        </w:rPr>
        <w:t>Joint Enterprise</w:t>
      </w:r>
      <w:r>
        <w:rPr>
          <w:rFonts w:ascii="Arial" w:cs="Arial" w:eastAsia="Arial" w:hAnsi="Arial"/>
          <w:sz w:val="19"/>
          <w:szCs w:val="19"/>
          <w:color w:val="auto"/>
        </w:rPr>
        <w:t>. Each Borrower has requested that the Administrative Agent and Lenders make this credit facility available to Borrowers on a combined basis, in order to finance Borrowers’ business most efficiently and economically. The Borrowers’ business is a mutual and collective enterprise, and the successful operation of each Borrower is dependent upon the successful performance of the integrated group. The Borrowers believe that consolidation of their credit facility will enhance the borrowing power of each Borrower and ease administration of the Revolving Credit Facility, all to their mutual advantage. The Borrowers acknowledge that the Administrative Agent’s and Lenders’ willingness to extend credit and to administer the Collateral on a combined basis hereunder is done solely as an accommodation to Borrowers and at Borrowers’ request.</w:t>
      </w:r>
    </w:p>
    <w:p>
      <w:pPr>
        <w:spacing w:after="0" w:line="183" w:lineRule="exact"/>
        <w:rPr>
          <w:rFonts w:ascii="Arial" w:cs="Arial" w:eastAsia="Arial" w:hAnsi="Arial"/>
          <w:sz w:val="19"/>
          <w:szCs w:val="19"/>
          <w:color w:val="auto"/>
        </w:rPr>
      </w:pPr>
    </w:p>
    <w:p>
      <w:pPr>
        <w:jc w:val="both"/>
        <w:ind w:firstLine="634"/>
        <w:spacing w:after="0" w:line="259" w:lineRule="auto"/>
        <w:tabs>
          <w:tab w:leader="none" w:pos="1254" w:val="left"/>
        </w:tabs>
        <w:numPr>
          <w:ilvl w:val="0"/>
          <w:numId w:val="172"/>
        </w:numPr>
        <w:rPr>
          <w:rFonts w:ascii="Arial" w:cs="Arial" w:eastAsia="Arial" w:hAnsi="Arial"/>
          <w:sz w:val="19"/>
          <w:szCs w:val="19"/>
          <w:color w:val="auto"/>
        </w:rPr>
      </w:pPr>
      <w:r>
        <w:rPr>
          <w:rFonts w:ascii="Arial" w:cs="Arial" w:eastAsia="Arial" w:hAnsi="Arial"/>
          <w:sz w:val="19"/>
          <w:szCs w:val="19"/>
          <w:u w:val="single" w:color="auto"/>
          <w:color w:val="auto"/>
        </w:rPr>
        <w:t>Subordination</w:t>
      </w:r>
      <w:r>
        <w:rPr>
          <w:rFonts w:ascii="Arial" w:cs="Arial" w:eastAsia="Arial" w:hAnsi="Arial"/>
          <w:sz w:val="19"/>
          <w:szCs w:val="19"/>
          <w:color w:val="auto"/>
        </w:rPr>
        <w:t>. Each Loan Party hereby subordinates any claims, including any rights at law or in equity to payment, subrogation, reimbursement, exoneration, contribution, indemnification or set off, that it may have at any time against any other Loan Party, howsoever arising, to the full payment in cash or Cash Collateralization of all Obligations on the Facility Termination Date.</w:t>
      </w:r>
    </w:p>
    <w:p>
      <w:pPr>
        <w:spacing w:after="0" w:line="171" w:lineRule="exact"/>
        <w:rPr>
          <w:rFonts w:ascii="Arial" w:cs="Arial" w:eastAsia="Arial" w:hAnsi="Arial"/>
          <w:sz w:val="19"/>
          <w:szCs w:val="19"/>
          <w:color w:val="auto"/>
        </w:rPr>
      </w:pPr>
    </w:p>
    <w:p>
      <w:pPr>
        <w:ind w:left="1260" w:hanging="626"/>
        <w:spacing w:after="0"/>
        <w:tabs>
          <w:tab w:leader="none" w:pos="1260" w:val="left"/>
        </w:tabs>
        <w:numPr>
          <w:ilvl w:val="0"/>
          <w:numId w:val="172"/>
        </w:numPr>
        <w:rPr>
          <w:rFonts w:ascii="Arial" w:cs="Arial" w:eastAsia="Arial" w:hAnsi="Arial"/>
          <w:sz w:val="19"/>
          <w:szCs w:val="19"/>
          <w:color w:val="auto"/>
        </w:rPr>
      </w:pPr>
      <w:r>
        <w:rPr>
          <w:rFonts w:ascii="Arial" w:cs="Arial" w:eastAsia="Arial" w:hAnsi="Arial"/>
          <w:sz w:val="19"/>
          <w:szCs w:val="19"/>
          <w:u w:val="single" w:color="auto"/>
          <w:color w:val="auto"/>
        </w:rPr>
        <w:t>Borrower Agent</w:t>
      </w:r>
      <w:r>
        <w:rPr>
          <w:rFonts w:ascii="Arial" w:cs="Arial" w:eastAsia="Arial" w:hAnsi="Arial"/>
          <w:sz w:val="19"/>
          <w:szCs w:val="19"/>
          <w:color w:val="auto"/>
        </w:rPr>
        <w:t>.</w:t>
      </w:r>
    </w:p>
    <w:p>
      <w:pPr>
        <w:spacing w:after="0" w:line="214" w:lineRule="exact"/>
        <w:rPr>
          <w:rFonts w:ascii="Arial" w:cs="Arial" w:eastAsia="Arial" w:hAnsi="Arial"/>
          <w:sz w:val="19"/>
          <w:szCs w:val="19"/>
          <w:color w:val="auto"/>
        </w:rPr>
      </w:pPr>
    </w:p>
    <w:p>
      <w:pPr>
        <w:jc w:val="both"/>
        <w:ind w:left="640" w:firstLine="624"/>
        <w:spacing w:after="0" w:line="283" w:lineRule="auto"/>
        <w:tabs>
          <w:tab w:leader="none" w:pos="1897" w:val="left"/>
        </w:tabs>
        <w:numPr>
          <w:ilvl w:val="1"/>
          <w:numId w:val="172"/>
        </w:numPr>
        <w:rPr>
          <w:rFonts w:ascii="Arial" w:cs="Arial" w:eastAsia="Arial" w:hAnsi="Arial"/>
          <w:sz w:val="17"/>
          <w:szCs w:val="17"/>
          <w:color w:val="auto"/>
        </w:rPr>
      </w:pPr>
      <w:r>
        <w:rPr>
          <w:rFonts w:ascii="Arial" w:cs="Arial" w:eastAsia="Arial" w:hAnsi="Arial"/>
          <w:sz w:val="17"/>
          <w:szCs w:val="17"/>
          <w:color w:val="auto"/>
        </w:rPr>
        <w:t>Each Loan Party hereby irrevocably appoints and designates (or, if not a party hereto, by execution and delivery of a guaranty agreement acceptable to Administrative Agent or otherwise becoming a Guarantor hereunder shall be deemed to have irrevocably appointed and designated) Matrix Service Company (“</w:t>
      </w:r>
      <w:r>
        <w:rPr>
          <w:rFonts w:ascii="Arial" w:cs="Arial" w:eastAsia="Arial" w:hAnsi="Arial"/>
          <w:sz w:val="17"/>
          <w:szCs w:val="17"/>
          <w:u w:val="single" w:color="auto"/>
          <w:color w:val="auto"/>
        </w:rPr>
        <w:t>Borrower Agent</w:t>
      </w:r>
      <w:r>
        <w:rPr>
          <w:rFonts w:ascii="Arial" w:cs="Arial" w:eastAsia="Arial" w:hAnsi="Arial"/>
          <w:sz w:val="17"/>
          <w:szCs w:val="17"/>
          <w:color w:val="auto"/>
        </w:rPr>
        <w:t>”) as its representative and agent and attorney-in-fact for all purposes under the Loan Documents, including, as applicable, requests for Credit Extensions, designation of interest rates, delivery or receipt of communications, preparation and delivery of Borrowing Base and financial reports, receipt and payment of Obligations, requests for waivers, amendments or other accommodations, actions under the Loan Documents (including in respect of compliance with covenants), and all other dealings with the Administrative Agent, the Letter of Credit Issuers, Swing Line Lender or any Lender.</w:t>
      </w:r>
    </w:p>
    <w:p>
      <w:pPr>
        <w:spacing w:after="0" w:line="156" w:lineRule="exact"/>
        <w:rPr>
          <w:rFonts w:ascii="Arial" w:cs="Arial" w:eastAsia="Arial" w:hAnsi="Arial"/>
          <w:sz w:val="17"/>
          <w:szCs w:val="17"/>
          <w:color w:val="auto"/>
        </w:rPr>
      </w:pPr>
    </w:p>
    <w:p>
      <w:pPr>
        <w:jc w:val="both"/>
        <w:ind w:left="640" w:firstLine="624"/>
        <w:spacing w:after="0" w:line="259" w:lineRule="auto"/>
        <w:tabs>
          <w:tab w:leader="none" w:pos="1897" w:val="left"/>
        </w:tabs>
        <w:numPr>
          <w:ilvl w:val="1"/>
          <w:numId w:val="172"/>
        </w:numPr>
        <w:rPr>
          <w:rFonts w:ascii="Arial" w:cs="Arial" w:eastAsia="Arial" w:hAnsi="Arial"/>
          <w:sz w:val="19"/>
          <w:szCs w:val="19"/>
          <w:color w:val="auto"/>
        </w:rPr>
      </w:pPr>
      <w:r>
        <w:rPr>
          <w:rFonts w:ascii="Arial" w:cs="Arial" w:eastAsia="Arial" w:hAnsi="Arial"/>
          <w:sz w:val="19"/>
          <w:szCs w:val="19"/>
          <w:color w:val="auto"/>
        </w:rPr>
        <w:t>Any notice, election, representation, warranty, agreement or undertaking by or on behalf of any Loan Party by the Borrower Agent shall be deemed for all purposes to have been made by such Loan Party and shall be binding upon and enforceable against such Loan Party to the same extent as if made directly by such Loan Party.</w:t>
      </w:r>
    </w:p>
    <w:p>
      <w:pPr>
        <w:spacing w:after="0" w:line="171" w:lineRule="exact"/>
        <w:rPr>
          <w:rFonts w:ascii="Arial" w:cs="Arial" w:eastAsia="Arial" w:hAnsi="Arial"/>
          <w:sz w:val="19"/>
          <w:szCs w:val="19"/>
          <w:color w:val="auto"/>
        </w:rPr>
      </w:pPr>
    </w:p>
    <w:p>
      <w:pPr>
        <w:ind w:left="1900" w:hanging="636"/>
        <w:spacing w:after="0"/>
        <w:tabs>
          <w:tab w:leader="none" w:pos="1900" w:val="left"/>
        </w:tabs>
        <w:numPr>
          <w:ilvl w:val="1"/>
          <w:numId w:val="172"/>
        </w:numPr>
        <w:rPr>
          <w:rFonts w:ascii="Arial" w:cs="Arial" w:eastAsia="Arial" w:hAnsi="Arial"/>
          <w:sz w:val="17"/>
          <w:szCs w:val="17"/>
          <w:color w:val="auto"/>
        </w:rPr>
      </w:pPr>
      <w:r>
        <w:rPr>
          <w:rFonts w:ascii="Arial" w:cs="Arial" w:eastAsia="Arial" w:hAnsi="Arial"/>
          <w:sz w:val="17"/>
          <w:szCs w:val="17"/>
          <w:color w:val="auto"/>
        </w:rPr>
        <w:t>The Borrower Agent hereby accepts the appointment by each Loan Party hereunder to act as its agent and attorney-in-</w:t>
      </w:r>
    </w:p>
    <w:p>
      <w:pPr>
        <w:spacing w:after="0" w:line="43" w:lineRule="exact"/>
        <w:rPr>
          <w:rFonts w:ascii="Arial" w:cs="Arial" w:eastAsia="Arial" w:hAnsi="Arial"/>
          <w:sz w:val="17"/>
          <w:szCs w:val="17"/>
          <w:color w:val="auto"/>
        </w:rPr>
      </w:pPr>
    </w:p>
    <w:p>
      <w:pPr>
        <w:ind w:left="640"/>
        <w:spacing w:after="0"/>
        <w:rPr>
          <w:rFonts w:ascii="Arial" w:cs="Arial" w:eastAsia="Arial" w:hAnsi="Arial"/>
          <w:sz w:val="17"/>
          <w:szCs w:val="17"/>
          <w:color w:val="auto"/>
        </w:rPr>
      </w:pPr>
      <w:r>
        <w:rPr>
          <w:rFonts w:ascii="Arial" w:cs="Arial" w:eastAsia="Arial" w:hAnsi="Arial"/>
          <w:sz w:val="19"/>
          <w:szCs w:val="19"/>
          <w:color w:val="auto"/>
        </w:rPr>
        <w:t>fact.</w:t>
      </w:r>
    </w:p>
    <w:p>
      <w:pPr>
        <w:spacing w:after="0" w:line="198" w:lineRule="exact"/>
        <w:rPr>
          <w:rFonts w:ascii="Arial" w:cs="Arial" w:eastAsia="Arial" w:hAnsi="Arial"/>
          <w:sz w:val="17"/>
          <w:szCs w:val="17"/>
          <w:color w:val="auto"/>
        </w:rPr>
      </w:pPr>
    </w:p>
    <w:p>
      <w:pPr>
        <w:jc w:val="both"/>
        <w:ind w:left="640" w:firstLine="624"/>
        <w:spacing w:after="0" w:line="252" w:lineRule="auto"/>
        <w:tabs>
          <w:tab w:leader="none" w:pos="1888" w:val="left"/>
        </w:tabs>
        <w:numPr>
          <w:ilvl w:val="1"/>
          <w:numId w:val="172"/>
        </w:numPr>
        <w:rPr>
          <w:rFonts w:ascii="Arial" w:cs="Arial" w:eastAsia="Arial" w:hAnsi="Arial"/>
          <w:sz w:val="19"/>
          <w:szCs w:val="19"/>
          <w:color w:val="auto"/>
        </w:rPr>
      </w:pPr>
      <w:r>
        <w:rPr>
          <w:rFonts w:ascii="Arial" w:cs="Arial" w:eastAsia="Arial" w:hAnsi="Arial"/>
          <w:sz w:val="19"/>
          <w:szCs w:val="19"/>
          <w:color w:val="auto"/>
        </w:rPr>
        <w:t>The Administrative Agent and Lenders shall be entitled to rely upon, and shall be fully protected in relying upon, any notice or communication (including any notice of borrowing) delivered by Borrower Agent on behalf of any Borrower or other Loan Party. The Administrative Agent and Lenders may give any notice to or communication with a Loan Party hereunder to the Borrower Agent on behalf of such Loan Party. Each of the Administrative Agent, the Letter of Credit Issuers and the Lenders shall have the right, in its discretion, to deal exclusively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93</w:t>
      </w:r>
    </w:p>
    <w:p>
      <w:pPr>
        <w:sectPr>
          <w:pgSz w:w="11900" w:h="16838" w:orient="portrait"/>
          <w:cols w:equalWidth="0" w:num="1">
            <w:col w:w="11240"/>
          </w:cols>
          <w:pgMar w:left="320" w:top="1382" w:right="339" w:bottom="1440" w:gutter="0" w:footer="0" w:header="0"/>
        </w:sectPr>
      </w:pPr>
    </w:p>
    <w:bookmarkStart w:id="212" w:name="page213"/>
    <w:bookmarkEnd w:id="212"/>
    <w:p>
      <w:pPr>
        <w:jc w:val="both"/>
        <w:ind w:left="640"/>
        <w:spacing w:after="0" w:line="254" w:lineRule="auto"/>
        <w:rPr>
          <w:sz w:val="20"/>
          <w:szCs w:val="20"/>
          <w:color w:val="auto"/>
        </w:rPr>
      </w:pPr>
      <w:r>
        <w:rPr>
          <w:rFonts w:ascii="Arial" w:cs="Arial" w:eastAsia="Arial" w:hAnsi="Arial"/>
          <w:sz w:val="19"/>
          <w:szCs w:val="19"/>
          <w:color w:val="auto"/>
        </w:rPr>
        <w:t>Borrower Agent for any or all purposes under the Loan Documents. Each Loan Party agrees (or, if not a party hereto, by execution and delivery of a guaranty agreement acceptable to Administrative Agent or otherwise becoming a Guarantor hereunder shall be deemed to have agreed) that any notice, election, communication, representation, agreement or undertaking made on its behalf by Borrower Agent shall be binding upon and enforceable against it.</w:t>
      </w:r>
    </w:p>
    <w:p>
      <w:pPr>
        <w:spacing w:after="0" w:line="171"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9"/>
          <w:szCs w:val="19"/>
          <w:b w:val="1"/>
          <w:bCs w:val="1"/>
          <w:color w:val="auto"/>
        </w:rPr>
        <w:t>2.16</w:t>
      </w:r>
      <w:r>
        <w:rPr>
          <w:sz w:val="20"/>
          <w:szCs w:val="20"/>
          <w:color w:val="auto"/>
        </w:rPr>
        <w:tab/>
      </w:r>
      <w:r>
        <w:rPr>
          <w:rFonts w:ascii="Arial" w:cs="Arial" w:eastAsia="Arial" w:hAnsi="Arial"/>
          <w:sz w:val="17"/>
          <w:szCs w:val="17"/>
          <w:b w:val="1"/>
          <w:bCs w:val="1"/>
          <w:color w:val="auto"/>
        </w:rPr>
        <w:t>Cash Collateral.</w:t>
      </w:r>
    </w:p>
    <w:p>
      <w:pPr>
        <w:spacing w:after="0" w:line="220" w:lineRule="exact"/>
        <w:rPr>
          <w:sz w:val="20"/>
          <w:szCs w:val="20"/>
          <w:color w:val="auto"/>
        </w:rPr>
      </w:pPr>
    </w:p>
    <w:p>
      <w:pPr>
        <w:jc w:val="both"/>
        <w:ind w:firstLine="634"/>
        <w:spacing w:after="0" w:line="264" w:lineRule="auto"/>
        <w:tabs>
          <w:tab w:leader="none" w:pos="1249" w:val="left"/>
        </w:tabs>
        <w:numPr>
          <w:ilvl w:val="0"/>
          <w:numId w:val="173"/>
        </w:numPr>
        <w:rPr>
          <w:rFonts w:ascii="Arial" w:cs="Arial" w:eastAsia="Arial" w:hAnsi="Arial"/>
          <w:sz w:val="18"/>
          <w:szCs w:val="18"/>
          <w:color w:val="auto"/>
        </w:rPr>
      </w:pPr>
      <w:r>
        <w:rPr>
          <w:rFonts w:ascii="Arial" w:cs="Arial" w:eastAsia="Arial" w:hAnsi="Arial"/>
          <w:sz w:val="18"/>
          <w:szCs w:val="18"/>
          <w:u w:val="single" w:color="auto"/>
          <w:color w:val="auto"/>
        </w:rPr>
        <w:t>Certain Credit Support Events</w:t>
      </w:r>
      <w:r>
        <w:rPr>
          <w:rFonts w:ascii="Arial" w:cs="Arial" w:eastAsia="Arial" w:hAnsi="Arial"/>
          <w:sz w:val="18"/>
          <w:szCs w:val="18"/>
          <w:color w:val="auto"/>
        </w:rPr>
        <w:t xml:space="preserve">. If (i) the Letter of Credit Issuer has honored any full or partial drawing request under any Letter of Credit upon presentation and such drawing has resulted in a Letter of Credit Borrowing, (ii) as of the Letter of Credit Expiration Date, any Letter of Credit Obligation for any reason remains outstanding, (iii) any Protective Advance shall not have been funded by the Lenders upon demand by the Administrative Agent, (iv) the Borrowers shall be required to provide Cash Collateral pursuant to </w:t>
      </w:r>
      <w:r>
        <w:rPr>
          <w:rFonts w:ascii="Arial" w:cs="Arial" w:eastAsia="Arial" w:hAnsi="Arial"/>
          <w:sz w:val="18"/>
          <w:szCs w:val="18"/>
          <w:u w:val="single" w:color="auto"/>
          <w:color w:val="auto"/>
        </w:rPr>
        <w:t>Section 9.02</w:t>
      </w:r>
      <w:r>
        <w:rPr>
          <w:rFonts w:ascii="Arial" w:cs="Arial" w:eastAsia="Arial" w:hAnsi="Arial"/>
          <w:sz w:val="18"/>
          <w:szCs w:val="18"/>
          <w:color w:val="auto"/>
        </w:rPr>
        <w:t xml:space="preserve"> or (v) there shall exist a Defaulting Lender, the Borrowers shall immediately (in the case of clause (iv) above) or within one Business Day (in all other cases) following any written request by the Administrative Agent or the Letter of Credit Issuer, provide Cash Collateral in an amount not less than the Minimum Collateral Amount (determined in the case of Cash Collateral provided pursuant to clause (v) above, after giving effect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2.17(a)(iv)</w:t>
      </w:r>
      <w:r>
        <w:rPr>
          <w:rFonts w:ascii="Arial" w:cs="Arial" w:eastAsia="Arial" w:hAnsi="Arial"/>
          <w:sz w:val="18"/>
          <w:szCs w:val="18"/>
          <w:color w:val="auto"/>
        </w:rPr>
        <w:t xml:space="preserve"> and any Cash Collateral provided by the Defaulting Lender).</w:t>
      </w:r>
    </w:p>
    <w:p>
      <w:pPr>
        <w:spacing w:after="0" w:line="171" w:lineRule="exact"/>
        <w:rPr>
          <w:rFonts w:ascii="Arial" w:cs="Arial" w:eastAsia="Arial" w:hAnsi="Arial"/>
          <w:sz w:val="18"/>
          <w:szCs w:val="18"/>
          <w:color w:val="auto"/>
        </w:rPr>
      </w:pPr>
    </w:p>
    <w:p>
      <w:pPr>
        <w:jc w:val="both"/>
        <w:ind w:firstLine="634"/>
        <w:spacing w:after="0" w:line="282" w:lineRule="auto"/>
        <w:tabs>
          <w:tab w:leader="none" w:pos="1247" w:val="left"/>
        </w:tabs>
        <w:numPr>
          <w:ilvl w:val="0"/>
          <w:numId w:val="173"/>
        </w:numPr>
        <w:rPr>
          <w:rFonts w:ascii="Arial" w:cs="Arial" w:eastAsia="Arial" w:hAnsi="Arial"/>
          <w:sz w:val="17"/>
          <w:szCs w:val="17"/>
          <w:color w:val="auto"/>
        </w:rPr>
      </w:pPr>
      <w:r>
        <w:rPr>
          <w:rFonts w:ascii="Arial" w:cs="Arial" w:eastAsia="Arial" w:hAnsi="Arial"/>
          <w:sz w:val="17"/>
          <w:szCs w:val="17"/>
          <w:u w:val="single" w:color="auto"/>
          <w:color w:val="auto"/>
        </w:rPr>
        <w:t>Grant of Security Interest</w:t>
      </w:r>
      <w:r>
        <w:rPr>
          <w:rFonts w:ascii="Arial" w:cs="Arial" w:eastAsia="Arial" w:hAnsi="Arial"/>
          <w:sz w:val="17"/>
          <w:szCs w:val="17"/>
          <w:color w:val="auto"/>
        </w:rPr>
        <w:t xml:space="preserve">. The Borrowers, and to the extent provided by any Defaulting Lender, such Defaulting Lender, hereby grant to (and subjects to the control of) the Administrative Agent, for the benefit of the Administrative Agent, the Letter of Credit Issuer and the Lenders, and agree to maintain, a first priority security interest in all such cash, deposit accounts and all balances therein, and all other property so provided as collateral pursuant hereto, and in all proceeds of the foregoing, all as security for the obligations to which such Cash Collateral may be applied pursuant to </w:t>
      </w:r>
      <w:r>
        <w:rPr>
          <w:rFonts w:ascii="Arial" w:cs="Arial" w:eastAsia="Arial" w:hAnsi="Arial"/>
          <w:sz w:val="17"/>
          <w:szCs w:val="17"/>
          <w:u w:val="single" w:color="auto"/>
          <w:color w:val="auto"/>
        </w:rPr>
        <w:t>Section 2.16(c)</w:t>
      </w:r>
      <w:r>
        <w:rPr>
          <w:rFonts w:ascii="Arial" w:cs="Arial" w:eastAsia="Arial" w:hAnsi="Arial"/>
          <w:sz w:val="17"/>
          <w:szCs w:val="17"/>
          <w:color w:val="auto"/>
        </w:rPr>
        <w:t>. If at any time the Administrative Agent determines that Cash Collateral is less than the Minimum Collateral Amount or otherwise deficient for any reason, the Borrowers will, promptly upon demand by the Administrative Agent, pay or provide to the Administrative Agent additional Cash Collateral in an amount sufficient to eliminate such deficiency. All Cash Collateral (other than credit support not constituting funds subject to deposit) shall be maintained in one or more blocked, non-interest bearing deposit accounts at BMO.</w:t>
      </w:r>
    </w:p>
    <w:p>
      <w:pPr>
        <w:spacing w:after="0" w:line="155" w:lineRule="exact"/>
        <w:rPr>
          <w:rFonts w:ascii="Arial" w:cs="Arial" w:eastAsia="Arial" w:hAnsi="Arial"/>
          <w:sz w:val="17"/>
          <w:szCs w:val="17"/>
          <w:color w:val="auto"/>
        </w:rPr>
      </w:pPr>
    </w:p>
    <w:p>
      <w:pPr>
        <w:jc w:val="both"/>
        <w:ind w:firstLine="634"/>
        <w:spacing w:after="0" w:line="269" w:lineRule="auto"/>
        <w:tabs>
          <w:tab w:leader="none" w:pos="1249" w:val="left"/>
        </w:tabs>
        <w:numPr>
          <w:ilvl w:val="0"/>
          <w:numId w:val="173"/>
        </w:numPr>
        <w:rPr>
          <w:rFonts w:ascii="Arial" w:cs="Arial" w:eastAsia="Arial" w:hAnsi="Arial"/>
          <w:sz w:val="18"/>
          <w:szCs w:val="18"/>
          <w:color w:val="auto"/>
        </w:rPr>
      </w:pPr>
      <w:r>
        <w:rPr>
          <w:rFonts w:ascii="Arial" w:cs="Arial" w:eastAsia="Arial" w:hAnsi="Arial"/>
          <w:sz w:val="18"/>
          <w:szCs w:val="18"/>
          <w:u w:val="single" w:color="auto"/>
          <w:color w:val="auto"/>
        </w:rPr>
        <w:t>Application</w:t>
      </w:r>
      <w:r>
        <w:rPr>
          <w:rFonts w:ascii="Arial" w:cs="Arial" w:eastAsia="Arial" w:hAnsi="Arial"/>
          <w:sz w:val="18"/>
          <w:szCs w:val="18"/>
          <w:color w:val="auto"/>
        </w:rPr>
        <w:t>. Notwithstanding anything to the contrary contained in this Agreement, Cash Collateral provided in respect of Letters of Credit, Swing Line Loans or Protective Advances shall be held and applied to the specific Letter of Credit Obligations, Swing Line Loans or Protective Advances (including any the Defaulting Lender’s obligation to fund participations in respect thereof) for which the Cash Collateral was so provided (including, as to Cash Collateral provided by a Defaulting Lender, any interest accrued on such obligation) and other obligations for which the Cash Collateral was so provided, prior to any other application of such property as may be provided for herein.</w:t>
      </w:r>
    </w:p>
    <w:p>
      <w:pPr>
        <w:spacing w:after="0" w:line="164" w:lineRule="exact"/>
        <w:rPr>
          <w:rFonts w:ascii="Arial" w:cs="Arial" w:eastAsia="Arial" w:hAnsi="Arial"/>
          <w:sz w:val="18"/>
          <w:szCs w:val="18"/>
          <w:color w:val="auto"/>
        </w:rPr>
      </w:pPr>
    </w:p>
    <w:p>
      <w:pPr>
        <w:jc w:val="both"/>
        <w:ind w:firstLine="634"/>
        <w:spacing w:after="0" w:line="252" w:lineRule="auto"/>
        <w:tabs>
          <w:tab w:leader="none" w:pos="1247" w:val="left"/>
        </w:tabs>
        <w:numPr>
          <w:ilvl w:val="0"/>
          <w:numId w:val="173"/>
        </w:numPr>
        <w:rPr>
          <w:rFonts w:ascii="Arial" w:cs="Arial" w:eastAsia="Arial" w:hAnsi="Arial"/>
          <w:sz w:val="19"/>
          <w:szCs w:val="19"/>
          <w:color w:val="auto"/>
        </w:rPr>
      </w:pPr>
      <w:r>
        <w:rPr>
          <w:rFonts w:ascii="Arial" w:cs="Arial" w:eastAsia="Arial" w:hAnsi="Arial"/>
          <w:sz w:val="19"/>
          <w:szCs w:val="19"/>
          <w:u w:val="single" w:color="auto"/>
          <w:color w:val="auto"/>
        </w:rPr>
        <w:t>Release</w:t>
      </w:r>
      <w:r>
        <w:rPr>
          <w:rFonts w:ascii="Arial" w:cs="Arial" w:eastAsia="Arial" w:hAnsi="Arial"/>
          <w:sz w:val="19"/>
          <w:szCs w:val="19"/>
          <w:color w:val="auto"/>
        </w:rPr>
        <w:t xml:space="preserve">. Cash Collateral (or the appropriate portion thereof) provided to reduce Fronting Exposure or to secure other obligations shall be released promptly following (i) the elimination of the applicable Fronting Exposure or other obligations giving rise thereto (including by the termination of Defaulting Lender status of the applicable Revolving Credit Lender (or, as appropriate, its assignee following compliance with </w:t>
      </w:r>
      <w:r>
        <w:rPr>
          <w:rFonts w:ascii="Arial" w:cs="Arial" w:eastAsia="Arial" w:hAnsi="Arial"/>
          <w:sz w:val="19"/>
          <w:szCs w:val="19"/>
          <w:u w:val="single" w:color="auto"/>
          <w:color w:val="auto"/>
        </w:rPr>
        <w:t>Section 11.06(b)(vi)</w:t>
      </w:r>
      <w:r>
        <w:rPr>
          <w:rFonts w:ascii="Arial" w:cs="Arial" w:eastAsia="Arial" w:hAnsi="Arial"/>
          <w:sz w:val="19"/>
          <w:szCs w:val="19"/>
          <w:color w:val="auto"/>
        </w:rPr>
        <w:t>)) or (ii) the determination by the Administrative Agent and the Letter of Credit Issuer that there exists excess Cash Collateral.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94</w:t>
      </w:r>
    </w:p>
    <w:p>
      <w:pPr>
        <w:sectPr>
          <w:pgSz w:w="11900" w:h="16838" w:orient="portrait"/>
          <w:cols w:equalWidth="0" w:num="1">
            <w:col w:w="11240"/>
          </w:cols>
          <w:pgMar w:left="320" w:top="1381" w:right="339" w:bottom="1440" w:gutter="0" w:footer="0" w:header="0"/>
        </w:sectPr>
      </w:pPr>
    </w:p>
    <w:bookmarkStart w:id="213" w:name="page214"/>
    <w:bookmarkEnd w:id="213"/>
    <w:p>
      <w:pPr>
        <w:ind w:left="640"/>
        <w:spacing w:after="0"/>
        <w:tabs>
          <w:tab w:leader="none" w:pos="1240" w:val="left"/>
        </w:tabs>
        <w:rPr>
          <w:sz w:val="20"/>
          <w:szCs w:val="20"/>
          <w:color w:val="auto"/>
        </w:rPr>
      </w:pPr>
      <w:r>
        <w:rPr>
          <w:rFonts w:ascii="Arial" w:cs="Arial" w:eastAsia="Arial" w:hAnsi="Arial"/>
          <w:sz w:val="19"/>
          <w:szCs w:val="19"/>
          <w:b w:val="1"/>
          <w:bCs w:val="1"/>
          <w:color w:val="auto"/>
        </w:rPr>
        <w:t>2.17</w:t>
      </w:r>
      <w:r>
        <w:rPr>
          <w:sz w:val="20"/>
          <w:szCs w:val="20"/>
          <w:color w:val="auto"/>
        </w:rPr>
        <w:tab/>
      </w:r>
      <w:r>
        <w:rPr>
          <w:rFonts w:ascii="Arial" w:cs="Arial" w:eastAsia="Arial" w:hAnsi="Arial"/>
          <w:sz w:val="17"/>
          <w:szCs w:val="17"/>
          <w:b w:val="1"/>
          <w:bCs w:val="1"/>
          <w:color w:val="auto"/>
        </w:rPr>
        <w:t>Defaulting Lenders</w:t>
      </w:r>
      <w:r>
        <w:rPr>
          <w:rFonts w:ascii="Arial" w:cs="Arial" w:eastAsia="Arial" w:hAnsi="Arial"/>
          <w:sz w:val="17"/>
          <w:szCs w:val="17"/>
          <w:color w:val="auto"/>
        </w:rPr>
        <w:t>.</w:t>
      </w:r>
    </w:p>
    <w:p>
      <w:pPr>
        <w:spacing w:after="0" w:line="220" w:lineRule="exact"/>
        <w:rPr>
          <w:sz w:val="20"/>
          <w:szCs w:val="20"/>
          <w:color w:val="auto"/>
        </w:rPr>
      </w:pPr>
    </w:p>
    <w:p>
      <w:pPr>
        <w:ind w:firstLine="634"/>
        <w:spacing w:after="0" w:line="274" w:lineRule="auto"/>
        <w:tabs>
          <w:tab w:leader="none" w:pos="1249" w:val="left"/>
        </w:tabs>
        <w:numPr>
          <w:ilvl w:val="0"/>
          <w:numId w:val="174"/>
        </w:numPr>
        <w:rPr>
          <w:rFonts w:ascii="Arial" w:cs="Arial" w:eastAsia="Arial" w:hAnsi="Arial"/>
          <w:sz w:val="19"/>
          <w:szCs w:val="19"/>
          <w:color w:val="auto"/>
        </w:rPr>
      </w:pPr>
      <w:r>
        <w:rPr>
          <w:rFonts w:ascii="Arial" w:cs="Arial" w:eastAsia="Arial" w:hAnsi="Arial"/>
          <w:sz w:val="19"/>
          <w:szCs w:val="19"/>
          <w:u w:val="single" w:color="auto"/>
          <w:color w:val="auto"/>
        </w:rPr>
        <w:t>Adjustments</w:t>
      </w:r>
      <w:r>
        <w:rPr>
          <w:rFonts w:ascii="Arial" w:cs="Arial" w:eastAsia="Arial" w:hAnsi="Arial"/>
          <w:sz w:val="19"/>
          <w:szCs w:val="19"/>
          <w:color w:val="auto"/>
        </w:rPr>
        <w:t>. Notwithstanding anything to the contrary contained in this Agreement, if any Lender becomes a Defaulting Lender, then, until such time as that Lender is no longer a Defaulting Lender, to the extent permitted by applicable Law:</w:t>
      </w:r>
    </w:p>
    <w:p>
      <w:pPr>
        <w:spacing w:after="0" w:line="156" w:lineRule="exact"/>
        <w:rPr>
          <w:rFonts w:ascii="Arial" w:cs="Arial" w:eastAsia="Arial" w:hAnsi="Arial"/>
          <w:sz w:val="19"/>
          <w:szCs w:val="19"/>
          <w:color w:val="auto"/>
        </w:rPr>
      </w:pPr>
    </w:p>
    <w:p>
      <w:pPr>
        <w:jc w:val="both"/>
        <w:ind w:left="640" w:firstLine="624"/>
        <w:spacing w:after="0" w:line="259" w:lineRule="auto"/>
        <w:tabs>
          <w:tab w:leader="none" w:pos="1897" w:val="left"/>
        </w:tabs>
        <w:numPr>
          <w:ilvl w:val="1"/>
          <w:numId w:val="174"/>
        </w:numPr>
        <w:rPr>
          <w:rFonts w:ascii="Arial" w:cs="Arial" w:eastAsia="Arial" w:hAnsi="Arial"/>
          <w:sz w:val="19"/>
          <w:szCs w:val="19"/>
          <w:color w:val="auto"/>
        </w:rPr>
      </w:pPr>
      <w:r>
        <w:rPr>
          <w:rFonts w:ascii="Arial" w:cs="Arial" w:eastAsia="Arial" w:hAnsi="Arial"/>
          <w:sz w:val="19"/>
          <w:szCs w:val="19"/>
          <w:u w:val="single" w:color="auto"/>
          <w:color w:val="auto"/>
        </w:rPr>
        <w:t>Waivers and Amendments</w:t>
      </w:r>
      <w:r>
        <w:rPr>
          <w:rFonts w:ascii="Arial" w:cs="Arial" w:eastAsia="Arial" w:hAnsi="Arial"/>
          <w:sz w:val="19"/>
          <w:szCs w:val="19"/>
          <w:color w:val="auto"/>
        </w:rPr>
        <w:t xml:space="preserve">. Such Defaulting Lender’s right to approve or disapprove any amendment, waiver or consent with respect to this Agreement shall be restricted as set forth in the definition of “Required Lenders”, “Required Supermajority Lenders” and </w:t>
      </w:r>
      <w:r>
        <w:rPr>
          <w:rFonts w:ascii="Arial" w:cs="Arial" w:eastAsia="Arial" w:hAnsi="Arial"/>
          <w:sz w:val="19"/>
          <w:szCs w:val="19"/>
          <w:u w:val="single" w:color="auto"/>
          <w:color w:val="auto"/>
        </w:rPr>
        <w:t>Section 11.01</w:t>
      </w:r>
      <w:r>
        <w:rPr>
          <w:rFonts w:ascii="Arial" w:cs="Arial" w:eastAsia="Arial" w:hAnsi="Arial"/>
          <w:sz w:val="19"/>
          <w:szCs w:val="19"/>
          <w:color w:val="auto"/>
        </w:rPr>
        <w:t>.</w:t>
      </w:r>
    </w:p>
    <w:p>
      <w:pPr>
        <w:spacing w:after="0" w:line="171" w:lineRule="exact"/>
        <w:rPr>
          <w:rFonts w:ascii="Arial" w:cs="Arial" w:eastAsia="Arial" w:hAnsi="Arial"/>
          <w:sz w:val="19"/>
          <w:szCs w:val="19"/>
          <w:color w:val="auto"/>
        </w:rPr>
      </w:pPr>
    </w:p>
    <w:p>
      <w:pPr>
        <w:jc w:val="both"/>
        <w:ind w:left="640" w:firstLine="624"/>
        <w:spacing w:after="0" w:line="276" w:lineRule="auto"/>
        <w:tabs>
          <w:tab w:leader="none" w:pos="1897" w:val="left"/>
        </w:tabs>
        <w:numPr>
          <w:ilvl w:val="1"/>
          <w:numId w:val="174"/>
        </w:numPr>
        <w:rPr>
          <w:rFonts w:ascii="Arial" w:cs="Arial" w:eastAsia="Arial" w:hAnsi="Arial"/>
          <w:sz w:val="17"/>
          <w:szCs w:val="17"/>
          <w:color w:val="auto"/>
        </w:rPr>
      </w:pPr>
      <w:r>
        <w:rPr>
          <w:rFonts w:ascii="Arial" w:cs="Arial" w:eastAsia="Arial" w:hAnsi="Arial"/>
          <w:sz w:val="17"/>
          <w:szCs w:val="17"/>
          <w:u w:val="single" w:color="auto"/>
          <w:color w:val="auto"/>
        </w:rPr>
        <w:t>Reallocation of Payments</w:t>
      </w:r>
      <w:r>
        <w:rPr>
          <w:rFonts w:ascii="Arial" w:cs="Arial" w:eastAsia="Arial" w:hAnsi="Arial"/>
          <w:sz w:val="17"/>
          <w:szCs w:val="17"/>
          <w:color w:val="auto"/>
        </w:rPr>
        <w:t xml:space="preserve">. Any payment of principal, interest, fees or other amounts received by the Administrative Agent for the account of such Defaulting Lender (whether voluntary or mandatory, at maturity, pursuant to </w:t>
      </w:r>
      <w:r>
        <w:rPr>
          <w:rFonts w:ascii="Arial" w:cs="Arial" w:eastAsia="Arial" w:hAnsi="Arial"/>
          <w:sz w:val="17"/>
          <w:szCs w:val="17"/>
          <w:u w:val="single" w:color="auto"/>
          <w:color w:val="auto"/>
        </w:rPr>
        <w:t>Article IX</w:t>
      </w:r>
      <w:r>
        <w:rPr>
          <w:rFonts w:ascii="Arial" w:cs="Arial" w:eastAsia="Arial" w:hAnsi="Arial"/>
          <w:sz w:val="17"/>
          <w:szCs w:val="17"/>
          <w:color w:val="auto"/>
        </w:rPr>
        <w:t xml:space="preserve"> or otherwise) or received by the Administrative Agent from a Defaulting Lender pursuant to </w:t>
      </w:r>
      <w:r>
        <w:rPr>
          <w:rFonts w:ascii="Arial" w:cs="Arial" w:eastAsia="Arial" w:hAnsi="Arial"/>
          <w:sz w:val="17"/>
          <w:szCs w:val="17"/>
          <w:u w:val="single" w:color="auto"/>
          <w:color w:val="auto"/>
        </w:rPr>
        <w:t>Section 11.08</w:t>
      </w:r>
      <w:r>
        <w:rPr>
          <w:rFonts w:ascii="Arial" w:cs="Arial" w:eastAsia="Arial" w:hAnsi="Arial"/>
          <w:sz w:val="17"/>
          <w:szCs w:val="17"/>
          <w:color w:val="auto"/>
        </w:rPr>
        <w:t xml:space="preserve"> shall be applied at such time or times as may be determined by the Administrative Agent as follows: </w:t>
      </w:r>
      <w:r>
        <w:rPr>
          <w:rFonts w:ascii="Arial" w:cs="Arial" w:eastAsia="Arial" w:hAnsi="Arial"/>
          <w:sz w:val="17"/>
          <w:szCs w:val="17"/>
          <w:i w:val="1"/>
          <w:iCs w:val="1"/>
          <w:color w:val="auto"/>
        </w:rPr>
        <w:t>first</w:t>
      </w:r>
      <w:r>
        <w:rPr>
          <w:rFonts w:ascii="Arial" w:cs="Arial" w:eastAsia="Arial" w:hAnsi="Arial"/>
          <w:sz w:val="17"/>
          <w:szCs w:val="17"/>
          <w:color w:val="auto"/>
        </w:rPr>
        <w:t xml:space="preserve">, to the payment of any amounts owing by such Defaulting Lender to the Administrative Agent hereunder; </w:t>
      </w:r>
      <w:r>
        <w:rPr>
          <w:rFonts w:ascii="Arial" w:cs="Arial" w:eastAsia="Arial" w:hAnsi="Arial"/>
          <w:sz w:val="17"/>
          <w:szCs w:val="17"/>
          <w:i w:val="1"/>
          <w:iCs w:val="1"/>
          <w:color w:val="auto"/>
        </w:rPr>
        <w:t>second</w:t>
      </w:r>
      <w:r>
        <w:rPr>
          <w:rFonts w:ascii="Arial" w:cs="Arial" w:eastAsia="Arial" w:hAnsi="Arial"/>
          <w:sz w:val="17"/>
          <w:szCs w:val="17"/>
          <w:color w:val="auto"/>
        </w:rPr>
        <w:t xml:space="preserve">, if such Defaulting Lender is a Revolving Credit Lender, to the payment on a pro rata basis of any amounts owing by that Defaulting Lender to the Letter of Credit Issuer or Swing Line Lender hereunder; </w:t>
      </w:r>
      <w:r>
        <w:rPr>
          <w:rFonts w:ascii="Arial" w:cs="Arial" w:eastAsia="Arial" w:hAnsi="Arial"/>
          <w:sz w:val="17"/>
          <w:szCs w:val="17"/>
          <w:i w:val="1"/>
          <w:iCs w:val="1"/>
          <w:color w:val="auto"/>
        </w:rPr>
        <w:t>third</w:t>
      </w:r>
      <w:r>
        <w:rPr>
          <w:rFonts w:ascii="Arial" w:cs="Arial" w:eastAsia="Arial" w:hAnsi="Arial"/>
          <w:sz w:val="17"/>
          <w:szCs w:val="17"/>
          <w:color w:val="auto"/>
        </w:rPr>
        <w:t xml:space="preserve">, if such Defaulting Lender is a Revolving Credit Lender, to Cash Collateralize the Letter of Credit Issuer’s and the Administrative Agent’s Fronting Exposure with respect to such Defaulting Lender in accordance with </w:t>
      </w:r>
      <w:r>
        <w:rPr>
          <w:rFonts w:ascii="Arial" w:cs="Arial" w:eastAsia="Arial" w:hAnsi="Arial"/>
          <w:sz w:val="17"/>
          <w:szCs w:val="17"/>
          <w:u w:val="single" w:color="auto"/>
          <w:color w:val="auto"/>
        </w:rPr>
        <w:t>Section 2.16</w:t>
      </w:r>
      <w:r>
        <w:rPr>
          <w:rFonts w:ascii="Arial" w:cs="Arial" w:eastAsia="Arial" w:hAnsi="Arial"/>
          <w:sz w:val="17"/>
          <w:szCs w:val="17"/>
          <w:color w:val="auto"/>
        </w:rPr>
        <w:t xml:space="preserve">; </w:t>
      </w:r>
      <w:r>
        <w:rPr>
          <w:rFonts w:ascii="Arial" w:cs="Arial" w:eastAsia="Arial" w:hAnsi="Arial"/>
          <w:sz w:val="17"/>
          <w:szCs w:val="17"/>
          <w:i w:val="1"/>
          <w:iCs w:val="1"/>
          <w:color w:val="auto"/>
        </w:rPr>
        <w:t>fourth</w:t>
      </w:r>
      <w:r>
        <w:rPr>
          <w:rFonts w:ascii="Arial" w:cs="Arial" w:eastAsia="Arial" w:hAnsi="Arial"/>
          <w:sz w:val="17"/>
          <w:szCs w:val="17"/>
          <w:color w:val="auto"/>
        </w:rPr>
        <w:t xml:space="preserve">, as the Borrower Agent may request (so long as no Default or Event of Default exists) to the funding of any Loan in respect of which that Defaulting Lender has failed to fund its portion thereof as required by this Agreement, as determined by the Administrative Agent; </w:t>
      </w:r>
      <w:r>
        <w:rPr>
          <w:rFonts w:ascii="Arial" w:cs="Arial" w:eastAsia="Arial" w:hAnsi="Arial"/>
          <w:sz w:val="17"/>
          <w:szCs w:val="17"/>
          <w:i w:val="1"/>
          <w:iCs w:val="1"/>
          <w:color w:val="auto"/>
        </w:rPr>
        <w:t>fifth</w:t>
      </w:r>
      <w:r>
        <w:rPr>
          <w:rFonts w:ascii="Arial" w:cs="Arial" w:eastAsia="Arial" w:hAnsi="Arial"/>
          <w:sz w:val="17"/>
          <w:szCs w:val="17"/>
          <w:color w:val="auto"/>
        </w:rPr>
        <w:t xml:space="preserve">, if so determined by the Administrative Agent and the Borrower Agent, to be held in a deposit account and released in order to (x) satisfy such Defaulting Lender’s potential future funding obligations with respect to Loans under this Agreement and (y) if such Defaulting Lender is a Revolving Credit Lender, Cash Collateralize the Letter of Credit Issuer’s and the Administrative Agent’s future Fronting Exposure with respect to such Defaulting Lender with respect to future Letters of Credit and Protective Advances; </w:t>
      </w:r>
      <w:r>
        <w:rPr>
          <w:rFonts w:ascii="Arial" w:cs="Arial" w:eastAsia="Arial" w:hAnsi="Arial"/>
          <w:sz w:val="17"/>
          <w:szCs w:val="17"/>
          <w:i w:val="1"/>
          <w:iCs w:val="1"/>
          <w:color w:val="auto"/>
        </w:rPr>
        <w:t>sixth</w:t>
      </w:r>
      <w:r>
        <w:rPr>
          <w:rFonts w:ascii="Arial" w:cs="Arial" w:eastAsia="Arial" w:hAnsi="Arial"/>
          <w:sz w:val="17"/>
          <w:szCs w:val="17"/>
          <w:color w:val="auto"/>
        </w:rPr>
        <w:t xml:space="preserve">, in the case of a Defaulting Lender under the Revolving Credit Facility, to the payment of any obligations owing to the other Lenders under the Revolving Credit Facility (in the case of the Revolving Credit Facility, including the Letter of Credit Issuer or Swing Line Lender) as a result of any judgment of a court of competent jurisdiction obtained by any Lender under the Revolving Credit Facility (in the case of the Revolving Credit Facility, including the Letter of Credit Issuer or Swing Line Lender) against such Defaulting Lender as a result of such Defaulting Lender’s breach of its obligations under this Agreement; </w:t>
      </w:r>
      <w:r>
        <w:rPr>
          <w:rFonts w:ascii="Arial" w:cs="Arial" w:eastAsia="Arial" w:hAnsi="Arial"/>
          <w:sz w:val="17"/>
          <w:szCs w:val="17"/>
          <w:i w:val="1"/>
          <w:iCs w:val="1"/>
          <w:color w:val="auto"/>
        </w:rPr>
        <w:t>seventh</w:t>
      </w:r>
      <w:r>
        <w:rPr>
          <w:rFonts w:ascii="Arial" w:cs="Arial" w:eastAsia="Arial" w:hAnsi="Arial"/>
          <w:sz w:val="17"/>
          <w:szCs w:val="17"/>
          <w:color w:val="auto"/>
        </w:rPr>
        <w:t xml:space="preserve">, so long as no Default or Event of Default exists, to the payment of any amounts owing to the Borrowers as a result of any judgment of a court of competent jurisdiction obtained by the Borrowers against such Defaulting Lender as a result of such Defaulting Lender’s breach of its obligations under this Agreement; and </w:t>
      </w:r>
      <w:r>
        <w:rPr>
          <w:rFonts w:ascii="Arial" w:cs="Arial" w:eastAsia="Arial" w:hAnsi="Arial"/>
          <w:sz w:val="17"/>
          <w:szCs w:val="17"/>
          <w:i w:val="1"/>
          <w:iCs w:val="1"/>
          <w:color w:val="auto"/>
        </w:rPr>
        <w:t>eighth</w:t>
      </w:r>
      <w:r>
        <w:rPr>
          <w:rFonts w:ascii="Arial" w:cs="Arial" w:eastAsia="Arial" w:hAnsi="Arial"/>
          <w:sz w:val="17"/>
          <w:szCs w:val="17"/>
          <w:color w:val="auto"/>
        </w:rPr>
        <w:t xml:space="preserve">, to such Defaulting Lender or as otherwise directed by a court of competent jurisdiction;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(x) such payment is a payment of the principal amount of any Loans or Letter of Credit Borrowings in respect of which that Defaulting Lender has not fully funded its appropriate share and (y) such Loans were made or the related Letters of Credit were issued at a time when the conditions set forth in </w:t>
      </w:r>
      <w:r>
        <w:rPr>
          <w:rFonts w:ascii="Arial" w:cs="Arial" w:eastAsia="Arial" w:hAnsi="Arial"/>
          <w:sz w:val="17"/>
          <w:szCs w:val="17"/>
          <w:u w:val="single" w:color="auto"/>
          <w:color w:val="auto"/>
        </w:rPr>
        <w:t>Section 5.02</w:t>
      </w:r>
      <w:r>
        <w:rPr>
          <w:rFonts w:ascii="Arial" w:cs="Arial" w:eastAsia="Arial" w:hAnsi="Arial"/>
          <w:sz w:val="17"/>
          <w:szCs w:val="17"/>
          <w:color w:val="auto"/>
        </w:rPr>
        <w:t xml:space="preserve"> were satisfied or waived, such payment shall be applied solely to pay the Loans of, and Letter of Credit Obligations owed to, all Non-Defaulting Lenders under the Revolving Credit Facility on a pro rata basis (computed in accordance with the Defaulting Lenders’ respective funding deficiencies)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95</w:t>
      </w:r>
    </w:p>
    <w:p>
      <w:pPr>
        <w:sectPr>
          <w:pgSz w:w="11900" w:h="16838" w:orient="portrait"/>
          <w:cols w:equalWidth="0" w:num="1">
            <w:col w:w="11240"/>
          </w:cols>
          <w:pgMar w:left="320" w:top="1376" w:right="339" w:bottom="1440" w:gutter="0" w:footer="0" w:header="0"/>
        </w:sectPr>
      </w:pPr>
    </w:p>
    <w:bookmarkStart w:id="214" w:name="page215"/>
    <w:bookmarkEnd w:id="214"/>
    <w:p>
      <w:pPr>
        <w:jc w:val="both"/>
        <w:ind w:left="640"/>
        <w:spacing w:after="0" w:line="267" w:lineRule="auto"/>
        <w:rPr>
          <w:sz w:val="20"/>
          <w:szCs w:val="20"/>
          <w:color w:val="auto"/>
        </w:rPr>
      </w:pPr>
      <w:r>
        <w:rPr>
          <w:rFonts w:ascii="Arial" w:cs="Arial" w:eastAsia="Arial" w:hAnsi="Arial"/>
          <w:sz w:val="18"/>
          <w:szCs w:val="18"/>
          <w:color w:val="auto"/>
        </w:rPr>
        <w:t xml:space="preserve">prior to being applied to the payment of any Loans of, or Letter of Credit Obligations owed to, such Defaulting Lender under the Revolving Credit Facility until such time as all Loans and funded and unfunded participations in Letter of Credit Obligations, Swing Line Loans and Protective Advances are held by the Lenders pro rata in accordance with the Revolving Credit Commitments hereunder without giving effect to </w:t>
      </w:r>
      <w:r>
        <w:rPr>
          <w:rFonts w:ascii="Arial" w:cs="Arial" w:eastAsia="Arial" w:hAnsi="Arial"/>
          <w:sz w:val="18"/>
          <w:szCs w:val="18"/>
          <w:u w:val="single" w:color="auto"/>
          <w:color w:val="auto"/>
        </w:rPr>
        <w:t>Section 2.17(a)(iv)</w:t>
      </w:r>
      <w:r>
        <w:rPr>
          <w:rFonts w:ascii="Arial" w:cs="Arial" w:eastAsia="Arial" w:hAnsi="Arial"/>
          <w:sz w:val="18"/>
          <w:szCs w:val="18"/>
          <w:color w:val="auto"/>
        </w:rPr>
        <w:t xml:space="preserve">. Any payments, prepayments or other amounts paid or payable to a Defaulting Lender that are applied (or held) to pay amounts owed by a Defaulting Lender or to post Cash Collateral pursuant to this </w:t>
      </w:r>
      <w:r>
        <w:rPr>
          <w:rFonts w:ascii="Arial" w:cs="Arial" w:eastAsia="Arial" w:hAnsi="Arial"/>
          <w:sz w:val="18"/>
          <w:szCs w:val="18"/>
          <w:u w:val="single" w:color="auto"/>
          <w:color w:val="auto"/>
        </w:rPr>
        <w:t>Section 2.17(a)(ii)</w:t>
      </w:r>
      <w:r>
        <w:rPr>
          <w:rFonts w:ascii="Arial" w:cs="Arial" w:eastAsia="Arial" w:hAnsi="Arial"/>
          <w:sz w:val="18"/>
          <w:szCs w:val="18"/>
          <w:color w:val="auto"/>
        </w:rPr>
        <w:t xml:space="preserve"> shall be deemed paid to and redirected by such Defaulting Lender, and each Lender irrevocably consents hereto.</w:t>
      </w:r>
    </w:p>
    <w:p>
      <w:pPr>
        <w:spacing w:after="0" w:line="166" w:lineRule="exact"/>
        <w:rPr>
          <w:sz w:val="20"/>
          <w:szCs w:val="20"/>
          <w:color w:val="auto"/>
        </w:rPr>
      </w:pPr>
    </w:p>
    <w:p>
      <w:pPr>
        <w:jc w:val="both"/>
        <w:ind w:left="640" w:firstLine="624"/>
        <w:spacing w:after="0" w:line="276" w:lineRule="auto"/>
        <w:tabs>
          <w:tab w:leader="none" w:pos="1898" w:val="left"/>
        </w:tabs>
        <w:numPr>
          <w:ilvl w:val="1"/>
          <w:numId w:val="175"/>
        </w:numPr>
        <w:rPr>
          <w:rFonts w:ascii="Arial" w:cs="Arial" w:eastAsia="Arial" w:hAnsi="Arial"/>
          <w:sz w:val="17"/>
          <w:szCs w:val="17"/>
          <w:color w:val="auto"/>
        </w:rPr>
      </w:pPr>
      <w:r>
        <w:rPr>
          <w:rFonts w:ascii="Arial" w:cs="Arial" w:eastAsia="Arial" w:hAnsi="Arial"/>
          <w:sz w:val="17"/>
          <w:szCs w:val="17"/>
          <w:u w:val="single" w:color="auto"/>
          <w:color w:val="auto"/>
        </w:rPr>
        <w:t>Certain Fees</w:t>
      </w:r>
      <w:r>
        <w:rPr>
          <w:rFonts w:ascii="Arial" w:cs="Arial" w:eastAsia="Arial" w:hAnsi="Arial"/>
          <w:sz w:val="17"/>
          <w:szCs w:val="17"/>
          <w:color w:val="auto"/>
        </w:rPr>
        <w:t xml:space="preserve">. No Defaulting Lender shall be entitled to receive any Unused Fee payable pursuant to </w:t>
      </w:r>
      <w:r>
        <w:rPr>
          <w:rFonts w:ascii="Arial" w:cs="Arial" w:eastAsia="Arial" w:hAnsi="Arial"/>
          <w:sz w:val="17"/>
          <w:szCs w:val="17"/>
          <w:u w:val="single" w:color="auto"/>
          <w:color w:val="auto"/>
        </w:rPr>
        <w:t>Section 2.09(a)</w:t>
      </w:r>
      <w:r>
        <w:rPr>
          <w:rFonts w:ascii="Arial" w:cs="Arial" w:eastAsia="Arial" w:hAnsi="Arial"/>
          <w:sz w:val="17"/>
          <w:szCs w:val="17"/>
          <w:color w:val="auto"/>
        </w:rPr>
        <w:t xml:space="preserve"> for any period during which that Lender is a Defaulting Lender and the Borrowers shall not be required to pay any such fee that otherwise would have been required to have been paid to that Defaulting Lender. Each Defaulting Lender which is a Revolving Credit Lender shall be entitled to receive Letter of Credit Fees for any period during which that Lender is a Defaulting Lender only to the extent allocable to its Applicable Percentage of the stated amount of Letters of Credit for which it has provided Cash Collateral pursuant to </w:t>
      </w:r>
      <w:r>
        <w:rPr>
          <w:rFonts w:ascii="Arial" w:cs="Arial" w:eastAsia="Arial" w:hAnsi="Arial"/>
          <w:sz w:val="17"/>
          <w:szCs w:val="17"/>
          <w:u w:val="single" w:color="auto"/>
          <w:color w:val="auto"/>
        </w:rPr>
        <w:t>Section 2.16</w:t>
      </w:r>
      <w:r>
        <w:rPr>
          <w:rFonts w:ascii="Arial" w:cs="Arial" w:eastAsia="Arial" w:hAnsi="Arial"/>
          <w:sz w:val="17"/>
          <w:szCs w:val="17"/>
          <w:color w:val="auto"/>
        </w:rPr>
        <w:t>. With respect to any Letter of Credit Fee not required to be paid to any Defaulting Lender pursuant to this clause (iii), the Borrowers shall</w:t>
      </w:r>
    </w:p>
    <w:p>
      <w:pPr>
        <w:spacing w:after="0" w:line="4" w:lineRule="exact"/>
        <w:rPr>
          <w:rFonts w:ascii="Arial" w:cs="Arial" w:eastAsia="Arial" w:hAnsi="Arial"/>
          <w:sz w:val="17"/>
          <w:szCs w:val="17"/>
          <w:color w:val="auto"/>
        </w:rPr>
      </w:pPr>
    </w:p>
    <w:p>
      <w:pPr>
        <w:jc w:val="both"/>
        <w:ind w:left="640" w:hanging="6"/>
        <w:spacing w:after="0" w:line="247" w:lineRule="auto"/>
        <w:tabs>
          <w:tab w:leader="none" w:pos="982" w:val="left"/>
        </w:tabs>
        <w:numPr>
          <w:ilvl w:val="0"/>
          <w:numId w:val="176"/>
        </w:numPr>
        <w:rPr>
          <w:rFonts w:ascii="Arial" w:cs="Arial" w:eastAsia="Arial" w:hAnsi="Arial"/>
          <w:sz w:val="19"/>
          <w:szCs w:val="19"/>
          <w:color w:val="auto"/>
        </w:rPr>
      </w:pPr>
      <w:r>
        <w:rPr>
          <w:rFonts w:ascii="Arial" w:cs="Arial" w:eastAsia="Arial" w:hAnsi="Arial"/>
          <w:sz w:val="19"/>
          <w:szCs w:val="19"/>
          <w:color w:val="auto"/>
        </w:rPr>
        <w:t xml:space="preserve">pay to each Non-Defaulting Lender which is a Revolving Credit Lender that portion of any such fee otherwise payable to such Defaulting Lender with respect to such Defaulting Lender’s participation in Letter of Credit Obligations that has been reallocated to such Non-Defaulting Lender pursuant to </w:t>
      </w:r>
      <w:r>
        <w:rPr>
          <w:rFonts w:ascii="Arial" w:cs="Arial" w:eastAsia="Arial" w:hAnsi="Arial"/>
          <w:sz w:val="19"/>
          <w:szCs w:val="19"/>
          <w:u w:val="single" w:color="auto"/>
          <w:color w:val="auto"/>
        </w:rPr>
        <w:t>clause (iv)</w:t>
      </w:r>
      <w:r>
        <w:rPr>
          <w:rFonts w:ascii="Arial" w:cs="Arial" w:eastAsia="Arial" w:hAnsi="Arial"/>
          <w:sz w:val="19"/>
          <w:szCs w:val="19"/>
          <w:color w:val="auto"/>
        </w:rPr>
        <w:t xml:space="preserve"> below, (y) pay to the Letter of Credit Issuer the amount of any such fee otherwise payable to such Defaulting Lender to the extent allocable to such Letter of Credit Issuer’s Fronting Exposure to such Defaulting Lender, and (z) not be required to pay the remaining amount of any such fee.</w:t>
      </w:r>
    </w:p>
    <w:p>
      <w:pPr>
        <w:spacing w:after="0" w:line="184" w:lineRule="exact"/>
        <w:rPr>
          <w:rFonts w:ascii="Arial" w:cs="Arial" w:eastAsia="Arial" w:hAnsi="Arial"/>
          <w:sz w:val="19"/>
          <w:szCs w:val="19"/>
          <w:color w:val="auto"/>
        </w:rPr>
      </w:pPr>
    </w:p>
    <w:p>
      <w:pPr>
        <w:jc w:val="both"/>
        <w:ind w:left="640" w:firstLine="624"/>
        <w:spacing w:after="0" w:line="280" w:lineRule="auto"/>
        <w:tabs>
          <w:tab w:leader="none" w:pos="1888" w:val="left"/>
        </w:tabs>
        <w:numPr>
          <w:ilvl w:val="1"/>
          <w:numId w:val="176"/>
        </w:numPr>
        <w:rPr>
          <w:rFonts w:ascii="Arial" w:cs="Arial" w:eastAsia="Arial" w:hAnsi="Arial"/>
          <w:sz w:val="17"/>
          <w:szCs w:val="17"/>
          <w:color w:val="auto"/>
        </w:rPr>
      </w:pPr>
      <w:r>
        <w:rPr>
          <w:rFonts w:ascii="Arial" w:cs="Arial" w:eastAsia="Arial" w:hAnsi="Arial"/>
          <w:sz w:val="17"/>
          <w:szCs w:val="17"/>
          <w:u w:val="single" w:color="auto"/>
          <w:color w:val="auto"/>
        </w:rPr>
        <w:t>Reallocation of Applicable Percentages to Reduce Fronting Exposure</w:t>
      </w:r>
      <w:r>
        <w:rPr>
          <w:rFonts w:ascii="Arial" w:cs="Arial" w:eastAsia="Arial" w:hAnsi="Arial"/>
          <w:sz w:val="17"/>
          <w:szCs w:val="17"/>
          <w:color w:val="auto"/>
        </w:rPr>
        <w:t xml:space="preserve">. All or any part of such Defaulting Lender’s participation in Letter of Credit Obligations, Swing Line Loans and Protective Advances shall be reallocated among the Non-Defaulting Lenders which are Revolving Credit Lenders in accordance with their respective Applicable Percentages (calculated without regard to such Defaulting Lender’s Revolving Credit Commitment) but only to the extent that (x) the conditions set forth in </w:t>
      </w:r>
      <w:r>
        <w:rPr>
          <w:rFonts w:ascii="Arial" w:cs="Arial" w:eastAsia="Arial" w:hAnsi="Arial"/>
          <w:sz w:val="17"/>
          <w:szCs w:val="17"/>
          <w:u w:val="single" w:color="auto"/>
          <w:color w:val="auto"/>
        </w:rPr>
        <w:t>Section 5.02</w:t>
      </w:r>
      <w:r>
        <w:rPr>
          <w:rFonts w:ascii="Arial" w:cs="Arial" w:eastAsia="Arial" w:hAnsi="Arial"/>
          <w:sz w:val="17"/>
          <w:szCs w:val="17"/>
          <w:color w:val="auto"/>
        </w:rPr>
        <w:t xml:space="preserve"> are satisfied at the time of such reallocation (and, unless the Borrower Agent shall have otherwise notified the Administrative Agent at such time, the Borrowers shall be deemed to have represented and warranted that such conditions are satisfied at such time), and (y) such reallocation does not cause the aggregate Revolving Credit Exposure of any Non-Defaulting Lender to exceed such Non-Defaulting Lender’s Revolving Credit Commitment. Subject to </w:t>
      </w:r>
      <w:r>
        <w:rPr>
          <w:rFonts w:ascii="Arial" w:cs="Arial" w:eastAsia="Arial" w:hAnsi="Arial"/>
          <w:sz w:val="17"/>
          <w:szCs w:val="17"/>
          <w:u w:val="single" w:color="auto"/>
          <w:color w:val="auto"/>
        </w:rPr>
        <w:t>Section 11.20</w:t>
      </w:r>
      <w:r>
        <w:rPr>
          <w:rFonts w:ascii="Arial" w:cs="Arial" w:eastAsia="Arial" w:hAnsi="Arial"/>
          <w:sz w:val="17"/>
          <w:szCs w:val="17"/>
          <w:color w:val="auto"/>
        </w:rPr>
        <w: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159" w:lineRule="exact"/>
        <w:rPr>
          <w:sz w:val="20"/>
          <w:szCs w:val="20"/>
          <w:color w:val="auto"/>
        </w:rPr>
      </w:pPr>
    </w:p>
    <w:p>
      <w:pPr>
        <w:jc w:val="both"/>
        <w:ind w:firstLine="634"/>
        <w:spacing w:after="0" w:line="250" w:lineRule="auto"/>
        <w:tabs>
          <w:tab w:leader="none" w:pos="1247" w:val="left"/>
        </w:tabs>
        <w:numPr>
          <w:ilvl w:val="0"/>
          <w:numId w:val="177"/>
        </w:numPr>
        <w:rPr>
          <w:rFonts w:ascii="Arial" w:cs="Arial" w:eastAsia="Arial" w:hAnsi="Arial"/>
          <w:sz w:val="19"/>
          <w:szCs w:val="19"/>
          <w:color w:val="auto"/>
        </w:rPr>
      </w:pPr>
      <w:r>
        <w:rPr>
          <w:rFonts w:ascii="Arial" w:cs="Arial" w:eastAsia="Arial" w:hAnsi="Arial"/>
          <w:sz w:val="19"/>
          <w:szCs w:val="19"/>
          <w:u w:val="single" w:color="auto"/>
          <w:color w:val="auto"/>
        </w:rPr>
        <w:t>Defaulting Lender Cure</w:t>
      </w:r>
      <w:r>
        <w:rPr>
          <w:rFonts w:ascii="Arial" w:cs="Arial" w:eastAsia="Arial" w:hAnsi="Arial"/>
          <w:sz w:val="19"/>
          <w:szCs w:val="19"/>
          <w:color w:val="auto"/>
        </w:rPr>
        <w:t>. If the Borrower Agent, the Administrative Agent and, in the case that a Defaulting Lender is a Revolving Credit Lender, the Swing Line Lender and the Letter of Credit Issuer, agree in writing that a Lender is no longer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Revolving Credit Loans of the other Lenders or take such other actions as the Administrative Agent may determine to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96</w:t>
      </w:r>
    </w:p>
    <w:p>
      <w:pPr>
        <w:sectPr>
          <w:pgSz w:w="11900" w:h="16838" w:orient="portrait"/>
          <w:cols w:equalWidth="0" w:num="1">
            <w:col w:w="11240"/>
          </w:cols>
          <w:pgMar w:left="320" w:top="1381" w:right="339" w:bottom="1440" w:gutter="0" w:footer="0" w:header="0"/>
        </w:sectPr>
      </w:pPr>
    </w:p>
    <w:bookmarkStart w:id="215" w:name="page216"/>
    <w:bookmarkEnd w:id="215"/>
    <w:p>
      <w:pPr>
        <w:jc w:val="both"/>
        <w:spacing w:after="0" w:line="267" w:lineRule="auto"/>
        <w:rPr>
          <w:sz w:val="20"/>
          <w:szCs w:val="20"/>
          <w:color w:val="auto"/>
        </w:rPr>
      </w:pPr>
      <w:r>
        <w:rPr>
          <w:rFonts w:ascii="Arial" w:cs="Arial" w:eastAsia="Arial" w:hAnsi="Arial"/>
          <w:sz w:val="18"/>
          <w:szCs w:val="18"/>
          <w:color w:val="auto"/>
        </w:rPr>
        <w:t xml:space="preserve">necessary to cause the Revolving Credit Loans and funded and unfunded participations in Letters of Credit, Swing Line Loans and Protective Advances to be held on a pro rata basis by the Lenders in accordance with their Applicable Percentages (without giving effect to </w:t>
      </w:r>
      <w:r>
        <w:rPr>
          <w:rFonts w:ascii="Arial" w:cs="Arial" w:eastAsia="Arial" w:hAnsi="Arial"/>
          <w:sz w:val="18"/>
          <w:szCs w:val="18"/>
          <w:u w:val="single" w:color="auto"/>
          <w:color w:val="auto"/>
        </w:rPr>
        <w:t>Section 2.17(a)</w:t>
      </w:r>
      <w:r>
        <w:rPr>
          <w:rFonts w:ascii="Arial" w:cs="Arial" w:eastAsia="Arial" w:hAnsi="Arial"/>
          <w:sz w:val="18"/>
          <w:szCs w:val="18"/>
          <w:color w:val="auto"/>
        </w:rPr>
        <w:t xml:space="preserve"> </w:t>
      </w:r>
      <w:r>
        <w:rPr>
          <w:rFonts w:ascii="Arial" w:cs="Arial" w:eastAsia="Arial" w:hAnsi="Arial"/>
          <w:sz w:val="18"/>
          <w:szCs w:val="18"/>
          <w:u w:val="single" w:color="auto"/>
          <w:color w:val="auto"/>
        </w:rPr>
        <w:t>(iv)</w:t>
      </w:r>
      <w:r>
        <w:rPr>
          <w:rFonts w:ascii="Arial" w:cs="Arial" w:eastAsia="Arial" w:hAnsi="Arial"/>
          <w:sz w:val="18"/>
          <w:szCs w:val="18"/>
          <w:color w:val="auto"/>
        </w:rPr>
        <w:t xml:space="preserve">), whereupon such Lender will cease to be a Defaulting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adjustments will be made retroactively with respect to fees accrued or payments made by or on behalf of the Borrowers while that Lender was a Defaulting Lender;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160"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9"/>
          <w:szCs w:val="19"/>
          <w:b w:val="1"/>
          <w:bCs w:val="1"/>
          <w:color w:val="auto"/>
        </w:rPr>
        <w:t>2.18</w:t>
      </w:r>
      <w:r>
        <w:rPr>
          <w:sz w:val="20"/>
          <w:szCs w:val="20"/>
          <w:color w:val="auto"/>
        </w:rPr>
        <w:tab/>
      </w:r>
      <w:r>
        <w:rPr>
          <w:rFonts w:ascii="Arial" w:cs="Arial" w:eastAsia="Arial" w:hAnsi="Arial"/>
          <w:sz w:val="17"/>
          <w:szCs w:val="17"/>
          <w:b w:val="1"/>
          <w:bCs w:val="1"/>
          <w:color w:val="auto"/>
        </w:rPr>
        <w:t>Uncommitted Increase in Revolving Credit Commitments</w:t>
      </w:r>
      <w:r>
        <w:rPr>
          <w:rFonts w:ascii="Arial" w:cs="Arial" w:eastAsia="Arial" w:hAnsi="Arial"/>
          <w:sz w:val="17"/>
          <w:szCs w:val="17"/>
          <w:color w:val="auto"/>
        </w:rPr>
        <w:t>.</w:t>
      </w:r>
    </w:p>
    <w:p>
      <w:pPr>
        <w:spacing w:after="0" w:line="220" w:lineRule="exact"/>
        <w:rPr>
          <w:sz w:val="20"/>
          <w:szCs w:val="20"/>
          <w:color w:val="auto"/>
        </w:rPr>
      </w:pPr>
    </w:p>
    <w:p>
      <w:pPr>
        <w:jc w:val="both"/>
        <w:ind w:firstLine="634"/>
        <w:spacing w:after="0" w:line="255" w:lineRule="auto"/>
        <w:tabs>
          <w:tab w:leader="none" w:pos="1249" w:val="left"/>
        </w:tabs>
        <w:numPr>
          <w:ilvl w:val="0"/>
          <w:numId w:val="178"/>
        </w:numPr>
        <w:rPr>
          <w:rFonts w:ascii="Arial" w:cs="Arial" w:eastAsia="Arial" w:hAnsi="Arial"/>
          <w:sz w:val="18"/>
          <w:szCs w:val="18"/>
          <w:color w:val="auto"/>
        </w:rPr>
      </w:pPr>
      <w:r>
        <w:rPr>
          <w:rFonts w:ascii="Arial" w:cs="Arial" w:eastAsia="Arial" w:hAnsi="Arial"/>
          <w:sz w:val="18"/>
          <w:szCs w:val="18"/>
          <w:u w:val="single" w:color="auto"/>
          <w:color w:val="auto"/>
        </w:rPr>
        <w:t>Request for Increase</w:t>
      </w:r>
      <w:r>
        <w:rPr>
          <w:rFonts w:ascii="Arial" w:cs="Arial" w:eastAsia="Arial" w:hAnsi="Arial"/>
          <w:sz w:val="18"/>
          <w:szCs w:val="18"/>
          <w:color w:val="auto"/>
        </w:rPr>
        <w:t>. Provided there exists no Default, upon notice to and with the written consent of the Administrative Agent (which shall promptly notify the applicable Revolving Credit Lenders) at any time before the third (3</w:t>
      </w:r>
      <w:r>
        <w:rPr>
          <w:rFonts w:ascii="Arial" w:cs="Arial" w:eastAsia="Arial" w:hAnsi="Arial"/>
          <w:sz w:val="23"/>
          <w:szCs w:val="23"/>
          <w:color w:val="auto"/>
          <w:vertAlign w:val="superscript"/>
        </w:rPr>
        <w:t>rd</w:t>
      </w:r>
      <w:r>
        <w:rPr>
          <w:rFonts w:ascii="Arial" w:cs="Arial" w:eastAsia="Arial" w:hAnsi="Arial"/>
          <w:sz w:val="18"/>
          <w:szCs w:val="18"/>
          <w:color w:val="auto"/>
        </w:rPr>
        <w:t>) anniversary of the Closing Date, the Borrower Agent may from time to time request an increase in the Aggregate Revolving Credit Commitments by an amount (for all such requests) not exceeding $15,000,000 (each such increase, a “</w:t>
      </w:r>
      <w:r>
        <w:rPr>
          <w:rFonts w:ascii="Arial" w:cs="Arial" w:eastAsia="Arial" w:hAnsi="Arial"/>
          <w:sz w:val="18"/>
          <w:szCs w:val="18"/>
          <w:u w:val="single" w:color="auto"/>
          <w:color w:val="auto"/>
        </w:rPr>
        <w:t>Commitment Increase</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any such request for an increase shall be in a minimum amount of $5,000,000 in the aggregate or, if less, the entire unutilized amount of the maximum amount of all such requests set forth above and (ii) no more than three (3) such requests shall be made during the term of this Agreement. At the time of sending such notice, the Borrower Agent (in consultation with the Administrative Agent) shall specify the time period within which each applicable Revolving Credit Lender is requested to respond (which shall in no event be less than ten (10) Business Days from the date of delivery of such notice to the applicable Revolving Credit Lenders).</w:t>
      </w:r>
    </w:p>
    <w:p>
      <w:pPr>
        <w:spacing w:after="0" w:line="175" w:lineRule="exact"/>
        <w:rPr>
          <w:rFonts w:ascii="Arial" w:cs="Arial" w:eastAsia="Arial" w:hAnsi="Arial"/>
          <w:sz w:val="18"/>
          <w:szCs w:val="18"/>
          <w:color w:val="auto"/>
        </w:rPr>
      </w:pPr>
    </w:p>
    <w:p>
      <w:pPr>
        <w:jc w:val="both"/>
        <w:ind w:firstLine="634"/>
        <w:spacing w:after="0" w:line="254" w:lineRule="auto"/>
        <w:tabs>
          <w:tab w:leader="none" w:pos="1247" w:val="left"/>
        </w:tabs>
        <w:numPr>
          <w:ilvl w:val="0"/>
          <w:numId w:val="178"/>
        </w:numPr>
        <w:rPr>
          <w:rFonts w:ascii="Arial" w:cs="Arial" w:eastAsia="Arial" w:hAnsi="Arial"/>
          <w:sz w:val="19"/>
          <w:szCs w:val="19"/>
          <w:color w:val="auto"/>
        </w:rPr>
      </w:pPr>
      <w:r>
        <w:rPr>
          <w:rFonts w:ascii="Arial" w:cs="Arial" w:eastAsia="Arial" w:hAnsi="Arial"/>
          <w:sz w:val="19"/>
          <w:szCs w:val="19"/>
          <w:u w:val="single" w:color="auto"/>
          <w:color w:val="auto"/>
        </w:rPr>
        <w:t>Revolving Credit Lender Elections to Increase</w:t>
      </w:r>
      <w:r>
        <w:rPr>
          <w:rFonts w:ascii="Arial" w:cs="Arial" w:eastAsia="Arial" w:hAnsi="Arial"/>
          <w:sz w:val="19"/>
          <w:szCs w:val="19"/>
          <w:color w:val="auto"/>
        </w:rPr>
        <w:t>. Each Revolving Credit Lender shall notify the Administrative Agent within such time period whether or not it agrees to commit to a portion of the requested increase of the Revolving Credit Facility and, if so, whether by an amount equal to, greater than, or less than its Applicable Percentage. Any Revolving Credit Lender not responding within such time period shall be deemed to have declined to commit to any portion of the requested increase.</w:t>
      </w:r>
    </w:p>
    <w:p>
      <w:pPr>
        <w:spacing w:after="0" w:line="176" w:lineRule="exact"/>
        <w:rPr>
          <w:rFonts w:ascii="Arial" w:cs="Arial" w:eastAsia="Arial" w:hAnsi="Arial"/>
          <w:sz w:val="19"/>
          <w:szCs w:val="19"/>
          <w:color w:val="auto"/>
        </w:rPr>
      </w:pPr>
    </w:p>
    <w:p>
      <w:pPr>
        <w:jc w:val="both"/>
        <w:ind w:firstLine="634"/>
        <w:spacing w:after="0" w:line="264" w:lineRule="auto"/>
        <w:tabs>
          <w:tab w:leader="none" w:pos="1249" w:val="left"/>
        </w:tabs>
        <w:numPr>
          <w:ilvl w:val="0"/>
          <w:numId w:val="178"/>
        </w:numPr>
        <w:rPr>
          <w:rFonts w:ascii="Arial" w:cs="Arial" w:eastAsia="Arial" w:hAnsi="Arial"/>
          <w:sz w:val="18"/>
          <w:szCs w:val="18"/>
          <w:color w:val="auto"/>
        </w:rPr>
      </w:pPr>
      <w:r>
        <w:rPr>
          <w:rFonts w:ascii="Arial" w:cs="Arial" w:eastAsia="Arial" w:hAnsi="Arial"/>
          <w:sz w:val="18"/>
          <w:szCs w:val="18"/>
          <w:u w:val="single" w:color="auto"/>
          <w:color w:val="auto"/>
        </w:rPr>
        <w:t>Notification by Administrative Agent; Additional Revolving Credit Lenders</w:t>
      </w:r>
      <w:r>
        <w:rPr>
          <w:rFonts w:ascii="Arial" w:cs="Arial" w:eastAsia="Arial" w:hAnsi="Arial"/>
          <w:sz w:val="18"/>
          <w:szCs w:val="18"/>
          <w:color w:val="auto"/>
        </w:rPr>
        <w:t>. The Administrative Agent shall notify the Borrower Agent of the Revolving Credit Lenders’ responses to each request made hereunder. To achieve the full amount of a requested increase and subject to the approval of the Administrative Agent (which approval shall not be unreasonably withheld), the Borrower Agent may also (subject to the prior written consent of the Administrative Agent at its sole option) invite additional Eligible Assignees to become Revolving Credit Lenders pursuant to a joinder agreement in form and substance satisfactory to the Administrative Agent and its counsel (each such Eligible Assignee issuing a commitment, executing and delivering such joinder agreement and becoming a Revolving Credit Lender, an “</w:t>
      </w:r>
      <w:r>
        <w:rPr>
          <w:rFonts w:ascii="Arial" w:cs="Arial" w:eastAsia="Arial" w:hAnsi="Arial"/>
          <w:sz w:val="18"/>
          <w:szCs w:val="18"/>
          <w:u w:val="single" w:color="auto"/>
          <w:color w:val="auto"/>
        </w:rPr>
        <w:t>Additional Commitment</w:t>
      </w:r>
      <w:r>
        <w:rPr>
          <w:rFonts w:ascii="Arial" w:cs="Arial" w:eastAsia="Arial" w:hAnsi="Arial"/>
          <w:sz w:val="18"/>
          <w:szCs w:val="18"/>
          <w:color w:val="auto"/>
        </w:rPr>
        <w:t xml:space="preserve"> </w:t>
      </w:r>
      <w:r>
        <w:rPr>
          <w:rFonts w:ascii="Arial" w:cs="Arial" w:eastAsia="Arial" w:hAnsi="Arial"/>
          <w:sz w:val="18"/>
          <w:szCs w:val="18"/>
          <w:u w:val="single" w:color="auto"/>
          <w:color w:val="auto"/>
        </w:rPr>
        <w:t>Lender</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without the consent of the Administrative Agent, at no time shall the Revolving Credit Commitment of any Additional Commitment Lender be less than $5,000,000.</w:t>
      </w:r>
    </w:p>
    <w:p>
      <w:pPr>
        <w:spacing w:after="0" w:line="171" w:lineRule="exact"/>
        <w:rPr>
          <w:rFonts w:ascii="Arial" w:cs="Arial" w:eastAsia="Arial" w:hAnsi="Arial"/>
          <w:sz w:val="18"/>
          <w:szCs w:val="18"/>
          <w:color w:val="auto"/>
        </w:rPr>
      </w:pPr>
    </w:p>
    <w:p>
      <w:pPr>
        <w:jc w:val="both"/>
        <w:ind w:firstLine="634"/>
        <w:spacing w:after="0" w:line="254" w:lineRule="auto"/>
        <w:tabs>
          <w:tab w:leader="none" w:pos="1247" w:val="left"/>
        </w:tabs>
        <w:numPr>
          <w:ilvl w:val="0"/>
          <w:numId w:val="178"/>
        </w:numPr>
        <w:rPr>
          <w:rFonts w:ascii="Arial" w:cs="Arial" w:eastAsia="Arial" w:hAnsi="Arial"/>
          <w:sz w:val="19"/>
          <w:szCs w:val="19"/>
          <w:color w:val="auto"/>
        </w:rPr>
      </w:pPr>
      <w:r>
        <w:rPr>
          <w:rFonts w:ascii="Arial" w:cs="Arial" w:eastAsia="Arial" w:hAnsi="Arial"/>
          <w:sz w:val="19"/>
          <w:szCs w:val="19"/>
          <w:u w:val="single" w:color="auto"/>
          <w:color w:val="auto"/>
        </w:rPr>
        <w:t>Effective Date and Allocations</w:t>
      </w:r>
      <w:r>
        <w:rPr>
          <w:rFonts w:ascii="Arial" w:cs="Arial" w:eastAsia="Arial" w:hAnsi="Arial"/>
          <w:sz w:val="19"/>
          <w:szCs w:val="19"/>
          <w:color w:val="auto"/>
        </w:rPr>
        <w:t xml:space="preserve">. If the Aggregate Revolving Credit Commitments are increased in accordance with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2.18</w:t>
      </w:r>
      <w:r>
        <w:rPr>
          <w:rFonts w:ascii="Arial" w:cs="Arial" w:eastAsia="Arial" w:hAnsi="Arial"/>
          <w:sz w:val="19"/>
          <w:szCs w:val="19"/>
          <w:color w:val="auto"/>
        </w:rPr>
        <w:t>, the Administrative Agent and the Borrower Agent shall determine the effective date (the “</w:t>
      </w:r>
      <w:r>
        <w:rPr>
          <w:rFonts w:ascii="Arial" w:cs="Arial" w:eastAsia="Arial" w:hAnsi="Arial"/>
          <w:sz w:val="19"/>
          <w:szCs w:val="19"/>
          <w:u w:val="single" w:color="auto"/>
          <w:color w:val="auto"/>
        </w:rPr>
        <w:t>Increase Effective Date</w:t>
      </w:r>
      <w:r>
        <w:rPr>
          <w:rFonts w:ascii="Arial" w:cs="Arial" w:eastAsia="Arial" w:hAnsi="Arial"/>
          <w:sz w:val="19"/>
          <w:szCs w:val="19"/>
          <w:color w:val="auto"/>
        </w:rPr>
        <w:t>”) and the final allocation of such increase. The Administrative Agent shall promptly notify the Borrower Agent and the Revolving Credit Lenders of the final allocation of such increase and the Increase 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97</w:t>
      </w:r>
    </w:p>
    <w:p>
      <w:pPr>
        <w:sectPr>
          <w:pgSz w:w="11900" w:h="16838" w:orient="portrait"/>
          <w:cols w:equalWidth="0" w:num="1">
            <w:col w:w="11240"/>
          </w:cols>
          <w:pgMar w:left="320" w:top="1382" w:right="339" w:bottom="1440" w:gutter="0" w:footer="0" w:header="0"/>
        </w:sectPr>
      </w:pPr>
    </w:p>
    <w:bookmarkStart w:id="216" w:name="page217"/>
    <w:bookmarkEnd w:id="216"/>
    <w:p>
      <w:pPr>
        <w:jc w:val="both"/>
        <w:ind w:firstLine="634"/>
        <w:spacing w:after="0" w:line="276" w:lineRule="auto"/>
        <w:tabs>
          <w:tab w:leader="none" w:pos="1249" w:val="left"/>
        </w:tabs>
        <w:numPr>
          <w:ilvl w:val="1"/>
          <w:numId w:val="179"/>
        </w:numPr>
        <w:rPr>
          <w:rFonts w:ascii="Arial" w:cs="Arial" w:eastAsia="Arial" w:hAnsi="Arial"/>
          <w:sz w:val="17"/>
          <w:szCs w:val="17"/>
          <w:color w:val="auto"/>
        </w:rPr>
      </w:pPr>
      <w:r>
        <w:rPr>
          <w:rFonts w:ascii="Arial" w:cs="Arial" w:eastAsia="Arial" w:hAnsi="Arial"/>
          <w:sz w:val="17"/>
          <w:szCs w:val="17"/>
          <w:u w:val="single" w:color="auto"/>
          <w:color w:val="auto"/>
        </w:rPr>
        <w:t>Conditions to Effectiveness of Increase</w:t>
      </w:r>
      <w:r>
        <w:rPr>
          <w:rFonts w:ascii="Arial" w:cs="Arial" w:eastAsia="Arial" w:hAnsi="Arial"/>
          <w:sz w:val="17"/>
          <w:szCs w:val="17"/>
          <w:color w:val="auto"/>
        </w:rPr>
        <w:t xml:space="preserve">. As a condition precedent to such increase, (i) the Borrower Agent shall deliver to the Administrative Agent a certificate of each Loan Party dated as of the Increase Effective Date (in sufficient copies for each Lender) signed by a Responsible Officer of such Loan Party (A) certifying and attaching the resolutions adopted by such Loan Party approving or consenting to such increase, and (B) certifying that, before and after giving effect to such increase, the representations and warranties contained in </w:t>
      </w:r>
      <w:r>
        <w:rPr>
          <w:rFonts w:ascii="Arial" w:cs="Arial" w:eastAsia="Arial" w:hAnsi="Arial"/>
          <w:sz w:val="17"/>
          <w:szCs w:val="17"/>
          <w:u w:val="single" w:color="auto"/>
          <w:color w:val="auto"/>
        </w:rPr>
        <w:t>Article VI</w:t>
      </w:r>
      <w:r>
        <w:rPr>
          <w:rFonts w:ascii="Arial" w:cs="Arial" w:eastAsia="Arial" w:hAnsi="Arial"/>
          <w:sz w:val="17"/>
          <w:szCs w:val="17"/>
          <w:color w:val="auto"/>
        </w:rPr>
        <w:t xml:space="preserve"> and in the other Loan Documents, or which are contained in any document furnished at any time under or in connection herewith or therewith, are true and correct on and as of the Increase Effective Date, except to the extent that such representations and warranties specifically refer to an earlier date, in which case they are true and correct as of such earlier date, and except that for purposes of this </w:t>
      </w:r>
      <w:r>
        <w:rPr>
          <w:rFonts w:ascii="Arial" w:cs="Arial" w:eastAsia="Arial" w:hAnsi="Arial"/>
          <w:sz w:val="17"/>
          <w:szCs w:val="17"/>
          <w:u w:val="single" w:color="auto"/>
          <w:color w:val="auto"/>
        </w:rPr>
        <w:t>Section 2.18</w:t>
      </w:r>
      <w:r>
        <w:rPr>
          <w:rFonts w:ascii="Arial" w:cs="Arial" w:eastAsia="Arial" w:hAnsi="Arial"/>
          <w:sz w:val="17"/>
          <w:szCs w:val="17"/>
          <w:color w:val="auto"/>
        </w:rPr>
        <w:t xml:space="preserve">, the representations and warranties contained in subsections (a)and (b) of </w:t>
      </w:r>
      <w:r>
        <w:rPr>
          <w:rFonts w:ascii="Arial" w:cs="Arial" w:eastAsia="Arial" w:hAnsi="Arial"/>
          <w:sz w:val="17"/>
          <w:szCs w:val="17"/>
          <w:u w:val="single" w:color="auto"/>
          <w:color w:val="auto"/>
        </w:rPr>
        <w:t>Section 6.05</w:t>
      </w:r>
      <w:r>
        <w:rPr>
          <w:rFonts w:ascii="Arial" w:cs="Arial" w:eastAsia="Arial" w:hAnsi="Arial"/>
          <w:sz w:val="17"/>
          <w:szCs w:val="17"/>
          <w:color w:val="auto"/>
        </w:rPr>
        <w:t xml:space="preserve"> shall be deemed to refer to the most recent statements furnished pursuant to clauses</w:t>
      </w:r>
    </w:p>
    <w:p>
      <w:pPr>
        <w:spacing w:after="0" w:line="1" w:lineRule="exact"/>
        <w:rPr>
          <w:rFonts w:ascii="Arial" w:cs="Arial" w:eastAsia="Arial" w:hAnsi="Arial"/>
          <w:sz w:val="17"/>
          <w:szCs w:val="17"/>
          <w:color w:val="auto"/>
        </w:rPr>
      </w:pPr>
    </w:p>
    <w:p>
      <w:pPr>
        <w:jc w:val="both"/>
        <w:ind w:firstLine="5"/>
        <w:spacing w:after="0" w:line="276" w:lineRule="auto"/>
        <w:tabs>
          <w:tab w:leader="none" w:pos="287" w:val="left"/>
        </w:tabs>
        <w:numPr>
          <w:ilvl w:val="0"/>
          <w:numId w:val="180"/>
        </w:numPr>
        <w:rPr>
          <w:rFonts w:ascii="Arial" w:cs="Arial" w:eastAsia="Arial" w:hAnsi="Arial"/>
          <w:sz w:val="17"/>
          <w:szCs w:val="17"/>
          <w:u w:val="single" w:color="auto"/>
          <w:color w:val="auto"/>
        </w:rPr>
      </w:pPr>
      <w:r>
        <w:rPr>
          <w:rFonts w:ascii="Arial" w:cs="Arial" w:eastAsia="Arial" w:hAnsi="Arial"/>
          <w:sz w:val="17"/>
          <w:szCs w:val="17"/>
          <w:color w:val="auto"/>
        </w:rPr>
        <w:t xml:space="preserve">and </w:t>
      </w:r>
      <w:r>
        <w:rPr>
          <w:rFonts w:ascii="Arial" w:cs="Arial" w:eastAsia="Arial" w:hAnsi="Arial"/>
          <w:sz w:val="17"/>
          <w:szCs w:val="17"/>
          <w:u w:val="single" w:color="auto"/>
          <w:color w:val="auto"/>
        </w:rPr>
        <w:t>(b)</w:t>
      </w:r>
      <w:r>
        <w:rPr>
          <w:rFonts w:ascii="Arial" w:cs="Arial" w:eastAsia="Arial" w:hAnsi="Arial"/>
          <w:sz w:val="17"/>
          <w:szCs w:val="17"/>
          <w:color w:val="auto"/>
        </w:rPr>
        <w:t xml:space="preserve">, respectively, of </w:t>
      </w:r>
      <w:r>
        <w:rPr>
          <w:rFonts w:ascii="Arial" w:cs="Arial" w:eastAsia="Arial" w:hAnsi="Arial"/>
          <w:sz w:val="17"/>
          <w:szCs w:val="17"/>
          <w:u w:val="single" w:color="auto"/>
          <w:color w:val="auto"/>
        </w:rPr>
        <w:t>Section 7.01</w:t>
      </w:r>
      <w:r>
        <w:rPr>
          <w:rFonts w:ascii="Arial" w:cs="Arial" w:eastAsia="Arial" w:hAnsi="Arial"/>
          <w:sz w:val="17"/>
          <w:szCs w:val="17"/>
          <w:color w:val="auto"/>
        </w:rPr>
        <w:t xml:space="preserve">, (ii) the Borrowers, the Administrative Agent, and any Additional Commitment Lender shall have executed and delivered a joinder agreement in form and substance satisfactory to the Administrative Agent and its counsel; (iii) the Borrowers shall have paid such fees and other compensation to the Revolving Credit Lenders increasing their Revolving Credit Commitments and to the Additional Commitment Lenders as the Borrowers and such Lenders and Additional Commitment Lenders shall agree; (iv) the Borrowers shall have paid such arrangement fees, if any, to the Administrative Agent as the Borrowers and the Administrative Agent may agree; (v) other than the fees and compensation referred to in clauses (iii) and (iv) above, the Commitment Increase shall be on the same terms and pursuant to the same documentation applicable to the existing Revolving Credit Commitments; (vi) the Borrowers shall deliver to the Administrative Agent (A) an opinion or opinions, in form and substance reasonably satisfactory to the Administrative Agent, from counsel to the Loan Parties reasonably satisfactory to the Administrative Agent and dated such date and (B) a certification from the Borrower Agent, or other evidence reasonably satisfactory to the Administrative Agent, that such increase is permitted under any other material Indebtedness; (vii) the Borrowers, the Lenders increasing their Revolving Credit Commitments and each Additional Commitment Lender shall have delivered such other instruments, documents and agreements as the Administrative Agent may reasonably have requested; and (viii) no Default or Event of Default exists or shall result therefrom. The Revolving Credit Loans outstanding on the Increase Effective Date shall be reallocated and adjusted between and among the applicable Lenders, and the Borrowers shall pay any additional amounts required pursuant to </w:t>
      </w:r>
      <w:r>
        <w:rPr>
          <w:rFonts w:ascii="Arial" w:cs="Arial" w:eastAsia="Arial" w:hAnsi="Arial"/>
          <w:sz w:val="17"/>
          <w:szCs w:val="17"/>
          <w:u w:val="single" w:color="auto"/>
          <w:color w:val="auto"/>
        </w:rPr>
        <w:t>Section 3.05</w:t>
      </w:r>
      <w:r>
        <w:rPr>
          <w:rFonts w:ascii="Arial" w:cs="Arial" w:eastAsia="Arial" w:hAnsi="Arial"/>
          <w:sz w:val="17"/>
          <w:szCs w:val="17"/>
          <w:color w:val="auto"/>
        </w:rPr>
        <w:t xml:space="preserve"> resulting therefrom, to the extent necessary to keep the outstanding applicable Revolving Credit Loans ratable among the applicable Lenders with any revised Applicable Percentages, as applicable, arising from any nonratable increase in the applicable Revolving Credit Loans under this </w:t>
      </w:r>
      <w:r>
        <w:rPr>
          <w:rFonts w:ascii="Arial" w:cs="Arial" w:eastAsia="Arial" w:hAnsi="Arial"/>
          <w:sz w:val="17"/>
          <w:szCs w:val="17"/>
          <w:u w:val="single" w:color="auto"/>
          <w:color w:val="auto"/>
        </w:rPr>
        <w:t>Section 2.18</w:t>
      </w:r>
      <w:r>
        <w:rPr>
          <w:rFonts w:ascii="Arial" w:cs="Arial" w:eastAsia="Arial" w:hAnsi="Arial"/>
          <w:sz w:val="17"/>
          <w:szCs w:val="17"/>
          <w:color w:val="auto"/>
        </w:rPr>
        <w:t>.</w:t>
      </w:r>
    </w:p>
    <w:p>
      <w:pPr>
        <w:spacing w:after="0" w:line="163" w:lineRule="exact"/>
        <w:rPr>
          <w:rFonts w:ascii="Arial" w:cs="Arial" w:eastAsia="Arial" w:hAnsi="Arial"/>
          <w:sz w:val="17"/>
          <w:szCs w:val="17"/>
          <w:u w:val="single" w:color="auto"/>
          <w:color w:val="auto"/>
        </w:rPr>
      </w:pPr>
    </w:p>
    <w:p>
      <w:pPr>
        <w:ind w:left="1260" w:hanging="626"/>
        <w:spacing w:after="0"/>
        <w:tabs>
          <w:tab w:leader="none" w:pos="1260" w:val="left"/>
        </w:tabs>
        <w:numPr>
          <w:ilvl w:val="1"/>
          <w:numId w:val="180"/>
        </w:numPr>
        <w:rPr>
          <w:rFonts w:ascii="Arial" w:cs="Arial" w:eastAsia="Arial" w:hAnsi="Arial"/>
          <w:sz w:val="19"/>
          <w:szCs w:val="19"/>
          <w:color w:val="auto"/>
        </w:rPr>
      </w:pPr>
      <w:r>
        <w:rPr>
          <w:rFonts w:ascii="Arial" w:cs="Arial" w:eastAsia="Arial" w:hAnsi="Arial"/>
          <w:sz w:val="19"/>
          <w:szCs w:val="19"/>
          <w:u w:val="single" w:color="auto"/>
          <w:color w:val="auto"/>
        </w:rPr>
        <w:t>Conflicting Provisions</w:t>
      </w:r>
      <w:r>
        <w:rPr>
          <w:rFonts w:ascii="Arial" w:cs="Arial" w:eastAsia="Arial" w:hAnsi="Arial"/>
          <w:sz w:val="19"/>
          <w:szCs w:val="19"/>
          <w:color w:val="auto"/>
        </w:rPr>
        <w:t xml:space="preserve">. This </w:t>
      </w:r>
      <w:r>
        <w:rPr>
          <w:rFonts w:ascii="Arial" w:cs="Arial" w:eastAsia="Arial" w:hAnsi="Arial"/>
          <w:sz w:val="19"/>
          <w:szCs w:val="19"/>
          <w:u w:val="single" w:color="auto"/>
          <w:color w:val="auto"/>
        </w:rPr>
        <w:t>Section 2.18</w:t>
      </w:r>
      <w:r>
        <w:rPr>
          <w:rFonts w:ascii="Arial" w:cs="Arial" w:eastAsia="Arial" w:hAnsi="Arial"/>
          <w:sz w:val="19"/>
          <w:szCs w:val="19"/>
          <w:color w:val="auto"/>
        </w:rPr>
        <w:t xml:space="preserve"> shall supersede any provisions in </w:t>
      </w:r>
      <w:r>
        <w:rPr>
          <w:rFonts w:ascii="Arial" w:cs="Arial" w:eastAsia="Arial" w:hAnsi="Arial"/>
          <w:sz w:val="19"/>
          <w:szCs w:val="19"/>
          <w:u w:val="single" w:color="auto"/>
          <w:color w:val="auto"/>
        </w:rPr>
        <w:t>Section 2.13</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11.01</w:t>
      </w:r>
      <w:r>
        <w:rPr>
          <w:rFonts w:ascii="Arial" w:cs="Arial" w:eastAsia="Arial" w:hAnsi="Arial"/>
          <w:sz w:val="19"/>
          <w:szCs w:val="19"/>
          <w:color w:val="auto"/>
        </w:rPr>
        <w:t xml:space="preserve"> to the contrary.</w:t>
      </w:r>
    </w:p>
    <w:p>
      <w:pPr>
        <w:spacing w:after="0" w:line="208" w:lineRule="exact"/>
        <w:rPr>
          <w:sz w:val="20"/>
          <w:szCs w:val="20"/>
          <w:color w:val="auto"/>
        </w:rPr>
      </w:pPr>
    </w:p>
    <w:p>
      <w:pPr>
        <w:jc w:val="both"/>
        <w:ind w:firstLine="629"/>
        <w:spacing w:after="0" w:line="250" w:lineRule="auto"/>
        <w:rPr>
          <w:sz w:val="20"/>
          <w:szCs w:val="20"/>
          <w:color w:val="auto"/>
        </w:rPr>
      </w:pPr>
      <w:r>
        <w:rPr>
          <w:rFonts w:ascii="Arial" w:cs="Arial" w:eastAsia="Arial" w:hAnsi="Arial"/>
          <w:sz w:val="19"/>
          <w:szCs w:val="19"/>
          <w:b w:val="1"/>
          <w:bCs w:val="1"/>
          <w:color w:val="auto"/>
        </w:rPr>
        <w:t>2.19 Designation of Subsidiaries as Unrestricted Subsidiaries</w:t>
      </w:r>
      <w:r>
        <w:rPr>
          <w:rFonts w:ascii="Arial" w:cs="Arial" w:eastAsia="Arial" w:hAnsi="Arial"/>
          <w:sz w:val="19"/>
          <w:szCs w:val="19"/>
          <w:color w:val="auto"/>
        </w:rPr>
        <w:t>. The Borrower Agent may, at any time after the Closing Date upon</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written notice to, and with the prior written consent (which may be given, withheld or conditioned at the Administrative Agent’s sole option) of, the Administrative Agent, designate any Restricted Subsidiary of a Loan Party (other than another Loan Party) as an Unrestricted Subsidiary or any Unrestricted Subsidiary as a Restricted Subsidiary; </w:t>
      </w:r>
      <w:r>
        <w:rPr>
          <w:rFonts w:ascii="Arial" w:cs="Arial" w:eastAsia="Arial" w:hAnsi="Arial"/>
          <w:sz w:val="19"/>
          <w:szCs w:val="19"/>
          <w:u w:val="single" w:color="auto"/>
          <w:color w:val="auto"/>
        </w:rPr>
        <w:t>provided</w:t>
      </w:r>
      <w:r>
        <w:rPr>
          <w:rFonts w:ascii="Arial" w:cs="Arial" w:eastAsia="Arial" w:hAnsi="Arial"/>
          <w:sz w:val="19"/>
          <w:szCs w:val="19"/>
          <w:color w:val="auto"/>
        </w:rPr>
        <w:t>, that (i) immediately before and after such designation and on a Pro Forma Basis as of the end of the most recent Measurement Period, no Default or Event of Default shall have occurred and be continuing, (ii) at all times, none of Borrower Agent or its Restricted Subsidiaries shall contribute or otherwise transfer any material Intellectual Property to any Unrestricted Subsidiary or designate any Subsidiary that owns (whether by way of a license agreement or otherwise) material Intellectual Property or other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98</w:t>
      </w:r>
    </w:p>
    <w:p>
      <w:pPr>
        <w:sectPr>
          <w:pgSz w:w="11900" w:h="16838" w:orient="portrait"/>
          <w:cols w:equalWidth="0" w:num="1">
            <w:col w:w="11240"/>
          </w:cols>
          <w:pgMar w:left="320" w:top="1381" w:right="339" w:bottom="1440" w:gutter="0" w:footer="0" w:header="0"/>
        </w:sectPr>
      </w:pPr>
    </w:p>
    <w:bookmarkStart w:id="217" w:name="page218"/>
    <w:bookmarkEnd w:id="217"/>
    <w:p>
      <w:pPr>
        <w:jc w:val="both"/>
        <w:spacing w:after="0" w:line="261" w:lineRule="auto"/>
        <w:rPr>
          <w:sz w:val="20"/>
          <w:szCs w:val="20"/>
          <w:color w:val="auto"/>
        </w:rPr>
      </w:pPr>
      <w:r>
        <w:rPr>
          <w:rFonts w:ascii="Arial" w:cs="Arial" w:eastAsia="Arial" w:hAnsi="Arial"/>
          <w:sz w:val="18"/>
          <w:szCs w:val="18"/>
          <w:color w:val="auto"/>
        </w:rPr>
        <w:t xml:space="preserve">necessary for the business of the Loan Parties as an Unrestricted Subsidiary, (iii) at all times, each Subsidiary to be designated as an Unrestricted Subsidiary (and its Subsidiaries) has not at the time of such designation, and does not thereafter, create, incur, issue, assume, guarantee or otherwise become liable with respect to any Indebtedness owing to, or pursuant to which the lender thereunder or any other party thereto has recourse to, any Loan Party or other Restricted Subsidiary or to any assets of any Loan Party or other Restricted Subsidiary, (iv) at all times, no Loan Party shall have at any time any liability for any Indebtedness or other obligations of any Unrestricted Subsidiary, except to the extent permitted as to any unaffiliated Person under the Loan Documents, (v) in the case of a designation of a Restricted Subsidiary as an Unrestricted Subsidiary, (A) the Payment Conditions would be satisfied on a Pro Forma Basis after giving effect to such designation, and (B) after giving thereto, Unrestricted Subsidiaries may not, in the aggregate, represent more than 2.5% of the total assets or total revenue of the Company and its Subsidiaries on a consolidated basis, and (vi) no Restricted Subsidiary may be designated as an Unrestricted Subsidiary if it was previously designated an Unrestricted Subsidiary. The designation of any Subsidiary as an Unrestricted Subsidiary after the date hereof shall constitute (x) an Investment by the Company therein at the date of designation in an amount equal to the Fair Market Value of the Company’s or its Subsidiaries’ (as applicable) investment therein and (y) the incurrence of Indebtedness (and any associated Liens) then issued or owing by such Subsidiary as of the date of such designation in an amount equal to the outstanding principal amount thereof. Any notice delivered pursuant to this </w:t>
      </w:r>
      <w:r>
        <w:rPr>
          <w:rFonts w:ascii="Arial" w:cs="Arial" w:eastAsia="Arial" w:hAnsi="Arial"/>
          <w:sz w:val="18"/>
          <w:szCs w:val="18"/>
          <w:u w:val="single" w:color="auto"/>
          <w:color w:val="auto"/>
        </w:rPr>
        <w:t>Section 2.19</w:t>
      </w:r>
      <w:r>
        <w:rPr>
          <w:rFonts w:ascii="Arial" w:cs="Arial" w:eastAsia="Arial" w:hAnsi="Arial"/>
          <w:sz w:val="18"/>
          <w:szCs w:val="18"/>
          <w:color w:val="auto"/>
        </w:rPr>
        <w:t xml:space="preserve"> shall include a certificate of a Responsible Officer of the Borrower Agent certifying as to compliance with the preceding clauses and demonstrating (in reasonable detail) the calculations required thereby. Neither any Borrower nor any other Loan Party party hereto constitutes an Unrestricted Subsidiary as of the Closing Date.</w:t>
      </w:r>
    </w:p>
    <w:p>
      <w:pPr>
        <w:spacing w:after="0" w:line="169" w:lineRule="exact"/>
        <w:rPr>
          <w:sz w:val="20"/>
          <w:szCs w:val="20"/>
          <w:color w:val="auto"/>
        </w:rPr>
      </w:pPr>
    </w:p>
    <w:p>
      <w:pPr>
        <w:jc w:val="center"/>
        <w:ind w:right="100"/>
        <w:spacing w:after="0"/>
        <w:rPr>
          <w:sz w:val="20"/>
          <w:szCs w:val="20"/>
          <w:color w:val="auto"/>
        </w:rPr>
      </w:pPr>
      <w:r>
        <w:rPr>
          <w:rFonts w:ascii="Arial" w:cs="Arial" w:eastAsia="Arial" w:hAnsi="Arial"/>
          <w:sz w:val="19"/>
          <w:szCs w:val="19"/>
          <w:b w:val="1"/>
          <w:bCs w:val="1"/>
          <w:color w:val="auto"/>
        </w:rPr>
        <w:t>ARTICLE III</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TAXES, YIELD PROTECTION AND ILLEGALITY</w:t>
      </w:r>
    </w:p>
    <w:p>
      <w:pPr>
        <w:spacing w:after="0" w:line="192"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9"/>
          <w:szCs w:val="19"/>
          <w:b w:val="1"/>
          <w:bCs w:val="1"/>
          <w:color w:val="auto"/>
        </w:rPr>
        <w:t>3.1</w:t>
      </w:r>
      <w:r>
        <w:rPr>
          <w:sz w:val="20"/>
          <w:szCs w:val="20"/>
          <w:color w:val="auto"/>
        </w:rPr>
        <w:tab/>
      </w:r>
      <w:r>
        <w:rPr>
          <w:rFonts w:ascii="Arial" w:cs="Arial" w:eastAsia="Arial" w:hAnsi="Arial"/>
          <w:sz w:val="16"/>
          <w:szCs w:val="16"/>
          <w:b w:val="1"/>
          <w:bCs w:val="1"/>
          <w:color w:val="auto"/>
        </w:rPr>
        <w:t>Taxes.</w:t>
      </w:r>
    </w:p>
    <w:p>
      <w:pPr>
        <w:spacing w:after="0" w:line="220" w:lineRule="exact"/>
        <w:rPr>
          <w:sz w:val="20"/>
          <w:szCs w:val="20"/>
          <w:color w:val="auto"/>
        </w:rPr>
      </w:pPr>
    </w:p>
    <w:p>
      <w:pPr>
        <w:ind w:left="1260" w:hanging="626"/>
        <w:spacing w:after="0"/>
        <w:tabs>
          <w:tab w:leader="none" w:pos="1260" w:val="left"/>
        </w:tabs>
        <w:numPr>
          <w:ilvl w:val="0"/>
          <w:numId w:val="181"/>
        </w:numPr>
        <w:rPr>
          <w:rFonts w:ascii="Arial" w:cs="Arial" w:eastAsia="Arial" w:hAnsi="Arial"/>
          <w:sz w:val="19"/>
          <w:szCs w:val="19"/>
          <w:color w:val="auto"/>
        </w:rPr>
      </w:pPr>
      <w:r>
        <w:rPr>
          <w:rFonts w:ascii="Arial" w:cs="Arial" w:eastAsia="Arial" w:hAnsi="Arial"/>
          <w:sz w:val="19"/>
          <w:szCs w:val="19"/>
          <w:u w:val="single" w:color="auto"/>
          <w:color w:val="auto"/>
        </w:rPr>
        <w:t>Payments Free of Taxes; Obligation to Withhold; Payments on Account of Taxes</w:t>
      </w:r>
      <w:r>
        <w:rPr>
          <w:rFonts w:ascii="Arial" w:cs="Arial" w:eastAsia="Arial" w:hAnsi="Arial"/>
          <w:sz w:val="19"/>
          <w:szCs w:val="19"/>
          <w:color w:val="auto"/>
        </w:rPr>
        <w:t>.</w:t>
      </w:r>
    </w:p>
    <w:p>
      <w:pPr>
        <w:spacing w:after="0" w:line="214" w:lineRule="exact"/>
        <w:rPr>
          <w:rFonts w:ascii="Arial" w:cs="Arial" w:eastAsia="Arial" w:hAnsi="Arial"/>
          <w:sz w:val="19"/>
          <w:szCs w:val="19"/>
          <w:color w:val="auto"/>
        </w:rPr>
      </w:pPr>
    </w:p>
    <w:p>
      <w:pPr>
        <w:jc w:val="both"/>
        <w:ind w:left="640" w:firstLine="624"/>
        <w:spacing w:after="0" w:line="269" w:lineRule="auto"/>
        <w:tabs>
          <w:tab w:leader="none" w:pos="1897" w:val="left"/>
        </w:tabs>
        <w:numPr>
          <w:ilvl w:val="1"/>
          <w:numId w:val="181"/>
        </w:numPr>
        <w:rPr>
          <w:rFonts w:ascii="Arial" w:cs="Arial" w:eastAsia="Arial" w:hAnsi="Arial"/>
          <w:sz w:val="18"/>
          <w:szCs w:val="18"/>
          <w:color w:val="auto"/>
        </w:rPr>
      </w:pPr>
      <w:r>
        <w:rPr>
          <w:rFonts w:ascii="Arial" w:cs="Arial" w:eastAsia="Arial" w:hAnsi="Arial"/>
          <w:sz w:val="18"/>
          <w:szCs w:val="18"/>
          <w:color w:val="auto"/>
        </w:rPr>
        <w:t>Any and all payments by or on account of any obligation of the Loan Parties hereunder or under any other Loan Document shall to the extent permitted by applicable Laws be made free and clear of and without reduction or withholding for any Taxes. If, however, applicable Laws require the Loan Parties or the Administrative Agent to withhold or deduct any Tax, such Tax shall be withheld or deducted in accordance with such Laws as determined by the Borrower Agent or the Administrative Agent, as the case may be, upon the basis of the information and documentation to be delivered pursuant to subsection (e) below.</w:t>
      </w:r>
    </w:p>
    <w:p>
      <w:pPr>
        <w:spacing w:after="0" w:line="164" w:lineRule="exact"/>
        <w:rPr>
          <w:rFonts w:ascii="Arial" w:cs="Arial" w:eastAsia="Arial" w:hAnsi="Arial"/>
          <w:sz w:val="18"/>
          <w:szCs w:val="18"/>
          <w:color w:val="auto"/>
        </w:rPr>
      </w:pPr>
    </w:p>
    <w:p>
      <w:pPr>
        <w:jc w:val="both"/>
        <w:ind w:left="640" w:firstLine="624"/>
        <w:spacing w:after="0" w:line="283" w:lineRule="auto"/>
        <w:tabs>
          <w:tab w:leader="none" w:pos="1897" w:val="left"/>
        </w:tabs>
        <w:numPr>
          <w:ilvl w:val="1"/>
          <w:numId w:val="181"/>
        </w:numPr>
        <w:rPr>
          <w:rFonts w:ascii="Arial" w:cs="Arial" w:eastAsia="Arial" w:hAnsi="Arial"/>
          <w:sz w:val="17"/>
          <w:szCs w:val="17"/>
          <w:color w:val="auto"/>
        </w:rPr>
      </w:pPr>
      <w:r>
        <w:rPr>
          <w:rFonts w:ascii="Arial" w:cs="Arial" w:eastAsia="Arial" w:hAnsi="Arial"/>
          <w:sz w:val="17"/>
          <w:szCs w:val="17"/>
          <w:color w:val="auto"/>
        </w:rPr>
        <w:t>If any Loan Party or the Administrative Agent shall be required by the Tax Act or the Code to withhold or deduct any Taxes, including both withholding taxes and United States federal backup withholding, from any payment, then (A) the Loan Party or the Administrative Agent shall withhold or make such deductions as are determined by the Loan Party or the Administrative Agent to be required based upon the information and documentation it has received pursuant to subsection (e) below, (B) the Loan Party or the Administrative Agent shall timely pay the full amount withheld or deducted to the relevant Governmental Authority in accordance with the Tax Act or the Code, as applicable, and (C) to the extent that the withholding or deduction is made on account of Indemnified Taxes or Other Taxes, the sum payable by the Loan Parties shall be increased as necessary so that after any required withholding or the making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99</w:t>
      </w:r>
    </w:p>
    <w:p>
      <w:pPr>
        <w:sectPr>
          <w:pgSz w:w="11900" w:h="16838" w:orient="portrait"/>
          <w:cols w:equalWidth="0" w:num="1">
            <w:col w:w="11240"/>
          </w:cols>
          <w:pgMar w:left="320" w:top="1382" w:right="339" w:bottom="1440" w:gutter="0" w:footer="0" w:header="0"/>
        </w:sectPr>
      </w:pPr>
    </w:p>
    <w:bookmarkStart w:id="218" w:name="page219"/>
    <w:bookmarkEnd w:id="218"/>
    <w:p>
      <w:pPr>
        <w:jc w:val="both"/>
        <w:ind w:left="640"/>
        <w:spacing w:after="0" w:line="259" w:lineRule="auto"/>
        <w:rPr>
          <w:sz w:val="20"/>
          <w:szCs w:val="20"/>
          <w:color w:val="auto"/>
        </w:rPr>
      </w:pPr>
      <w:r>
        <w:rPr>
          <w:rFonts w:ascii="Arial" w:cs="Arial" w:eastAsia="Arial" w:hAnsi="Arial"/>
          <w:sz w:val="19"/>
          <w:szCs w:val="19"/>
          <w:color w:val="auto"/>
        </w:rPr>
        <w:t>of all required deductions (including any withholding or deductions applicable to additional sums payable under this Section) the Administrative Agent, Lender or Letter of Credit Issuer, as the case may be, receives an amount equal to the sum it would have received had no such withholding or deduction been made.</w:t>
      </w:r>
    </w:p>
    <w:p>
      <w:pPr>
        <w:spacing w:after="0" w:line="171" w:lineRule="exact"/>
        <w:rPr>
          <w:sz w:val="20"/>
          <w:szCs w:val="20"/>
          <w:color w:val="auto"/>
        </w:rPr>
      </w:pPr>
    </w:p>
    <w:p>
      <w:pPr>
        <w:ind w:firstLine="634"/>
        <w:spacing w:after="0" w:line="274" w:lineRule="auto"/>
        <w:tabs>
          <w:tab w:leader="none" w:pos="1247" w:val="left"/>
        </w:tabs>
        <w:numPr>
          <w:ilvl w:val="0"/>
          <w:numId w:val="182"/>
        </w:numPr>
        <w:rPr>
          <w:rFonts w:ascii="Arial" w:cs="Arial" w:eastAsia="Arial" w:hAnsi="Arial"/>
          <w:sz w:val="19"/>
          <w:szCs w:val="19"/>
          <w:color w:val="auto"/>
        </w:rPr>
      </w:pPr>
      <w:r>
        <w:rPr>
          <w:rFonts w:ascii="Arial" w:cs="Arial" w:eastAsia="Arial" w:hAnsi="Arial"/>
          <w:sz w:val="19"/>
          <w:szCs w:val="19"/>
          <w:u w:val="single" w:color="auto"/>
          <w:color w:val="auto"/>
        </w:rPr>
        <w:t>Payment of Other Taxes by the Borrowers</w:t>
      </w:r>
      <w:r>
        <w:rPr>
          <w:rFonts w:ascii="Arial" w:cs="Arial" w:eastAsia="Arial" w:hAnsi="Arial"/>
          <w:sz w:val="19"/>
          <w:szCs w:val="19"/>
          <w:color w:val="auto"/>
        </w:rPr>
        <w:t>. Without limiting the provisions of subsection (a) above, the Loan Parties shall timely pay any Other Taxes to the relevant Governmental Authority in accordance with applicable Law.</w:t>
      </w:r>
    </w:p>
    <w:p>
      <w:pPr>
        <w:spacing w:after="0" w:line="156" w:lineRule="exact"/>
        <w:rPr>
          <w:rFonts w:ascii="Arial" w:cs="Arial" w:eastAsia="Arial" w:hAnsi="Arial"/>
          <w:sz w:val="19"/>
          <w:szCs w:val="19"/>
          <w:color w:val="auto"/>
        </w:rPr>
      </w:pPr>
    </w:p>
    <w:p>
      <w:pPr>
        <w:ind w:left="1260" w:hanging="626"/>
        <w:spacing w:after="0"/>
        <w:tabs>
          <w:tab w:leader="none" w:pos="1260" w:val="left"/>
        </w:tabs>
        <w:numPr>
          <w:ilvl w:val="0"/>
          <w:numId w:val="182"/>
        </w:numPr>
        <w:rPr>
          <w:rFonts w:ascii="Arial" w:cs="Arial" w:eastAsia="Arial" w:hAnsi="Arial"/>
          <w:sz w:val="19"/>
          <w:szCs w:val="19"/>
          <w:color w:val="auto"/>
        </w:rPr>
      </w:pPr>
      <w:r>
        <w:rPr>
          <w:rFonts w:ascii="Arial" w:cs="Arial" w:eastAsia="Arial" w:hAnsi="Arial"/>
          <w:sz w:val="19"/>
          <w:szCs w:val="19"/>
          <w:u w:val="single" w:color="auto"/>
          <w:color w:val="auto"/>
        </w:rPr>
        <w:t>Tax Indemnification by the Borrowers</w:t>
      </w:r>
      <w:r>
        <w:rPr>
          <w:rFonts w:ascii="Arial" w:cs="Arial" w:eastAsia="Arial" w:hAnsi="Arial"/>
          <w:sz w:val="19"/>
          <w:szCs w:val="19"/>
          <w:color w:val="auto"/>
        </w:rPr>
        <w:t>.</w:t>
      </w:r>
    </w:p>
    <w:p>
      <w:pPr>
        <w:spacing w:after="0" w:line="214" w:lineRule="exact"/>
        <w:rPr>
          <w:rFonts w:ascii="Arial" w:cs="Arial" w:eastAsia="Arial" w:hAnsi="Arial"/>
          <w:sz w:val="19"/>
          <w:szCs w:val="19"/>
          <w:color w:val="auto"/>
        </w:rPr>
      </w:pPr>
    </w:p>
    <w:p>
      <w:pPr>
        <w:jc w:val="both"/>
        <w:ind w:left="640" w:firstLine="624"/>
        <w:spacing w:after="0" w:line="262" w:lineRule="auto"/>
        <w:tabs>
          <w:tab w:leader="none" w:pos="1897" w:val="left"/>
        </w:tabs>
        <w:numPr>
          <w:ilvl w:val="1"/>
          <w:numId w:val="182"/>
        </w:numPr>
        <w:rPr>
          <w:rFonts w:ascii="Arial" w:cs="Arial" w:eastAsia="Arial" w:hAnsi="Arial"/>
          <w:sz w:val="18"/>
          <w:szCs w:val="18"/>
          <w:color w:val="auto"/>
        </w:rPr>
      </w:pPr>
      <w:r>
        <w:rPr>
          <w:rFonts w:ascii="Arial" w:cs="Arial" w:eastAsia="Arial" w:hAnsi="Arial"/>
          <w:sz w:val="18"/>
          <w:szCs w:val="18"/>
          <w:color w:val="auto"/>
        </w:rPr>
        <w:t>Without limiting the provisions of subsection (a) or (b) above, each Loan Party shall, and does hereby, indemnify the Administrative Agent, each Lender and the Letter of Credit Issuer, and shall make payment in respect thereof within 10 days after demand therefor, for the full amount of any Indemnified Taxes or Other Taxes (including Indemnified Taxes or Other Taxes imposed or asserted on or attributable to amounts payable under this Section) withheld or deducted by the Loan Parties or the Administrative Agent or paid by the Administrative Agent, such Lender or the Letter of Credit Issuer, as the case may be, and any penalties, interest and reasonable expenses arising therefrom or with respect thereto, whether or not such Indemnified Taxes or Other Taxes were correctly or legally imposed or asserted by the relevant Governmental Authority. Each Loan Party shall also, and does hereby, indemnify the Administrative Agent, and shall make payment in respect thereof within 10 days after demand therefor, for any amount which a Lender or the Letter of Credit Issuer for any reason fails to pay indefeasibly to the Administrative Agent as required by clause (ii) of this subsection. A certificate as to the amount of any such payment or liability delivered to the Borrower Agent by a Lender or the Letter of Credit Issuer (with a copy to the Administrative Agent), or by the Administrative Agent on its own behalf or on behalf of a Lender or the Letter of Credit Issuer, shall be conclusive absent manifest error.</w:t>
      </w:r>
    </w:p>
    <w:p>
      <w:pPr>
        <w:spacing w:after="0" w:line="173" w:lineRule="exact"/>
        <w:rPr>
          <w:rFonts w:ascii="Arial" w:cs="Arial" w:eastAsia="Arial" w:hAnsi="Arial"/>
          <w:sz w:val="18"/>
          <w:szCs w:val="18"/>
          <w:color w:val="auto"/>
        </w:rPr>
      </w:pPr>
    </w:p>
    <w:p>
      <w:pPr>
        <w:jc w:val="both"/>
        <w:ind w:left="640" w:firstLine="624"/>
        <w:spacing w:after="0" w:line="262" w:lineRule="auto"/>
        <w:tabs>
          <w:tab w:leader="none" w:pos="1897" w:val="left"/>
        </w:tabs>
        <w:numPr>
          <w:ilvl w:val="1"/>
          <w:numId w:val="182"/>
        </w:numPr>
        <w:rPr>
          <w:rFonts w:ascii="Arial" w:cs="Arial" w:eastAsia="Arial" w:hAnsi="Arial"/>
          <w:sz w:val="18"/>
          <w:szCs w:val="18"/>
          <w:color w:val="auto"/>
        </w:rPr>
      </w:pPr>
      <w:r>
        <w:rPr>
          <w:rFonts w:ascii="Arial" w:cs="Arial" w:eastAsia="Arial" w:hAnsi="Arial"/>
          <w:sz w:val="18"/>
          <w:szCs w:val="18"/>
          <w:color w:val="auto"/>
        </w:rPr>
        <w:t>Without limiting the provisions of subsection (a) or (b) above, each Lender and the Letter of Credit Issuer shall, and does hereby, indemnify the Loan Parties and the Administrative Agent, and shall make payment in respect thereof within 10 days after demand therefor, against any and all Taxes and any and all related losses, claims, liabilities, penalties, interest and expenses (including the fees, charges and disbursements of any counsel for the Borrowers or the Administrative Agent) incurred by or asserted against the Loan Parties or the Administrative Agent by any Governmental Authority as a result of the failure by such Lender or the Letter of Credit Issuer, as the case may be, to deliver, or as a result of the inaccuracy, inadequacy or deficiency of, any documentation required to be delivered by such Lender or the Letter of Credit Issuer, as the case may be, to the Borrower Agent or the Administrative Agent pursuant to subsection (e). Each Lender and the Letter of Credit Issuer hereby authorizes the Administrative Agent to set off and apply any and all amounts at any time owing to such Lender or the Letter of Credit Issuer, as the case may be, under this Agreement or any other Loan Document against any amount due to the Administrative Agent under this clause (ii). The agreements in this clause (ii) shall survive the resignation and/or replacement of the Administrative Agent, any assignment of rights by, or the replacement of, a Lender or the Letter of Credit Issuer and the occurrence of the Facility Termination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100</w:t>
      </w:r>
    </w:p>
    <w:p>
      <w:pPr>
        <w:sectPr>
          <w:pgSz w:w="11900" w:h="16838" w:orient="portrait"/>
          <w:cols w:equalWidth="0" w:num="1">
            <w:col w:w="11240"/>
          </w:cols>
          <w:pgMar w:left="320" w:top="1382" w:right="339" w:bottom="1440" w:gutter="0" w:footer="0" w:header="0"/>
        </w:sectPr>
      </w:pPr>
    </w:p>
    <w:bookmarkStart w:id="219" w:name="page220"/>
    <w:bookmarkEnd w:id="219"/>
    <w:p>
      <w:pPr>
        <w:jc w:val="both"/>
        <w:ind w:firstLine="634"/>
        <w:spacing w:after="0" w:line="250" w:lineRule="auto"/>
        <w:tabs>
          <w:tab w:leader="none" w:pos="1247" w:val="left"/>
        </w:tabs>
        <w:numPr>
          <w:ilvl w:val="0"/>
          <w:numId w:val="183"/>
        </w:numPr>
        <w:rPr>
          <w:rFonts w:ascii="Arial" w:cs="Arial" w:eastAsia="Arial" w:hAnsi="Arial"/>
          <w:sz w:val="19"/>
          <w:szCs w:val="19"/>
          <w:color w:val="auto"/>
        </w:rPr>
      </w:pPr>
      <w:r>
        <w:rPr>
          <w:rFonts w:ascii="Arial" w:cs="Arial" w:eastAsia="Arial" w:hAnsi="Arial"/>
          <w:sz w:val="19"/>
          <w:szCs w:val="19"/>
          <w:u w:val="single" w:color="auto"/>
          <w:color w:val="auto"/>
        </w:rPr>
        <w:t>Evidence of Payments</w:t>
      </w:r>
      <w:r>
        <w:rPr>
          <w:rFonts w:ascii="Arial" w:cs="Arial" w:eastAsia="Arial" w:hAnsi="Arial"/>
          <w:sz w:val="19"/>
          <w:szCs w:val="19"/>
          <w:color w:val="auto"/>
        </w:rPr>
        <w:t xml:space="preserve">. Upon request by the Borrower Agent or the Administrative Agent, as the case may be, after any payment of Taxes by the Loan Parties or by the Administrative Agent to a Governmental Authority as provided in this </w:t>
      </w:r>
      <w:r>
        <w:rPr>
          <w:rFonts w:ascii="Arial" w:cs="Arial" w:eastAsia="Arial" w:hAnsi="Arial"/>
          <w:sz w:val="19"/>
          <w:szCs w:val="19"/>
          <w:u w:val="single" w:color="auto"/>
          <w:color w:val="auto"/>
        </w:rPr>
        <w:t>Section 3.01</w:t>
      </w:r>
      <w:r>
        <w:rPr>
          <w:rFonts w:ascii="Arial" w:cs="Arial" w:eastAsia="Arial" w:hAnsi="Arial"/>
          <w:sz w:val="19"/>
          <w:szCs w:val="19"/>
          <w:color w:val="auto"/>
        </w:rPr>
        <w:t>, the Borrower Agent shall deliver to the Administrative Agent or the Administrative Agent shall deliver to the Borrower Agent, as the case may be, the original or a certified copy of a receipt issued by such Governmental Authority evidencing such payment, a copy of any return required by applicable Laws to report such payment or other evidence of such payment reasonably satisfactory to the Borrower Agent or the Administrative Agent, as the case may be.</w:t>
      </w:r>
    </w:p>
    <w:p>
      <w:pPr>
        <w:spacing w:after="0" w:line="181" w:lineRule="exact"/>
        <w:rPr>
          <w:rFonts w:ascii="Arial" w:cs="Arial" w:eastAsia="Arial" w:hAnsi="Arial"/>
          <w:sz w:val="19"/>
          <w:szCs w:val="19"/>
          <w:color w:val="auto"/>
        </w:rPr>
      </w:pPr>
    </w:p>
    <w:p>
      <w:pPr>
        <w:ind w:left="1260" w:hanging="626"/>
        <w:spacing w:after="0"/>
        <w:tabs>
          <w:tab w:leader="none" w:pos="1260" w:val="left"/>
        </w:tabs>
        <w:numPr>
          <w:ilvl w:val="0"/>
          <w:numId w:val="183"/>
        </w:numPr>
        <w:rPr>
          <w:rFonts w:ascii="Arial" w:cs="Arial" w:eastAsia="Arial" w:hAnsi="Arial"/>
          <w:sz w:val="19"/>
          <w:szCs w:val="19"/>
          <w:color w:val="auto"/>
        </w:rPr>
      </w:pPr>
      <w:r>
        <w:rPr>
          <w:rFonts w:ascii="Arial" w:cs="Arial" w:eastAsia="Arial" w:hAnsi="Arial"/>
          <w:sz w:val="19"/>
          <w:szCs w:val="19"/>
          <w:u w:val="single" w:color="auto"/>
          <w:color w:val="auto"/>
        </w:rPr>
        <w:t>Status of Lenders; Tax Documentation</w:t>
      </w:r>
      <w:r>
        <w:rPr>
          <w:rFonts w:ascii="Arial" w:cs="Arial" w:eastAsia="Arial" w:hAnsi="Arial"/>
          <w:sz w:val="19"/>
          <w:szCs w:val="19"/>
          <w:color w:val="auto"/>
        </w:rPr>
        <w:t>.</w:t>
      </w:r>
    </w:p>
    <w:p>
      <w:pPr>
        <w:spacing w:after="0" w:line="214" w:lineRule="exact"/>
        <w:rPr>
          <w:rFonts w:ascii="Arial" w:cs="Arial" w:eastAsia="Arial" w:hAnsi="Arial"/>
          <w:sz w:val="19"/>
          <w:szCs w:val="19"/>
          <w:color w:val="auto"/>
        </w:rPr>
      </w:pPr>
    </w:p>
    <w:p>
      <w:pPr>
        <w:jc w:val="both"/>
        <w:ind w:left="640" w:firstLine="624"/>
        <w:spacing w:after="0" w:line="278" w:lineRule="auto"/>
        <w:tabs>
          <w:tab w:leader="none" w:pos="1897" w:val="left"/>
        </w:tabs>
        <w:numPr>
          <w:ilvl w:val="1"/>
          <w:numId w:val="183"/>
        </w:numPr>
        <w:rPr>
          <w:rFonts w:ascii="Arial" w:cs="Arial" w:eastAsia="Arial" w:hAnsi="Arial"/>
          <w:sz w:val="17"/>
          <w:szCs w:val="17"/>
          <w:color w:val="auto"/>
        </w:rPr>
      </w:pPr>
      <w:r>
        <w:rPr>
          <w:rFonts w:ascii="Arial" w:cs="Arial" w:eastAsia="Arial" w:hAnsi="Arial"/>
          <w:sz w:val="17"/>
          <w:szCs w:val="17"/>
          <w:color w:val="auto"/>
        </w:rPr>
        <w:t>Each Lender and the Letter of Credit Issuer shall deliver to the Borrower Agent and to the Administrative Agent, at the time or times prescribed by applicable Laws or when reasonably requested by the Borrower Agent or the Administrative Agent, such properly completed and executed documentation prescribed by applicable Laws or by the taxing authorities of any jurisdiction and such other reasonably requested information as will permit the Borrower Agent or the Administrative Agent, as the case may be, to determine</w:t>
      </w:r>
    </w:p>
    <w:p>
      <w:pPr>
        <w:spacing w:after="0" w:line="2" w:lineRule="exact"/>
        <w:rPr>
          <w:rFonts w:ascii="Arial" w:cs="Arial" w:eastAsia="Arial" w:hAnsi="Arial"/>
          <w:sz w:val="17"/>
          <w:szCs w:val="17"/>
          <w:color w:val="auto"/>
        </w:rPr>
      </w:pPr>
    </w:p>
    <w:p>
      <w:pPr>
        <w:jc w:val="both"/>
        <w:ind w:left="640"/>
        <w:spacing w:after="0" w:line="267" w:lineRule="auto"/>
        <w:rPr>
          <w:rFonts w:ascii="Arial" w:cs="Arial" w:eastAsia="Arial" w:hAnsi="Arial"/>
          <w:sz w:val="17"/>
          <w:szCs w:val="17"/>
          <w:color w:val="auto"/>
        </w:rPr>
      </w:pPr>
      <w:r>
        <w:rPr>
          <w:rFonts w:ascii="Arial" w:cs="Arial" w:eastAsia="Arial" w:hAnsi="Arial"/>
          <w:sz w:val="18"/>
          <w:szCs w:val="18"/>
          <w:color w:val="auto"/>
        </w:rPr>
        <w:t>(A) whether or not payments made hereunder or under any other Loan Document are subject to Taxes, (B) if applicable, the required rate of withholding or deduction in respect of any applicable Taxes, and (C) such Lender’s entitlement to any available exemption from, or reduction of, applicable Taxes in respect of any payments to be made to such Lender by the Loan Parties pursuant to this Agreement or otherwise to establish such Lender’s status for withholding tax purposes in the applicable jurisdiction.</w:t>
      </w:r>
    </w:p>
    <w:p>
      <w:pPr>
        <w:spacing w:after="0" w:line="164" w:lineRule="exact"/>
        <w:rPr>
          <w:rFonts w:ascii="Arial" w:cs="Arial" w:eastAsia="Arial" w:hAnsi="Arial"/>
          <w:sz w:val="17"/>
          <w:szCs w:val="17"/>
          <w:color w:val="auto"/>
        </w:rPr>
      </w:pPr>
    </w:p>
    <w:p>
      <w:pPr>
        <w:ind w:left="1900" w:hanging="636"/>
        <w:spacing w:after="0"/>
        <w:tabs>
          <w:tab w:leader="none" w:pos="1900" w:val="left"/>
        </w:tabs>
        <w:numPr>
          <w:ilvl w:val="1"/>
          <w:numId w:val="183"/>
        </w:numPr>
        <w:rPr>
          <w:rFonts w:ascii="Arial" w:cs="Arial" w:eastAsia="Arial" w:hAnsi="Arial"/>
          <w:sz w:val="19"/>
          <w:szCs w:val="19"/>
          <w:color w:val="auto"/>
        </w:rPr>
      </w:pPr>
      <w:r>
        <w:rPr>
          <w:rFonts w:ascii="Arial" w:cs="Arial" w:eastAsia="Arial" w:hAnsi="Arial"/>
          <w:sz w:val="19"/>
          <w:szCs w:val="19"/>
          <w:color w:val="auto"/>
        </w:rPr>
        <w:t>Without limiting the generality of the foregoing, if a Borrower is resident for tax purposes in the United States,</w:t>
      </w:r>
    </w:p>
    <w:p>
      <w:pPr>
        <w:spacing w:after="0" w:line="214" w:lineRule="exact"/>
        <w:rPr>
          <w:rFonts w:ascii="Arial" w:cs="Arial" w:eastAsia="Arial" w:hAnsi="Arial"/>
          <w:sz w:val="19"/>
          <w:szCs w:val="19"/>
          <w:color w:val="auto"/>
        </w:rPr>
      </w:pPr>
    </w:p>
    <w:p>
      <w:pPr>
        <w:jc w:val="both"/>
        <w:ind w:left="1260" w:firstLine="633"/>
        <w:spacing w:after="0" w:line="252" w:lineRule="auto"/>
        <w:tabs>
          <w:tab w:leader="none" w:pos="2510" w:val="left"/>
        </w:tabs>
        <w:numPr>
          <w:ilvl w:val="2"/>
          <w:numId w:val="183"/>
        </w:numPr>
        <w:rPr>
          <w:rFonts w:ascii="Arial" w:cs="Arial" w:eastAsia="Arial" w:hAnsi="Arial"/>
          <w:sz w:val="19"/>
          <w:szCs w:val="19"/>
          <w:color w:val="auto"/>
        </w:rPr>
      </w:pPr>
      <w:r>
        <w:rPr>
          <w:rFonts w:ascii="Arial" w:cs="Arial" w:eastAsia="Arial" w:hAnsi="Arial"/>
          <w:sz w:val="19"/>
          <w:szCs w:val="19"/>
          <w:color w:val="auto"/>
        </w:rPr>
        <w:t>any Lender that is a “United States person” within the meaning of Section 7701(a)(30) of the Code shall deliver to the Borrower Agent and the Administrative Agent executed originals of Internal Revenue Service Form W9 or such other documentation or information prescribed by applicable Laws or reasonably requested by the Borrower Agent or the Administrative Agent as will enable the Borrower Agent or the Administrative Agent, as the case may be, to determine whether or not such Lender is subject to backup withholding or information reporting requirements; and</w:t>
      </w:r>
    </w:p>
    <w:p>
      <w:pPr>
        <w:spacing w:after="0" w:line="177" w:lineRule="exact"/>
        <w:rPr>
          <w:rFonts w:ascii="Arial" w:cs="Arial" w:eastAsia="Arial" w:hAnsi="Arial"/>
          <w:sz w:val="19"/>
          <w:szCs w:val="19"/>
          <w:color w:val="auto"/>
        </w:rPr>
      </w:pPr>
    </w:p>
    <w:p>
      <w:pPr>
        <w:jc w:val="both"/>
        <w:ind w:left="1260" w:firstLine="633"/>
        <w:spacing w:after="0" w:line="250" w:lineRule="auto"/>
        <w:tabs>
          <w:tab w:leader="none" w:pos="2513" w:val="left"/>
        </w:tabs>
        <w:numPr>
          <w:ilvl w:val="2"/>
          <w:numId w:val="183"/>
        </w:numPr>
        <w:rPr>
          <w:rFonts w:ascii="Arial" w:cs="Arial" w:eastAsia="Arial" w:hAnsi="Arial"/>
          <w:sz w:val="19"/>
          <w:szCs w:val="19"/>
          <w:color w:val="auto"/>
        </w:rPr>
      </w:pPr>
      <w:r>
        <w:rPr>
          <w:rFonts w:ascii="Arial" w:cs="Arial" w:eastAsia="Arial" w:hAnsi="Arial"/>
          <w:sz w:val="19"/>
          <w:szCs w:val="19"/>
          <w:color w:val="auto"/>
        </w:rPr>
        <w:t>each Foreign Lender that is entitled under the Code or any applicable treaty to an exemption from or reduction of withholding tax with respect to payments hereunder or under any other Loan Document shall deliver to the Borrower Agent and the Administrative Agent (in such number of copies as shall be requested by the recipient) on or prior to the date on which such Foreign Lender becomes a Lender under this Agreement (and from time to time thereafter upon the request of the Borrower Agent or the Administrative Agent, but only if such Foreign Lender is legally entitled to do so), whichever of the following is applicable:</w:t>
      </w:r>
    </w:p>
    <w:p>
      <w:pPr>
        <w:spacing w:after="0" w:line="181" w:lineRule="exact"/>
        <w:rPr>
          <w:rFonts w:ascii="Arial" w:cs="Arial" w:eastAsia="Arial" w:hAnsi="Arial"/>
          <w:sz w:val="19"/>
          <w:szCs w:val="19"/>
          <w:color w:val="auto"/>
        </w:rPr>
      </w:pPr>
    </w:p>
    <w:p>
      <w:pPr>
        <w:ind w:left="1900" w:firstLine="623"/>
        <w:spacing w:after="0" w:line="274" w:lineRule="auto"/>
        <w:tabs>
          <w:tab w:leader="none" w:pos="3154" w:val="left"/>
        </w:tabs>
        <w:numPr>
          <w:ilvl w:val="3"/>
          <w:numId w:val="183"/>
        </w:numPr>
        <w:rPr>
          <w:rFonts w:ascii="Arial" w:cs="Arial" w:eastAsia="Arial" w:hAnsi="Arial"/>
          <w:sz w:val="19"/>
          <w:szCs w:val="19"/>
          <w:color w:val="auto"/>
        </w:rPr>
      </w:pPr>
      <w:r>
        <w:rPr>
          <w:rFonts w:ascii="Arial" w:cs="Arial" w:eastAsia="Arial" w:hAnsi="Arial"/>
          <w:sz w:val="19"/>
          <w:szCs w:val="19"/>
          <w:color w:val="auto"/>
        </w:rPr>
        <w:t>executed originals of Internal Revenue Service Form W-8BEN-E (or, if applicable W-8BEN) claiming eligibility for benefits of an income tax treaty to which the United States is a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101</w:t>
      </w:r>
    </w:p>
    <w:p>
      <w:pPr>
        <w:sectPr>
          <w:pgSz w:w="11900" w:h="16838" w:orient="portrait"/>
          <w:cols w:equalWidth="0" w:num="1">
            <w:col w:w="11240"/>
          </w:cols>
          <w:pgMar w:left="320" w:top="1382" w:right="339" w:bottom="1440" w:gutter="0" w:footer="0" w:header="0"/>
        </w:sectPr>
      </w:pPr>
    </w:p>
    <w:bookmarkStart w:id="220" w:name="page221"/>
    <w:bookmarkEnd w:id="220"/>
    <w:p>
      <w:pPr>
        <w:ind w:left="3140" w:hanging="617"/>
        <w:spacing w:after="0"/>
        <w:tabs>
          <w:tab w:leader="none" w:pos="3140" w:val="left"/>
        </w:tabs>
        <w:numPr>
          <w:ilvl w:val="0"/>
          <w:numId w:val="184"/>
        </w:numPr>
        <w:rPr>
          <w:rFonts w:ascii="Arial" w:cs="Arial" w:eastAsia="Arial" w:hAnsi="Arial"/>
          <w:sz w:val="19"/>
          <w:szCs w:val="19"/>
          <w:color w:val="auto"/>
        </w:rPr>
      </w:pPr>
      <w:r>
        <w:rPr>
          <w:rFonts w:ascii="Arial" w:cs="Arial" w:eastAsia="Arial" w:hAnsi="Arial"/>
          <w:sz w:val="19"/>
          <w:szCs w:val="19"/>
          <w:color w:val="auto"/>
        </w:rPr>
        <w:t>executed originals of Internal Revenue Service Form W-8ECI,</w:t>
      </w:r>
    </w:p>
    <w:p>
      <w:pPr>
        <w:spacing w:after="0" w:line="214" w:lineRule="exact"/>
        <w:rPr>
          <w:sz w:val="20"/>
          <w:szCs w:val="20"/>
          <w:color w:val="auto"/>
        </w:rPr>
      </w:pPr>
    </w:p>
    <w:p>
      <w:pPr>
        <w:ind w:left="3140" w:hanging="617"/>
        <w:spacing w:after="0"/>
        <w:tabs>
          <w:tab w:leader="none" w:pos="3140" w:val="left"/>
        </w:tabs>
        <w:numPr>
          <w:ilvl w:val="0"/>
          <w:numId w:val="185"/>
        </w:numPr>
        <w:rPr>
          <w:rFonts w:ascii="Arial" w:cs="Arial" w:eastAsia="Arial" w:hAnsi="Arial"/>
          <w:sz w:val="19"/>
          <w:szCs w:val="19"/>
          <w:color w:val="auto"/>
        </w:rPr>
      </w:pPr>
      <w:r>
        <w:rPr>
          <w:rFonts w:ascii="Arial" w:cs="Arial" w:eastAsia="Arial" w:hAnsi="Arial"/>
          <w:sz w:val="19"/>
          <w:szCs w:val="19"/>
          <w:color w:val="auto"/>
        </w:rPr>
        <w:t>executed  originals  of  Internal  Revenue  Service  Form  W-8IMY  and  all  required  supporting</w:t>
      </w:r>
    </w:p>
    <w:p>
      <w:pPr>
        <w:spacing w:after="0" w:line="20" w:lineRule="exact"/>
        <w:rPr>
          <w:rFonts w:ascii="Arial" w:cs="Arial" w:eastAsia="Arial" w:hAnsi="Arial"/>
          <w:sz w:val="19"/>
          <w:szCs w:val="19"/>
          <w:color w:val="auto"/>
        </w:rPr>
      </w:pPr>
    </w:p>
    <w:p>
      <w:pPr>
        <w:ind w:left="1900"/>
        <w:spacing w:after="0"/>
        <w:rPr>
          <w:rFonts w:ascii="Arial" w:cs="Arial" w:eastAsia="Arial" w:hAnsi="Arial"/>
          <w:sz w:val="19"/>
          <w:szCs w:val="19"/>
          <w:color w:val="auto"/>
        </w:rPr>
      </w:pPr>
      <w:r>
        <w:rPr>
          <w:rFonts w:ascii="Arial" w:cs="Arial" w:eastAsia="Arial" w:hAnsi="Arial"/>
          <w:sz w:val="19"/>
          <w:szCs w:val="19"/>
          <w:color w:val="auto"/>
        </w:rPr>
        <w:t>documentation,</w:t>
      </w:r>
    </w:p>
    <w:p>
      <w:pPr>
        <w:spacing w:after="0" w:line="198" w:lineRule="exact"/>
        <w:rPr>
          <w:sz w:val="20"/>
          <w:szCs w:val="20"/>
          <w:color w:val="auto"/>
        </w:rPr>
      </w:pPr>
    </w:p>
    <w:p>
      <w:pPr>
        <w:jc w:val="both"/>
        <w:ind w:left="1900" w:firstLine="629"/>
        <w:spacing w:after="0" w:line="252" w:lineRule="auto"/>
        <w:rPr>
          <w:sz w:val="20"/>
          <w:szCs w:val="20"/>
          <w:color w:val="auto"/>
        </w:rPr>
      </w:pPr>
      <w:r>
        <w:rPr>
          <w:rFonts w:ascii="Arial" w:cs="Arial" w:eastAsia="Arial" w:hAnsi="Arial"/>
          <w:sz w:val="19"/>
          <w:szCs w:val="19"/>
          <w:color w:val="auto"/>
        </w:rPr>
        <w:t>(IV) in the case of a Foreign Lender claiming the benefits of the exemption for portfolio interest under Section 881(c) of the Code, (x) a certificate to the effect that such Foreign Lender is not (A) a “bank” within the meaning of Section 881(c)(3)(A) of the Code, (B) a “10 percent shareholder” of any Borrower within the meaning of Section 881(c)(3)(B) of the Code, or (C) a “controlled foreign corporation” described in Section 881(c)(3)(C) of the Code and (y) executed originals of Internal Revenue Service Form W-8BEN, or</w:t>
      </w:r>
    </w:p>
    <w:p>
      <w:pPr>
        <w:spacing w:after="0" w:line="177" w:lineRule="exact"/>
        <w:rPr>
          <w:sz w:val="20"/>
          <w:szCs w:val="20"/>
          <w:color w:val="auto"/>
        </w:rPr>
      </w:pPr>
    </w:p>
    <w:p>
      <w:pPr>
        <w:jc w:val="both"/>
        <w:ind w:left="1900" w:firstLine="623"/>
        <w:spacing w:after="0" w:line="254" w:lineRule="auto"/>
        <w:tabs>
          <w:tab w:leader="none" w:pos="3150" w:val="left"/>
        </w:tabs>
        <w:numPr>
          <w:ilvl w:val="3"/>
          <w:numId w:val="186"/>
        </w:numPr>
        <w:rPr>
          <w:rFonts w:ascii="Arial" w:cs="Arial" w:eastAsia="Arial" w:hAnsi="Arial"/>
          <w:sz w:val="19"/>
          <w:szCs w:val="19"/>
          <w:color w:val="auto"/>
        </w:rPr>
      </w:pPr>
      <w:r>
        <w:rPr>
          <w:rFonts w:ascii="Arial" w:cs="Arial" w:eastAsia="Arial" w:hAnsi="Arial"/>
          <w:sz w:val="19"/>
          <w:szCs w:val="19"/>
          <w:color w:val="auto"/>
        </w:rPr>
        <w:t>executed originals of any other form prescribed by applicable Laws as a basis for claiming exemption from or a reduction in United States federal withholding tax together with such supplementary documentation as may be prescribed by applicable Laws to permit the Borrower Agent or the Administrative Agent to determine the withholding or deduction required to be made; and</w:t>
      </w:r>
    </w:p>
    <w:p>
      <w:pPr>
        <w:spacing w:after="0" w:line="176" w:lineRule="exact"/>
        <w:rPr>
          <w:rFonts w:ascii="Arial" w:cs="Arial" w:eastAsia="Arial" w:hAnsi="Arial"/>
          <w:sz w:val="19"/>
          <w:szCs w:val="19"/>
          <w:color w:val="auto"/>
        </w:rPr>
      </w:pPr>
    </w:p>
    <w:p>
      <w:pPr>
        <w:jc w:val="both"/>
        <w:ind w:left="1260" w:firstLine="633"/>
        <w:spacing w:after="0" w:line="281" w:lineRule="auto"/>
        <w:tabs>
          <w:tab w:leader="none" w:pos="2513" w:val="left"/>
        </w:tabs>
        <w:numPr>
          <w:ilvl w:val="2"/>
          <w:numId w:val="187"/>
        </w:numPr>
        <w:rPr>
          <w:rFonts w:ascii="Arial" w:cs="Arial" w:eastAsia="Arial" w:hAnsi="Arial"/>
          <w:sz w:val="17"/>
          <w:szCs w:val="17"/>
          <w:color w:val="auto"/>
        </w:rPr>
      </w:pPr>
      <w:r>
        <w:rPr>
          <w:rFonts w:ascii="Arial" w:cs="Arial" w:eastAsia="Arial" w:hAnsi="Arial"/>
          <w:sz w:val="17"/>
          <w:szCs w:val="17"/>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Agent and the Administrative Agent at the time or times prescribed by law and at such time or times reasonably requested by any Borrower or the Administrative Agent such documentation prescribed by applicable law (including as prescribed by Section 1471(b)(3)(C)(i) of the Code) and such additional documentation reasonably requested by any Borrower or the Administrative Agent as may be necessary for the Borrowers and the Administrative Agent to comply with their obligations under FATCA or to determine the amount to deduct and withhold from such payment. Solely for purposes of this clause (C), “FATCA” shall include any amendments made to FATCA after the date of this Agreement. For purposes of this Section 3.01, “Laws” shall include FATCA.</w:t>
      </w:r>
    </w:p>
    <w:p>
      <w:pPr>
        <w:spacing w:after="0" w:line="156" w:lineRule="exact"/>
        <w:rPr>
          <w:rFonts w:ascii="Arial" w:cs="Arial" w:eastAsia="Arial" w:hAnsi="Arial"/>
          <w:sz w:val="17"/>
          <w:szCs w:val="17"/>
          <w:color w:val="auto"/>
        </w:rPr>
      </w:pPr>
    </w:p>
    <w:p>
      <w:pPr>
        <w:jc w:val="both"/>
        <w:ind w:left="640" w:firstLine="624"/>
        <w:spacing w:after="0" w:line="252" w:lineRule="auto"/>
        <w:tabs>
          <w:tab w:leader="none" w:pos="1898" w:val="left"/>
        </w:tabs>
        <w:numPr>
          <w:ilvl w:val="1"/>
          <w:numId w:val="188"/>
        </w:numPr>
        <w:rPr>
          <w:rFonts w:ascii="Arial" w:cs="Arial" w:eastAsia="Arial" w:hAnsi="Arial"/>
          <w:sz w:val="19"/>
          <w:szCs w:val="19"/>
          <w:color w:val="auto"/>
        </w:rPr>
      </w:pPr>
      <w:r>
        <w:rPr>
          <w:rFonts w:ascii="Arial" w:cs="Arial" w:eastAsia="Arial" w:hAnsi="Arial"/>
          <w:sz w:val="19"/>
          <w:szCs w:val="19"/>
          <w:color w:val="auto"/>
        </w:rPr>
        <w:t>Each Lender shall promptly (A) notify the Borrower Agent and the Administrative Agent of any change in circumstances which would modify or render invalid any claimed exemption or reduction, and (B) take such steps as shall not be materially disadvantageous to it, in the reasonable judgment of such Lender, and as may be reasonably necessary (including the re-designation of its Lending Office) to avoid any requirement of applicable Laws of any jurisdiction that the Loan Parties or the Administrative Agent make any withholding or deduction for Taxes from amounts payable to such Lender.</w:t>
      </w:r>
    </w:p>
    <w:p>
      <w:pPr>
        <w:spacing w:after="0" w:line="177" w:lineRule="exact"/>
        <w:rPr>
          <w:rFonts w:ascii="Arial" w:cs="Arial" w:eastAsia="Arial" w:hAnsi="Arial"/>
          <w:sz w:val="19"/>
          <w:szCs w:val="19"/>
          <w:color w:val="auto"/>
        </w:rPr>
      </w:pPr>
    </w:p>
    <w:p>
      <w:pPr>
        <w:jc w:val="both"/>
        <w:ind w:firstLine="634"/>
        <w:spacing w:after="0" w:line="252" w:lineRule="auto"/>
        <w:tabs>
          <w:tab w:leader="none" w:pos="1254" w:val="left"/>
        </w:tabs>
        <w:numPr>
          <w:ilvl w:val="0"/>
          <w:numId w:val="189"/>
        </w:numPr>
        <w:rPr>
          <w:rFonts w:ascii="Arial" w:cs="Arial" w:eastAsia="Arial" w:hAnsi="Arial"/>
          <w:sz w:val="19"/>
          <w:szCs w:val="19"/>
          <w:color w:val="auto"/>
        </w:rPr>
      </w:pPr>
      <w:r>
        <w:rPr>
          <w:rFonts w:ascii="Arial" w:cs="Arial" w:eastAsia="Arial" w:hAnsi="Arial"/>
          <w:sz w:val="19"/>
          <w:szCs w:val="19"/>
          <w:u w:val="single" w:color="auto"/>
          <w:color w:val="auto"/>
        </w:rPr>
        <w:t>Treatment of Certain Refunds</w:t>
      </w:r>
      <w:r>
        <w:rPr>
          <w:rFonts w:ascii="Arial" w:cs="Arial" w:eastAsia="Arial" w:hAnsi="Arial"/>
          <w:sz w:val="19"/>
          <w:szCs w:val="19"/>
          <w:color w:val="auto"/>
        </w:rPr>
        <w:t>. Unless required by applicable Laws, at no time shall the Administrative Agent have any obligation to file for or otherwise pursue on behalf of a Lender or the Letter of Credit Issuer, or have any obligation to pay to any Lender or the Letter of Credit Issuer, any refund of Taxes withheld or deducted from funds paid for the account of such Lender or the Letter of Credit Issuer, as the case may be. If the Administrative Agent, any Lender or the Letter of Credit Issuer determines, in its sole discretion, that it has received a refund of any Indemnified Taxes or Other Taxes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102</w:t>
      </w:r>
    </w:p>
    <w:p>
      <w:pPr>
        <w:sectPr>
          <w:pgSz w:w="11900" w:h="16838" w:orient="portrait"/>
          <w:cols w:equalWidth="0" w:num="1">
            <w:col w:w="11240"/>
          </w:cols>
          <w:pgMar w:left="320" w:top="1382" w:right="339" w:bottom="1440" w:gutter="0" w:footer="0" w:header="0"/>
        </w:sectPr>
      </w:pPr>
    </w:p>
    <w:bookmarkStart w:id="221" w:name="page222"/>
    <w:bookmarkEnd w:id="221"/>
    <w:p>
      <w:pPr>
        <w:jc w:val="both"/>
        <w:spacing w:after="0" w:line="280" w:lineRule="auto"/>
        <w:rPr>
          <w:sz w:val="20"/>
          <w:szCs w:val="20"/>
          <w:color w:val="auto"/>
        </w:rPr>
      </w:pPr>
      <w:r>
        <w:rPr>
          <w:rFonts w:ascii="Arial" w:cs="Arial" w:eastAsia="Arial" w:hAnsi="Arial"/>
          <w:sz w:val="17"/>
          <w:szCs w:val="17"/>
          <w:color w:val="auto"/>
        </w:rPr>
        <w:t xml:space="preserve">to which it has been indemnified by any Loan Party or with respect to which any Loan Party has paid additional amounts pursuant to this Section, it shall pay to such Loan Party an amount equal to such refund (but only to the extent of indemnity payments made, or additional amounts paid, by any Loan Party under this Section with respect to the Indemnified Taxes or Other Taxes giving rise to such refund), net of all out-of-pocket expenses incurred by the Administrative Agent, such Lender or the Letter of Credit Issuer, as the case may be, and without interest (other than any interest paid by the relevant Governmental Authority with respect to such refund),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each Loan Party, upon the request of the Administrative Agent, such Lender or the Letter of Credit Issuer, agrees to repay the amount paid over to any Loan Party (plus any penalties, interest or other charges imposed by the relevant Governmental Authority) to the Administrative Agent, such Lender or the Letter of Credit Issuer in the event the Administrative Agent, such Lender or the Letter of Credit Issuer is required to repay such refund to such Governmental Authority. This subsection shall not be construed to require the Administrative Agent, any Lender or the Letter of Credit Issuer to make available its tax returns (or any other information relating to its taxes that it deems confidential) to any Loan Party or any other Person.</w:t>
      </w:r>
    </w:p>
    <w:p>
      <w:pPr>
        <w:spacing w:after="0" w:line="153" w:lineRule="exact"/>
        <w:rPr>
          <w:sz w:val="20"/>
          <w:szCs w:val="20"/>
          <w:color w:val="auto"/>
        </w:rPr>
      </w:pPr>
    </w:p>
    <w:p>
      <w:pPr>
        <w:jc w:val="both"/>
        <w:ind w:firstLine="629"/>
        <w:spacing w:after="0" w:line="277" w:lineRule="auto"/>
        <w:rPr>
          <w:sz w:val="20"/>
          <w:szCs w:val="20"/>
          <w:color w:val="auto"/>
        </w:rPr>
      </w:pPr>
      <w:r>
        <w:rPr>
          <w:rFonts w:ascii="Arial" w:cs="Arial" w:eastAsia="Arial" w:hAnsi="Arial"/>
          <w:sz w:val="17"/>
          <w:szCs w:val="17"/>
          <w:b w:val="1"/>
          <w:bCs w:val="1"/>
          <w:color w:val="auto"/>
        </w:rPr>
        <w:t>3.2 Illegality</w:t>
      </w:r>
      <w:r>
        <w:rPr>
          <w:rFonts w:ascii="Arial" w:cs="Arial" w:eastAsia="Arial" w:hAnsi="Arial"/>
          <w:sz w:val="17"/>
          <w:szCs w:val="17"/>
          <w:color w:val="auto"/>
        </w:rPr>
        <w:t>. If any Lender determines that any Law has made it unlawful, or that any Governmental Authority has asserted that it is</w:t>
      </w:r>
      <w:r>
        <w:rPr>
          <w:rFonts w:ascii="Arial" w:cs="Arial" w:eastAsia="Arial" w:hAnsi="Arial"/>
          <w:sz w:val="17"/>
          <w:szCs w:val="17"/>
          <w:b w:val="1"/>
          <w:bCs w:val="1"/>
          <w:color w:val="auto"/>
        </w:rPr>
        <w:t xml:space="preserve"> </w:t>
      </w:r>
      <w:r>
        <w:rPr>
          <w:rFonts w:ascii="Arial" w:cs="Arial" w:eastAsia="Arial" w:hAnsi="Arial"/>
          <w:sz w:val="17"/>
          <w:szCs w:val="17"/>
          <w:color w:val="auto"/>
        </w:rPr>
        <w:t>unlawful, for any Lender or its applicable Lending Office to make, maintain or fund Loans whose interest is determined by reference to the Eurocurrency Rate, or to determine or charge interest rates based upon LIBOR or CDOR, or any Governmental Authority has imposed material restrictions on the authority of such Lender to purchase or sell, or to take deposits of, Dollars in the London interbank market, then, on notice thereof by such Lender to the Borrower Agent through the Administrative Agent, (i) any obligation of such Lender to make or continue Eurocurrency Rate Loans in the affected currency or currencies or to convert Base Rate Loans or Canadian Prime Rate Loans to Eurocurrency Rate Loans shall be suspended, and (ii) if such notice asserts the illegality of such Lender making or maintaining Base Rate Loans or Canadian Prime Rate Loans the interest rate on which is determined by reference to the LIBOR Rate component of the Base Rate or the CDOR Rate of the Canadian Prime Rate Loans, the interest rate on which Base Rate Loans or Canadian Prime Rate Loans of such Lender shall, if necessary to avoid such illegality, be determined by the Administrative Agent without reference to the LIBOR Rate component of the Base Rate or the CDOR Rate component of Canadian Prime Rate, as applicable, in each case until such Lender notifies the Administrative Agent and the Borrower Agent that the circumstances giving rise to such determination no longer exist. Upon receipt of such notice, (x) the Loan Parties shall, upon demand from such Lender (with a copy to the Administrative Agent), prepay or, if applicable, convert all Eurocurrency Rate Loans of such Lender to Base Rate Loans (the interest rate on which Base Rate Loans of such Lender shall, if necessary to avoid such illegality, be determined by the Administrative Agent without reference to the LIBOR Rate or CDOR Rate component, as applicable), either on the last day of the Interest Period therefor, if such Lender may lawfully continue to maintain such Eurocurrency Rate Loans to such day, or immediately, if such Lender may not lawfully continue to maintain such Eurocurrency Rate Loans and (y) if such notice asserts the illegality of such Lender determining or charging interest rates based upon LIBOR, the Administrative Agent shall during the period of such suspension compute the Base Rate or CDOR Rate applicable to such Lender without reference to the applicable Eurocurrency Rate component thereof until the Administrative Agent is advised in writing by such Lender that it is no longer illegal for such Lender to determine or charge interest rates based upon the applicable Eurocurrency Rate. Upon any such prepayment or conversion, the Loan Parties shall also pay accrued interest on the amount so prepaid or converted.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103</w:t>
      </w:r>
    </w:p>
    <w:p>
      <w:pPr>
        <w:sectPr>
          <w:pgSz w:w="11900" w:h="16838" w:orient="portrait"/>
          <w:cols w:equalWidth="0" w:num="1">
            <w:col w:w="11240"/>
          </w:cols>
          <w:pgMar w:left="320" w:top="1382" w:right="339" w:bottom="1440" w:gutter="0" w:footer="0" w:header="0"/>
        </w:sectPr>
      </w:pPr>
    </w:p>
    <w:bookmarkStart w:id="222" w:name="page223"/>
    <w:bookmarkEnd w:id="222"/>
    <w:p>
      <w:pPr>
        <w:ind w:left="640"/>
        <w:spacing w:after="0"/>
        <w:tabs>
          <w:tab w:leader="none" w:pos="1240" w:val="left"/>
        </w:tabs>
        <w:rPr>
          <w:sz w:val="20"/>
          <w:szCs w:val="20"/>
          <w:color w:val="auto"/>
        </w:rPr>
      </w:pPr>
      <w:r>
        <w:rPr>
          <w:rFonts w:ascii="Arial" w:cs="Arial" w:eastAsia="Arial" w:hAnsi="Arial"/>
          <w:sz w:val="19"/>
          <w:szCs w:val="19"/>
          <w:b w:val="1"/>
          <w:bCs w:val="1"/>
          <w:color w:val="auto"/>
        </w:rPr>
        <w:t>3.3</w:t>
      </w:r>
      <w:r>
        <w:rPr>
          <w:sz w:val="20"/>
          <w:szCs w:val="20"/>
          <w:color w:val="auto"/>
        </w:rPr>
        <w:tab/>
      </w:r>
      <w:r>
        <w:rPr>
          <w:rFonts w:ascii="Arial" w:cs="Arial" w:eastAsia="Arial" w:hAnsi="Arial"/>
          <w:sz w:val="17"/>
          <w:szCs w:val="17"/>
          <w:b w:val="1"/>
          <w:bCs w:val="1"/>
          <w:color w:val="auto"/>
        </w:rPr>
        <w:t>Inability to Determine Rates; Effect of Benchmark Transition Event</w:t>
      </w:r>
    </w:p>
    <w:p>
      <w:pPr>
        <w:spacing w:after="0" w:line="220" w:lineRule="exact"/>
        <w:rPr>
          <w:sz w:val="20"/>
          <w:szCs w:val="20"/>
          <w:color w:val="auto"/>
        </w:rPr>
      </w:pPr>
    </w:p>
    <w:p>
      <w:pPr>
        <w:jc w:val="both"/>
        <w:ind w:firstLine="634"/>
        <w:spacing w:after="0" w:line="278" w:lineRule="auto"/>
        <w:tabs>
          <w:tab w:leader="none" w:pos="1249" w:val="left"/>
        </w:tabs>
        <w:numPr>
          <w:ilvl w:val="0"/>
          <w:numId w:val="190"/>
        </w:numPr>
        <w:rPr>
          <w:rFonts w:ascii="Arial" w:cs="Arial" w:eastAsia="Arial" w:hAnsi="Arial"/>
          <w:sz w:val="17"/>
          <w:szCs w:val="17"/>
          <w:color w:val="auto"/>
        </w:rPr>
      </w:pPr>
      <w:r>
        <w:rPr>
          <w:rFonts w:ascii="Arial" w:cs="Arial" w:eastAsia="Arial" w:hAnsi="Arial"/>
          <w:sz w:val="17"/>
          <w:szCs w:val="17"/>
          <w:u w:val="single" w:color="auto"/>
          <w:color w:val="auto"/>
        </w:rPr>
        <w:t>Temporary Inability to Determine Rates</w:t>
      </w:r>
      <w:r>
        <w:rPr>
          <w:rFonts w:ascii="Arial" w:cs="Arial" w:eastAsia="Arial" w:hAnsi="Arial"/>
          <w:sz w:val="17"/>
          <w:szCs w:val="17"/>
          <w:color w:val="auto"/>
        </w:rPr>
        <w:t>. If the Required Lenders determine that for any reason in connection with any request for an Eurocurrency Rate Loan or a conversion to or continuation thereof that (a) Dollar or Canadian Dollar deposits are not being offered to banks in the applicable interbank market for the applicable amount and Interest Period of such Eurocurrency Rate Loan, (b) adequate and reasonable means do not exist for determining the Eurocurrency Rate for any requested Interest Period with respect to a proposed Eurocurrency Rate Loan or in connection with an existing or proposed Base Rate Loan or Canadian Prime Rate Loan, or (c) the Eurocurrency Rate for any requested Interest Period with respect to a proposed Eurocurrency Rate Loan does not adequately and fairly reflect the cost to such Lenders of funding such Loan, the Administrative Agent will promptly so notify the Borrower Agent and each Lender. Thereafter, (x) the obligation of the Lenders to make or maintain the affected Eurocurrency Rate Loans shall be suspended, and (y) in the event of a determination described in the preceding sentence with respect to the applicable Eurocurrency Rate component of the underlying affected rate, the utilization of such Eurocurrency Rate component in determining such rate shall be suspended, in each case until the Administrative Agent (upon the instruction of the Required Lenders) revokes such notice. Upon receipt of such notice, the Borrower Agent may revoke any pending request for a Borrowing of, conversion to or continuation of the affected Eurocurrency Rate Loans or, failing that, will be deemed to have converted such request into a request for a Borrowing of Base Rate Loans or Canadian Prime Rate Loans (as applicable) in the amount specified therein.</w:t>
      </w:r>
    </w:p>
    <w:p>
      <w:pPr>
        <w:spacing w:after="0" w:line="164" w:lineRule="exact"/>
        <w:rPr>
          <w:rFonts w:ascii="Arial" w:cs="Arial" w:eastAsia="Arial" w:hAnsi="Arial"/>
          <w:sz w:val="17"/>
          <w:szCs w:val="17"/>
          <w:color w:val="auto"/>
        </w:rPr>
      </w:pPr>
    </w:p>
    <w:p>
      <w:pPr>
        <w:ind w:firstLine="634"/>
        <w:spacing w:after="0" w:line="302" w:lineRule="auto"/>
        <w:tabs>
          <w:tab w:leader="none" w:pos="1247" w:val="left"/>
        </w:tabs>
        <w:numPr>
          <w:ilvl w:val="0"/>
          <w:numId w:val="190"/>
        </w:numPr>
        <w:rPr>
          <w:rFonts w:ascii="Arial" w:cs="Arial" w:eastAsia="Arial" w:hAnsi="Arial"/>
          <w:sz w:val="18"/>
          <w:szCs w:val="18"/>
          <w:color w:val="auto"/>
        </w:rPr>
      </w:pPr>
      <w:r>
        <w:rPr>
          <w:rFonts w:ascii="Arial" w:cs="Arial" w:eastAsia="Arial" w:hAnsi="Arial"/>
          <w:sz w:val="18"/>
          <w:szCs w:val="18"/>
          <w:u w:val="single" w:color="auto"/>
          <w:color w:val="auto"/>
        </w:rPr>
        <w:t>Cessation of LIBOR; Effect of Benchmark Transition Event</w:t>
      </w:r>
      <w:r>
        <w:rPr>
          <w:rFonts w:ascii="Arial" w:cs="Arial" w:eastAsia="Arial" w:hAnsi="Arial"/>
          <w:sz w:val="18"/>
          <w:szCs w:val="18"/>
          <w:color w:val="auto"/>
        </w:rPr>
        <w:t xml:space="preserve">. Notwithstanding anything to the contrary herein or in any other Loan Document (and any Swap Contract shall be deemed not to be a “Loan Document” for the purposes of this </w:t>
      </w:r>
      <w:r>
        <w:rPr>
          <w:rFonts w:ascii="Arial" w:cs="Arial" w:eastAsia="Arial" w:hAnsi="Arial"/>
          <w:sz w:val="18"/>
          <w:szCs w:val="18"/>
          <w:u w:val="single" w:color="auto"/>
          <w:color w:val="auto"/>
        </w:rPr>
        <w:t>Section 3.03(b)</w:t>
      </w:r>
      <w:r>
        <w:rPr>
          <w:rFonts w:ascii="Arial" w:cs="Arial" w:eastAsia="Arial" w:hAnsi="Arial"/>
          <w:sz w:val="18"/>
          <w:szCs w:val="18"/>
          <w:color w:val="auto"/>
        </w:rPr>
        <w:t>):</w:t>
      </w:r>
    </w:p>
    <w:p>
      <w:pPr>
        <w:spacing w:after="0" w:line="134" w:lineRule="exact"/>
        <w:rPr>
          <w:rFonts w:ascii="Arial" w:cs="Arial" w:eastAsia="Arial" w:hAnsi="Arial"/>
          <w:sz w:val="18"/>
          <w:szCs w:val="18"/>
          <w:color w:val="auto"/>
        </w:rPr>
      </w:pPr>
    </w:p>
    <w:p>
      <w:pPr>
        <w:jc w:val="both"/>
        <w:ind w:left="640" w:firstLine="624"/>
        <w:spacing w:after="0" w:line="264" w:lineRule="auto"/>
        <w:tabs>
          <w:tab w:leader="none" w:pos="1897" w:val="left"/>
        </w:tabs>
        <w:numPr>
          <w:ilvl w:val="1"/>
          <w:numId w:val="190"/>
        </w:numPr>
        <w:rPr>
          <w:rFonts w:ascii="Arial" w:cs="Arial" w:eastAsia="Arial" w:hAnsi="Arial"/>
          <w:sz w:val="18"/>
          <w:szCs w:val="18"/>
          <w:color w:val="auto"/>
        </w:rPr>
      </w:pPr>
      <w:r>
        <w:rPr>
          <w:rFonts w:ascii="Arial" w:cs="Arial" w:eastAsia="Arial" w:hAnsi="Arial"/>
          <w:sz w:val="18"/>
          <w:szCs w:val="18"/>
          <w:u w:val="single" w:color="auto"/>
          <w:color w:val="auto"/>
        </w:rPr>
        <w:t>Replacing LIBOR</w:t>
      </w:r>
      <w:r>
        <w:rPr>
          <w:rFonts w:ascii="Arial" w:cs="Arial" w:eastAsia="Arial" w:hAnsi="Arial"/>
          <w:sz w:val="18"/>
          <w:szCs w:val="18"/>
          <w:color w:val="auto"/>
        </w:rPr>
        <w:t>. On March 5, 2021, the Financial Conduct Authority (“</w:t>
      </w:r>
      <w:r>
        <w:rPr>
          <w:rFonts w:ascii="Arial" w:cs="Arial" w:eastAsia="Arial" w:hAnsi="Arial"/>
          <w:sz w:val="18"/>
          <w:szCs w:val="18"/>
          <w:u w:val="single" w:color="auto"/>
          <w:color w:val="auto"/>
        </w:rPr>
        <w:t>FCA</w:t>
      </w:r>
      <w:r>
        <w:rPr>
          <w:rFonts w:ascii="Arial" w:cs="Arial" w:eastAsia="Arial" w:hAnsi="Arial"/>
          <w:sz w:val="18"/>
          <w:szCs w:val="18"/>
          <w:color w:val="auto"/>
        </w:rPr>
        <w:t>”), the regulatory supervisor of USD LIBOR’s administrator (“</w:t>
      </w:r>
      <w:r>
        <w:rPr>
          <w:rFonts w:ascii="Arial" w:cs="Arial" w:eastAsia="Arial" w:hAnsi="Arial"/>
          <w:sz w:val="18"/>
          <w:szCs w:val="18"/>
          <w:u w:val="single" w:color="auto"/>
          <w:color w:val="auto"/>
        </w:rPr>
        <w:t>IBA</w:t>
      </w:r>
      <w:r>
        <w:rPr>
          <w:rFonts w:ascii="Arial" w:cs="Arial" w:eastAsia="Arial" w:hAnsi="Arial"/>
          <w:sz w:val="18"/>
          <w:szCs w:val="18"/>
          <w:color w:val="auto"/>
        </w:rPr>
        <w:t>”), announced in a public statement the future cessation or loss of representativeness of overnight/Spot Next, 1-month, 3-month, 6-month and 12-month LIBOR Rate tenor settings. On the earlier of (i) the date that all Available Tenors of LIBOR have either permanently or indefinitely ceased to be provided by IBA or have been announced by the FCA pursuant to public statement or publication of information to be no longer representative and (ii) the Early Opt-in Effective Date, if the then-current Benchmark is the LIBOR, the Benchmark Replacement will replace such Benchmark for all purposes hereunder and under any Loan Document in respect of any setting of such Benchmark on such day and all subsequent settings without any amendment to, or further action or consent of any other party to this Agreement or any other Loan Document. If the Benchmark Replacement is Daily Simple SOFR, all interest payments will be payable on a monthly basis.</w:t>
      </w:r>
    </w:p>
    <w:p>
      <w:pPr>
        <w:spacing w:after="0" w:line="167" w:lineRule="exact"/>
        <w:rPr>
          <w:rFonts w:ascii="Arial" w:cs="Arial" w:eastAsia="Arial" w:hAnsi="Arial"/>
          <w:sz w:val="18"/>
          <w:szCs w:val="18"/>
          <w:color w:val="auto"/>
        </w:rPr>
      </w:pPr>
    </w:p>
    <w:p>
      <w:pPr>
        <w:jc w:val="both"/>
        <w:ind w:left="640" w:firstLine="624"/>
        <w:spacing w:after="0" w:line="249" w:lineRule="auto"/>
        <w:tabs>
          <w:tab w:leader="none" w:pos="1897" w:val="left"/>
        </w:tabs>
        <w:numPr>
          <w:ilvl w:val="1"/>
          <w:numId w:val="190"/>
        </w:numPr>
        <w:rPr>
          <w:rFonts w:ascii="Arial" w:cs="Arial" w:eastAsia="Arial" w:hAnsi="Arial"/>
          <w:sz w:val="19"/>
          <w:szCs w:val="19"/>
          <w:color w:val="auto"/>
        </w:rPr>
      </w:pPr>
      <w:r>
        <w:rPr>
          <w:rFonts w:ascii="Arial" w:cs="Arial" w:eastAsia="Arial" w:hAnsi="Arial"/>
          <w:sz w:val="19"/>
          <w:szCs w:val="19"/>
          <w:u w:val="single" w:color="auto"/>
          <w:color w:val="auto"/>
        </w:rPr>
        <w:t>Replacing the CDOR Rate</w:t>
      </w:r>
      <w:r>
        <w:rPr>
          <w:rFonts w:ascii="Arial" w:cs="Arial" w:eastAsia="Arial" w:hAnsi="Arial"/>
          <w:sz w:val="19"/>
          <w:szCs w:val="19"/>
          <w:color w:val="auto"/>
        </w:rPr>
        <w:t>. Notwithstanding anything to the contrary herein or in any other Loan Document, at any time (including in connection with the implementation of a Benchmark Replacement), (i) if the then-current Benchmark is the CDOR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 tenor and (ii) if a tenor that was removed pursuant to clause (i) above either (A)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104</w:t>
      </w:r>
    </w:p>
    <w:p>
      <w:pPr>
        <w:sectPr>
          <w:pgSz w:w="11900" w:h="16838" w:orient="portrait"/>
          <w:cols w:equalWidth="0" w:num="1">
            <w:col w:w="11240"/>
          </w:cols>
          <w:pgMar w:left="320" w:top="1376" w:right="339" w:bottom="1440" w:gutter="0" w:footer="0" w:header="0"/>
        </w:sectPr>
      </w:pPr>
    </w:p>
    <w:bookmarkStart w:id="223" w:name="page224"/>
    <w:bookmarkEnd w:id="223"/>
    <w:p>
      <w:pPr>
        <w:jc w:val="both"/>
        <w:spacing w:after="0" w:line="254" w:lineRule="auto"/>
        <w:rPr>
          <w:sz w:val="20"/>
          <w:szCs w:val="20"/>
          <w:color w:val="auto"/>
        </w:rPr>
      </w:pPr>
      <w:r>
        <w:rPr>
          <w:rFonts w:ascii="Arial" w:cs="Arial" w:eastAsia="Arial" w:hAnsi="Arial"/>
          <w:sz w:val="19"/>
          <w:szCs w:val="19"/>
          <w:color w:val="auto"/>
        </w:rPr>
        <w:t>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w:t>
      </w:r>
    </w:p>
    <w:p>
      <w:pPr>
        <w:spacing w:after="0" w:line="177" w:lineRule="exact"/>
        <w:rPr>
          <w:sz w:val="20"/>
          <w:szCs w:val="20"/>
          <w:color w:val="auto"/>
        </w:rPr>
      </w:pPr>
    </w:p>
    <w:p>
      <w:pPr>
        <w:jc w:val="both"/>
        <w:ind w:firstLine="624"/>
        <w:spacing w:after="0" w:line="249" w:lineRule="auto"/>
        <w:tabs>
          <w:tab w:leader="none" w:pos="1258" w:val="left"/>
        </w:tabs>
        <w:numPr>
          <w:ilvl w:val="0"/>
          <w:numId w:val="191"/>
        </w:numPr>
        <w:rPr>
          <w:rFonts w:ascii="Arial" w:cs="Arial" w:eastAsia="Arial" w:hAnsi="Arial"/>
          <w:sz w:val="19"/>
          <w:szCs w:val="19"/>
          <w:color w:val="auto"/>
        </w:rPr>
      </w:pPr>
      <w:r>
        <w:rPr>
          <w:rFonts w:ascii="Arial" w:cs="Arial" w:eastAsia="Arial" w:hAnsi="Arial"/>
          <w:sz w:val="19"/>
          <w:szCs w:val="19"/>
          <w:u w:val="single" w:color="auto"/>
          <w:color w:val="auto"/>
        </w:rPr>
        <w:t>Term SOFR Event</w:t>
      </w:r>
      <w:r>
        <w:rPr>
          <w:rFonts w:ascii="Arial" w:cs="Arial" w:eastAsia="Arial" w:hAnsi="Arial"/>
          <w:sz w:val="19"/>
          <w:szCs w:val="19"/>
          <w:color w:val="auto"/>
        </w:rPr>
        <w:t xml:space="preserve">. Subject to the proviso below in this paragraph, if a Term SOFR Event has occurred in respect to the then-current Benchmark, then the applicable Benchmark Replacement will replace the then-current Benchmark for all purposes hereunder or under any Loan Document in respect of such Benchmark setting and subsequent Benchmark settings, without any amendment to, or further action or consent of any other party to, this Agreement or any other Loan Document;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this clause (b)(ii) shall not be effective until thirty (30) days after the Administrative Agent has delivered to the Lenders and the Borrower a Term SOFR Notice (or such later date as the Administrative Agent may select for effectiveness in the Term SOFR Notice). For the avoidance of doubt, the Administrative Agent shall not be required to deliver a Term SOFR Notice after a Term SOFR Event and may elect or not elect to do so in its sole discretion.</w:t>
      </w:r>
    </w:p>
    <w:p>
      <w:pPr>
        <w:spacing w:after="0" w:line="179" w:lineRule="exact"/>
        <w:rPr>
          <w:rFonts w:ascii="Arial" w:cs="Arial" w:eastAsia="Arial" w:hAnsi="Arial"/>
          <w:sz w:val="19"/>
          <w:szCs w:val="19"/>
          <w:color w:val="auto"/>
        </w:rPr>
      </w:pPr>
    </w:p>
    <w:p>
      <w:pPr>
        <w:jc w:val="both"/>
        <w:ind w:firstLine="624"/>
        <w:spacing w:after="0" w:line="278" w:lineRule="auto"/>
        <w:tabs>
          <w:tab w:leader="none" w:pos="1248" w:val="left"/>
        </w:tabs>
        <w:numPr>
          <w:ilvl w:val="0"/>
          <w:numId w:val="191"/>
        </w:numPr>
        <w:rPr>
          <w:rFonts w:ascii="Arial" w:cs="Arial" w:eastAsia="Arial" w:hAnsi="Arial"/>
          <w:sz w:val="17"/>
          <w:szCs w:val="17"/>
          <w:color w:val="auto"/>
        </w:rPr>
      </w:pPr>
      <w:r>
        <w:rPr>
          <w:rFonts w:ascii="Arial" w:cs="Arial" w:eastAsia="Arial" w:hAnsi="Arial"/>
          <w:sz w:val="17"/>
          <w:szCs w:val="17"/>
          <w:u w:val="single" w:color="auto"/>
          <w:color w:val="auto"/>
        </w:rPr>
        <w:t>Replacing Future Benchmarks</w:t>
      </w:r>
      <w:r>
        <w:rPr>
          <w:rFonts w:ascii="Arial" w:cs="Arial" w:eastAsia="Arial" w:hAnsi="Arial"/>
          <w:sz w:val="17"/>
          <w:szCs w:val="17"/>
          <w:color w:val="auto"/>
        </w:rPr>
        <w:t>. Upon the occurrence of a Benchmark Transition Event, the Benchmark Replacement will replace the then-current Benchmark for all purposes hereunder and under any Loan Document in respect of any Benchmark setting at or after 5:00 p.m.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 At any time that the administrator of the then-current Benchmark has permanently or indefinitely ceased to provide such Benchmark or such Benchmark has been announced by the regulatory supervisor for the administrator of such Benchmark pursuant to public statement or publication of information to be no longer representative of the underlying market and economic reality that such Benchmark is intended to measure and that representativeness will not be restored, the Borrower may revoke any request for a borrowing of, conversion to or continuation of Loans to be made, converted or continued that would bear interest by reference to such Benchmark until the Borrower’s receipt of notice from the Administrative Agent that a Benchmark Replacement has replaced such Benchmark, and, failing that, the Borrower will be deemed to have converted any such request into a request for a borrowing of or conversion to Base Rate Loans. During the period referenced in the foregoing sentence, the component of the Base Rate based upon the Benchmark will not be used in any determination of the Base Rate.</w:t>
      </w:r>
    </w:p>
    <w:p>
      <w:pPr>
        <w:spacing w:after="0" w:line="160" w:lineRule="exact"/>
        <w:rPr>
          <w:rFonts w:ascii="Arial" w:cs="Arial" w:eastAsia="Arial" w:hAnsi="Arial"/>
          <w:sz w:val="17"/>
          <w:szCs w:val="17"/>
          <w:color w:val="auto"/>
        </w:rPr>
      </w:pPr>
    </w:p>
    <w:p>
      <w:pPr>
        <w:jc w:val="both"/>
        <w:ind w:firstLine="624"/>
        <w:spacing w:after="0" w:line="252" w:lineRule="auto"/>
        <w:tabs>
          <w:tab w:leader="none" w:pos="1247" w:val="left"/>
        </w:tabs>
        <w:numPr>
          <w:ilvl w:val="0"/>
          <w:numId w:val="191"/>
        </w:numPr>
        <w:rPr>
          <w:rFonts w:ascii="Arial" w:cs="Arial" w:eastAsia="Arial" w:hAnsi="Arial"/>
          <w:sz w:val="19"/>
          <w:szCs w:val="19"/>
          <w:color w:val="auto"/>
        </w:rPr>
      </w:pPr>
      <w:r>
        <w:rPr>
          <w:rFonts w:ascii="Arial" w:cs="Arial" w:eastAsia="Arial" w:hAnsi="Arial"/>
          <w:sz w:val="19"/>
          <w:szCs w:val="19"/>
          <w:u w:val="single" w:color="auto"/>
          <w:color w:val="auto"/>
        </w:rPr>
        <w:t>Benchmark Replacement Conforming Changes</w:t>
      </w:r>
      <w:r>
        <w:rPr>
          <w:rFonts w:ascii="Arial" w:cs="Arial" w:eastAsia="Arial" w:hAnsi="Arial"/>
          <w:sz w:val="19"/>
          <w:szCs w:val="19"/>
          <w:color w:val="auto"/>
        </w:rPr>
        <w:t>. In connection with the implementation and administration of a Benchmark Replacement,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w:t>
      </w:r>
    </w:p>
    <w:p>
      <w:pPr>
        <w:spacing w:after="0" w:line="177" w:lineRule="exact"/>
        <w:rPr>
          <w:rFonts w:ascii="Arial" w:cs="Arial" w:eastAsia="Arial" w:hAnsi="Arial"/>
          <w:sz w:val="19"/>
          <w:szCs w:val="19"/>
          <w:color w:val="auto"/>
        </w:rPr>
      </w:pPr>
    </w:p>
    <w:p>
      <w:pPr>
        <w:ind w:firstLine="624"/>
        <w:spacing w:after="0" w:line="274" w:lineRule="auto"/>
        <w:tabs>
          <w:tab w:leader="none" w:pos="1248" w:val="left"/>
        </w:tabs>
        <w:numPr>
          <w:ilvl w:val="0"/>
          <w:numId w:val="191"/>
        </w:numPr>
        <w:rPr>
          <w:rFonts w:ascii="Arial" w:cs="Arial" w:eastAsia="Arial" w:hAnsi="Arial"/>
          <w:sz w:val="19"/>
          <w:szCs w:val="19"/>
          <w:color w:val="auto"/>
        </w:rPr>
      </w:pPr>
      <w:r>
        <w:rPr>
          <w:rFonts w:ascii="Arial" w:cs="Arial" w:eastAsia="Arial" w:hAnsi="Arial"/>
          <w:sz w:val="19"/>
          <w:szCs w:val="19"/>
          <w:u w:val="single" w:color="auto"/>
          <w:color w:val="auto"/>
        </w:rPr>
        <w:t>Notice; Standards for Decisions and Determinations</w:t>
      </w:r>
      <w:r>
        <w:rPr>
          <w:rFonts w:ascii="Arial" w:cs="Arial" w:eastAsia="Arial" w:hAnsi="Arial"/>
          <w:sz w:val="19"/>
          <w:szCs w:val="19"/>
          <w:color w:val="auto"/>
        </w:rPr>
        <w:t>. The Administrative Agent will promptly notify the Borrower and the Lenders of (i) the implementation of any Benchmark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840"/>
        <w:spacing w:after="0"/>
        <w:rPr>
          <w:sz w:val="20"/>
          <w:szCs w:val="20"/>
          <w:color w:val="auto"/>
        </w:rPr>
      </w:pPr>
      <w:r>
        <w:rPr>
          <w:rFonts w:ascii="Arial" w:cs="Arial" w:eastAsia="Arial" w:hAnsi="Arial"/>
          <w:sz w:val="19"/>
          <w:szCs w:val="19"/>
          <w:color w:val="auto"/>
        </w:rPr>
        <w:t>105</w:t>
      </w:r>
    </w:p>
    <w:p>
      <w:pPr>
        <w:sectPr>
          <w:pgSz w:w="11900" w:h="16838" w:orient="portrait"/>
          <w:cols w:equalWidth="0" w:num="1">
            <w:col w:w="10600"/>
          </w:cols>
          <w:pgMar w:left="960" w:top="1381" w:right="339" w:bottom="1440" w:gutter="0" w:footer="0" w:header="0"/>
        </w:sectPr>
      </w:pPr>
    </w:p>
    <w:bookmarkStart w:id="224" w:name="page225"/>
    <w:bookmarkEnd w:id="224"/>
    <w:p>
      <w:pPr>
        <w:jc w:val="both"/>
        <w:ind w:left="640"/>
        <w:spacing w:after="0" w:line="267" w:lineRule="auto"/>
        <w:rPr>
          <w:sz w:val="20"/>
          <w:szCs w:val="20"/>
          <w:color w:val="auto"/>
        </w:rPr>
      </w:pPr>
      <w:r>
        <w:rPr>
          <w:rFonts w:ascii="Arial" w:cs="Arial" w:eastAsia="Arial" w:hAnsi="Arial"/>
          <w:sz w:val="18"/>
          <w:szCs w:val="18"/>
          <w:color w:val="auto"/>
        </w:rPr>
        <w:t xml:space="preserve">Replacement, and (ii) the effectiveness of any Benchmark Replacement Conforming Changes. Any determination, decision or election that may be made by the Administrative Agent or, if applicable, any Lender (or group of Lenders) pursuant to this Section 3.03(b),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w:t>
      </w:r>
      <w:r>
        <w:rPr>
          <w:rFonts w:ascii="Arial" w:cs="Arial" w:eastAsia="Arial" w:hAnsi="Arial"/>
          <w:sz w:val="18"/>
          <w:szCs w:val="18"/>
          <w:u w:val="single" w:color="auto"/>
          <w:color w:val="auto"/>
        </w:rPr>
        <w:t>Section 3.03(b)</w:t>
      </w:r>
      <w:r>
        <w:rPr>
          <w:rFonts w:ascii="Arial" w:cs="Arial" w:eastAsia="Arial" w:hAnsi="Arial"/>
          <w:sz w:val="18"/>
          <w:szCs w:val="18"/>
          <w:color w:val="auto"/>
        </w:rPr>
        <w:t>.</w:t>
      </w:r>
    </w:p>
    <w:p>
      <w:pPr>
        <w:spacing w:after="0" w:line="166" w:lineRule="exact"/>
        <w:rPr>
          <w:sz w:val="20"/>
          <w:szCs w:val="20"/>
          <w:color w:val="auto"/>
        </w:rPr>
      </w:pPr>
    </w:p>
    <w:p>
      <w:pPr>
        <w:jc w:val="both"/>
        <w:ind w:left="640" w:firstLine="624"/>
        <w:spacing w:after="0" w:line="252" w:lineRule="auto"/>
        <w:tabs>
          <w:tab w:leader="none" w:pos="1889" w:val="left"/>
        </w:tabs>
        <w:numPr>
          <w:ilvl w:val="0"/>
          <w:numId w:val="192"/>
        </w:numPr>
        <w:rPr>
          <w:rFonts w:ascii="Arial" w:cs="Arial" w:eastAsia="Arial" w:hAnsi="Arial"/>
          <w:sz w:val="19"/>
          <w:szCs w:val="19"/>
          <w:color w:val="auto"/>
        </w:rPr>
      </w:pPr>
      <w:r>
        <w:rPr>
          <w:rFonts w:ascii="Arial" w:cs="Arial" w:eastAsia="Arial" w:hAnsi="Arial"/>
          <w:sz w:val="19"/>
          <w:szCs w:val="19"/>
          <w:u w:val="single" w:color="auto"/>
          <w:color w:val="auto"/>
        </w:rPr>
        <w:t>Unavailability of Tenor of Benchmark</w:t>
      </w:r>
      <w:r>
        <w:rPr>
          <w:rFonts w:ascii="Arial" w:cs="Arial" w:eastAsia="Arial" w:hAnsi="Arial"/>
          <w:sz w:val="19"/>
          <w:szCs w:val="19"/>
          <w:color w:val="auto"/>
        </w:rPr>
        <w:t>. At any time (including in connection with the implementation of a Benchmark Replacement), if the then-current Benchmark is a term rate (including Term SOFR or LIBOR), then (i) the Administrative Agent may remove any tenor of such Benchmark that is unavailable or non-representative for Benchmark (including Benchmark Replacement) settings and (ii) the Administrative Agent may reinstate any such previously removed tenor for Benchmark (including Benchmark Replacement) settings.</w:t>
      </w:r>
    </w:p>
    <w:p>
      <w:pPr>
        <w:spacing w:after="0" w:line="171"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9"/>
          <w:szCs w:val="19"/>
          <w:b w:val="1"/>
          <w:bCs w:val="1"/>
          <w:color w:val="auto"/>
        </w:rPr>
        <w:t>3.4</w:t>
      </w:r>
      <w:r>
        <w:rPr>
          <w:sz w:val="20"/>
          <w:szCs w:val="20"/>
          <w:color w:val="auto"/>
        </w:rPr>
        <w:tab/>
      </w:r>
      <w:r>
        <w:rPr>
          <w:rFonts w:ascii="Arial" w:cs="Arial" w:eastAsia="Arial" w:hAnsi="Arial"/>
          <w:sz w:val="17"/>
          <w:szCs w:val="17"/>
          <w:b w:val="1"/>
          <w:bCs w:val="1"/>
          <w:color w:val="auto"/>
        </w:rPr>
        <w:t>Increased Costs; Reserves on Eurocurrency Rate Loans</w:t>
      </w:r>
      <w:r>
        <w:rPr>
          <w:rFonts w:ascii="Arial" w:cs="Arial" w:eastAsia="Arial" w:hAnsi="Arial"/>
          <w:sz w:val="17"/>
          <w:szCs w:val="17"/>
          <w:color w:val="auto"/>
        </w:rPr>
        <w:t>.</w:t>
      </w:r>
    </w:p>
    <w:p>
      <w:pPr>
        <w:spacing w:after="0" w:line="220" w:lineRule="exact"/>
        <w:rPr>
          <w:sz w:val="20"/>
          <w:szCs w:val="20"/>
          <w:color w:val="auto"/>
        </w:rPr>
      </w:pPr>
    </w:p>
    <w:p>
      <w:pPr>
        <w:ind w:left="1260" w:hanging="626"/>
        <w:spacing w:after="0"/>
        <w:tabs>
          <w:tab w:leader="none" w:pos="1260" w:val="left"/>
        </w:tabs>
        <w:numPr>
          <w:ilvl w:val="0"/>
          <w:numId w:val="193"/>
        </w:numPr>
        <w:rPr>
          <w:rFonts w:ascii="Arial" w:cs="Arial" w:eastAsia="Arial" w:hAnsi="Arial"/>
          <w:sz w:val="19"/>
          <w:szCs w:val="19"/>
          <w:color w:val="auto"/>
        </w:rPr>
      </w:pPr>
      <w:r>
        <w:rPr>
          <w:rFonts w:ascii="Arial" w:cs="Arial" w:eastAsia="Arial" w:hAnsi="Arial"/>
          <w:sz w:val="19"/>
          <w:szCs w:val="19"/>
          <w:u w:val="single" w:color="auto"/>
          <w:color w:val="auto"/>
        </w:rPr>
        <w:t>Increased Costs Generally</w:t>
      </w:r>
      <w:r>
        <w:rPr>
          <w:rFonts w:ascii="Arial" w:cs="Arial" w:eastAsia="Arial" w:hAnsi="Arial"/>
          <w:sz w:val="19"/>
          <w:szCs w:val="19"/>
          <w:color w:val="auto"/>
        </w:rPr>
        <w:t>. If any Change in Law shall:</w:t>
      </w:r>
    </w:p>
    <w:p>
      <w:pPr>
        <w:spacing w:after="0" w:line="214" w:lineRule="exact"/>
        <w:rPr>
          <w:rFonts w:ascii="Arial" w:cs="Arial" w:eastAsia="Arial" w:hAnsi="Arial"/>
          <w:sz w:val="19"/>
          <w:szCs w:val="19"/>
          <w:color w:val="auto"/>
        </w:rPr>
      </w:pPr>
    </w:p>
    <w:p>
      <w:pPr>
        <w:jc w:val="both"/>
        <w:ind w:left="640" w:firstLine="624"/>
        <w:spacing w:after="0" w:line="259" w:lineRule="auto"/>
        <w:tabs>
          <w:tab w:leader="none" w:pos="1897" w:val="left"/>
        </w:tabs>
        <w:numPr>
          <w:ilvl w:val="1"/>
          <w:numId w:val="193"/>
        </w:numPr>
        <w:rPr>
          <w:rFonts w:ascii="Arial" w:cs="Arial" w:eastAsia="Arial" w:hAnsi="Arial"/>
          <w:sz w:val="19"/>
          <w:szCs w:val="19"/>
          <w:color w:val="auto"/>
        </w:rPr>
      </w:pPr>
      <w:r>
        <w:rPr>
          <w:rFonts w:ascii="Arial" w:cs="Arial" w:eastAsia="Arial" w:hAnsi="Arial"/>
          <w:sz w:val="19"/>
          <w:szCs w:val="19"/>
          <w:color w:val="auto"/>
        </w:rPr>
        <w:t xml:space="preserve">impose, modify or deem applicable any reserve, special deposit, compulsory loan, insurance charge or similar requirement against assets of, deposits with or for the account of, or credit extended or participated in by, any Lender (except any reserve requirement contemplated by </w:t>
      </w:r>
      <w:r>
        <w:rPr>
          <w:rFonts w:ascii="Arial" w:cs="Arial" w:eastAsia="Arial" w:hAnsi="Arial"/>
          <w:sz w:val="19"/>
          <w:szCs w:val="19"/>
          <w:u w:val="single" w:color="auto"/>
          <w:color w:val="auto"/>
        </w:rPr>
        <w:t>Section 3.04(e)</w:t>
      </w:r>
      <w:r>
        <w:rPr>
          <w:rFonts w:ascii="Arial" w:cs="Arial" w:eastAsia="Arial" w:hAnsi="Arial"/>
          <w:sz w:val="19"/>
          <w:szCs w:val="19"/>
          <w:color w:val="auto"/>
        </w:rPr>
        <w:t>) or the Letter of Credit Issuer;</w:t>
      </w:r>
    </w:p>
    <w:p>
      <w:pPr>
        <w:spacing w:after="0" w:line="171" w:lineRule="exact"/>
        <w:rPr>
          <w:rFonts w:ascii="Arial" w:cs="Arial" w:eastAsia="Arial" w:hAnsi="Arial"/>
          <w:sz w:val="19"/>
          <w:szCs w:val="19"/>
          <w:color w:val="auto"/>
        </w:rPr>
      </w:pPr>
    </w:p>
    <w:p>
      <w:pPr>
        <w:jc w:val="both"/>
        <w:ind w:left="640" w:firstLine="624"/>
        <w:spacing w:after="0" w:line="252" w:lineRule="auto"/>
        <w:tabs>
          <w:tab w:leader="none" w:pos="1897" w:val="left"/>
        </w:tabs>
        <w:numPr>
          <w:ilvl w:val="1"/>
          <w:numId w:val="193"/>
        </w:numPr>
        <w:rPr>
          <w:rFonts w:ascii="Arial" w:cs="Arial" w:eastAsia="Arial" w:hAnsi="Arial"/>
          <w:sz w:val="19"/>
          <w:szCs w:val="19"/>
          <w:color w:val="auto"/>
        </w:rPr>
      </w:pPr>
      <w:r>
        <w:rPr>
          <w:rFonts w:ascii="Arial" w:cs="Arial" w:eastAsia="Arial" w:hAnsi="Arial"/>
          <w:sz w:val="19"/>
          <w:szCs w:val="19"/>
          <w:color w:val="auto"/>
        </w:rPr>
        <w:t xml:space="preserve">subject any Lender or the Letter of Credit Issuer to any Tax of any kind whatsoever with respect to this Agreement, any Letter of Credit, any participation in a Letter of Credit, or any Eurocurrency Rate Loan made by it, or change the basis of taxation of payments to such Lender or the Letter of Credit Issuer in respect thereof (except for Indemnified Taxes or Other Taxes covered by </w:t>
      </w:r>
      <w:r>
        <w:rPr>
          <w:rFonts w:ascii="Arial" w:cs="Arial" w:eastAsia="Arial" w:hAnsi="Arial"/>
          <w:sz w:val="19"/>
          <w:szCs w:val="19"/>
          <w:u w:val="single" w:color="auto"/>
          <w:color w:val="auto"/>
        </w:rPr>
        <w:t>Section 3.01</w:t>
      </w:r>
      <w:r>
        <w:rPr>
          <w:rFonts w:ascii="Arial" w:cs="Arial" w:eastAsia="Arial" w:hAnsi="Arial"/>
          <w:sz w:val="19"/>
          <w:szCs w:val="19"/>
          <w:color w:val="auto"/>
        </w:rPr>
        <w:t xml:space="preserve"> and the imposition of, or any change in the rate of, any Excluded Tax payable by such Lender or the Letter of Credit Issuer); or</w:t>
      </w:r>
    </w:p>
    <w:p>
      <w:pPr>
        <w:spacing w:after="0" w:line="177" w:lineRule="exact"/>
        <w:rPr>
          <w:rFonts w:ascii="Arial" w:cs="Arial" w:eastAsia="Arial" w:hAnsi="Arial"/>
          <w:sz w:val="19"/>
          <w:szCs w:val="19"/>
          <w:color w:val="auto"/>
        </w:rPr>
      </w:pPr>
    </w:p>
    <w:p>
      <w:pPr>
        <w:ind w:left="640" w:firstLine="624"/>
        <w:spacing w:after="0" w:line="302" w:lineRule="auto"/>
        <w:tabs>
          <w:tab w:leader="none" w:pos="1898" w:val="left"/>
        </w:tabs>
        <w:numPr>
          <w:ilvl w:val="1"/>
          <w:numId w:val="193"/>
        </w:numPr>
        <w:rPr>
          <w:rFonts w:ascii="Arial" w:cs="Arial" w:eastAsia="Arial" w:hAnsi="Arial"/>
          <w:sz w:val="18"/>
          <w:szCs w:val="18"/>
          <w:color w:val="auto"/>
        </w:rPr>
      </w:pPr>
      <w:r>
        <w:rPr>
          <w:rFonts w:ascii="Arial" w:cs="Arial" w:eastAsia="Arial" w:hAnsi="Arial"/>
          <w:sz w:val="18"/>
          <w:szCs w:val="18"/>
          <w:color w:val="auto"/>
        </w:rPr>
        <w:t>impose on any Lender or the Letter of Credit Issuer or the London interbank market any other condition, cost or expense affecting this Agreement or Eurocurrency Rate Loans made by such Lender or any Letter of Credit or participation therein;</w:t>
      </w:r>
    </w:p>
    <w:p>
      <w:pPr>
        <w:spacing w:after="0" w:line="135"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and the result of any of the foregoing shall be to increase the cost to such Lender of making or maintaining any Loan the interest on which is determined by reference to the LIBOR Rate (or of maintaining its obligation to make any such Loan), or to increase the cost to such Lender or the Letter of Credit Issuer issuing or maintaining any Letter of Credit (or of maintaining its obligation to issue any Letter of Credit), or to reduce the amount of any sum received or receivable by such Lender or the Letter of Credit Issuer hereunder (whether of principal, interest or any other amount) then, upon request of such Lender or the Letter of Credit Issuer, the Loan Parties will pay to such Lender or the Letter of Credit Issuer, as the case may be, such additional amount or amounts as will compensate such Lender or the Letter of Credit Issuer, as the case may be, for such additional costs incurred or reduction suffered.</w:t>
      </w:r>
    </w:p>
    <w:p>
      <w:pPr>
        <w:spacing w:after="0" w:line="184" w:lineRule="exact"/>
        <w:rPr>
          <w:sz w:val="20"/>
          <w:szCs w:val="20"/>
          <w:color w:val="auto"/>
        </w:rPr>
      </w:pPr>
    </w:p>
    <w:p>
      <w:pPr>
        <w:ind w:firstLine="634"/>
        <w:spacing w:after="0" w:line="274" w:lineRule="auto"/>
        <w:tabs>
          <w:tab w:leader="none" w:pos="1247" w:val="left"/>
        </w:tabs>
        <w:numPr>
          <w:ilvl w:val="0"/>
          <w:numId w:val="194"/>
        </w:numPr>
        <w:rPr>
          <w:rFonts w:ascii="Arial" w:cs="Arial" w:eastAsia="Arial" w:hAnsi="Arial"/>
          <w:sz w:val="19"/>
          <w:szCs w:val="19"/>
          <w:color w:val="auto"/>
        </w:rPr>
      </w:pPr>
      <w:r>
        <w:rPr>
          <w:rFonts w:ascii="Arial" w:cs="Arial" w:eastAsia="Arial" w:hAnsi="Arial"/>
          <w:sz w:val="19"/>
          <w:szCs w:val="19"/>
          <w:u w:val="single" w:color="auto"/>
          <w:color w:val="auto"/>
        </w:rPr>
        <w:t>Capital Requirements</w:t>
      </w:r>
      <w:r>
        <w:rPr>
          <w:rFonts w:ascii="Arial" w:cs="Arial" w:eastAsia="Arial" w:hAnsi="Arial"/>
          <w:sz w:val="19"/>
          <w:szCs w:val="19"/>
          <w:color w:val="auto"/>
        </w:rPr>
        <w:t>. If any Lender or the Letter of Credit Issuer determines that any Change in Law affecting such Lender or the Letter of Credit Issuer or any Lending Office of such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106</w:t>
      </w:r>
    </w:p>
    <w:p>
      <w:pPr>
        <w:sectPr>
          <w:pgSz w:w="11900" w:h="16838" w:orient="portrait"/>
          <w:cols w:equalWidth="0" w:num="1">
            <w:col w:w="11240"/>
          </w:cols>
          <w:pgMar w:left="320" w:top="1381" w:right="339" w:bottom="1440" w:gutter="0" w:footer="0" w:header="0"/>
        </w:sectPr>
      </w:pPr>
    </w:p>
    <w:bookmarkStart w:id="225" w:name="page226"/>
    <w:bookmarkEnd w:id="225"/>
    <w:p>
      <w:pPr>
        <w:jc w:val="both"/>
        <w:spacing w:after="0" w:line="281" w:lineRule="auto"/>
        <w:rPr>
          <w:sz w:val="20"/>
          <w:szCs w:val="20"/>
          <w:color w:val="auto"/>
        </w:rPr>
      </w:pPr>
      <w:r>
        <w:rPr>
          <w:rFonts w:ascii="Arial" w:cs="Arial" w:eastAsia="Arial" w:hAnsi="Arial"/>
          <w:sz w:val="17"/>
          <w:szCs w:val="17"/>
          <w:color w:val="auto"/>
        </w:rPr>
        <w:t>or such Lender’s or the Letter of Credit Issuer’s holding company, if any, regarding capital or liquidity requirements has or would have the effect of reducing the rate of return on such Lender’s or the Letter of Credit Issuer’s capital or on the capital of such Lender’s or the Letter of Credit Issuer’s holding company, if any, as a consequence of this Agreement, the Revolving Credit Commitments of such Lender or the Loans made by, or participations in Letters of Credit held by, such Lender, or the Letters of Credit issued by the Letter of Credit Issuer, to a level below that which such Lender or the Letter of Credit Issuer or such Lender’s or the Letter of Credit Issuer’s holding company could have achieved but for such Change in Law (taking into consideration such Lender’s or the Letter of Credit Issuer’s policies and the policies of such Lender’s or the Letter of Credit Issuer’s holding company with respect to capital adequacy), then from time to time pursuant to subsection (c) below the Loan Parties will pay to such Lender or the Letter of Credit Issuer, as the case may be, such additional amount or amounts as will compensate such Lender or the Letter of Credit Issuer or such Lender’s or the Letter of Credit Issuer’s holding company for any such reduction suffered.</w:t>
      </w:r>
    </w:p>
    <w:p>
      <w:pPr>
        <w:spacing w:after="0" w:line="156" w:lineRule="exact"/>
        <w:rPr>
          <w:sz w:val="20"/>
          <w:szCs w:val="20"/>
          <w:color w:val="auto"/>
        </w:rPr>
      </w:pPr>
    </w:p>
    <w:p>
      <w:pPr>
        <w:jc w:val="both"/>
        <w:ind w:firstLine="634"/>
        <w:spacing w:after="0" w:line="283" w:lineRule="auto"/>
        <w:tabs>
          <w:tab w:leader="none" w:pos="1249" w:val="left"/>
        </w:tabs>
        <w:numPr>
          <w:ilvl w:val="1"/>
          <w:numId w:val="195"/>
        </w:numPr>
        <w:rPr>
          <w:rFonts w:ascii="Arial" w:cs="Arial" w:eastAsia="Arial" w:hAnsi="Arial"/>
          <w:sz w:val="17"/>
          <w:szCs w:val="17"/>
          <w:color w:val="auto"/>
        </w:rPr>
      </w:pPr>
      <w:r>
        <w:rPr>
          <w:rFonts w:ascii="Arial" w:cs="Arial" w:eastAsia="Arial" w:hAnsi="Arial"/>
          <w:sz w:val="17"/>
          <w:szCs w:val="17"/>
          <w:u w:val="single" w:color="auto"/>
          <w:color w:val="auto"/>
        </w:rPr>
        <w:t>Certificates for Reimbursement</w:t>
      </w:r>
      <w:r>
        <w:rPr>
          <w:rFonts w:ascii="Arial" w:cs="Arial" w:eastAsia="Arial" w:hAnsi="Arial"/>
          <w:sz w:val="17"/>
          <w:szCs w:val="17"/>
          <w:color w:val="auto"/>
        </w:rPr>
        <w:t>. A certificate of a Lender or the Letter of Credit Issuer setting forth the amount or amounts necessary to compensate such Lender or the Letter of Credit Issuer or its holding company, as the case may be, as specified in subsection (a) or</w:t>
      </w:r>
    </w:p>
    <w:p>
      <w:pPr>
        <w:ind w:firstLine="5"/>
        <w:spacing w:after="0" w:line="315" w:lineRule="auto"/>
        <w:tabs>
          <w:tab w:leader="none" w:pos="279" w:val="left"/>
        </w:tabs>
        <w:numPr>
          <w:ilvl w:val="0"/>
          <w:numId w:val="196"/>
        </w:numPr>
        <w:rPr>
          <w:rFonts w:ascii="Arial" w:cs="Arial" w:eastAsia="Arial" w:hAnsi="Arial"/>
          <w:sz w:val="17"/>
          <w:szCs w:val="17"/>
          <w:color w:val="auto"/>
        </w:rPr>
      </w:pPr>
      <w:r>
        <w:rPr>
          <w:rFonts w:ascii="Arial" w:cs="Arial" w:eastAsia="Arial" w:hAnsi="Arial"/>
          <w:sz w:val="17"/>
          <w:szCs w:val="17"/>
          <w:color w:val="auto"/>
        </w:rPr>
        <w:t>of this Section and delivered to the Borrower Agent shall be conclusive absent manifest error. The Loan Parties shall pay such Lender or the Letter of Credit Issuer, as the case may be, the amount shown as due on any such certificate within 10 Business Days after receipt thereof.</w:t>
      </w:r>
    </w:p>
    <w:p>
      <w:pPr>
        <w:spacing w:after="0" w:line="126" w:lineRule="exact"/>
        <w:rPr>
          <w:rFonts w:ascii="Arial" w:cs="Arial" w:eastAsia="Arial" w:hAnsi="Arial"/>
          <w:sz w:val="17"/>
          <w:szCs w:val="17"/>
          <w:color w:val="auto"/>
        </w:rPr>
      </w:pPr>
    </w:p>
    <w:p>
      <w:pPr>
        <w:jc w:val="both"/>
        <w:ind w:firstLine="634"/>
        <w:spacing w:after="0" w:line="249" w:lineRule="auto"/>
        <w:tabs>
          <w:tab w:leader="none" w:pos="1247" w:val="left"/>
        </w:tabs>
        <w:numPr>
          <w:ilvl w:val="1"/>
          <w:numId w:val="196"/>
        </w:numPr>
        <w:rPr>
          <w:rFonts w:ascii="Arial" w:cs="Arial" w:eastAsia="Arial" w:hAnsi="Arial"/>
          <w:sz w:val="19"/>
          <w:szCs w:val="19"/>
          <w:color w:val="auto"/>
        </w:rPr>
      </w:pPr>
      <w:r>
        <w:rPr>
          <w:rFonts w:ascii="Arial" w:cs="Arial" w:eastAsia="Arial" w:hAnsi="Arial"/>
          <w:sz w:val="19"/>
          <w:szCs w:val="19"/>
          <w:u w:val="single" w:color="auto"/>
          <w:color w:val="auto"/>
        </w:rPr>
        <w:t>Delay in Requests</w:t>
      </w:r>
      <w:r>
        <w:rPr>
          <w:rFonts w:ascii="Arial" w:cs="Arial" w:eastAsia="Arial" w:hAnsi="Arial"/>
          <w:sz w:val="19"/>
          <w:szCs w:val="19"/>
          <w:color w:val="auto"/>
        </w:rPr>
        <w:t xml:space="preserve">. Failure or delay on the part of any Lender or the Letter of Credit Issuer to demand compensation pursuant to the foregoing provisions of this Section shall not constitute a waiver of such Lender’s or the Letter of Credit Issuer’s right to demand such compensation,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Loan Parties shall not be required to compensate a Lender or the Letter of Credit Issuer pursuant to the foregoing provisions of this Section for any increased costs incurred or reductions suffered more than nine months prior to the date that such Lender or the Letter of Credit Issuer, as the case may be, notifies the Loan Parties of the Change in Law giving rise to such increased costs or reductions and of such Lender’s or the Letter of Credit Issuer’s intention to claim compensation therefor (except that, if the Change in Law giving rise to such increased costs or reductions is retroactive, then the nine-month period referred to above shall be extended to include the period of retroactive effect thereof).</w:t>
      </w:r>
    </w:p>
    <w:p>
      <w:pPr>
        <w:spacing w:after="0" w:line="179" w:lineRule="exact"/>
        <w:rPr>
          <w:rFonts w:ascii="Arial" w:cs="Arial" w:eastAsia="Arial" w:hAnsi="Arial"/>
          <w:sz w:val="19"/>
          <w:szCs w:val="19"/>
          <w:color w:val="auto"/>
        </w:rPr>
      </w:pPr>
    </w:p>
    <w:p>
      <w:pPr>
        <w:jc w:val="both"/>
        <w:ind w:firstLine="634"/>
        <w:spacing w:after="0" w:line="283" w:lineRule="auto"/>
        <w:tabs>
          <w:tab w:leader="none" w:pos="1249" w:val="left"/>
        </w:tabs>
        <w:numPr>
          <w:ilvl w:val="1"/>
          <w:numId w:val="196"/>
        </w:numPr>
        <w:rPr>
          <w:rFonts w:ascii="Arial" w:cs="Arial" w:eastAsia="Arial" w:hAnsi="Arial"/>
          <w:sz w:val="17"/>
          <w:szCs w:val="17"/>
          <w:color w:val="auto"/>
        </w:rPr>
      </w:pPr>
      <w:r>
        <w:rPr>
          <w:rFonts w:ascii="Arial" w:cs="Arial" w:eastAsia="Arial" w:hAnsi="Arial"/>
          <w:sz w:val="17"/>
          <w:szCs w:val="17"/>
          <w:u w:val="single" w:color="auto"/>
          <w:color w:val="auto"/>
        </w:rPr>
        <w:t>Reserves on Eurocurrency Rate Loans</w:t>
      </w:r>
      <w:r>
        <w:rPr>
          <w:rFonts w:ascii="Arial" w:cs="Arial" w:eastAsia="Arial" w:hAnsi="Arial"/>
          <w:sz w:val="17"/>
          <w:szCs w:val="17"/>
          <w:color w:val="auto"/>
        </w:rPr>
        <w:t>. The Borrowers shall pay to each Lender, as long as such Lender shall be required to maintain reserves with respect to liabilities or assets consisting of or including Eurocurrency funds or deposits (currently known as “</w:t>
      </w:r>
      <w:r>
        <w:rPr>
          <w:rFonts w:ascii="Arial" w:cs="Arial" w:eastAsia="Arial" w:hAnsi="Arial"/>
          <w:sz w:val="17"/>
          <w:szCs w:val="17"/>
          <w:u w:val="single" w:color="auto"/>
          <w:color w:val="auto"/>
        </w:rPr>
        <w:t>Eurocurrency</w:t>
      </w:r>
      <w:r>
        <w:rPr>
          <w:rFonts w:ascii="Arial" w:cs="Arial" w:eastAsia="Arial" w:hAnsi="Arial"/>
          <w:sz w:val="17"/>
          <w:szCs w:val="17"/>
          <w:color w:val="auto"/>
        </w:rPr>
        <w:t xml:space="preserve"> </w:t>
      </w:r>
      <w:r>
        <w:rPr>
          <w:rFonts w:ascii="Arial" w:cs="Arial" w:eastAsia="Arial" w:hAnsi="Arial"/>
          <w:sz w:val="17"/>
          <w:szCs w:val="17"/>
          <w:u w:val="single" w:color="auto"/>
          <w:color w:val="auto"/>
        </w:rPr>
        <w:t>liabilities</w:t>
      </w:r>
      <w:r>
        <w:rPr>
          <w:rFonts w:ascii="Arial" w:cs="Arial" w:eastAsia="Arial" w:hAnsi="Arial"/>
          <w:sz w:val="17"/>
          <w:szCs w:val="17"/>
          <w:color w:val="auto"/>
        </w:rPr>
        <w:t xml:space="preserve">”), additional interest on the unpaid principal amount of each Eurocurrency Rate Loan equal to the actual costs of such reserves allocated to such Loan by such Lender (as determined by such Lender in good faith, which determination shall be conclusive), which shall be due and payable on each date on which interest is payable on such Loan,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the Borrower Agent shall have received at least 10 days’ prior notice (with a copy to the Administrative Agent) of such additional interest from such Lender. If a Lender fails to give notice 10 days prior to the relevant Interest Payment Date, such additional interest shall be due and payable 10 days from receipt of such notice.</w:t>
      </w:r>
    </w:p>
    <w:p>
      <w:pPr>
        <w:spacing w:after="0" w:line="151"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9"/>
          <w:szCs w:val="19"/>
          <w:b w:val="1"/>
          <w:bCs w:val="1"/>
          <w:color w:val="auto"/>
        </w:rPr>
        <w:t>3.5</w:t>
      </w:r>
      <w:r>
        <w:rPr>
          <w:sz w:val="20"/>
          <w:szCs w:val="20"/>
          <w:color w:val="auto"/>
        </w:rPr>
        <w:tab/>
      </w:r>
      <w:r>
        <w:rPr>
          <w:rFonts w:ascii="Arial" w:cs="Arial" w:eastAsia="Arial" w:hAnsi="Arial"/>
          <w:sz w:val="18"/>
          <w:szCs w:val="18"/>
          <w:b w:val="1"/>
          <w:bCs w:val="1"/>
          <w:color w:val="auto"/>
        </w:rPr>
        <w:t>Compensation for Losses</w:t>
      </w:r>
      <w:r>
        <w:rPr>
          <w:rFonts w:ascii="Arial" w:cs="Arial" w:eastAsia="Arial" w:hAnsi="Arial"/>
          <w:sz w:val="18"/>
          <w:szCs w:val="18"/>
          <w:color w:val="auto"/>
        </w:rPr>
        <w:t>. Upon demand of any Lender (with a copy to the Administrative Agent) from time to time, the</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Borrowers shall promptly compensate such Lender for and hold such Lender harmless from any loss, cost or expense incurred by it as a result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107</w:t>
      </w:r>
    </w:p>
    <w:p>
      <w:pPr>
        <w:sectPr>
          <w:pgSz w:w="11900" w:h="16838" w:orient="portrait"/>
          <w:cols w:equalWidth="0" w:num="1">
            <w:col w:w="11240"/>
          </w:cols>
          <w:pgMar w:left="320" w:top="1381" w:right="339" w:bottom="1440" w:gutter="0" w:footer="0" w:header="0"/>
        </w:sectPr>
      </w:pPr>
    </w:p>
    <w:bookmarkStart w:id="226" w:name="page227"/>
    <w:bookmarkEnd w:id="226"/>
    <w:p>
      <w:pPr>
        <w:jc w:val="both"/>
        <w:ind w:firstLine="634"/>
        <w:spacing w:after="0" w:line="259" w:lineRule="auto"/>
        <w:tabs>
          <w:tab w:leader="none" w:pos="1249" w:val="left"/>
        </w:tabs>
        <w:numPr>
          <w:ilvl w:val="0"/>
          <w:numId w:val="197"/>
        </w:numPr>
        <w:rPr>
          <w:rFonts w:ascii="Arial" w:cs="Arial" w:eastAsia="Arial" w:hAnsi="Arial"/>
          <w:sz w:val="19"/>
          <w:szCs w:val="19"/>
          <w:color w:val="auto"/>
        </w:rPr>
      </w:pPr>
      <w:r>
        <w:rPr>
          <w:rFonts w:ascii="Arial" w:cs="Arial" w:eastAsia="Arial" w:hAnsi="Arial"/>
          <w:sz w:val="19"/>
          <w:szCs w:val="19"/>
          <w:color w:val="auto"/>
        </w:rPr>
        <w:t>any continuation, conversion, payment or prepayment of any Loan other than a Base Rate Loan or a Canadian Prime Rate Loan on a day other than the last day of the Interest Period for such Loan (whether voluntary, mandatory, automatic, by reason of acceleration, or otherwise);</w:t>
      </w:r>
    </w:p>
    <w:p>
      <w:pPr>
        <w:spacing w:after="0" w:line="171" w:lineRule="exact"/>
        <w:rPr>
          <w:rFonts w:ascii="Arial" w:cs="Arial" w:eastAsia="Arial" w:hAnsi="Arial"/>
          <w:sz w:val="19"/>
          <w:szCs w:val="19"/>
          <w:color w:val="auto"/>
        </w:rPr>
      </w:pPr>
    </w:p>
    <w:p>
      <w:pPr>
        <w:ind w:firstLine="634"/>
        <w:spacing w:after="0" w:line="334" w:lineRule="auto"/>
        <w:tabs>
          <w:tab w:leader="none" w:pos="1247" w:val="left"/>
        </w:tabs>
        <w:numPr>
          <w:ilvl w:val="0"/>
          <w:numId w:val="197"/>
        </w:numPr>
        <w:rPr>
          <w:rFonts w:ascii="Arial" w:cs="Arial" w:eastAsia="Arial" w:hAnsi="Arial"/>
          <w:sz w:val="17"/>
          <w:szCs w:val="17"/>
          <w:color w:val="auto"/>
        </w:rPr>
      </w:pPr>
      <w:r>
        <w:rPr>
          <w:rFonts w:ascii="Arial" w:cs="Arial" w:eastAsia="Arial" w:hAnsi="Arial"/>
          <w:sz w:val="17"/>
          <w:szCs w:val="17"/>
          <w:color w:val="auto"/>
        </w:rPr>
        <w:t>any failure by Borrowers (for a reason other than the failure of such Lender to make a Loan) to prepay, borrow, continue or convert any Loan other than a Base Rate Loan or a Canadian Prime Rate Loan on the date or in the amount notified by the Borrower Agent; or</w:t>
      </w:r>
    </w:p>
    <w:p>
      <w:pPr>
        <w:spacing w:after="0" w:line="111" w:lineRule="exact"/>
        <w:rPr>
          <w:rFonts w:ascii="Arial" w:cs="Arial" w:eastAsia="Arial" w:hAnsi="Arial"/>
          <w:sz w:val="17"/>
          <w:szCs w:val="17"/>
          <w:color w:val="auto"/>
        </w:rPr>
      </w:pPr>
    </w:p>
    <w:p>
      <w:pPr>
        <w:ind w:firstLine="634"/>
        <w:spacing w:after="0" w:line="274" w:lineRule="auto"/>
        <w:tabs>
          <w:tab w:leader="none" w:pos="1249" w:val="left"/>
        </w:tabs>
        <w:numPr>
          <w:ilvl w:val="0"/>
          <w:numId w:val="197"/>
        </w:numPr>
        <w:rPr>
          <w:rFonts w:ascii="Arial" w:cs="Arial" w:eastAsia="Arial" w:hAnsi="Arial"/>
          <w:sz w:val="19"/>
          <w:szCs w:val="19"/>
          <w:color w:val="auto"/>
        </w:rPr>
      </w:pPr>
      <w:r>
        <w:rPr>
          <w:rFonts w:ascii="Arial" w:cs="Arial" w:eastAsia="Arial" w:hAnsi="Arial"/>
          <w:sz w:val="19"/>
          <w:szCs w:val="19"/>
          <w:color w:val="auto"/>
        </w:rPr>
        <w:t xml:space="preserve">any assignment of a Eurocurrency Rate Loan on a day other than the last day of the Interest Period therefor as a result of a request by the Borrower Agent pursuant to </w:t>
      </w:r>
      <w:r>
        <w:rPr>
          <w:rFonts w:ascii="Arial" w:cs="Arial" w:eastAsia="Arial" w:hAnsi="Arial"/>
          <w:sz w:val="19"/>
          <w:szCs w:val="19"/>
          <w:u w:val="single" w:color="auto"/>
          <w:color w:val="auto"/>
        </w:rPr>
        <w:t>Section 11.13</w:t>
      </w:r>
      <w:r>
        <w:rPr>
          <w:rFonts w:ascii="Arial" w:cs="Arial" w:eastAsia="Arial" w:hAnsi="Arial"/>
          <w:sz w:val="19"/>
          <w:szCs w:val="19"/>
          <w:color w:val="auto"/>
        </w:rPr>
        <w:t>;</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including any loss or expense arising from the liquidation or reemployment of funds obtained by it to maintain such Loan or from fees payable to terminate the deposits from which such funds were obtained. The Borrowers shall also pay any customary administrative fees charged by such Lender in connection with the foregoing.</w:t>
      </w:r>
    </w:p>
    <w:p>
      <w:pPr>
        <w:spacing w:after="0" w:line="171" w:lineRule="exact"/>
        <w:rPr>
          <w:sz w:val="20"/>
          <w:szCs w:val="20"/>
          <w:color w:val="auto"/>
        </w:rPr>
      </w:pPr>
    </w:p>
    <w:p>
      <w:pPr>
        <w:jc w:val="both"/>
        <w:ind w:firstLine="629"/>
        <w:spacing w:after="0" w:line="304" w:lineRule="auto"/>
        <w:rPr>
          <w:sz w:val="20"/>
          <w:szCs w:val="20"/>
          <w:color w:val="auto"/>
        </w:rPr>
      </w:pPr>
      <w:r>
        <w:rPr>
          <w:rFonts w:ascii="Arial" w:cs="Arial" w:eastAsia="Arial" w:hAnsi="Arial"/>
          <w:sz w:val="17"/>
          <w:szCs w:val="17"/>
          <w:color w:val="auto"/>
        </w:rPr>
        <w:t xml:space="preserve">For purposes of calculating amounts payable by the Borrowers to the Lenders under this </w:t>
      </w:r>
      <w:r>
        <w:rPr>
          <w:rFonts w:ascii="Arial" w:cs="Arial" w:eastAsia="Arial" w:hAnsi="Arial"/>
          <w:sz w:val="17"/>
          <w:szCs w:val="17"/>
          <w:u w:val="single" w:color="auto"/>
          <w:color w:val="auto"/>
        </w:rPr>
        <w:t>Section 3.05</w:t>
      </w:r>
      <w:r>
        <w:rPr>
          <w:rFonts w:ascii="Arial" w:cs="Arial" w:eastAsia="Arial" w:hAnsi="Arial"/>
          <w:sz w:val="17"/>
          <w:szCs w:val="17"/>
          <w:color w:val="auto"/>
        </w:rPr>
        <w:t>, each Lender shall be deemed to have funded each Eurocurrency Rate Loan made by it at LIBOR for such Loan by a matching deposit or other borrowing in the London interbank eurodollar market for a comparable amount and for a comparable period, whether or not such Eurocurrency Rate Loan was in fact so funded.</w:t>
      </w:r>
    </w:p>
    <w:p>
      <w:pPr>
        <w:spacing w:after="0" w:line="130"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9"/>
          <w:szCs w:val="19"/>
          <w:b w:val="1"/>
          <w:bCs w:val="1"/>
          <w:color w:val="auto"/>
        </w:rPr>
        <w:t>3.6</w:t>
      </w:r>
      <w:r>
        <w:rPr>
          <w:sz w:val="20"/>
          <w:szCs w:val="20"/>
          <w:color w:val="auto"/>
        </w:rPr>
        <w:tab/>
      </w:r>
      <w:r>
        <w:rPr>
          <w:rFonts w:ascii="Arial" w:cs="Arial" w:eastAsia="Arial" w:hAnsi="Arial"/>
          <w:sz w:val="17"/>
          <w:szCs w:val="17"/>
          <w:b w:val="1"/>
          <w:bCs w:val="1"/>
          <w:color w:val="auto"/>
        </w:rPr>
        <w:t>Mitigation Obligations; Replacement of Lenders.</w:t>
      </w:r>
    </w:p>
    <w:p>
      <w:pPr>
        <w:spacing w:after="0" w:line="220" w:lineRule="exact"/>
        <w:rPr>
          <w:sz w:val="20"/>
          <w:szCs w:val="20"/>
          <w:color w:val="auto"/>
        </w:rPr>
      </w:pPr>
    </w:p>
    <w:p>
      <w:pPr>
        <w:jc w:val="both"/>
        <w:ind w:firstLine="634"/>
        <w:spacing w:after="0" w:line="263" w:lineRule="auto"/>
        <w:tabs>
          <w:tab w:leader="none" w:pos="1249" w:val="left"/>
        </w:tabs>
        <w:numPr>
          <w:ilvl w:val="0"/>
          <w:numId w:val="198"/>
        </w:numPr>
        <w:rPr>
          <w:rFonts w:ascii="Arial" w:cs="Arial" w:eastAsia="Arial" w:hAnsi="Arial"/>
          <w:sz w:val="18"/>
          <w:szCs w:val="18"/>
          <w:color w:val="auto"/>
        </w:rPr>
      </w:pPr>
      <w:r>
        <w:rPr>
          <w:rFonts w:ascii="Arial" w:cs="Arial" w:eastAsia="Arial" w:hAnsi="Arial"/>
          <w:sz w:val="18"/>
          <w:szCs w:val="18"/>
          <w:u w:val="single" w:color="auto"/>
          <w:color w:val="auto"/>
        </w:rPr>
        <w:t>Designation of a Different Lending Office</w:t>
      </w:r>
      <w:r>
        <w:rPr>
          <w:rFonts w:ascii="Arial" w:cs="Arial" w:eastAsia="Arial" w:hAnsi="Arial"/>
          <w:sz w:val="18"/>
          <w:szCs w:val="18"/>
          <w:color w:val="auto"/>
        </w:rPr>
        <w:t xml:space="preserve">. If any Lender requests compensation under </w:t>
      </w:r>
      <w:r>
        <w:rPr>
          <w:rFonts w:ascii="Arial" w:cs="Arial" w:eastAsia="Arial" w:hAnsi="Arial"/>
          <w:sz w:val="18"/>
          <w:szCs w:val="18"/>
          <w:u w:val="single" w:color="auto"/>
          <w:color w:val="auto"/>
        </w:rPr>
        <w:t>Section 3.04</w:t>
      </w:r>
      <w:r>
        <w:rPr>
          <w:rFonts w:ascii="Arial" w:cs="Arial" w:eastAsia="Arial" w:hAnsi="Arial"/>
          <w:sz w:val="18"/>
          <w:szCs w:val="18"/>
          <w:color w:val="auto"/>
        </w:rPr>
        <w:t xml:space="preserve">, or the Borrowers are required to pay any additional amount to any Lender, the Letter of Credit Issuer or any Governmental Authority for the account of any Lender or the Letter of Credit Issuer pursuant to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or if any Lender gives a notice pursuant to </w:t>
      </w:r>
      <w:r>
        <w:rPr>
          <w:rFonts w:ascii="Arial" w:cs="Arial" w:eastAsia="Arial" w:hAnsi="Arial"/>
          <w:sz w:val="18"/>
          <w:szCs w:val="18"/>
          <w:u w:val="single" w:color="auto"/>
          <w:color w:val="auto"/>
        </w:rPr>
        <w:t>Section 3.02</w:t>
      </w:r>
      <w:r>
        <w:rPr>
          <w:rFonts w:ascii="Arial" w:cs="Arial" w:eastAsia="Arial" w:hAnsi="Arial"/>
          <w:sz w:val="18"/>
          <w:szCs w:val="18"/>
          <w:color w:val="auto"/>
        </w:rPr>
        <w:t xml:space="preserve">, then such Lender or the Letter of Credit Issuer, as applicable, shall use reasonable efforts to designate a different Lending Office for funding or booking its Loans hereunder or to assign its rights and obligations hereunder to another of its offices, branches or affiliates, if, in the judgment of such Lender or the Letter of Credit Issuer, such designation or assignment (i) would eliminate or reduce amounts payable pursuant to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3.04</w:t>
      </w:r>
      <w:r>
        <w:rPr>
          <w:rFonts w:ascii="Arial" w:cs="Arial" w:eastAsia="Arial" w:hAnsi="Arial"/>
          <w:sz w:val="18"/>
          <w:szCs w:val="18"/>
          <w:color w:val="auto"/>
        </w:rPr>
        <w:t xml:space="preserve">, as the case may be, in the future, or eliminate the need for the notice pursuant to </w:t>
      </w:r>
      <w:r>
        <w:rPr>
          <w:rFonts w:ascii="Arial" w:cs="Arial" w:eastAsia="Arial" w:hAnsi="Arial"/>
          <w:sz w:val="18"/>
          <w:szCs w:val="18"/>
          <w:u w:val="single" w:color="auto"/>
          <w:color w:val="auto"/>
        </w:rPr>
        <w:t>Section 3.02</w:t>
      </w:r>
      <w:r>
        <w:rPr>
          <w:rFonts w:ascii="Arial" w:cs="Arial" w:eastAsia="Arial" w:hAnsi="Arial"/>
          <w:sz w:val="18"/>
          <w:szCs w:val="18"/>
          <w:color w:val="auto"/>
        </w:rPr>
        <w:t>, as applicable, and (ii) in each case, would not subject such Lender or the Letter of Credit Issuer, as the case may be, to any unreimbursed cost or expense and would not otherwise be disadvantageous to such Lender or the Letter of Credit Issuer, as the case may be. The Borrowers hereby agree to pay all reasonable costs and expenses incurred by any Lender or the Letter of Credit Issuer in connection with any such designation or assignment.</w:t>
      </w:r>
    </w:p>
    <w:p>
      <w:pPr>
        <w:spacing w:after="0" w:line="170" w:lineRule="exact"/>
        <w:rPr>
          <w:rFonts w:ascii="Arial" w:cs="Arial" w:eastAsia="Arial" w:hAnsi="Arial"/>
          <w:sz w:val="18"/>
          <w:szCs w:val="18"/>
          <w:color w:val="auto"/>
        </w:rPr>
      </w:pPr>
    </w:p>
    <w:p>
      <w:pPr>
        <w:jc w:val="both"/>
        <w:ind w:firstLine="634"/>
        <w:spacing w:after="0" w:line="259" w:lineRule="auto"/>
        <w:tabs>
          <w:tab w:leader="none" w:pos="1247" w:val="left"/>
        </w:tabs>
        <w:numPr>
          <w:ilvl w:val="0"/>
          <w:numId w:val="198"/>
        </w:numPr>
        <w:rPr>
          <w:rFonts w:ascii="Arial" w:cs="Arial" w:eastAsia="Arial" w:hAnsi="Arial"/>
          <w:sz w:val="19"/>
          <w:szCs w:val="19"/>
          <w:color w:val="auto"/>
        </w:rPr>
      </w:pPr>
      <w:r>
        <w:rPr>
          <w:rFonts w:ascii="Arial" w:cs="Arial" w:eastAsia="Arial" w:hAnsi="Arial"/>
          <w:sz w:val="19"/>
          <w:szCs w:val="19"/>
          <w:u w:val="single" w:color="auto"/>
          <w:color w:val="auto"/>
        </w:rPr>
        <w:t>Replacement of Lenders</w:t>
      </w:r>
      <w:r>
        <w:rPr>
          <w:rFonts w:ascii="Arial" w:cs="Arial" w:eastAsia="Arial" w:hAnsi="Arial"/>
          <w:sz w:val="19"/>
          <w:szCs w:val="19"/>
          <w:color w:val="auto"/>
        </w:rPr>
        <w:t xml:space="preserve">. If any Lender requests compensation under </w:t>
      </w:r>
      <w:r>
        <w:rPr>
          <w:rFonts w:ascii="Arial" w:cs="Arial" w:eastAsia="Arial" w:hAnsi="Arial"/>
          <w:sz w:val="19"/>
          <w:szCs w:val="19"/>
          <w:u w:val="single" w:color="auto"/>
          <w:color w:val="auto"/>
        </w:rPr>
        <w:t>Section 3.04</w:t>
      </w:r>
      <w:r>
        <w:rPr>
          <w:rFonts w:ascii="Arial" w:cs="Arial" w:eastAsia="Arial" w:hAnsi="Arial"/>
          <w:sz w:val="19"/>
          <w:szCs w:val="19"/>
          <w:color w:val="auto"/>
        </w:rPr>
        <w:t xml:space="preserve">, or if the Borrowers are required to pay any additional amount to any Lender or any Governmental Authority for the account of any Lender pursuant to </w:t>
      </w:r>
      <w:r>
        <w:rPr>
          <w:rFonts w:ascii="Arial" w:cs="Arial" w:eastAsia="Arial" w:hAnsi="Arial"/>
          <w:sz w:val="19"/>
          <w:szCs w:val="19"/>
          <w:u w:val="single" w:color="auto"/>
          <w:color w:val="auto"/>
        </w:rPr>
        <w:t>Section 3.01</w:t>
      </w:r>
      <w:r>
        <w:rPr>
          <w:rFonts w:ascii="Arial" w:cs="Arial" w:eastAsia="Arial" w:hAnsi="Arial"/>
          <w:sz w:val="19"/>
          <w:szCs w:val="19"/>
          <w:color w:val="auto"/>
        </w:rPr>
        <w:t xml:space="preserve">, the Borrowers may replace such Lender in accordance with </w:t>
      </w:r>
      <w:r>
        <w:rPr>
          <w:rFonts w:ascii="Arial" w:cs="Arial" w:eastAsia="Arial" w:hAnsi="Arial"/>
          <w:sz w:val="19"/>
          <w:szCs w:val="19"/>
          <w:u w:val="single" w:color="auto"/>
          <w:color w:val="auto"/>
        </w:rPr>
        <w:t>Section 11.13</w:t>
      </w:r>
      <w:r>
        <w:rPr>
          <w:rFonts w:ascii="Arial" w:cs="Arial" w:eastAsia="Arial" w:hAnsi="Arial"/>
          <w:sz w:val="19"/>
          <w:szCs w:val="19"/>
          <w:color w:val="auto"/>
        </w:rPr>
        <w:t>.</w:t>
      </w:r>
    </w:p>
    <w:p>
      <w:pPr>
        <w:spacing w:after="0" w:line="165" w:lineRule="exact"/>
        <w:rPr>
          <w:sz w:val="20"/>
          <w:szCs w:val="20"/>
          <w:color w:val="auto"/>
        </w:rPr>
      </w:pPr>
    </w:p>
    <w:p>
      <w:pPr>
        <w:ind w:firstLine="629"/>
        <w:spacing w:after="0" w:line="280" w:lineRule="auto"/>
        <w:rPr>
          <w:sz w:val="20"/>
          <w:szCs w:val="20"/>
          <w:color w:val="auto"/>
        </w:rPr>
      </w:pPr>
      <w:r>
        <w:rPr>
          <w:rFonts w:ascii="Arial" w:cs="Arial" w:eastAsia="Arial" w:hAnsi="Arial"/>
          <w:sz w:val="19"/>
          <w:szCs w:val="19"/>
          <w:b w:val="1"/>
          <w:bCs w:val="1"/>
          <w:color w:val="auto"/>
        </w:rPr>
        <w:t>3.7 Survival</w:t>
      </w:r>
      <w:r>
        <w:rPr>
          <w:rFonts w:ascii="Arial" w:cs="Arial" w:eastAsia="Arial" w:hAnsi="Arial"/>
          <w:sz w:val="19"/>
          <w:szCs w:val="19"/>
          <w:color w:val="auto"/>
        </w:rPr>
        <w:t>. All of the Borrowers’ obligations under this</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Article III</w:t>
      </w:r>
      <w:r>
        <w:rPr>
          <w:rFonts w:ascii="Arial" w:cs="Arial" w:eastAsia="Arial" w:hAnsi="Arial"/>
          <w:sz w:val="19"/>
          <w:szCs w:val="19"/>
          <w:b w:val="1"/>
          <w:bCs w:val="1"/>
          <w:color w:val="auto"/>
        </w:rPr>
        <w:t xml:space="preserve"> </w:t>
      </w:r>
      <w:r>
        <w:rPr>
          <w:rFonts w:ascii="Arial" w:cs="Arial" w:eastAsia="Arial" w:hAnsi="Arial"/>
          <w:sz w:val="19"/>
          <w:szCs w:val="19"/>
          <w:color w:val="auto"/>
        </w:rPr>
        <w:t>shall survive the resignation of the Administrative Agent, the</w:t>
      </w:r>
      <w:r>
        <w:rPr>
          <w:rFonts w:ascii="Arial" w:cs="Arial" w:eastAsia="Arial" w:hAnsi="Arial"/>
          <w:sz w:val="19"/>
          <w:szCs w:val="19"/>
          <w:b w:val="1"/>
          <w:bCs w:val="1"/>
          <w:color w:val="auto"/>
        </w:rPr>
        <w:t xml:space="preserve"> </w:t>
      </w:r>
      <w:r>
        <w:rPr>
          <w:rFonts w:ascii="Arial" w:cs="Arial" w:eastAsia="Arial" w:hAnsi="Arial"/>
          <w:sz w:val="19"/>
          <w:szCs w:val="19"/>
          <w:color w:val="auto"/>
        </w:rPr>
        <w:t>Letter of Credit Issuer and the Swing Line Lender, the replacement of any Lender and the occurrence of the Facility Termination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108</w:t>
      </w:r>
    </w:p>
    <w:p>
      <w:pPr>
        <w:sectPr>
          <w:pgSz w:w="11900" w:h="16838" w:orient="portrait"/>
          <w:cols w:equalWidth="0" w:num="1">
            <w:col w:w="11240"/>
          </w:cols>
          <w:pgMar w:left="320" w:top="1382" w:right="339" w:bottom="1440" w:gutter="0" w:footer="0" w:header="0"/>
        </w:sectPr>
      </w:pPr>
    </w:p>
    <w:bookmarkStart w:id="227" w:name="page228"/>
    <w:bookmarkEnd w:id="227"/>
    <w:p>
      <w:pPr>
        <w:jc w:val="center"/>
        <w:ind w:right="120"/>
        <w:spacing w:after="0"/>
        <w:rPr>
          <w:sz w:val="20"/>
          <w:szCs w:val="20"/>
          <w:color w:val="auto"/>
        </w:rPr>
      </w:pPr>
      <w:r>
        <w:rPr>
          <w:rFonts w:ascii="Arial" w:cs="Arial" w:eastAsia="Arial" w:hAnsi="Arial"/>
          <w:sz w:val="19"/>
          <w:szCs w:val="19"/>
          <w:b w:val="1"/>
          <w:bCs w:val="1"/>
          <w:color w:val="auto"/>
        </w:rPr>
        <w:t>ARTICLE IV</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SECURITY AND ADMINISTRATION OF COLLATERAL</w:t>
      </w:r>
    </w:p>
    <w:p>
      <w:pPr>
        <w:spacing w:after="0" w:line="192" w:lineRule="exact"/>
        <w:rPr>
          <w:sz w:val="20"/>
          <w:szCs w:val="20"/>
          <w:color w:val="auto"/>
        </w:rPr>
      </w:pPr>
    </w:p>
    <w:p>
      <w:pPr>
        <w:jc w:val="both"/>
        <w:ind w:firstLine="629"/>
        <w:spacing w:after="0" w:line="263" w:lineRule="auto"/>
        <w:rPr>
          <w:sz w:val="20"/>
          <w:szCs w:val="20"/>
          <w:color w:val="auto"/>
        </w:rPr>
      </w:pPr>
      <w:r>
        <w:rPr>
          <w:rFonts w:ascii="Arial" w:cs="Arial" w:eastAsia="Arial" w:hAnsi="Arial"/>
          <w:sz w:val="18"/>
          <w:szCs w:val="18"/>
          <w:b w:val="1"/>
          <w:bCs w:val="1"/>
          <w:color w:val="auto"/>
        </w:rPr>
        <w:t>4.1 Security</w:t>
      </w:r>
      <w:r>
        <w:rPr>
          <w:rFonts w:ascii="Arial" w:cs="Arial" w:eastAsia="Arial" w:hAnsi="Arial"/>
          <w:sz w:val="18"/>
          <w:szCs w:val="18"/>
          <w:color w:val="auto"/>
        </w:rPr>
        <w:t>. As security for the full and timely payment and performance of all Obligations, Borrower Agent shall, and shall cause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each other Loan Party to, on or before the Closing Date, do or cause to be done all things necessary in the opinion of the Administrative Agent and its counsel to grant to the Administrative Agent for the benefit of the Secured Parties a duly perfected first priority security interest in all Collateral subject to no prior Lien or other encumbrance or restriction on transfer, except as expressly permitted hereunder. Without limiting the foregoing, on the Closing Date Borrower Agent shall deliver, and shall cause each Loan Party to deliver, to the Administrative Agent, in form and substance reasonably acceptable to the Administrative Agent, (a) the Security Agreement and the Canadian Security Agreement, which shall pledge to the Administrative Agent for the benefit of the Secured Parties certain personal property of the Borrowers and the other Loan Parties more particularly described therein and (b) Uniform Commercial Code and PPSA financing statements in form, substance and number as requested by the Administrative Agent, reflecting the Lien in favor of the Secured Parties on the Collateral, and shall take such further action and deliver or cause to be delivered such further documents as required by the Security Instruments or otherwise as the Administrative Agent may request to effect the transactions contemplated by this </w:t>
      </w:r>
      <w:r>
        <w:rPr>
          <w:rFonts w:ascii="Arial" w:cs="Arial" w:eastAsia="Arial" w:hAnsi="Arial"/>
          <w:sz w:val="18"/>
          <w:szCs w:val="18"/>
          <w:u w:val="single" w:color="auto"/>
          <w:color w:val="auto"/>
        </w:rPr>
        <w:t>Article IV</w:t>
      </w:r>
      <w:r>
        <w:rPr>
          <w:rFonts w:ascii="Arial" w:cs="Arial" w:eastAsia="Arial" w:hAnsi="Arial"/>
          <w:sz w:val="18"/>
          <w:szCs w:val="18"/>
          <w:color w:val="auto"/>
        </w:rPr>
        <w:t>.</w:t>
      </w:r>
    </w:p>
    <w:p>
      <w:pPr>
        <w:spacing w:after="0" w:line="167"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9"/>
          <w:szCs w:val="19"/>
          <w:b w:val="1"/>
          <w:bCs w:val="1"/>
          <w:color w:val="auto"/>
        </w:rPr>
        <w:t>4.2</w:t>
      </w:r>
      <w:r>
        <w:rPr>
          <w:sz w:val="20"/>
          <w:szCs w:val="20"/>
          <w:color w:val="auto"/>
        </w:rPr>
        <w:tab/>
      </w:r>
      <w:r>
        <w:rPr>
          <w:rFonts w:ascii="Arial" w:cs="Arial" w:eastAsia="Arial" w:hAnsi="Arial"/>
          <w:sz w:val="17"/>
          <w:szCs w:val="17"/>
          <w:b w:val="1"/>
          <w:bCs w:val="1"/>
          <w:color w:val="auto"/>
        </w:rPr>
        <w:t>Collateral Administration</w:t>
      </w:r>
      <w:r>
        <w:rPr>
          <w:rFonts w:ascii="Arial" w:cs="Arial" w:eastAsia="Arial" w:hAnsi="Arial"/>
          <w:sz w:val="17"/>
          <w:szCs w:val="17"/>
          <w:color w:val="auto"/>
        </w:rPr>
        <w:t>.</w:t>
      </w:r>
    </w:p>
    <w:p>
      <w:pPr>
        <w:spacing w:after="0" w:line="220" w:lineRule="exact"/>
        <w:rPr>
          <w:sz w:val="20"/>
          <w:szCs w:val="20"/>
          <w:color w:val="auto"/>
        </w:rPr>
      </w:pPr>
    </w:p>
    <w:p>
      <w:pPr>
        <w:ind w:left="1260" w:hanging="626"/>
        <w:spacing w:after="0"/>
        <w:tabs>
          <w:tab w:leader="none" w:pos="1260" w:val="left"/>
        </w:tabs>
        <w:numPr>
          <w:ilvl w:val="0"/>
          <w:numId w:val="199"/>
        </w:numPr>
        <w:rPr>
          <w:rFonts w:ascii="Arial" w:cs="Arial" w:eastAsia="Arial" w:hAnsi="Arial"/>
          <w:sz w:val="19"/>
          <w:szCs w:val="19"/>
          <w:color w:val="auto"/>
        </w:rPr>
      </w:pPr>
      <w:r>
        <w:rPr>
          <w:rFonts w:ascii="Arial" w:cs="Arial" w:eastAsia="Arial" w:hAnsi="Arial"/>
          <w:sz w:val="19"/>
          <w:szCs w:val="19"/>
          <w:u w:val="single" w:color="auto"/>
          <w:color w:val="auto"/>
        </w:rPr>
        <w:t>Administration of Accounts</w:t>
      </w:r>
      <w:r>
        <w:rPr>
          <w:rFonts w:ascii="Arial" w:cs="Arial" w:eastAsia="Arial" w:hAnsi="Arial"/>
          <w:sz w:val="19"/>
          <w:szCs w:val="19"/>
          <w:color w:val="auto"/>
        </w:rPr>
        <w:t>.</w:t>
      </w:r>
    </w:p>
    <w:p>
      <w:pPr>
        <w:spacing w:after="0" w:line="214" w:lineRule="exact"/>
        <w:rPr>
          <w:rFonts w:ascii="Arial" w:cs="Arial" w:eastAsia="Arial" w:hAnsi="Arial"/>
          <w:sz w:val="19"/>
          <w:szCs w:val="19"/>
          <w:color w:val="auto"/>
        </w:rPr>
      </w:pPr>
    </w:p>
    <w:p>
      <w:pPr>
        <w:jc w:val="both"/>
        <w:ind w:left="640" w:firstLine="624"/>
        <w:spacing w:after="0" w:line="280" w:lineRule="auto"/>
        <w:tabs>
          <w:tab w:leader="none" w:pos="1897" w:val="left"/>
        </w:tabs>
        <w:numPr>
          <w:ilvl w:val="1"/>
          <w:numId w:val="199"/>
        </w:numPr>
        <w:rPr>
          <w:rFonts w:ascii="Arial" w:cs="Arial" w:eastAsia="Arial" w:hAnsi="Arial"/>
          <w:sz w:val="18"/>
          <w:szCs w:val="18"/>
          <w:color w:val="auto"/>
        </w:rPr>
      </w:pPr>
      <w:r>
        <w:rPr>
          <w:rFonts w:ascii="Arial" w:cs="Arial" w:eastAsia="Arial" w:hAnsi="Arial"/>
          <w:sz w:val="18"/>
          <w:szCs w:val="18"/>
          <w:u w:val="single" w:color="auto"/>
          <w:color w:val="auto"/>
        </w:rPr>
        <w:t>Records and Schedules of Accounts</w:t>
      </w:r>
      <w:r>
        <w:rPr>
          <w:rFonts w:ascii="Arial" w:cs="Arial" w:eastAsia="Arial" w:hAnsi="Arial"/>
          <w:sz w:val="18"/>
          <w:szCs w:val="18"/>
          <w:color w:val="auto"/>
        </w:rPr>
        <w:t>. Each Borrower shall keep accurate and complete records of its Accounts, including all payments and collections thereon, and shall submit to the Administrative Agent sales, collection, reconciliation and other reports in form satisfactory to the Administrative Agent, on such periodic basis as the Administrative Agent may request.</w:t>
      </w:r>
    </w:p>
    <w:p>
      <w:pPr>
        <w:spacing w:after="0" w:line="154" w:lineRule="exact"/>
        <w:rPr>
          <w:rFonts w:ascii="Arial" w:cs="Arial" w:eastAsia="Arial" w:hAnsi="Arial"/>
          <w:sz w:val="18"/>
          <w:szCs w:val="18"/>
          <w:color w:val="auto"/>
        </w:rPr>
      </w:pPr>
    </w:p>
    <w:p>
      <w:pPr>
        <w:jc w:val="both"/>
        <w:ind w:left="640" w:firstLine="624"/>
        <w:spacing w:after="0" w:line="254" w:lineRule="auto"/>
        <w:tabs>
          <w:tab w:leader="none" w:pos="1897" w:val="left"/>
        </w:tabs>
        <w:numPr>
          <w:ilvl w:val="1"/>
          <w:numId w:val="199"/>
        </w:numPr>
        <w:rPr>
          <w:rFonts w:ascii="Arial" w:cs="Arial" w:eastAsia="Arial" w:hAnsi="Arial"/>
          <w:sz w:val="19"/>
          <w:szCs w:val="19"/>
          <w:color w:val="auto"/>
        </w:rPr>
      </w:pPr>
      <w:r>
        <w:rPr>
          <w:rFonts w:ascii="Arial" w:cs="Arial" w:eastAsia="Arial" w:hAnsi="Arial"/>
          <w:sz w:val="19"/>
          <w:szCs w:val="19"/>
          <w:u w:val="single" w:color="auto"/>
          <w:color w:val="auto"/>
        </w:rPr>
        <w:t>Taxes</w:t>
      </w:r>
      <w:r>
        <w:rPr>
          <w:rFonts w:ascii="Arial" w:cs="Arial" w:eastAsia="Arial" w:hAnsi="Arial"/>
          <w:sz w:val="19"/>
          <w:szCs w:val="19"/>
          <w:color w:val="auto"/>
        </w:rPr>
        <w:t>. If an Account of any Borrower includes a charge for any Taxes, Administrative Agent is authorized, in its discretion, to pay the amount thereof to the proper taxing authority for the account of such Borrower and to charge Borrowers therefor; provided, however, that neither the Administrative Agent nor Lenders shall be liable for any Taxes that may be due from Borrowers or with respect to any Collateral.</w:t>
      </w:r>
    </w:p>
    <w:p>
      <w:pPr>
        <w:spacing w:after="0" w:line="176" w:lineRule="exact"/>
        <w:rPr>
          <w:rFonts w:ascii="Arial" w:cs="Arial" w:eastAsia="Arial" w:hAnsi="Arial"/>
          <w:sz w:val="19"/>
          <w:szCs w:val="19"/>
          <w:color w:val="auto"/>
        </w:rPr>
      </w:pPr>
    </w:p>
    <w:p>
      <w:pPr>
        <w:jc w:val="both"/>
        <w:ind w:left="640" w:firstLine="624"/>
        <w:spacing w:after="0" w:line="252" w:lineRule="auto"/>
        <w:tabs>
          <w:tab w:leader="none" w:pos="1898" w:val="left"/>
        </w:tabs>
        <w:numPr>
          <w:ilvl w:val="1"/>
          <w:numId w:val="199"/>
        </w:numPr>
        <w:rPr>
          <w:rFonts w:ascii="Arial" w:cs="Arial" w:eastAsia="Arial" w:hAnsi="Arial"/>
          <w:sz w:val="19"/>
          <w:szCs w:val="19"/>
          <w:color w:val="auto"/>
        </w:rPr>
      </w:pPr>
      <w:r>
        <w:rPr>
          <w:rFonts w:ascii="Arial" w:cs="Arial" w:eastAsia="Arial" w:hAnsi="Arial"/>
          <w:sz w:val="19"/>
          <w:szCs w:val="19"/>
          <w:u w:val="single" w:color="auto"/>
          <w:color w:val="auto"/>
        </w:rPr>
        <w:t>Account Verification</w:t>
      </w:r>
      <w:r>
        <w:rPr>
          <w:rFonts w:ascii="Arial" w:cs="Arial" w:eastAsia="Arial" w:hAnsi="Arial"/>
          <w:sz w:val="19"/>
          <w:szCs w:val="19"/>
          <w:color w:val="auto"/>
        </w:rPr>
        <w:t>. Whether or not a Default or Event of Default exists, the Administrative Agent shall have the right at any time, in the name of the Administrative Agent, any designee of the Administrative Agent or (during the continuance of any Event of Default) any Borrower, to verify the validity, amount or any other matter relating to any Accounts of Borrowers by mail, telephone or otherwise. Borrowers shall cooperate fully with the Administrative Agent in an effort to facilitate and promptly conclude any such verification process.</w:t>
      </w:r>
    </w:p>
    <w:p>
      <w:pPr>
        <w:spacing w:after="0" w:line="177" w:lineRule="exact"/>
        <w:rPr>
          <w:rFonts w:ascii="Arial" w:cs="Arial" w:eastAsia="Arial" w:hAnsi="Arial"/>
          <w:sz w:val="19"/>
          <w:szCs w:val="19"/>
          <w:color w:val="auto"/>
        </w:rPr>
      </w:pPr>
    </w:p>
    <w:p>
      <w:pPr>
        <w:jc w:val="both"/>
        <w:ind w:left="640" w:firstLine="624"/>
        <w:spacing w:after="0" w:line="259" w:lineRule="auto"/>
        <w:tabs>
          <w:tab w:leader="none" w:pos="1888" w:val="left"/>
        </w:tabs>
        <w:numPr>
          <w:ilvl w:val="1"/>
          <w:numId w:val="199"/>
        </w:numPr>
        <w:rPr>
          <w:rFonts w:ascii="Arial" w:cs="Arial" w:eastAsia="Arial" w:hAnsi="Arial"/>
          <w:sz w:val="19"/>
          <w:szCs w:val="19"/>
          <w:color w:val="auto"/>
        </w:rPr>
      </w:pPr>
      <w:r>
        <w:rPr>
          <w:rFonts w:ascii="Arial" w:cs="Arial" w:eastAsia="Arial" w:hAnsi="Arial"/>
          <w:sz w:val="19"/>
          <w:szCs w:val="19"/>
          <w:u w:val="single" w:color="auto"/>
          <w:color w:val="auto"/>
        </w:rPr>
        <w:t>Proceeds of Collateral</w:t>
      </w:r>
      <w:r>
        <w:rPr>
          <w:rFonts w:ascii="Arial" w:cs="Arial" w:eastAsia="Arial" w:hAnsi="Arial"/>
          <w:sz w:val="19"/>
          <w:szCs w:val="19"/>
          <w:color w:val="auto"/>
        </w:rPr>
        <w:t>. Borrowers shall request in writing and otherwise take all necessary steps to ensure that all payments on Accounts or otherwise relating to Collateral are made directly to a Controlled Deposit Account (or a lockbox relating to a Controlled Deposit Account). If any Borrower or Subsidiary receives cash or Payment Items with respect to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109</w:t>
      </w:r>
    </w:p>
    <w:p>
      <w:pPr>
        <w:sectPr>
          <w:pgSz w:w="11900" w:h="16838" w:orient="portrait"/>
          <w:cols w:equalWidth="0" w:num="1">
            <w:col w:w="11240"/>
          </w:cols>
          <w:pgMar w:left="320" w:top="1376" w:right="339" w:bottom="1440" w:gutter="0" w:footer="0" w:header="0"/>
        </w:sectPr>
      </w:pPr>
    </w:p>
    <w:bookmarkStart w:id="228" w:name="page229"/>
    <w:bookmarkEnd w:id="228"/>
    <w:p>
      <w:pPr>
        <w:ind w:left="6"/>
        <w:spacing w:after="0" w:line="274" w:lineRule="auto"/>
        <w:rPr>
          <w:sz w:val="20"/>
          <w:szCs w:val="20"/>
          <w:color w:val="auto"/>
        </w:rPr>
      </w:pPr>
      <w:r>
        <w:rPr>
          <w:rFonts w:ascii="Arial" w:cs="Arial" w:eastAsia="Arial" w:hAnsi="Arial"/>
          <w:sz w:val="19"/>
          <w:szCs w:val="19"/>
          <w:color w:val="auto"/>
        </w:rPr>
        <w:t>Collateral, it shall hold same in trust for the Administrative Agent and promptly (not later than the next Business Day) deposit same into a Controlled Deposit Account.</w:t>
      </w:r>
    </w:p>
    <w:p>
      <w:pPr>
        <w:spacing w:after="0" w:line="157" w:lineRule="exact"/>
        <w:rPr>
          <w:sz w:val="20"/>
          <w:szCs w:val="20"/>
          <w:color w:val="auto"/>
        </w:rPr>
      </w:pPr>
    </w:p>
    <w:p>
      <w:pPr>
        <w:jc w:val="both"/>
        <w:ind w:left="6" w:firstLine="624"/>
        <w:spacing w:after="0" w:line="280" w:lineRule="auto"/>
        <w:tabs>
          <w:tab w:leader="none" w:pos="1252" w:val="left"/>
        </w:tabs>
        <w:numPr>
          <w:ilvl w:val="1"/>
          <w:numId w:val="200"/>
        </w:numPr>
        <w:rPr>
          <w:rFonts w:ascii="Arial" w:cs="Arial" w:eastAsia="Arial" w:hAnsi="Arial"/>
          <w:sz w:val="17"/>
          <w:szCs w:val="17"/>
          <w:color w:val="auto"/>
        </w:rPr>
      </w:pPr>
      <w:r>
        <w:rPr>
          <w:rFonts w:ascii="Arial" w:cs="Arial" w:eastAsia="Arial" w:hAnsi="Arial"/>
          <w:sz w:val="17"/>
          <w:szCs w:val="17"/>
          <w:u w:val="single" w:color="auto"/>
          <w:color w:val="auto"/>
        </w:rPr>
        <w:t>Extensions of Time for Payment</w:t>
      </w:r>
      <w:r>
        <w:rPr>
          <w:rFonts w:ascii="Arial" w:cs="Arial" w:eastAsia="Arial" w:hAnsi="Arial"/>
          <w:sz w:val="17"/>
          <w:szCs w:val="17"/>
          <w:color w:val="auto"/>
        </w:rPr>
        <w:t>. In addition, upon the occurrence and during the continuance of an Event of Default, other than in the Ordinary Course of Business and in amounts which are not material to such Borrower, each Borrower will not (i) grant any extension of the time for payment of any Account, (ii) compromise or settle any Account for less than the full amount thereof,</w:t>
      </w:r>
    </w:p>
    <w:p>
      <w:pPr>
        <w:ind w:left="6" w:hanging="6"/>
        <w:spacing w:after="0" w:line="256" w:lineRule="auto"/>
        <w:tabs>
          <w:tab w:leader="none" w:pos="353" w:val="left"/>
        </w:tabs>
        <w:numPr>
          <w:ilvl w:val="0"/>
          <w:numId w:val="201"/>
        </w:numPr>
        <w:rPr>
          <w:rFonts w:ascii="Arial" w:cs="Arial" w:eastAsia="Arial" w:hAnsi="Arial"/>
          <w:sz w:val="19"/>
          <w:szCs w:val="19"/>
          <w:color w:val="auto"/>
        </w:rPr>
      </w:pPr>
      <w:r>
        <w:rPr>
          <w:rFonts w:ascii="Arial" w:cs="Arial" w:eastAsia="Arial" w:hAnsi="Arial"/>
          <w:sz w:val="19"/>
          <w:szCs w:val="19"/>
          <w:color w:val="auto"/>
        </w:rPr>
        <w:t>release, wholly or partially, any Person liable for the payment of any Account, (iv) allow any credit or discount whatsoever on any Account or (v) amend, supplement or modify any Account in any manner that could adversely affect the value thereof.</w:t>
      </w:r>
    </w:p>
    <w:p>
      <w:pPr>
        <w:spacing w:after="0" w:line="174" w:lineRule="exact"/>
        <w:rPr>
          <w:sz w:val="20"/>
          <w:szCs w:val="20"/>
          <w:color w:val="auto"/>
        </w:rPr>
      </w:pPr>
    </w:p>
    <w:p>
      <w:pPr>
        <w:ind w:left="626" w:hanging="626"/>
        <w:spacing w:after="0"/>
        <w:tabs>
          <w:tab w:leader="none" w:pos="626" w:val="left"/>
        </w:tabs>
        <w:numPr>
          <w:ilvl w:val="0"/>
          <w:numId w:val="202"/>
        </w:numPr>
        <w:rPr>
          <w:rFonts w:ascii="Arial" w:cs="Arial" w:eastAsia="Arial" w:hAnsi="Arial"/>
          <w:sz w:val="19"/>
          <w:szCs w:val="19"/>
          <w:color w:val="auto"/>
        </w:rPr>
      </w:pPr>
      <w:r>
        <w:rPr>
          <w:rFonts w:ascii="Arial" w:cs="Arial" w:eastAsia="Arial" w:hAnsi="Arial"/>
          <w:sz w:val="19"/>
          <w:szCs w:val="19"/>
          <w:u w:val="single" w:color="auto"/>
          <w:color w:val="auto"/>
        </w:rPr>
        <w:t>Administration of Inventory</w:t>
      </w:r>
      <w:r>
        <w:rPr>
          <w:rFonts w:ascii="Arial" w:cs="Arial" w:eastAsia="Arial" w:hAnsi="Arial"/>
          <w:sz w:val="19"/>
          <w:szCs w:val="19"/>
          <w:color w:val="auto"/>
        </w:rPr>
        <w:t>.</w:t>
      </w:r>
    </w:p>
    <w:p>
      <w:pPr>
        <w:spacing w:after="0" w:line="214" w:lineRule="exact"/>
        <w:rPr>
          <w:rFonts w:ascii="Arial" w:cs="Arial" w:eastAsia="Arial" w:hAnsi="Arial"/>
          <w:sz w:val="19"/>
          <w:szCs w:val="19"/>
          <w:color w:val="auto"/>
        </w:rPr>
      </w:pPr>
    </w:p>
    <w:p>
      <w:pPr>
        <w:jc w:val="both"/>
        <w:ind w:left="6" w:firstLine="624"/>
        <w:spacing w:after="0" w:line="264" w:lineRule="auto"/>
        <w:tabs>
          <w:tab w:leader="none" w:pos="1262" w:val="left"/>
        </w:tabs>
        <w:numPr>
          <w:ilvl w:val="1"/>
          <w:numId w:val="202"/>
        </w:numPr>
        <w:rPr>
          <w:rFonts w:ascii="Arial" w:cs="Arial" w:eastAsia="Arial" w:hAnsi="Arial"/>
          <w:sz w:val="18"/>
          <w:szCs w:val="18"/>
          <w:color w:val="auto"/>
        </w:rPr>
      </w:pPr>
      <w:r>
        <w:rPr>
          <w:rFonts w:ascii="Arial" w:cs="Arial" w:eastAsia="Arial" w:hAnsi="Arial"/>
          <w:sz w:val="18"/>
          <w:szCs w:val="18"/>
          <w:u w:val="single" w:color="auto"/>
          <w:color w:val="auto"/>
        </w:rPr>
        <w:t>Records and Reports of Inventory</w:t>
      </w:r>
      <w:r>
        <w:rPr>
          <w:rFonts w:ascii="Arial" w:cs="Arial" w:eastAsia="Arial" w:hAnsi="Arial"/>
          <w:sz w:val="18"/>
          <w:szCs w:val="18"/>
          <w:color w:val="auto"/>
        </w:rPr>
        <w:t>. Each Borrower shall keep accurate and complete records of its Inventory, including costs and daily withdrawals and additions, and shall submit to Administrative Agent inventory and reconciliation reports in form satisfactory to the Administrative Agent, on such periodic basis as the Administrative Agent may request. Each Borrower shall conduct a physical inventory at least once per calendar year (and on a more frequent basis if requested by the Administrative Agent when an Event of Default exists) and periodic cycle counts consistent with historical practices, and shall provide to the Administrative Agent a report based on each such inventory and count promptly upon completion thereof, together with such supporting information as the Administrative Agent may request. The Administrative Agent may participate in and observe each physical count. The Administrative Agent, in its reasonable discretion if any Event of Default is continuing, may cause additional such inventories to be taken as the Administrative Agent determines (each, at the expense of the Loan Parties).</w:t>
      </w:r>
    </w:p>
    <w:p>
      <w:pPr>
        <w:spacing w:after="0" w:line="167" w:lineRule="exact"/>
        <w:rPr>
          <w:rFonts w:ascii="Arial" w:cs="Arial" w:eastAsia="Arial" w:hAnsi="Arial"/>
          <w:sz w:val="18"/>
          <w:szCs w:val="18"/>
          <w:color w:val="auto"/>
        </w:rPr>
      </w:pPr>
    </w:p>
    <w:p>
      <w:pPr>
        <w:jc w:val="both"/>
        <w:ind w:left="6" w:firstLine="624"/>
        <w:spacing w:after="0" w:line="252" w:lineRule="auto"/>
        <w:tabs>
          <w:tab w:leader="none" w:pos="1263" w:val="left"/>
        </w:tabs>
        <w:numPr>
          <w:ilvl w:val="1"/>
          <w:numId w:val="202"/>
        </w:numPr>
        <w:rPr>
          <w:rFonts w:ascii="Arial" w:cs="Arial" w:eastAsia="Arial" w:hAnsi="Arial"/>
          <w:sz w:val="19"/>
          <w:szCs w:val="19"/>
          <w:color w:val="auto"/>
        </w:rPr>
      </w:pPr>
      <w:r>
        <w:rPr>
          <w:rFonts w:ascii="Arial" w:cs="Arial" w:eastAsia="Arial" w:hAnsi="Arial"/>
          <w:sz w:val="19"/>
          <w:szCs w:val="19"/>
          <w:u w:val="single" w:color="auto"/>
          <w:color w:val="auto"/>
        </w:rPr>
        <w:t>Returns of Inventory</w:t>
      </w:r>
      <w:r>
        <w:rPr>
          <w:rFonts w:ascii="Arial" w:cs="Arial" w:eastAsia="Arial" w:hAnsi="Arial"/>
          <w:sz w:val="19"/>
          <w:szCs w:val="19"/>
          <w:color w:val="auto"/>
        </w:rPr>
        <w:t xml:space="preserve">. No Borrower shall return any Inventory to a supplier, vendor or other Person, whether for cash, credit or otherwise, unless (a) such return is in the Ordinary Course of Business; (b) no Default, Event of Default or Overadvance exists or would result therefrom; (c) the Administrative Agent is promptly notified if the aggregate Dollar Equivalent value of all Inventory returned in any month exceeds $250,000; and (d) any payment received by a Borrower for a return is promptly remitted to the Administrative Agent for application to the Obligations in accordance with </w:t>
      </w:r>
      <w:r>
        <w:rPr>
          <w:rFonts w:ascii="Arial" w:cs="Arial" w:eastAsia="Arial" w:hAnsi="Arial"/>
          <w:sz w:val="19"/>
          <w:szCs w:val="19"/>
          <w:u w:val="single" w:color="auto"/>
          <w:color w:val="auto"/>
        </w:rPr>
        <w:t>Section 2.06(c)</w:t>
      </w:r>
      <w:r>
        <w:rPr>
          <w:rFonts w:ascii="Arial" w:cs="Arial" w:eastAsia="Arial" w:hAnsi="Arial"/>
          <w:sz w:val="19"/>
          <w:szCs w:val="19"/>
          <w:color w:val="auto"/>
        </w:rPr>
        <w:t>.</w:t>
      </w:r>
    </w:p>
    <w:p>
      <w:pPr>
        <w:spacing w:after="0" w:line="177" w:lineRule="exact"/>
        <w:rPr>
          <w:rFonts w:ascii="Arial" w:cs="Arial" w:eastAsia="Arial" w:hAnsi="Arial"/>
          <w:sz w:val="19"/>
          <w:szCs w:val="19"/>
          <w:color w:val="auto"/>
        </w:rPr>
      </w:pPr>
    </w:p>
    <w:p>
      <w:pPr>
        <w:jc w:val="both"/>
        <w:ind w:left="6" w:firstLine="624"/>
        <w:spacing w:after="0" w:line="267" w:lineRule="auto"/>
        <w:tabs>
          <w:tab w:leader="none" w:pos="1264" w:val="left"/>
        </w:tabs>
        <w:numPr>
          <w:ilvl w:val="1"/>
          <w:numId w:val="202"/>
        </w:numPr>
        <w:rPr>
          <w:rFonts w:ascii="Arial" w:cs="Arial" w:eastAsia="Arial" w:hAnsi="Arial"/>
          <w:sz w:val="18"/>
          <w:szCs w:val="18"/>
          <w:color w:val="auto"/>
        </w:rPr>
      </w:pPr>
      <w:r>
        <w:rPr>
          <w:rFonts w:ascii="Arial" w:cs="Arial" w:eastAsia="Arial" w:hAnsi="Arial"/>
          <w:sz w:val="18"/>
          <w:szCs w:val="18"/>
          <w:u w:val="single" w:color="auto"/>
          <w:color w:val="auto"/>
        </w:rPr>
        <w:t>Acquisition, Sale and Maintenance</w:t>
      </w:r>
      <w:r>
        <w:rPr>
          <w:rFonts w:ascii="Arial" w:cs="Arial" w:eastAsia="Arial" w:hAnsi="Arial"/>
          <w:sz w:val="18"/>
          <w:szCs w:val="18"/>
          <w:color w:val="auto"/>
        </w:rPr>
        <w:t>. No Borrower shall acquire or accept any Inventory on consignment or approval, and shall take all steps to assure that all Inventory is produced in accordance with applicable Law, including the FLSA. No Borrower shall sell any Inventory on consignment or approval or any other basis under which the customer may return or require a Borrower to repurchase such Inventory. The Borrowers shall use, store and maintain all Inventory with reasonable care and caution, in accordance with applicable standards of any insurance and in conformity with all applicable Laws, and shall make current rent payments (within applicable grace periods provided for in leases) at all locations where any Collateral is located.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846"/>
        <w:spacing w:after="0"/>
        <w:rPr>
          <w:sz w:val="20"/>
          <w:szCs w:val="20"/>
          <w:color w:val="auto"/>
        </w:rPr>
      </w:pPr>
      <w:r>
        <w:rPr>
          <w:rFonts w:ascii="Arial" w:cs="Arial" w:eastAsia="Arial" w:hAnsi="Arial"/>
          <w:sz w:val="19"/>
          <w:szCs w:val="19"/>
          <w:color w:val="auto"/>
        </w:rPr>
        <w:t>110</w:t>
      </w:r>
    </w:p>
    <w:p>
      <w:pPr>
        <w:sectPr>
          <w:pgSz w:w="11900" w:h="16838" w:orient="portrait"/>
          <w:cols w:equalWidth="0" w:num="1">
            <w:col w:w="10606"/>
          </w:cols>
          <w:pgMar w:left="954" w:top="1382" w:right="339" w:bottom="1440" w:gutter="0" w:footer="0" w:header="0"/>
        </w:sectPr>
      </w:pPr>
    </w:p>
    <w:bookmarkStart w:id="229" w:name="page230"/>
    <w:bookmarkEnd w:id="229"/>
    <w:p>
      <w:pPr>
        <w:ind w:left="640"/>
        <w:spacing w:after="0"/>
        <w:tabs>
          <w:tab w:leader="none" w:pos="1240" w:val="left"/>
        </w:tabs>
        <w:rPr>
          <w:sz w:val="20"/>
          <w:szCs w:val="20"/>
          <w:color w:val="auto"/>
        </w:rPr>
      </w:pPr>
      <w:r>
        <w:rPr>
          <w:rFonts w:ascii="Arial" w:cs="Arial" w:eastAsia="Arial" w:hAnsi="Arial"/>
          <w:sz w:val="19"/>
          <w:szCs w:val="19"/>
          <w:b w:val="1"/>
          <w:bCs w:val="1"/>
          <w:color w:val="auto"/>
        </w:rPr>
        <w:t>4.3</w:t>
      </w:r>
      <w:r>
        <w:rPr>
          <w:sz w:val="20"/>
          <w:szCs w:val="20"/>
          <w:color w:val="auto"/>
        </w:rPr>
        <w:tab/>
      </w:r>
      <w:r>
        <w:rPr>
          <w:rFonts w:ascii="Arial" w:cs="Arial" w:eastAsia="Arial" w:hAnsi="Arial"/>
          <w:sz w:val="17"/>
          <w:szCs w:val="17"/>
          <w:b w:val="1"/>
          <w:bCs w:val="1"/>
          <w:color w:val="auto"/>
        </w:rPr>
        <w:t>After Acquired Property; Further Assurances</w:t>
      </w:r>
      <w:r>
        <w:rPr>
          <w:rFonts w:ascii="Arial" w:cs="Arial" w:eastAsia="Arial" w:hAnsi="Arial"/>
          <w:sz w:val="17"/>
          <w:szCs w:val="17"/>
          <w:color w:val="auto"/>
        </w:rPr>
        <w:t>.</w:t>
      </w:r>
    </w:p>
    <w:p>
      <w:pPr>
        <w:spacing w:after="0" w:line="220" w:lineRule="exact"/>
        <w:rPr>
          <w:sz w:val="20"/>
          <w:szCs w:val="20"/>
          <w:color w:val="auto"/>
        </w:rPr>
      </w:pPr>
    </w:p>
    <w:p>
      <w:pPr>
        <w:jc w:val="both"/>
        <w:ind w:firstLine="634"/>
        <w:spacing w:after="0" w:line="252" w:lineRule="auto"/>
        <w:tabs>
          <w:tab w:leader="none" w:pos="1249" w:val="left"/>
        </w:tabs>
        <w:numPr>
          <w:ilvl w:val="0"/>
          <w:numId w:val="203"/>
        </w:numPr>
        <w:rPr>
          <w:rFonts w:ascii="Arial" w:cs="Arial" w:eastAsia="Arial" w:hAnsi="Arial"/>
          <w:sz w:val="19"/>
          <w:szCs w:val="19"/>
          <w:color w:val="auto"/>
        </w:rPr>
      </w:pPr>
      <w:r>
        <w:rPr>
          <w:rFonts w:ascii="Arial" w:cs="Arial" w:eastAsia="Arial" w:hAnsi="Arial"/>
          <w:sz w:val="19"/>
          <w:szCs w:val="19"/>
          <w:u w:val="single" w:color="auto"/>
          <w:color w:val="auto"/>
        </w:rPr>
        <w:t>New Deposit Accounts and Securities Accounts</w:t>
      </w:r>
      <w:r>
        <w:rPr>
          <w:rFonts w:ascii="Arial" w:cs="Arial" w:eastAsia="Arial" w:hAnsi="Arial"/>
          <w:sz w:val="19"/>
          <w:szCs w:val="19"/>
          <w:color w:val="auto"/>
        </w:rPr>
        <w:t>. Concurrently with or prior to the opening of any Deposit Account, Securities Account or Commodity Account by any Loan Party, other than any Excluded Deposit Account, such Loan Party shall deliver to the Administrative Agent a Control Agreement covering such Deposit Account, Securities Account or Commodity Account, duly executed by such Loan Party, the Administrative Agent and the applicable Controlled Account Bank, securities intermediary or financial institution at which such account is maintained.</w:t>
      </w:r>
    </w:p>
    <w:p>
      <w:pPr>
        <w:spacing w:after="0" w:line="177" w:lineRule="exact"/>
        <w:rPr>
          <w:rFonts w:ascii="Arial" w:cs="Arial" w:eastAsia="Arial" w:hAnsi="Arial"/>
          <w:sz w:val="19"/>
          <w:szCs w:val="19"/>
          <w:color w:val="auto"/>
        </w:rPr>
      </w:pPr>
    </w:p>
    <w:p>
      <w:pPr>
        <w:ind w:left="1260" w:hanging="626"/>
        <w:spacing w:after="0"/>
        <w:tabs>
          <w:tab w:leader="none" w:pos="1260" w:val="left"/>
        </w:tabs>
        <w:numPr>
          <w:ilvl w:val="0"/>
          <w:numId w:val="203"/>
        </w:numPr>
        <w:rPr>
          <w:rFonts w:ascii="Arial" w:cs="Arial" w:eastAsia="Arial" w:hAnsi="Arial"/>
          <w:sz w:val="19"/>
          <w:szCs w:val="19"/>
          <w:color w:val="auto"/>
        </w:rPr>
      </w:pPr>
      <w:r>
        <w:rPr>
          <w:rFonts w:ascii="Arial" w:cs="Arial" w:eastAsia="Arial" w:hAnsi="Arial"/>
          <w:sz w:val="19"/>
          <w:szCs w:val="19"/>
          <w:u w:val="single" w:color="auto"/>
          <w:color w:val="auto"/>
        </w:rPr>
        <w:t>[Reserved]</w:t>
      </w:r>
      <w:r>
        <w:rPr>
          <w:rFonts w:ascii="Arial" w:cs="Arial" w:eastAsia="Arial" w:hAnsi="Arial"/>
          <w:sz w:val="19"/>
          <w:szCs w:val="19"/>
          <w:color w:val="auto"/>
        </w:rPr>
        <w:t>.</w:t>
      </w:r>
    </w:p>
    <w:p>
      <w:pPr>
        <w:spacing w:after="0" w:line="214" w:lineRule="exact"/>
        <w:rPr>
          <w:rFonts w:ascii="Arial" w:cs="Arial" w:eastAsia="Arial" w:hAnsi="Arial"/>
          <w:sz w:val="19"/>
          <w:szCs w:val="19"/>
          <w:color w:val="auto"/>
        </w:rPr>
      </w:pPr>
    </w:p>
    <w:p>
      <w:pPr>
        <w:jc w:val="both"/>
        <w:ind w:firstLine="634"/>
        <w:spacing w:after="0" w:line="249" w:lineRule="auto"/>
        <w:tabs>
          <w:tab w:leader="none" w:pos="1249" w:val="left"/>
        </w:tabs>
        <w:numPr>
          <w:ilvl w:val="0"/>
          <w:numId w:val="203"/>
        </w:numPr>
        <w:rPr>
          <w:rFonts w:ascii="Arial" w:cs="Arial" w:eastAsia="Arial" w:hAnsi="Arial"/>
          <w:sz w:val="19"/>
          <w:szCs w:val="19"/>
          <w:color w:val="auto"/>
        </w:rPr>
      </w:pPr>
      <w:r>
        <w:rPr>
          <w:rFonts w:ascii="Arial" w:cs="Arial" w:eastAsia="Arial" w:hAnsi="Arial"/>
          <w:sz w:val="19"/>
          <w:szCs w:val="19"/>
          <w:u w:val="single" w:color="auto"/>
          <w:color w:val="auto"/>
        </w:rPr>
        <w:t>Acquired Real Property</w:t>
      </w:r>
      <w:r>
        <w:rPr>
          <w:rFonts w:ascii="Arial" w:cs="Arial" w:eastAsia="Arial" w:hAnsi="Arial"/>
          <w:sz w:val="19"/>
          <w:szCs w:val="19"/>
          <w:color w:val="auto"/>
        </w:rPr>
        <w:t>. If any Loan Party acquires, owns or holds an interest in any fee-owned Real Property, the Borrower Agent will promptly (and in any event, within ten (10) days of the acquisition thereof (or such longer period as the Administrative Agent may agree)) notify the Administrative Agent in writing of such event, identifying the property or interests in question. Upon the written request of the Administrative Agent, the Loan Party will, or will cause such Subsidiary to, within sixty (60) days after such written request (or such longer period as the Administrative Agent may reasonably agree), deliver to the Administrative Agent, in each case in form and substance reasonably satisfactory to the Administrative Agent, Mortgages and Mortgage Related Documents with respect to each fee-owned Real Property of any Loan Party or any Subsidiary.</w:t>
      </w:r>
    </w:p>
    <w:p>
      <w:pPr>
        <w:spacing w:after="0" w:line="183" w:lineRule="exact"/>
        <w:rPr>
          <w:rFonts w:ascii="Arial" w:cs="Arial" w:eastAsia="Arial" w:hAnsi="Arial"/>
          <w:sz w:val="19"/>
          <w:szCs w:val="19"/>
          <w:color w:val="auto"/>
        </w:rPr>
      </w:pPr>
    </w:p>
    <w:p>
      <w:pPr>
        <w:jc w:val="both"/>
        <w:ind w:firstLine="634"/>
        <w:spacing w:after="0" w:line="252" w:lineRule="auto"/>
        <w:tabs>
          <w:tab w:leader="none" w:pos="1247" w:val="left"/>
        </w:tabs>
        <w:numPr>
          <w:ilvl w:val="0"/>
          <w:numId w:val="203"/>
        </w:numPr>
        <w:rPr>
          <w:rFonts w:ascii="Arial" w:cs="Arial" w:eastAsia="Arial" w:hAnsi="Arial"/>
          <w:sz w:val="19"/>
          <w:szCs w:val="19"/>
          <w:color w:val="auto"/>
        </w:rPr>
      </w:pPr>
      <w:r>
        <w:rPr>
          <w:rFonts w:ascii="Arial" w:cs="Arial" w:eastAsia="Arial" w:hAnsi="Arial"/>
          <w:sz w:val="19"/>
          <w:szCs w:val="19"/>
          <w:u w:val="single" w:color="auto"/>
          <w:color w:val="auto"/>
        </w:rPr>
        <w:t>UCC and PPSA Filing Authorization</w:t>
      </w:r>
      <w:r>
        <w:rPr>
          <w:rFonts w:ascii="Arial" w:cs="Arial" w:eastAsia="Arial" w:hAnsi="Arial"/>
          <w:sz w:val="19"/>
          <w:szCs w:val="19"/>
          <w:color w:val="auto"/>
        </w:rPr>
        <w:t>. The Administrative Agent is hereby irrevocably authorized to execute (if necessary) and file or cause to be filed, with or if permitted by applicable Law without the signature of any Borrower appearing thereon, all UCC or PPSA financing statements reflecting any Borrower as “debtor” and the Administrative Agent as “secured party”, and continuations thereof and amendments thereto, as the Administrative Agent reasonably deems necessary or advisable to give effect to the transactions contemplated hereby and by the other Loan Documents.</w:t>
      </w:r>
    </w:p>
    <w:p>
      <w:pPr>
        <w:spacing w:after="0" w:line="171"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9"/>
          <w:szCs w:val="19"/>
          <w:b w:val="1"/>
          <w:bCs w:val="1"/>
          <w:color w:val="auto"/>
        </w:rPr>
        <w:t>4.4</w:t>
      </w:r>
      <w:r>
        <w:rPr>
          <w:sz w:val="20"/>
          <w:szCs w:val="20"/>
          <w:color w:val="auto"/>
        </w:rPr>
        <w:tab/>
      </w:r>
      <w:r>
        <w:rPr>
          <w:rFonts w:ascii="Arial" w:cs="Arial" w:eastAsia="Arial" w:hAnsi="Arial"/>
          <w:sz w:val="17"/>
          <w:szCs w:val="17"/>
          <w:b w:val="1"/>
          <w:bCs w:val="1"/>
          <w:color w:val="auto"/>
        </w:rPr>
        <w:t>Cash Management.</w:t>
      </w:r>
    </w:p>
    <w:p>
      <w:pPr>
        <w:spacing w:after="0" w:line="220" w:lineRule="exact"/>
        <w:rPr>
          <w:sz w:val="20"/>
          <w:szCs w:val="20"/>
          <w:color w:val="auto"/>
        </w:rPr>
      </w:pPr>
    </w:p>
    <w:p>
      <w:pPr>
        <w:jc w:val="both"/>
        <w:ind w:firstLine="634"/>
        <w:spacing w:after="0" w:line="278" w:lineRule="auto"/>
        <w:tabs>
          <w:tab w:leader="none" w:pos="1249" w:val="left"/>
        </w:tabs>
        <w:numPr>
          <w:ilvl w:val="0"/>
          <w:numId w:val="204"/>
        </w:numPr>
        <w:rPr>
          <w:rFonts w:ascii="Arial" w:cs="Arial" w:eastAsia="Arial" w:hAnsi="Arial"/>
          <w:sz w:val="17"/>
          <w:szCs w:val="17"/>
          <w:color w:val="auto"/>
        </w:rPr>
      </w:pPr>
      <w:r>
        <w:rPr>
          <w:rFonts w:ascii="Arial" w:cs="Arial" w:eastAsia="Arial" w:hAnsi="Arial"/>
          <w:sz w:val="17"/>
          <w:szCs w:val="17"/>
          <w:u w:val="single" w:color="auto"/>
          <w:color w:val="auto"/>
        </w:rPr>
        <w:t>Controlled Deposit Accounts</w:t>
      </w:r>
      <w:r>
        <w:rPr>
          <w:rFonts w:ascii="Arial" w:cs="Arial" w:eastAsia="Arial" w:hAnsi="Arial"/>
          <w:sz w:val="17"/>
          <w:szCs w:val="17"/>
          <w:color w:val="auto"/>
        </w:rPr>
        <w:t xml:space="preserve">. No later than sixty (60) days following the Closing Date, enter into a Control Agreement with respect to each Deposit Account listed on </w:t>
      </w:r>
      <w:r>
        <w:rPr>
          <w:rFonts w:ascii="Arial" w:cs="Arial" w:eastAsia="Arial" w:hAnsi="Arial"/>
          <w:sz w:val="17"/>
          <w:szCs w:val="17"/>
          <w:u w:val="single" w:color="auto"/>
          <w:color w:val="auto"/>
        </w:rPr>
        <w:t>Schedule 6.19</w:t>
      </w:r>
      <w:r>
        <w:rPr>
          <w:rFonts w:ascii="Arial" w:cs="Arial" w:eastAsia="Arial" w:hAnsi="Arial"/>
          <w:sz w:val="17"/>
          <w:szCs w:val="17"/>
          <w:color w:val="auto"/>
        </w:rPr>
        <w:t>, other than Excluded Deposit Accounts, which shall include all lockboxes and related lockbox accounts used for the collection of Accounts (and a separate lockbox shall be established for the receipt of collections and proceeds of Accounts related to Bonded Job Sites). Each Loan Party agrees that it shall take all commercially reasonable steps necessary to ensure that all payments in respect of Accounts or other Collateral be paid to a Controlled Deposit Account in its name, including ensuring that all invoices rendered and other requests made by any Loan Party for payment in respect of Accounts contain a written statement directing payment to be made to a Controlled Deposit Account in its name. The Borrower Agent shall cause bank statements and/or other reports from the Controlled Account Banks to be delivered to the Administrative Agent not less often than monthly, accurately setting forth all amounts deposited in each Controlled Deposit Account to ensure the proper transfer of funds as set forth above. All remittances received by any Loan Party on account of Accounts, together with the proceeds of any other Collateral, shall be held as the Administrative Agent’s property, for its benefit and the benefit of Lenders, by such Loan Party as trustee of an express trust for Administrative Agent’s benefit and such Loan Party shall immediately deposit same in kind in a Controlled Deposit Account. The Administrative Agent retains the right at all times after the occurrence and during the continuance of a Default or an Event of Default to notify Account Debtors that a Loan Party’s Accounts have been assigned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111</w:t>
      </w:r>
    </w:p>
    <w:p>
      <w:pPr>
        <w:sectPr>
          <w:pgSz w:w="11900" w:h="16838" w:orient="portrait"/>
          <w:cols w:equalWidth="0" w:num="1">
            <w:col w:w="11240"/>
          </w:cols>
          <w:pgMar w:left="320" w:top="1375" w:right="339" w:bottom="1440" w:gutter="0" w:footer="0" w:header="0"/>
        </w:sectPr>
      </w:pPr>
    </w:p>
    <w:bookmarkStart w:id="230" w:name="page231"/>
    <w:bookmarkEnd w:id="230"/>
    <w:p>
      <w:pPr>
        <w:jc w:val="both"/>
        <w:spacing w:after="0" w:line="273" w:lineRule="auto"/>
        <w:rPr>
          <w:sz w:val="20"/>
          <w:szCs w:val="20"/>
          <w:color w:val="auto"/>
        </w:rPr>
      </w:pPr>
      <w:r>
        <w:rPr>
          <w:rFonts w:ascii="Arial" w:cs="Arial" w:eastAsia="Arial" w:hAnsi="Arial"/>
          <w:sz w:val="18"/>
          <w:szCs w:val="18"/>
          <w:color w:val="auto"/>
        </w:rPr>
        <w:t>Administrative Agent and to collect such Loan Party’s Accounts directly in its own name, or in the name of the Administrative Agent’s agent, and to charge the collection costs and expenses, including reasonable attorneys’ fees, to the Loan Account. Notwithstanding the foregoing, in no event shall the collections or funds of any Loan Party (which is a Foreign Subsidiary that is not organized in Canada or in a province thereof) be deposited by any Loan Party into any Qualified Account, the Concentration Account or any deposit account maintained with BMO.</w:t>
      </w:r>
    </w:p>
    <w:p>
      <w:pPr>
        <w:spacing w:after="0" w:line="160" w:lineRule="exact"/>
        <w:rPr>
          <w:sz w:val="20"/>
          <w:szCs w:val="20"/>
          <w:color w:val="auto"/>
        </w:rPr>
      </w:pPr>
    </w:p>
    <w:p>
      <w:pPr>
        <w:jc w:val="both"/>
        <w:ind w:firstLine="634"/>
        <w:spacing w:after="0" w:line="277" w:lineRule="auto"/>
        <w:tabs>
          <w:tab w:leader="none" w:pos="1247" w:val="left"/>
        </w:tabs>
        <w:numPr>
          <w:ilvl w:val="0"/>
          <w:numId w:val="205"/>
        </w:numPr>
        <w:rPr>
          <w:rFonts w:ascii="Arial" w:cs="Arial" w:eastAsia="Arial" w:hAnsi="Arial"/>
          <w:sz w:val="17"/>
          <w:szCs w:val="17"/>
          <w:color w:val="auto"/>
        </w:rPr>
      </w:pPr>
      <w:r>
        <w:rPr>
          <w:rFonts w:ascii="Arial" w:cs="Arial" w:eastAsia="Arial" w:hAnsi="Arial"/>
          <w:sz w:val="17"/>
          <w:szCs w:val="17"/>
          <w:u w:val="single" w:color="auto"/>
          <w:color w:val="auto"/>
        </w:rPr>
        <w:t>Concentration Account</w:t>
      </w:r>
      <w:r>
        <w:rPr>
          <w:rFonts w:ascii="Arial" w:cs="Arial" w:eastAsia="Arial" w:hAnsi="Arial"/>
          <w:sz w:val="17"/>
          <w:szCs w:val="17"/>
          <w:color w:val="auto"/>
        </w:rPr>
        <w:t>. Each Control Agreement with respect to a Controlled Deposit Account shall require that, during a Dominion Trigger Period, the Controlled Account Bank transfer all cash receipts and other collections by ACH or wire transfer no less frequently than daily (and whether or not there are then any outstanding Obligations) to the concentration account maintained by the Administrative Agent at BMO (the “</w:t>
      </w:r>
      <w:r>
        <w:rPr>
          <w:rFonts w:ascii="Arial" w:cs="Arial" w:eastAsia="Arial" w:hAnsi="Arial"/>
          <w:sz w:val="17"/>
          <w:szCs w:val="17"/>
          <w:u w:val="single" w:color="auto"/>
          <w:color w:val="auto"/>
        </w:rPr>
        <w:t>Concentration Account</w:t>
      </w:r>
      <w:r>
        <w:rPr>
          <w:rFonts w:ascii="Arial" w:cs="Arial" w:eastAsia="Arial" w:hAnsi="Arial"/>
          <w:sz w:val="17"/>
          <w:szCs w:val="17"/>
          <w:color w:val="auto"/>
        </w:rPr>
        <w:t xml:space="preserve">”), and if separate concentration accounts are maintained at the direction of the Administrative Agent for Dollars and another for Canadian Dollars, then such receipts and collections of same currency shall be directed into the corresponding Concentration Account for such currency (and for the avoidance of doubt, each such account shall constitute a Concentration Account 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during a Dominion Trigger Period, any Bonded AR Proceeds held in a Controlled Deposit Account shall not be required to be automatically swept into the Concentration Account. The Concentration Account shall at all times be under the sole dominion and control of the Administrative Agent. The Loan Parties hereby acknowledge and agree that (i) the Loan Parties have no right of withdrawal from the Concentration Account, (ii) the funds on deposit in the Concentration Account shall at all times be collateral security for all of the Obligations and (iii) the funds on deposit in the Concentration Account shall be applied as provided in </w:t>
      </w:r>
      <w:r>
        <w:rPr>
          <w:rFonts w:ascii="Arial" w:cs="Arial" w:eastAsia="Arial" w:hAnsi="Arial"/>
          <w:sz w:val="17"/>
          <w:szCs w:val="17"/>
          <w:u w:val="single" w:color="auto"/>
          <w:color w:val="auto"/>
        </w:rPr>
        <w:t>Section 4.04(c)</w:t>
      </w:r>
      <w:r>
        <w:rPr>
          <w:rFonts w:ascii="Arial" w:cs="Arial" w:eastAsia="Arial" w:hAnsi="Arial"/>
          <w:sz w:val="17"/>
          <w:szCs w:val="17"/>
          <w:color w:val="auto"/>
        </w:rPr>
        <w:t xml:space="preserve"> below. If, notwithstanding the provisions of this </w:t>
      </w:r>
      <w:r>
        <w:rPr>
          <w:rFonts w:ascii="Arial" w:cs="Arial" w:eastAsia="Arial" w:hAnsi="Arial"/>
          <w:sz w:val="17"/>
          <w:szCs w:val="17"/>
          <w:u w:val="single" w:color="auto"/>
          <w:color w:val="auto"/>
        </w:rPr>
        <w:t>Section 4.04</w:t>
      </w:r>
      <w:r>
        <w:rPr>
          <w:rFonts w:ascii="Arial" w:cs="Arial" w:eastAsia="Arial" w:hAnsi="Arial"/>
          <w:sz w:val="17"/>
          <w:szCs w:val="17"/>
          <w:color w:val="auto"/>
        </w:rPr>
        <w:t>, any Loan Party receives or otherwise has dominion and control of any such proceeds or collections described above, such proceeds and collections shall be held in trust by such Loan Party for the Administrative Agent, shall not be commingled with any of such Loan Party’s other funds or deposited in any account of such Loan Party and shall, not later than the Business Day after receipt thereof, be deposited directly into a Controlled Deposit Account, or during a Dominion Trigger Period (except with respect to Bonded AR Proceeds), the Concentration Account, or dealt with in such other fashion as such Loan Party may be instructed by the Administrative Agent.</w:t>
      </w:r>
    </w:p>
    <w:p>
      <w:pPr>
        <w:spacing w:after="0" w:line="167" w:lineRule="exact"/>
        <w:rPr>
          <w:sz w:val="20"/>
          <w:szCs w:val="20"/>
          <w:color w:val="auto"/>
        </w:rPr>
      </w:pPr>
    </w:p>
    <w:p>
      <w:pPr>
        <w:jc w:val="both"/>
        <w:ind w:firstLine="629"/>
        <w:spacing w:after="0" w:line="262" w:lineRule="auto"/>
        <w:rPr>
          <w:sz w:val="20"/>
          <w:szCs w:val="20"/>
          <w:color w:val="auto"/>
        </w:rPr>
      </w:pPr>
      <w:r>
        <w:rPr>
          <w:rFonts w:ascii="Arial" w:cs="Arial" w:eastAsia="Arial" w:hAnsi="Arial"/>
          <w:sz w:val="18"/>
          <w:szCs w:val="18"/>
          <w:color w:val="auto"/>
        </w:rPr>
        <w:t>Notwithstanding the foregoing, except as expressly provided in this paragraph, any proceeds or collections of Accounts related to Bonded Job Sites that constitute trust funds or funds in which another Person has a Lien (having priority over the Administrative Agent’s Lien) with respect thereto (collectively, the “</w:t>
      </w:r>
      <w:r>
        <w:rPr>
          <w:rFonts w:ascii="Arial" w:cs="Arial" w:eastAsia="Arial" w:hAnsi="Arial"/>
          <w:sz w:val="18"/>
          <w:szCs w:val="18"/>
          <w:u w:val="single" w:color="auto"/>
          <w:color w:val="auto"/>
        </w:rPr>
        <w:t>Bonded AR Proceeds</w:t>
      </w:r>
      <w:r>
        <w:rPr>
          <w:rFonts w:ascii="Arial" w:cs="Arial" w:eastAsia="Arial" w:hAnsi="Arial"/>
          <w:sz w:val="18"/>
          <w:szCs w:val="18"/>
          <w:color w:val="auto"/>
        </w:rPr>
        <w:t>”) shall not be deposited into the Concentration Account at any time and during a Dominion Trigger Period, shall be deposited directly into a segregated Controlled Deposit Account (and in any event, not a Qualified Account) and not commingled with other non-Bonded AR Proceeds or if applicable, an Excluded Deposit Account. At all times, the Company shall use and apply the Bonded AR Proceeds in accordance with the General Indemnity Agreement. If during a Dominion Trigger Period, the final completion of the project related to such Bonded Job Site (so long as no default has occurred at the time of such final completion with respect to the Bonding Obligations related to such Bonded Job Site) occurs, then the Bonded AR Proceeds for such Bonded Job Site need not be deposited into, or continue to be held in, a segregated Controlled Deposit Account and instead, shall be directly deposited into (or if already held in such segregated Controlled Deposit Account, promptly transferred to) the Concentration Account. If an amendment is duly entered into with respect to the General Indemnity Agreement at any time after the Closing Date but before the occurrence of a Dominion Trigger Period (and such amendment is in form and scope acceptable to the Administrative Agent), then all times before the point of time at which such amendment requires any Bonded AR Proceeds to be held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112</w:t>
      </w:r>
    </w:p>
    <w:p>
      <w:pPr>
        <w:sectPr>
          <w:pgSz w:w="11900" w:h="16838" w:orient="portrait"/>
          <w:cols w:equalWidth="0" w:num="1">
            <w:col w:w="11240"/>
          </w:cols>
          <w:pgMar w:left="320" w:top="1382" w:right="339" w:bottom="1440" w:gutter="0" w:footer="0" w:header="0"/>
        </w:sectPr>
      </w:pPr>
    </w:p>
    <w:bookmarkStart w:id="231" w:name="page232"/>
    <w:bookmarkEnd w:id="231"/>
    <w:p>
      <w:pPr>
        <w:jc w:val="both"/>
        <w:spacing w:after="0" w:line="250" w:lineRule="auto"/>
        <w:rPr>
          <w:sz w:val="20"/>
          <w:szCs w:val="20"/>
          <w:color w:val="auto"/>
        </w:rPr>
      </w:pPr>
      <w:r>
        <w:rPr>
          <w:rFonts w:ascii="Arial" w:cs="Arial" w:eastAsia="Arial" w:hAnsi="Arial"/>
          <w:sz w:val="19"/>
          <w:szCs w:val="19"/>
          <w:color w:val="auto"/>
        </w:rPr>
        <w:t>in trust, such Bonded AR Proceeds covered by such amendment need not be deposited into, or continue to be held in, a segregated Controlled Deposit Account and may be deposited into another Controlled Deposit Account, unless a Dominion Trigger Period is in effect, in which case they shall be deposited into the Concentration Account. If any Bonded AR Proceeds are deposited or otherwise transferred into the Concentration Account or any Qualified Account in violation of this paragraph, in no event shall the Administrative Agent be required to apply such Bonded AR Proceeds against the outstanding Obligations nor shall such Bonded AR Proceeds otherwise entitle any Borrower to any additional Availability hereunder.</w:t>
      </w:r>
    </w:p>
    <w:p>
      <w:pPr>
        <w:spacing w:after="0" w:line="182" w:lineRule="exact"/>
        <w:rPr>
          <w:sz w:val="20"/>
          <w:szCs w:val="20"/>
          <w:color w:val="auto"/>
        </w:rPr>
      </w:pPr>
    </w:p>
    <w:p>
      <w:pPr>
        <w:jc w:val="both"/>
        <w:ind w:firstLine="634"/>
        <w:spacing w:after="0" w:line="261" w:lineRule="auto"/>
        <w:tabs>
          <w:tab w:leader="none" w:pos="1249" w:val="left"/>
        </w:tabs>
        <w:numPr>
          <w:ilvl w:val="0"/>
          <w:numId w:val="206"/>
        </w:numPr>
        <w:rPr>
          <w:rFonts w:ascii="Arial" w:cs="Arial" w:eastAsia="Arial" w:hAnsi="Arial"/>
          <w:sz w:val="18"/>
          <w:szCs w:val="18"/>
          <w:color w:val="auto"/>
        </w:rPr>
      </w:pPr>
      <w:r>
        <w:rPr>
          <w:rFonts w:ascii="Arial" w:cs="Arial" w:eastAsia="Arial" w:hAnsi="Arial"/>
          <w:sz w:val="18"/>
          <w:szCs w:val="18"/>
          <w:u w:val="single" w:color="auto"/>
          <w:color w:val="auto"/>
        </w:rPr>
        <w:t>Application of Funds in the Concentration Account</w:t>
      </w:r>
      <w:r>
        <w:rPr>
          <w:rFonts w:ascii="Arial" w:cs="Arial" w:eastAsia="Arial" w:hAnsi="Arial"/>
          <w:sz w:val="18"/>
          <w:szCs w:val="18"/>
          <w:color w:val="auto"/>
        </w:rPr>
        <w:t xml:space="preserve">. All funds received in the Concentration Account in immediately available funds shall, subject to </w:t>
      </w:r>
      <w:r>
        <w:rPr>
          <w:rFonts w:ascii="Arial" w:cs="Arial" w:eastAsia="Arial" w:hAnsi="Arial"/>
          <w:sz w:val="18"/>
          <w:szCs w:val="18"/>
          <w:u w:val="single" w:color="auto"/>
          <w:color w:val="auto"/>
        </w:rPr>
        <w:t>Section 9.03</w:t>
      </w:r>
      <w:r>
        <w:rPr>
          <w:rFonts w:ascii="Arial" w:cs="Arial" w:eastAsia="Arial" w:hAnsi="Arial"/>
          <w:sz w:val="18"/>
          <w:szCs w:val="18"/>
          <w:color w:val="auto"/>
        </w:rPr>
        <w:t xml:space="preserve">, be applied on a daily basis to the following Obligations (with the funds received in a particular currency being applied to those Obligations at each level that are outstanding and denominated in the same currency before being applied the Obligations at such level that are outstanding and denominated in a different currency): </w:t>
      </w:r>
      <w:r>
        <w:rPr>
          <w:rFonts w:ascii="Arial" w:cs="Arial" w:eastAsia="Arial" w:hAnsi="Arial"/>
          <w:sz w:val="18"/>
          <w:szCs w:val="18"/>
          <w:u w:val="single" w:color="auto"/>
          <w:color w:val="auto"/>
        </w:rPr>
        <w:t>first</w:t>
      </w:r>
      <w:r>
        <w:rPr>
          <w:rFonts w:ascii="Arial" w:cs="Arial" w:eastAsia="Arial" w:hAnsi="Arial"/>
          <w:sz w:val="18"/>
          <w:szCs w:val="18"/>
          <w:color w:val="auto"/>
        </w:rPr>
        <w:t xml:space="preserve">, to the Letter of Credit Borrowings and the Swing Line Loans, </w:t>
      </w:r>
      <w:r>
        <w:rPr>
          <w:rFonts w:ascii="Arial" w:cs="Arial" w:eastAsia="Arial" w:hAnsi="Arial"/>
          <w:sz w:val="18"/>
          <w:szCs w:val="18"/>
          <w:u w:val="single" w:color="auto"/>
          <w:color w:val="auto"/>
        </w:rPr>
        <w:t>second</w:t>
      </w:r>
      <w:r>
        <w:rPr>
          <w:rFonts w:ascii="Arial" w:cs="Arial" w:eastAsia="Arial" w:hAnsi="Arial"/>
          <w:sz w:val="18"/>
          <w:szCs w:val="18"/>
          <w:color w:val="auto"/>
        </w:rPr>
        <w:t xml:space="preserve">, to the outstanding Revolving Credit Loans and </w:t>
      </w:r>
      <w:r>
        <w:rPr>
          <w:rFonts w:ascii="Arial" w:cs="Arial" w:eastAsia="Arial" w:hAnsi="Arial"/>
          <w:sz w:val="18"/>
          <w:szCs w:val="18"/>
          <w:u w:val="single" w:color="auto"/>
          <w:color w:val="auto"/>
        </w:rPr>
        <w:t>third</w:t>
      </w:r>
      <w:r>
        <w:rPr>
          <w:rFonts w:ascii="Arial" w:cs="Arial" w:eastAsia="Arial" w:hAnsi="Arial"/>
          <w:sz w:val="18"/>
          <w:szCs w:val="18"/>
          <w:color w:val="auto"/>
        </w:rPr>
        <w:t>, to any fees, expenses, costs or reimbursement obligations due and owing to the Administrative Agent or the Lenders. All funds received in the Concentration Account that are not immediately available funds (checks, drafts and similar forms of payment) shall be deemed applied by Administrative Agent on account of the Obligations (subject to final payment of such items) in accordance with the foregoing sentence on the first Business Day after receipt by Administrative Agent of such items in Administrative Agent’s account located in Chicago, Illinois. If as the result of such application of funds a credit balance exists in the Loan Account, such credit balance shall not accrue interest in favor of Borrowers but shall, so long as no Default or Event of Default then exists, be disbursed to Borrowers or otherwise at Borrower Agent’s direction, upon Borrower Agent’s request. Upon and during the continuance of any Event of Default, the Administrative Agent may, at its option, offset such credit balance against any of the Obligations or hold such credit balance as Collateral for the Obligations. Borrowers shall give the Administrative Agent prompt written notice of the deposit of any non-Collateral proceeds (or other proceeds in which a third-party has a superior interest to the Administrative Agent’s Lien) into the Concentration Account and may elect to establish an additional Availability Reserve equal to the amount of any such proceeds.</w:t>
      </w:r>
    </w:p>
    <w:p>
      <w:pPr>
        <w:spacing w:after="0" w:line="177" w:lineRule="exact"/>
        <w:rPr>
          <w:rFonts w:ascii="Arial" w:cs="Arial" w:eastAsia="Arial" w:hAnsi="Arial"/>
          <w:sz w:val="18"/>
          <w:szCs w:val="18"/>
          <w:color w:val="auto"/>
        </w:rPr>
      </w:pPr>
    </w:p>
    <w:p>
      <w:pPr>
        <w:jc w:val="both"/>
        <w:ind w:firstLine="634"/>
        <w:spacing w:after="0" w:line="262" w:lineRule="auto"/>
        <w:tabs>
          <w:tab w:leader="none" w:pos="1247" w:val="left"/>
        </w:tabs>
        <w:numPr>
          <w:ilvl w:val="0"/>
          <w:numId w:val="206"/>
        </w:numPr>
        <w:rPr>
          <w:rFonts w:ascii="Arial" w:cs="Arial" w:eastAsia="Arial" w:hAnsi="Arial"/>
          <w:sz w:val="18"/>
          <w:szCs w:val="18"/>
          <w:color w:val="auto"/>
        </w:rPr>
      </w:pPr>
      <w:r>
        <w:rPr>
          <w:rFonts w:ascii="Arial" w:cs="Arial" w:eastAsia="Arial" w:hAnsi="Arial"/>
          <w:sz w:val="18"/>
          <w:szCs w:val="18"/>
          <w:u w:val="single" w:color="auto"/>
          <w:color w:val="auto"/>
        </w:rPr>
        <w:t>Controlled Securities Accounts</w:t>
      </w:r>
      <w:r>
        <w:rPr>
          <w:rFonts w:ascii="Arial" w:cs="Arial" w:eastAsia="Arial" w:hAnsi="Arial"/>
          <w:sz w:val="18"/>
          <w:szCs w:val="18"/>
          <w:color w:val="auto"/>
        </w:rPr>
        <w:t xml:space="preserve">. On or prior to the Closing Date, enter into a Control Agreement with respect to each Securities Account and Commodity Account listed on part (b) of </w:t>
      </w:r>
      <w:r>
        <w:rPr>
          <w:rFonts w:ascii="Arial" w:cs="Arial" w:eastAsia="Arial" w:hAnsi="Arial"/>
          <w:sz w:val="18"/>
          <w:szCs w:val="18"/>
          <w:u w:val="single" w:color="auto"/>
          <w:color w:val="auto"/>
        </w:rPr>
        <w:t>Schedule 6.19</w:t>
      </w:r>
      <w:r>
        <w:rPr>
          <w:rFonts w:ascii="Arial" w:cs="Arial" w:eastAsia="Arial" w:hAnsi="Arial"/>
          <w:sz w:val="18"/>
          <w:szCs w:val="18"/>
          <w:color w:val="auto"/>
        </w:rPr>
        <w:t>, excluding that certain existing Bank of America Securities, Inc. account, so long as with respect to such Securities Account (the “</w:t>
      </w:r>
      <w:r>
        <w:rPr>
          <w:rFonts w:ascii="Arial" w:cs="Arial" w:eastAsia="Arial" w:hAnsi="Arial"/>
          <w:sz w:val="18"/>
          <w:szCs w:val="18"/>
          <w:u w:val="single" w:color="auto"/>
          <w:color w:val="auto"/>
        </w:rPr>
        <w:t>Equity Repurchase Program Securities Account</w:t>
      </w:r>
      <w:r>
        <w:rPr>
          <w:rFonts w:ascii="Arial" w:cs="Arial" w:eastAsia="Arial" w:hAnsi="Arial"/>
          <w:sz w:val="18"/>
          <w:szCs w:val="18"/>
          <w:color w:val="auto"/>
        </w:rPr>
        <w:t xml:space="preserve">”): (i) such Securities Account is used solely and exclusively to hold (1) cash proceeds from Restricted Payments permitted to be made pursuant to </w:t>
      </w:r>
      <w:r>
        <w:rPr>
          <w:rFonts w:ascii="Arial" w:cs="Arial" w:eastAsia="Arial" w:hAnsi="Arial"/>
          <w:sz w:val="18"/>
          <w:szCs w:val="18"/>
          <w:u w:val="single" w:color="auto"/>
          <w:color w:val="auto"/>
        </w:rPr>
        <w:t>Section 8.06(c</w:t>
      </w:r>
      <w:r>
        <w:rPr>
          <w:rFonts w:ascii="Arial" w:cs="Arial" w:eastAsia="Arial" w:hAnsi="Arial"/>
          <w:sz w:val="18"/>
          <w:szCs w:val="18"/>
          <w:color w:val="auto"/>
        </w:rPr>
        <w:t xml:space="preserve">) for the repurchase of the common Equity Interests of Matrix,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cash may be deposited from and after the Closing Date only substantially contemporaneously with the making of any repurchase (and if a repurchase is not consummated before the occurrence of an Event of Default, then any remaining cash in excess of $100,000 shall be transferred to a Controlled Deposit Account as provided in </w:t>
      </w:r>
      <w:r>
        <w:rPr>
          <w:rFonts w:ascii="Arial" w:cs="Arial" w:eastAsia="Arial" w:hAnsi="Arial"/>
          <w:sz w:val="18"/>
          <w:szCs w:val="18"/>
          <w:u w:val="single" w:color="auto"/>
          <w:color w:val="auto"/>
        </w:rPr>
        <w:t>Section 4.04</w:t>
      </w:r>
      <w:r>
        <w:rPr>
          <w:rFonts w:ascii="Arial" w:cs="Arial" w:eastAsia="Arial" w:hAnsi="Arial"/>
          <w:sz w:val="18"/>
          <w:szCs w:val="18"/>
          <w:color w:val="auto"/>
        </w:rPr>
        <w:t xml:space="preserve">), (2) the common Equity Interests of Matrix repurchased before the Closing Date or repurchased thereafter with the proceeds of such cash proceeds and (3) the proceeds from any subsequent re-sale of such Equity Interests,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during the continuance of any Event of Default, all such proceeds then remaining in such Securities Account, along with all future proceeds, from any subsequent re-sale of such Equity Interests shall be delivered to a Controlled Deposit Account and applied as provided in </w:t>
      </w:r>
      <w:r>
        <w:rPr>
          <w:rFonts w:ascii="Arial" w:cs="Arial" w:eastAsia="Arial" w:hAnsi="Arial"/>
          <w:sz w:val="18"/>
          <w:szCs w:val="18"/>
          <w:u w:val="single" w:color="auto"/>
          <w:color w:val="auto"/>
        </w:rPr>
        <w:t>Section 4.04</w:t>
      </w:r>
      <w:r>
        <w:rPr>
          <w:rFonts w:ascii="Arial" w:cs="Arial" w:eastAsia="Arial" w:hAnsi="Arial"/>
          <w:sz w:val="18"/>
          <w:szCs w:val="18"/>
          <w:color w:val="auto"/>
        </w:rPr>
        <w:t>. The Borrower Agent shall cause account statements and/or other reports from the applicable broker, financial institution or other financial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113</w:t>
      </w:r>
    </w:p>
    <w:p>
      <w:pPr>
        <w:sectPr>
          <w:pgSz w:w="11900" w:h="16838" w:orient="portrait"/>
          <w:cols w:equalWidth="0" w:num="1">
            <w:col w:w="11240"/>
          </w:cols>
          <w:pgMar w:left="320" w:top="1381" w:right="339" w:bottom="1440" w:gutter="0" w:footer="0" w:header="0"/>
        </w:sectPr>
      </w:pPr>
    </w:p>
    <w:bookmarkStart w:id="232" w:name="page233"/>
    <w:bookmarkEnd w:id="232"/>
    <w:p>
      <w:pPr>
        <w:jc w:val="both"/>
        <w:spacing w:after="0" w:line="274" w:lineRule="auto"/>
        <w:rPr>
          <w:sz w:val="20"/>
          <w:szCs w:val="20"/>
          <w:color w:val="auto"/>
        </w:rPr>
      </w:pPr>
      <w:r>
        <w:rPr>
          <w:rFonts w:ascii="Arial" w:cs="Arial" w:eastAsia="Arial" w:hAnsi="Arial"/>
          <w:sz w:val="19"/>
          <w:szCs w:val="19"/>
          <w:color w:val="auto"/>
        </w:rPr>
        <w:t>intermediary to be delivered to the Administrative Agent not less often than monthly, accurately setting forth all assets, including securities entitlements, financial assets or other amounts, held in each Securities Account or Commodity Account.</w:t>
      </w:r>
    </w:p>
    <w:p>
      <w:pPr>
        <w:spacing w:after="0" w:line="151" w:lineRule="exact"/>
        <w:rPr>
          <w:sz w:val="20"/>
          <w:szCs w:val="20"/>
          <w:color w:val="auto"/>
        </w:rPr>
      </w:pPr>
    </w:p>
    <w:p>
      <w:pPr>
        <w:jc w:val="both"/>
        <w:ind w:firstLine="629"/>
        <w:spacing w:after="0" w:line="278" w:lineRule="auto"/>
        <w:rPr>
          <w:sz w:val="20"/>
          <w:szCs w:val="20"/>
          <w:color w:val="auto"/>
        </w:rPr>
      </w:pPr>
      <w:r>
        <w:rPr>
          <w:rFonts w:ascii="Arial" w:cs="Arial" w:eastAsia="Arial" w:hAnsi="Arial"/>
          <w:sz w:val="17"/>
          <w:szCs w:val="17"/>
          <w:b w:val="1"/>
          <w:bCs w:val="1"/>
          <w:color w:val="auto"/>
        </w:rPr>
        <w:t>4.5 Information Regarding Collateral</w:t>
      </w:r>
      <w:r>
        <w:rPr>
          <w:rFonts w:ascii="Arial" w:cs="Arial" w:eastAsia="Arial" w:hAnsi="Arial"/>
          <w:sz w:val="17"/>
          <w:szCs w:val="17"/>
          <w:color w:val="auto"/>
        </w:rPr>
        <w:t>. Each Borrower represents, warrants and covenants that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Schedule 4.05</w:t>
      </w:r>
      <w:r>
        <w:rPr>
          <w:rFonts w:ascii="Arial" w:cs="Arial" w:eastAsia="Arial" w:hAnsi="Arial"/>
          <w:sz w:val="17"/>
          <w:szCs w:val="17"/>
          <w:b w:val="1"/>
          <w:bCs w:val="1"/>
          <w:color w:val="auto"/>
        </w:rPr>
        <w:t xml:space="preserve"> </w:t>
      </w:r>
      <w:r>
        <w:rPr>
          <w:rFonts w:ascii="Arial" w:cs="Arial" w:eastAsia="Arial" w:hAnsi="Arial"/>
          <w:sz w:val="17"/>
          <w:szCs w:val="17"/>
          <w:color w:val="auto"/>
        </w:rPr>
        <w:t>sets forth as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Closing Date, (a) the exact legal name, jurisdiction of formation, organizational identification number, chief executive office, registered office, head office and any trade name or other trade style of each Loan Party and each of its Subsidiaries, (b) each Person that has effected any merger, amalgamation or consolidation with a Loan Party or sold, contributed or transferred to a Loan Party any property constituting Collateral at any time since, in each case, September 9, 2016 (excluding Persons making sales in the ordinary course of their businesses to a Loan Party of property constituting Inventory in the hands of such seller), (c) any prior legal name, jurisdiction of formation, organizational identification number, trade name or other trade style or location of the chief executive office, registered office or head office of each Loan Party at any time since September 9, 2016, and (d) each location within the United States or Canada in which material goods constituting Collateral are located as of the Closing Date (together with the name of each owner of the property located at such address if not the applicable Loan Party, a summary description of the relationship between the applicable Loan Party and such Person and the maximum approximate book or market value of the Collateral held or to be held at such location). The Company shall not change, and shall not permit any other Loan Party to change, its name, jurisdiction of formation (whether by reincorporation, merger, amalgamation or otherwise), the location of its chief executive office, registered office, head office or any location specified in clause (d) of the immediately preceding sentence, or use or permit any other Loan Party to use, any additional trade name or other trade style, except upon giving not less than thirty (30) days’ prior written notice to the Administrative Agent and taking or causing to be taken all such action at Borrowers’ or such other Loan Parties’ expense as may be reasonably requested by the Administrative Agent to perfect or maintain the perfection and priority of the Lien of the Administrative Agent in the Collateral.</w:t>
      </w:r>
    </w:p>
    <w:p>
      <w:pPr>
        <w:spacing w:after="0" w:line="154" w:lineRule="exact"/>
        <w:rPr>
          <w:sz w:val="20"/>
          <w:szCs w:val="20"/>
          <w:color w:val="auto"/>
        </w:rPr>
      </w:pPr>
    </w:p>
    <w:p>
      <w:pPr>
        <w:jc w:val="center"/>
        <w:ind w:right="180"/>
        <w:spacing w:after="0"/>
        <w:rPr>
          <w:sz w:val="20"/>
          <w:szCs w:val="20"/>
          <w:color w:val="auto"/>
        </w:rPr>
      </w:pPr>
      <w:r>
        <w:rPr>
          <w:rFonts w:ascii="Arial" w:cs="Arial" w:eastAsia="Arial" w:hAnsi="Arial"/>
          <w:sz w:val="19"/>
          <w:szCs w:val="19"/>
          <w:b w:val="1"/>
          <w:bCs w:val="1"/>
          <w:color w:val="auto"/>
        </w:rPr>
        <w:t>ARTICLE V</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CONDITIONS PRECEDENT TO CREDIT EXTENSIONS</w:t>
      </w:r>
    </w:p>
    <w:p>
      <w:pPr>
        <w:spacing w:after="0" w:line="192" w:lineRule="exact"/>
        <w:rPr>
          <w:sz w:val="20"/>
          <w:szCs w:val="20"/>
          <w:color w:val="auto"/>
        </w:rPr>
      </w:pPr>
    </w:p>
    <w:p>
      <w:pPr>
        <w:jc w:val="both"/>
        <w:ind w:firstLine="629"/>
        <w:spacing w:after="0" w:line="280" w:lineRule="auto"/>
        <w:rPr>
          <w:sz w:val="20"/>
          <w:szCs w:val="20"/>
          <w:color w:val="auto"/>
        </w:rPr>
      </w:pPr>
      <w:r>
        <w:rPr>
          <w:rFonts w:ascii="Arial" w:cs="Arial" w:eastAsia="Arial" w:hAnsi="Arial"/>
          <w:sz w:val="19"/>
          <w:szCs w:val="19"/>
          <w:b w:val="1"/>
          <w:bCs w:val="1"/>
          <w:color w:val="auto"/>
        </w:rPr>
        <w:t>5.1 Conditions of Initial Credit Extension</w:t>
      </w:r>
      <w:r>
        <w:rPr>
          <w:rFonts w:ascii="Arial" w:cs="Arial" w:eastAsia="Arial" w:hAnsi="Arial"/>
          <w:sz w:val="19"/>
          <w:szCs w:val="19"/>
          <w:color w:val="auto"/>
        </w:rPr>
        <w:t>. The obligation of each Lender and the Letter of Credit Issuer to make any initial Credit</w:t>
      </w:r>
      <w:r>
        <w:rPr>
          <w:rFonts w:ascii="Arial" w:cs="Arial" w:eastAsia="Arial" w:hAnsi="Arial"/>
          <w:sz w:val="19"/>
          <w:szCs w:val="19"/>
          <w:b w:val="1"/>
          <w:bCs w:val="1"/>
          <w:color w:val="auto"/>
        </w:rPr>
        <w:t xml:space="preserve"> </w:t>
      </w:r>
      <w:r>
        <w:rPr>
          <w:rFonts w:ascii="Arial" w:cs="Arial" w:eastAsia="Arial" w:hAnsi="Arial"/>
          <w:sz w:val="19"/>
          <w:szCs w:val="19"/>
          <w:color w:val="auto"/>
        </w:rPr>
        <w:t>Extension hereunder is subject to satisfaction of the following conditions precedent:</w:t>
      </w:r>
    </w:p>
    <w:p>
      <w:pPr>
        <w:spacing w:after="0" w:line="152" w:lineRule="exact"/>
        <w:rPr>
          <w:sz w:val="20"/>
          <w:szCs w:val="20"/>
          <w:color w:val="auto"/>
        </w:rPr>
      </w:pPr>
    </w:p>
    <w:p>
      <w:pPr>
        <w:jc w:val="both"/>
        <w:ind w:firstLine="634"/>
        <w:spacing w:after="0" w:line="254" w:lineRule="auto"/>
        <w:tabs>
          <w:tab w:leader="none" w:pos="1249" w:val="left"/>
        </w:tabs>
        <w:numPr>
          <w:ilvl w:val="0"/>
          <w:numId w:val="207"/>
        </w:numPr>
        <w:rPr>
          <w:rFonts w:ascii="Arial" w:cs="Arial" w:eastAsia="Arial" w:hAnsi="Arial"/>
          <w:sz w:val="19"/>
          <w:szCs w:val="19"/>
          <w:color w:val="auto"/>
        </w:rPr>
      </w:pPr>
      <w:r>
        <w:rPr>
          <w:rFonts w:ascii="Arial" w:cs="Arial" w:eastAsia="Arial" w:hAnsi="Arial"/>
          <w:sz w:val="19"/>
          <w:szCs w:val="19"/>
          <w:color w:val="auto"/>
        </w:rPr>
        <w:t>The Administrative Agent’s receipt of the following items (except those items that are expressly permitted to be delivered after the Closing Date pursuant to the Post-Closing Agreement), each properly executed by a Responsible Officer of the applicable Loan Party, each dated as of the Closing Date (or, in the case of certificates of governmental officials, a recent date before the Closing Date) and each in form and substance satisfactory to the Administrative Agent and its legal counsel:</w:t>
      </w:r>
    </w:p>
    <w:p>
      <w:pPr>
        <w:spacing w:after="0" w:line="176" w:lineRule="exact"/>
        <w:rPr>
          <w:rFonts w:ascii="Arial" w:cs="Arial" w:eastAsia="Arial" w:hAnsi="Arial"/>
          <w:sz w:val="19"/>
          <w:szCs w:val="19"/>
          <w:color w:val="auto"/>
        </w:rPr>
      </w:pPr>
    </w:p>
    <w:p>
      <w:pPr>
        <w:ind w:left="1900" w:hanging="636"/>
        <w:spacing w:after="0"/>
        <w:tabs>
          <w:tab w:leader="none" w:pos="1900" w:val="left"/>
        </w:tabs>
        <w:numPr>
          <w:ilvl w:val="1"/>
          <w:numId w:val="207"/>
        </w:numPr>
        <w:rPr>
          <w:rFonts w:ascii="Arial" w:cs="Arial" w:eastAsia="Arial" w:hAnsi="Arial"/>
          <w:sz w:val="19"/>
          <w:szCs w:val="19"/>
          <w:color w:val="auto"/>
        </w:rPr>
      </w:pPr>
      <w:r>
        <w:rPr>
          <w:rFonts w:ascii="Arial" w:cs="Arial" w:eastAsia="Arial" w:hAnsi="Arial"/>
          <w:sz w:val="19"/>
          <w:szCs w:val="19"/>
          <w:color w:val="auto"/>
        </w:rPr>
        <w:t>executed counterparts of this Agreement and each of the Security Instruments;</w:t>
      </w:r>
    </w:p>
    <w:p>
      <w:pPr>
        <w:spacing w:after="0" w:line="214" w:lineRule="exact"/>
        <w:rPr>
          <w:rFonts w:ascii="Arial" w:cs="Arial" w:eastAsia="Arial" w:hAnsi="Arial"/>
          <w:sz w:val="19"/>
          <w:szCs w:val="19"/>
          <w:color w:val="auto"/>
        </w:rPr>
      </w:pPr>
    </w:p>
    <w:p>
      <w:pPr>
        <w:ind w:left="1900" w:hanging="636"/>
        <w:spacing w:after="0"/>
        <w:tabs>
          <w:tab w:leader="none" w:pos="1900" w:val="left"/>
        </w:tabs>
        <w:numPr>
          <w:ilvl w:val="1"/>
          <w:numId w:val="207"/>
        </w:numPr>
        <w:rPr>
          <w:rFonts w:ascii="Arial" w:cs="Arial" w:eastAsia="Arial" w:hAnsi="Arial"/>
          <w:sz w:val="18"/>
          <w:szCs w:val="18"/>
          <w:color w:val="auto"/>
        </w:rPr>
      </w:pPr>
      <w:r>
        <w:rPr>
          <w:rFonts w:ascii="Arial" w:cs="Arial" w:eastAsia="Arial" w:hAnsi="Arial"/>
          <w:sz w:val="18"/>
          <w:szCs w:val="18"/>
          <w:color w:val="auto"/>
        </w:rPr>
        <w:t>Revolving Credit Loan Notes executed by the Borrowers in favor of each Lender requesting a Revolving Credit Loan</w:t>
      </w:r>
    </w:p>
    <w:p>
      <w:pPr>
        <w:spacing w:after="0" w:line="31"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9"/>
          <w:szCs w:val="19"/>
          <w:color w:val="auto"/>
        </w:rPr>
        <w:t>Note;</w:t>
      </w:r>
    </w:p>
    <w:p>
      <w:pPr>
        <w:spacing w:after="0" w:line="198" w:lineRule="exact"/>
        <w:rPr>
          <w:rFonts w:ascii="Arial" w:cs="Arial" w:eastAsia="Arial" w:hAnsi="Arial"/>
          <w:sz w:val="18"/>
          <w:szCs w:val="18"/>
          <w:color w:val="auto"/>
        </w:rPr>
      </w:pPr>
    </w:p>
    <w:p>
      <w:pPr>
        <w:jc w:val="both"/>
        <w:ind w:left="640" w:firstLine="624"/>
        <w:spacing w:after="0" w:line="259" w:lineRule="auto"/>
        <w:tabs>
          <w:tab w:leader="none" w:pos="1898" w:val="left"/>
        </w:tabs>
        <w:numPr>
          <w:ilvl w:val="1"/>
          <w:numId w:val="207"/>
        </w:numPr>
        <w:rPr>
          <w:rFonts w:ascii="Arial" w:cs="Arial" w:eastAsia="Arial" w:hAnsi="Arial"/>
          <w:sz w:val="19"/>
          <w:szCs w:val="19"/>
          <w:color w:val="auto"/>
        </w:rPr>
      </w:pPr>
      <w:r>
        <w:rPr>
          <w:rFonts w:ascii="Arial" w:cs="Arial" w:eastAsia="Arial" w:hAnsi="Arial"/>
          <w:sz w:val="19"/>
          <w:szCs w:val="19"/>
          <w:color w:val="auto"/>
        </w:rPr>
        <w:t>a Secretary’s certificate for each Loan Party certifying as to (A) true and complete copies of all Organizational Documents of such Loan Party attached thereto, (B) resolutions of the Board of Directors or other organizational action authorizing execution,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114</w:t>
      </w:r>
    </w:p>
    <w:p>
      <w:pPr>
        <w:sectPr>
          <w:pgSz w:w="11900" w:h="16838" w:orient="portrait"/>
          <w:cols w:equalWidth="0" w:num="1">
            <w:col w:w="11240"/>
          </w:cols>
          <w:pgMar w:left="320" w:top="1382" w:right="339" w:bottom="1440" w:gutter="0" w:footer="0" w:header="0"/>
        </w:sectPr>
      </w:pPr>
    </w:p>
    <w:bookmarkStart w:id="233" w:name="page234"/>
    <w:bookmarkEnd w:id="233"/>
    <w:p>
      <w:pPr>
        <w:jc w:val="both"/>
        <w:spacing w:after="0" w:line="280" w:lineRule="auto"/>
        <w:rPr>
          <w:sz w:val="20"/>
          <w:szCs w:val="20"/>
          <w:color w:val="auto"/>
        </w:rPr>
      </w:pPr>
      <w:r>
        <w:rPr>
          <w:rFonts w:ascii="Arial" w:cs="Arial" w:eastAsia="Arial" w:hAnsi="Arial"/>
          <w:sz w:val="18"/>
          <w:szCs w:val="18"/>
          <w:color w:val="auto"/>
        </w:rPr>
        <w:t>delivery and performance of all Loan Documents to which such Loan Party is a party, and (C), incumbency of officers (including specimen signatures) evidencing the identity, authority and capacity of each Responsible Officer thereof authorized to act as a Responsible Officer in connection with this Agreement and the other Loan Documents to which such Loan Party is a party;</w:t>
      </w:r>
    </w:p>
    <w:p>
      <w:pPr>
        <w:spacing w:after="0" w:line="154" w:lineRule="exact"/>
        <w:rPr>
          <w:sz w:val="20"/>
          <w:szCs w:val="20"/>
          <w:color w:val="auto"/>
        </w:rPr>
      </w:pPr>
    </w:p>
    <w:p>
      <w:pPr>
        <w:jc w:val="both"/>
        <w:ind w:firstLine="624"/>
        <w:spacing w:after="0" w:line="252" w:lineRule="auto"/>
        <w:tabs>
          <w:tab w:leader="none" w:pos="1248" w:val="left"/>
        </w:tabs>
        <w:numPr>
          <w:ilvl w:val="0"/>
          <w:numId w:val="208"/>
        </w:numPr>
        <w:rPr>
          <w:rFonts w:ascii="Arial" w:cs="Arial" w:eastAsia="Arial" w:hAnsi="Arial"/>
          <w:sz w:val="19"/>
          <w:szCs w:val="19"/>
          <w:color w:val="auto"/>
        </w:rPr>
      </w:pPr>
      <w:r>
        <w:rPr>
          <w:rFonts w:ascii="Arial" w:cs="Arial" w:eastAsia="Arial" w:hAnsi="Arial"/>
          <w:sz w:val="19"/>
          <w:szCs w:val="19"/>
          <w:color w:val="auto"/>
        </w:rPr>
        <w:t>certification from any applicable Governmental Authority as the Administrative Agent may reasonably require to evidence that each Loan Party is duly organized or formed, and that each Loan Party is validly existing, in good standing and qualified to engage in business in its jurisdiction of organization and in any other jurisdiction in which the failure to be so qualified could reasonably be expected to have a Material Adverse Effect, including certificates of good standing and qualification to engage in business in each applicable jurisdiction;</w:t>
      </w:r>
    </w:p>
    <w:p>
      <w:pPr>
        <w:spacing w:after="0" w:line="177" w:lineRule="exact"/>
        <w:rPr>
          <w:rFonts w:ascii="Arial" w:cs="Arial" w:eastAsia="Arial" w:hAnsi="Arial"/>
          <w:sz w:val="19"/>
          <w:szCs w:val="19"/>
          <w:color w:val="auto"/>
        </w:rPr>
      </w:pPr>
    </w:p>
    <w:p>
      <w:pPr>
        <w:jc w:val="both"/>
        <w:ind w:firstLine="624"/>
        <w:spacing w:after="0" w:line="259" w:lineRule="auto"/>
        <w:tabs>
          <w:tab w:leader="none" w:pos="1247" w:val="left"/>
        </w:tabs>
        <w:numPr>
          <w:ilvl w:val="0"/>
          <w:numId w:val="208"/>
        </w:numPr>
        <w:rPr>
          <w:rFonts w:ascii="Arial" w:cs="Arial" w:eastAsia="Arial" w:hAnsi="Arial"/>
          <w:sz w:val="19"/>
          <w:szCs w:val="19"/>
          <w:color w:val="auto"/>
        </w:rPr>
      </w:pPr>
      <w:r>
        <w:rPr>
          <w:rFonts w:ascii="Arial" w:cs="Arial" w:eastAsia="Arial" w:hAnsi="Arial"/>
          <w:sz w:val="19"/>
          <w:szCs w:val="19"/>
          <w:color w:val="auto"/>
        </w:rPr>
        <w:t>a favorable opinion of McAfee &amp; Taft, counsel to the Loan Parties, and acceptable Canadian and New York counsel to the Loan Parties, each addressed to the Administrative Agent and each Lender and their successors and assigns, as to the matters concerning the Loan Parties and the Loan Documents as the Administrative Agent may reasonably request;</w:t>
      </w:r>
    </w:p>
    <w:p>
      <w:pPr>
        <w:spacing w:after="0" w:line="171" w:lineRule="exact"/>
        <w:rPr>
          <w:rFonts w:ascii="Arial" w:cs="Arial" w:eastAsia="Arial" w:hAnsi="Arial"/>
          <w:sz w:val="19"/>
          <w:szCs w:val="19"/>
          <w:color w:val="auto"/>
        </w:rPr>
      </w:pPr>
    </w:p>
    <w:p>
      <w:pPr>
        <w:jc w:val="both"/>
        <w:ind w:firstLine="624"/>
        <w:spacing w:after="0" w:line="252" w:lineRule="auto"/>
        <w:tabs>
          <w:tab w:leader="none" w:pos="1248" w:val="left"/>
        </w:tabs>
        <w:numPr>
          <w:ilvl w:val="0"/>
          <w:numId w:val="208"/>
        </w:numPr>
        <w:rPr>
          <w:rFonts w:ascii="Arial" w:cs="Arial" w:eastAsia="Arial" w:hAnsi="Arial"/>
          <w:sz w:val="19"/>
          <w:szCs w:val="19"/>
          <w:color w:val="auto"/>
        </w:rPr>
      </w:pPr>
      <w:r>
        <w:rPr>
          <w:rFonts w:ascii="Arial" w:cs="Arial" w:eastAsia="Arial" w:hAnsi="Arial"/>
          <w:sz w:val="19"/>
          <w:szCs w:val="19"/>
          <w:color w:val="auto"/>
        </w:rPr>
        <w:t>certificates of Responsible Officers of the Borrower Agent or the applicable Loan Parties either (A) identifying all consents, licenses and approvals required in connection with the execution, delivery and performance by each Borrower and the validity against each such Loan Party of the Loan Documents to which it is a party, and stating that such consents, licenses and approvals shall be in full force and effect, and attaching true and correct copies thereof or (B) stating that no such consents, licenses or approvals are so required;</w:t>
      </w:r>
    </w:p>
    <w:p>
      <w:pPr>
        <w:spacing w:after="0" w:line="177" w:lineRule="exact"/>
        <w:rPr>
          <w:rFonts w:ascii="Arial" w:cs="Arial" w:eastAsia="Arial" w:hAnsi="Arial"/>
          <w:sz w:val="19"/>
          <w:szCs w:val="19"/>
          <w:color w:val="auto"/>
        </w:rPr>
      </w:pPr>
    </w:p>
    <w:p>
      <w:pPr>
        <w:ind w:firstLine="624"/>
        <w:spacing w:after="0" w:line="274" w:lineRule="auto"/>
        <w:tabs>
          <w:tab w:leader="none" w:pos="1249" w:val="left"/>
        </w:tabs>
        <w:numPr>
          <w:ilvl w:val="0"/>
          <w:numId w:val="208"/>
        </w:numPr>
        <w:rPr>
          <w:rFonts w:ascii="Arial" w:cs="Arial" w:eastAsia="Arial" w:hAnsi="Arial"/>
          <w:sz w:val="19"/>
          <w:szCs w:val="19"/>
          <w:color w:val="auto"/>
        </w:rPr>
      </w:pPr>
      <w:r>
        <w:rPr>
          <w:rFonts w:ascii="Arial" w:cs="Arial" w:eastAsia="Arial" w:hAnsi="Arial"/>
          <w:sz w:val="19"/>
          <w:szCs w:val="19"/>
          <w:color w:val="auto"/>
        </w:rPr>
        <w:t xml:space="preserve">a certificate signed by a Responsible Officer of the Borrower Agent certifying (A) that the conditions specified in </w:t>
      </w:r>
      <w:r>
        <w:rPr>
          <w:rFonts w:ascii="Arial" w:cs="Arial" w:eastAsia="Arial" w:hAnsi="Arial"/>
          <w:sz w:val="19"/>
          <w:szCs w:val="19"/>
          <w:u w:val="single" w:color="auto"/>
          <w:color w:val="auto"/>
        </w:rPr>
        <w:t>Sections 5.02(a)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5.02(b)</w:t>
      </w:r>
      <w:r>
        <w:rPr>
          <w:rFonts w:ascii="Arial" w:cs="Arial" w:eastAsia="Arial" w:hAnsi="Arial"/>
          <w:sz w:val="19"/>
          <w:szCs w:val="19"/>
          <w:color w:val="auto"/>
        </w:rPr>
        <w:t xml:space="preserve"> have been satisfied and (B) as to the matters described in </w:t>
      </w:r>
      <w:r>
        <w:rPr>
          <w:rFonts w:ascii="Arial" w:cs="Arial" w:eastAsia="Arial" w:hAnsi="Arial"/>
          <w:sz w:val="19"/>
          <w:szCs w:val="19"/>
          <w:u w:val="single" w:color="auto"/>
          <w:color w:val="auto"/>
        </w:rPr>
        <w:t>Section 5.01(d)</w:t>
      </w:r>
      <w:r>
        <w:rPr>
          <w:rFonts w:ascii="Arial" w:cs="Arial" w:eastAsia="Arial" w:hAnsi="Arial"/>
          <w:sz w:val="19"/>
          <w:szCs w:val="19"/>
          <w:color w:val="auto"/>
        </w:rPr>
        <w:t>;</w:t>
      </w:r>
    </w:p>
    <w:p>
      <w:pPr>
        <w:spacing w:after="0" w:line="156" w:lineRule="exact"/>
        <w:rPr>
          <w:rFonts w:ascii="Arial" w:cs="Arial" w:eastAsia="Arial" w:hAnsi="Arial"/>
          <w:sz w:val="19"/>
          <w:szCs w:val="19"/>
          <w:color w:val="auto"/>
        </w:rPr>
      </w:pPr>
    </w:p>
    <w:p>
      <w:pPr>
        <w:jc w:val="both"/>
        <w:ind w:firstLine="624"/>
        <w:spacing w:after="0" w:line="259" w:lineRule="auto"/>
        <w:tabs>
          <w:tab w:leader="none" w:pos="1250" w:val="left"/>
        </w:tabs>
        <w:numPr>
          <w:ilvl w:val="0"/>
          <w:numId w:val="208"/>
        </w:numPr>
        <w:rPr>
          <w:rFonts w:ascii="Arial" w:cs="Arial" w:eastAsia="Arial" w:hAnsi="Arial"/>
          <w:sz w:val="19"/>
          <w:szCs w:val="19"/>
          <w:color w:val="auto"/>
        </w:rPr>
      </w:pPr>
      <w:r>
        <w:rPr>
          <w:rFonts w:ascii="Arial" w:cs="Arial" w:eastAsia="Arial" w:hAnsi="Arial"/>
          <w:sz w:val="19"/>
          <w:szCs w:val="19"/>
          <w:color w:val="auto"/>
        </w:rPr>
        <w:t>(A) audited financial statements of the Company and its Subsidiaries for each of the three (3) fiscal years immediately preceding the Closing Date, (B) unaudited interim financial statements for the Company and its Subsidiaries as of July 31, 2021, and (C) financial projections of the Company and its Subsidiaries for the next two (2) fiscal years;</w:t>
      </w:r>
    </w:p>
    <w:p>
      <w:pPr>
        <w:spacing w:after="0" w:line="171" w:lineRule="exact"/>
        <w:rPr>
          <w:rFonts w:ascii="Arial" w:cs="Arial" w:eastAsia="Arial" w:hAnsi="Arial"/>
          <w:sz w:val="19"/>
          <w:szCs w:val="19"/>
          <w:color w:val="auto"/>
        </w:rPr>
      </w:pPr>
    </w:p>
    <w:p>
      <w:pPr>
        <w:jc w:val="both"/>
        <w:ind w:firstLine="624"/>
        <w:spacing w:after="0" w:line="259" w:lineRule="auto"/>
        <w:tabs>
          <w:tab w:leader="none" w:pos="1248" w:val="left"/>
        </w:tabs>
        <w:numPr>
          <w:ilvl w:val="0"/>
          <w:numId w:val="208"/>
        </w:numPr>
        <w:rPr>
          <w:rFonts w:ascii="Arial" w:cs="Arial" w:eastAsia="Arial" w:hAnsi="Arial"/>
          <w:sz w:val="19"/>
          <w:szCs w:val="19"/>
          <w:color w:val="auto"/>
        </w:rPr>
      </w:pPr>
      <w:r>
        <w:rPr>
          <w:rFonts w:ascii="Arial" w:cs="Arial" w:eastAsia="Arial" w:hAnsi="Arial"/>
          <w:sz w:val="19"/>
          <w:szCs w:val="19"/>
          <w:color w:val="auto"/>
        </w:rPr>
        <w:t>a certificate signed by the Chief Financial Officer or the Chief Accounting Officer of the Borrower Agent certifying that, after giving effect to the entering into of the Loan Documents and the consummation of all of the Transactions, (A) each Borrower is Solvent and (B) the Loan Parties, taken as a whole, are Solvent;</w:t>
      </w:r>
    </w:p>
    <w:p>
      <w:pPr>
        <w:spacing w:after="0" w:line="171" w:lineRule="exact"/>
        <w:rPr>
          <w:rFonts w:ascii="Arial" w:cs="Arial" w:eastAsia="Arial" w:hAnsi="Arial"/>
          <w:sz w:val="19"/>
          <w:szCs w:val="19"/>
          <w:color w:val="auto"/>
        </w:rPr>
      </w:pPr>
    </w:p>
    <w:p>
      <w:pPr>
        <w:ind w:left="1240" w:hanging="616"/>
        <w:spacing w:after="0"/>
        <w:tabs>
          <w:tab w:leader="none" w:pos="1240" w:val="left"/>
        </w:tabs>
        <w:numPr>
          <w:ilvl w:val="0"/>
          <w:numId w:val="208"/>
        </w:numPr>
        <w:rPr>
          <w:rFonts w:ascii="Arial" w:cs="Arial" w:eastAsia="Arial" w:hAnsi="Arial"/>
          <w:sz w:val="17"/>
          <w:szCs w:val="17"/>
          <w:color w:val="auto"/>
        </w:rPr>
      </w:pPr>
      <w:r>
        <w:rPr>
          <w:rFonts w:ascii="Arial" w:cs="Arial" w:eastAsia="Arial" w:hAnsi="Arial"/>
          <w:sz w:val="17"/>
          <w:szCs w:val="17"/>
          <w:color w:val="auto"/>
        </w:rPr>
        <w:t>evidence that all insurance required to be maintained pursuant to the Loan Documents has been obtained and is in effect;</w:t>
      </w:r>
    </w:p>
    <w:p>
      <w:pPr>
        <w:spacing w:after="0" w:line="237" w:lineRule="exact"/>
        <w:rPr>
          <w:rFonts w:ascii="Arial" w:cs="Arial" w:eastAsia="Arial" w:hAnsi="Arial"/>
          <w:sz w:val="17"/>
          <w:szCs w:val="17"/>
          <w:color w:val="auto"/>
        </w:rPr>
      </w:pPr>
    </w:p>
    <w:p>
      <w:pPr>
        <w:ind w:left="1240" w:hanging="616"/>
        <w:spacing w:after="0"/>
        <w:tabs>
          <w:tab w:leader="none" w:pos="1240" w:val="left"/>
        </w:tabs>
        <w:numPr>
          <w:ilvl w:val="0"/>
          <w:numId w:val="208"/>
        </w:numPr>
        <w:rPr>
          <w:rFonts w:ascii="Arial" w:cs="Arial" w:eastAsia="Arial" w:hAnsi="Arial"/>
          <w:sz w:val="19"/>
          <w:szCs w:val="19"/>
          <w:color w:val="auto"/>
        </w:rPr>
      </w:pPr>
      <w:r>
        <w:rPr>
          <w:rFonts w:ascii="Arial" w:cs="Arial" w:eastAsia="Arial" w:hAnsi="Arial"/>
          <w:sz w:val="19"/>
          <w:szCs w:val="19"/>
          <w:color w:val="auto"/>
        </w:rPr>
        <w:t>an initial Borrowing Base Certificate;</w:t>
      </w:r>
    </w:p>
    <w:p>
      <w:pPr>
        <w:spacing w:after="0" w:line="214" w:lineRule="exact"/>
        <w:rPr>
          <w:rFonts w:ascii="Arial" w:cs="Arial" w:eastAsia="Arial" w:hAnsi="Arial"/>
          <w:sz w:val="19"/>
          <w:szCs w:val="19"/>
          <w:color w:val="auto"/>
        </w:rPr>
      </w:pPr>
    </w:p>
    <w:p>
      <w:pPr>
        <w:ind w:left="1240" w:hanging="616"/>
        <w:spacing w:after="0"/>
        <w:tabs>
          <w:tab w:leader="none" w:pos="1240" w:val="left"/>
        </w:tabs>
        <w:numPr>
          <w:ilvl w:val="0"/>
          <w:numId w:val="208"/>
        </w:numPr>
        <w:rPr>
          <w:rFonts w:ascii="Arial" w:cs="Arial" w:eastAsia="Arial" w:hAnsi="Arial"/>
          <w:sz w:val="19"/>
          <w:szCs w:val="19"/>
          <w:color w:val="auto"/>
        </w:rPr>
      </w:pPr>
      <w:r>
        <w:rPr>
          <w:rFonts w:ascii="Arial" w:cs="Arial" w:eastAsia="Arial" w:hAnsi="Arial"/>
          <w:sz w:val="19"/>
          <w:szCs w:val="19"/>
          <w:color w:val="auto"/>
        </w:rPr>
        <w:t>initial written notice of Borrowing;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4840"/>
        <w:spacing w:after="0"/>
        <w:rPr>
          <w:sz w:val="20"/>
          <w:szCs w:val="20"/>
          <w:color w:val="auto"/>
        </w:rPr>
      </w:pPr>
      <w:r>
        <w:rPr>
          <w:rFonts w:ascii="Arial" w:cs="Arial" w:eastAsia="Arial" w:hAnsi="Arial"/>
          <w:sz w:val="19"/>
          <w:szCs w:val="19"/>
          <w:color w:val="auto"/>
        </w:rPr>
        <w:t>115</w:t>
      </w:r>
    </w:p>
    <w:p>
      <w:pPr>
        <w:sectPr>
          <w:pgSz w:w="11900" w:h="16838" w:orient="portrait"/>
          <w:cols w:equalWidth="0" w:num="1">
            <w:col w:w="10600"/>
          </w:cols>
          <w:pgMar w:left="960" w:top="1381" w:right="339" w:bottom="1440" w:gutter="0" w:footer="0" w:header="0"/>
        </w:sectPr>
      </w:pPr>
    </w:p>
    <w:bookmarkStart w:id="234" w:name="page235"/>
    <w:bookmarkEnd w:id="234"/>
    <w:p>
      <w:pPr>
        <w:jc w:val="both"/>
        <w:ind w:left="640" w:firstLine="624"/>
        <w:spacing w:after="0" w:line="269" w:lineRule="auto"/>
        <w:tabs>
          <w:tab w:leader="none" w:pos="1890" w:val="left"/>
        </w:tabs>
        <w:numPr>
          <w:ilvl w:val="1"/>
          <w:numId w:val="209"/>
        </w:numPr>
        <w:rPr>
          <w:rFonts w:ascii="Arial" w:cs="Arial" w:eastAsia="Arial" w:hAnsi="Arial"/>
          <w:sz w:val="18"/>
          <w:szCs w:val="18"/>
          <w:color w:val="auto"/>
        </w:rPr>
      </w:pPr>
      <w:r>
        <w:rPr>
          <w:rFonts w:ascii="Arial" w:cs="Arial" w:eastAsia="Arial" w:hAnsi="Arial"/>
          <w:sz w:val="18"/>
          <w:szCs w:val="18"/>
          <w:color w:val="auto"/>
        </w:rPr>
        <w:t>delivery of UCC and PPSA financing statements, suitable in form and substance for filing in all places required by applicable law to perfect the Liens of the Administrative Agent under the Security Instruments as a first priority Lien as to items of Collateral in which a security interest may be perfected by the filing of financing statements, and such other documents and/or evidence of other actions as may be reasonably necessary under applicable law to perfect the Liens of the Administrative Agent under such Security Instruments as a first priority Lien in and to such other Collateral as the Administrative Agent may require;</w:t>
      </w:r>
    </w:p>
    <w:p>
      <w:pPr>
        <w:spacing w:after="0" w:line="164" w:lineRule="exact"/>
        <w:rPr>
          <w:rFonts w:ascii="Arial" w:cs="Arial" w:eastAsia="Arial" w:hAnsi="Arial"/>
          <w:sz w:val="18"/>
          <w:szCs w:val="18"/>
          <w:color w:val="auto"/>
        </w:rPr>
      </w:pPr>
    </w:p>
    <w:p>
      <w:pPr>
        <w:ind w:left="1880" w:hanging="616"/>
        <w:spacing w:after="0"/>
        <w:tabs>
          <w:tab w:leader="none" w:pos="1880" w:val="left"/>
        </w:tabs>
        <w:numPr>
          <w:ilvl w:val="1"/>
          <w:numId w:val="209"/>
        </w:numPr>
        <w:rPr>
          <w:rFonts w:ascii="Arial" w:cs="Arial" w:eastAsia="Arial" w:hAnsi="Arial"/>
          <w:sz w:val="18"/>
          <w:szCs w:val="18"/>
          <w:color w:val="auto"/>
        </w:rPr>
      </w:pPr>
      <w:r>
        <w:rPr>
          <w:rFonts w:ascii="Arial" w:cs="Arial" w:eastAsia="Arial" w:hAnsi="Arial"/>
          <w:sz w:val="18"/>
          <w:szCs w:val="18"/>
          <w:color w:val="auto"/>
        </w:rPr>
        <w:t>UCC and PPSA search results showing only those Liens as are acceptable to the Administrative Agent and Lenders;</w:t>
      </w:r>
    </w:p>
    <w:p>
      <w:pPr>
        <w:spacing w:after="0" w:line="225" w:lineRule="exact"/>
        <w:rPr>
          <w:rFonts w:ascii="Arial" w:cs="Arial" w:eastAsia="Arial" w:hAnsi="Arial"/>
          <w:sz w:val="18"/>
          <w:szCs w:val="18"/>
          <w:color w:val="auto"/>
        </w:rPr>
      </w:pPr>
    </w:p>
    <w:p>
      <w:pPr>
        <w:jc w:val="both"/>
        <w:ind w:left="640" w:firstLine="624"/>
        <w:spacing w:after="0" w:line="259" w:lineRule="auto"/>
        <w:tabs>
          <w:tab w:leader="none" w:pos="1891" w:val="left"/>
        </w:tabs>
        <w:numPr>
          <w:ilvl w:val="1"/>
          <w:numId w:val="209"/>
        </w:numPr>
        <w:rPr>
          <w:rFonts w:ascii="Arial" w:cs="Arial" w:eastAsia="Arial" w:hAnsi="Arial"/>
          <w:sz w:val="19"/>
          <w:szCs w:val="19"/>
          <w:color w:val="auto"/>
        </w:rPr>
      </w:pPr>
      <w:r>
        <w:rPr>
          <w:rFonts w:ascii="Arial" w:cs="Arial" w:eastAsia="Arial" w:hAnsi="Arial"/>
          <w:sz w:val="19"/>
          <w:szCs w:val="19"/>
          <w:color w:val="auto"/>
        </w:rPr>
        <w:t>evidence of the payment in full and cancellation of the Existing Agreement, including terminations of UCC and PPSA financing statements filed in connection with the Existing Agreement and other evidence of lien releases and other related matters on terms acceptable to the Administrative Agent;</w:t>
      </w:r>
    </w:p>
    <w:p>
      <w:pPr>
        <w:spacing w:after="0" w:line="171" w:lineRule="exact"/>
        <w:rPr>
          <w:rFonts w:ascii="Arial" w:cs="Arial" w:eastAsia="Arial" w:hAnsi="Arial"/>
          <w:sz w:val="19"/>
          <w:szCs w:val="19"/>
          <w:color w:val="auto"/>
        </w:rPr>
      </w:pPr>
    </w:p>
    <w:p>
      <w:pPr>
        <w:jc w:val="both"/>
        <w:ind w:left="640" w:firstLine="624"/>
        <w:spacing w:after="0" w:line="259" w:lineRule="auto"/>
        <w:tabs>
          <w:tab w:leader="none" w:pos="1892" w:val="left"/>
        </w:tabs>
        <w:numPr>
          <w:ilvl w:val="1"/>
          <w:numId w:val="209"/>
        </w:numPr>
        <w:rPr>
          <w:rFonts w:ascii="Arial" w:cs="Arial" w:eastAsia="Arial" w:hAnsi="Arial"/>
          <w:sz w:val="19"/>
          <w:szCs w:val="19"/>
          <w:color w:val="auto"/>
        </w:rPr>
      </w:pPr>
      <w:r>
        <w:rPr>
          <w:rFonts w:ascii="Arial" w:cs="Arial" w:eastAsia="Arial" w:hAnsi="Arial"/>
          <w:sz w:val="19"/>
          <w:szCs w:val="19"/>
          <w:color w:val="auto"/>
        </w:rPr>
        <w:t>evidence satisfactory to the Administrative Agent of the consummation (in compliance with all applicable laws and regulations, with the receipt of all material governmental, shareholder and third party consents and approvals relating thereto) of the Transactions;</w:t>
      </w:r>
    </w:p>
    <w:p>
      <w:pPr>
        <w:spacing w:after="0" w:line="171" w:lineRule="exact"/>
        <w:rPr>
          <w:rFonts w:ascii="Arial" w:cs="Arial" w:eastAsia="Arial" w:hAnsi="Arial"/>
          <w:sz w:val="19"/>
          <w:szCs w:val="19"/>
          <w:color w:val="auto"/>
        </w:rPr>
      </w:pPr>
    </w:p>
    <w:p>
      <w:pPr>
        <w:ind w:left="1880" w:hanging="616"/>
        <w:spacing w:after="0"/>
        <w:tabs>
          <w:tab w:leader="none" w:pos="1880" w:val="left"/>
        </w:tabs>
        <w:numPr>
          <w:ilvl w:val="1"/>
          <w:numId w:val="209"/>
        </w:numPr>
        <w:rPr>
          <w:rFonts w:ascii="Arial" w:cs="Arial" w:eastAsia="Arial" w:hAnsi="Arial"/>
          <w:sz w:val="19"/>
          <w:szCs w:val="19"/>
          <w:color w:val="auto"/>
        </w:rPr>
      </w:pPr>
      <w:r>
        <w:rPr>
          <w:rFonts w:ascii="Arial" w:cs="Arial" w:eastAsia="Arial" w:hAnsi="Arial"/>
          <w:sz w:val="19"/>
          <w:szCs w:val="19"/>
          <w:color w:val="auto"/>
        </w:rPr>
        <w:t>completion of a Field Exam, asset appraisal, insurance review and legal review; and</w:t>
      </w:r>
    </w:p>
    <w:p>
      <w:pPr>
        <w:spacing w:after="0" w:line="214" w:lineRule="exact"/>
        <w:rPr>
          <w:rFonts w:ascii="Arial" w:cs="Arial" w:eastAsia="Arial" w:hAnsi="Arial"/>
          <w:sz w:val="19"/>
          <w:szCs w:val="19"/>
          <w:color w:val="auto"/>
        </w:rPr>
      </w:pPr>
    </w:p>
    <w:p>
      <w:pPr>
        <w:ind w:left="640" w:firstLine="624"/>
        <w:spacing w:after="0" w:line="274" w:lineRule="auto"/>
        <w:tabs>
          <w:tab w:leader="none" w:pos="1894" w:val="left"/>
        </w:tabs>
        <w:numPr>
          <w:ilvl w:val="1"/>
          <w:numId w:val="209"/>
        </w:numPr>
        <w:rPr>
          <w:rFonts w:ascii="Arial" w:cs="Arial" w:eastAsia="Arial" w:hAnsi="Arial"/>
          <w:sz w:val="19"/>
          <w:szCs w:val="19"/>
          <w:color w:val="auto"/>
        </w:rPr>
      </w:pPr>
      <w:r>
        <w:rPr>
          <w:rFonts w:ascii="Arial" w:cs="Arial" w:eastAsia="Arial" w:hAnsi="Arial"/>
          <w:sz w:val="19"/>
          <w:szCs w:val="19"/>
          <w:color w:val="auto"/>
        </w:rPr>
        <w:t>such other assurances, certificates, documents, consents or opinions as the Administrative Agent, the Letter of Credit Issuer, the Swing Line Lender or the Required Lenders may reasonably require.</w:t>
      </w:r>
    </w:p>
    <w:p>
      <w:pPr>
        <w:spacing w:after="0" w:line="156" w:lineRule="exact"/>
        <w:rPr>
          <w:rFonts w:ascii="Arial" w:cs="Arial" w:eastAsia="Arial" w:hAnsi="Arial"/>
          <w:sz w:val="19"/>
          <w:szCs w:val="19"/>
          <w:color w:val="auto"/>
        </w:rPr>
      </w:pPr>
    </w:p>
    <w:p>
      <w:pPr>
        <w:jc w:val="both"/>
        <w:ind w:firstLine="634"/>
        <w:spacing w:after="0" w:line="252" w:lineRule="auto"/>
        <w:tabs>
          <w:tab w:leader="none" w:pos="1247" w:val="left"/>
        </w:tabs>
        <w:numPr>
          <w:ilvl w:val="0"/>
          <w:numId w:val="210"/>
        </w:numPr>
        <w:rPr>
          <w:rFonts w:ascii="Arial" w:cs="Arial" w:eastAsia="Arial" w:hAnsi="Arial"/>
          <w:sz w:val="19"/>
          <w:szCs w:val="19"/>
          <w:color w:val="auto"/>
        </w:rPr>
      </w:pPr>
      <w:r>
        <w:rPr>
          <w:rFonts w:ascii="Arial" w:cs="Arial" w:eastAsia="Arial" w:hAnsi="Arial"/>
          <w:sz w:val="19"/>
          <w:szCs w:val="19"/>
          <w:color w:val="auto"/>
        </w:rPr>
        <w:t>At least five days prior to the Closing Date, (i) any Borrower that qualifies as a “legal entity customer” under the Beneficial Ownership Regulation shall deliver a Beneficial Ownership Certification in relation to such Borrower and (ii) so long as requested by the Administrative Agent or any Lender at least ten days prior to the Closing Date, Borrowers shall have provided to Administrative Agent and each requesting Lender the documentation and other information so requested in connection with applicable “know your customer” and Anti-Money Laundering Laws or Anti-Corruption Laws, including the PATRIOT Act.</w:t>
      </w:r>
    </w:p>
    <w:p>
      <w:pPr>
        <w:spacing w:after="0" w:line="177" w:lineRule="exact"/>
        <w:rPr>
          <w:rFonts w:ascii="Arial" w:cs="Arial" w:eastAsia="Arial" w:hAnsi="Arial"/>
          <w:sz w:val="19"/>
          <w:szCs w:val="19"/>
          <w:color w:val="auto"/>
        </w:rPr>
      </w:pPr>
    </w:p>
    <w:p>
      <w:pPr>
        <w:ind w:left="1260" w:hanging="626"/>
        <w:spacing w:after="0"/>
        <w:tabs>
          <w:tab w:leader="none" w:pos="1260" w:val="left"/>
        </w:tabs>
        <w:numPr>
          <w:ilvl w:val="0"/>
          <w:numId w:val="210"/>
        </w:numPr>
        <w:rPr>
          <w:rFonts w:ascii="Arial" w:cs="Arial" w:eastAsia="Arial" w:hAnsi="Arial"/>
          <w:sz w:val="19"/>
          <w:szCs w:val="19"/>
          <w:color w:val="auto"/>
        </w:rPr>
      </w:pPr>
      <w:r>
        <w:rPr>
          <w:rFonts w:ascii="Arial" w:cs="Arial" w:eastAsia="Arial" w:hAnsi="Arial"/>
          <w:sz w:val="19"/>
          <w:szCs w:val="19"/>
          <w:color w:val="auto"/>
        </w:rPr>
        <w:t>Any fees required to be paid on or before the Closing Date shall have been paid.</w:t>
      </w:r>
    </w:p>
    <w:p>
      <w:pPr>
        <w:spacing w:after="0" w:line="214" w:lineRule="exact"/>
        <w:rPr>
          <w:rFonts w:ascii="Arial" w:cs="Arial" w:eastAsia="Arial" w:hAnsi="Arial"/>
          <w:sz w:val="19"/>
          <w:szCs w:val="19"/>
          <w:color w:val="auto"/>
        </w:rPr>
      </w:pPr>
    </w:p>
    <w:p>
      <w:pPr>
        <w:jc w:val="both"/>
        <w:ind w:firstLine="634"/>
        <w:spacing w:after="0" w:line="252" w:lineRule="auto"/>
        <w:tabs>
          <w:tab w:leader="none" w:pos="1247" w:val="left"/>
        </w:tabs>
        <w:numPr>
          <w:ilvl w:val="0"/>
          <w:numId w:val="210"/>
        </w:numPr>
        <w:rPr>
          <w:rFonts w:ascii="Arial" w:cs="Arial" w:eastAsia="Arial" w:hAnsi="Arial"/>
          <w:sz w:val="19"/>
          <w:szCs w:val="19"/>
          <w:color w:val="auto"/>
        </w:rPr>
      </w:pPr>
      <w:r>
        <w:rPr>
          <w:rFonts w:ascii="Arial" w:cs="Arial" w:eastAsia="Arial" w:hAnsi="Arial"/>
          <w:sz w:val="19"/>
          <w:szCs w:val="19"/>
          <w:color w:val="auto"/>
        </w:rPr>
        <w:t>Unless waived by the Administrative Agent, the Borrowers shall have paid all reasonable fees, charges and disbursements of counsel to the Administrative Agent to the extent invoiced prior to or on the Closing Date, plus such additional amounts of such reasonable fees, charges and disbursements as shall constitute its reasonable estimate of such reasonable fees, charges and disbursements incurred or to be incurred by it through the closing proceedings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estimate shall not thereafter preclude a final settling of accounts between the Borrowers and the Administrative Agent).</w:t>
      </w:r>
    </w:p>
    <w:p>
      <w:pPr>
        <w:spacing w:after="0" w:line="177" w:lineRule="exact"/>
        <w:rPr>
          <w:rFonts w:ascii="Arial" w:cs="Arial" w:eastAsia="Arial" w:hAnsi="Arial"/>
          <w:sz w:val="19"/>
          <w:szCs w:val="19"/>
          <w:color w:val="auto"/>
        </w:rPr>
      </w:pPr>
    </w:p>
    <w:p>
      <w:pPr>
        <w:jc w:val="both"/>
        <w:ind w:firstLine="634"/>
        <w:spacing w:after="0" w:line="259" w:lineRule="auto"/>
        <w:tabs>
          <w:tab w:leader="none" w:pos="1249" w:val="left"/>
        </w:tabs>
        <w:numPr>
          <w:ilvl w:val="0"/>
          <w:numId w:val="210"/>
        </w:numPr>
        <w:rPr>
          <w:rFonts w:ascii="Arial" w:cs="Arial" w:eastAsia="Arial" w:hAnsi="Arial"/>
          <w:sz w:val="19"/>
          <w:szCs w:val="19"/>
          <w:color w:val="auto"/>
        </w:rPr>
      </w:pPr>
      <w:r>
        <w:rPr>
          <w:rFonts w:ascii="Arial" w:cs="Arial" w:eastAsia="Arial" w:hAnsi="Arial"/>
          <w:sz w:val="19"/>
          <w:szCs w:val="19"/>
          <w:color w:val="auto"/>
        </w:rPr>
        <w:t>The Administrative Agent shall be satisfied that after giving effect to (i) the initial Credit Extension hereunder, (ii) consummation of the Transactions and payment of all fees and expenses in connection therewith and (iii) any payables stretched beyond their customary payment practices, (x)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116</w:t>
      </w:r>
    </w:p>
    <w:p>
      <w:pPr>
        <w:sectPr>
          <w:pgSz w:w="11900" w:h="16838" w:orient="portrait"/>
          <w:cols w:equalWidth="0" w:num="1">
            <w:col w:w="11240"/>
          </w:cols>
          <w:pgMar w:left="320" w:top="1382" w:right="339" w:bottom="1440" w:gutter="0" w:footer="0" w:header="0"/>
        </w:sectPr>
      </w:pPr>
    </w:p>
    <w:bookmarkStart w:id="235" w:name="page236"/>
    <w:bookmarkEnd w:id="235"/>
    <w:p>
      <w:pPr>
        <w:spacing w:after="0"/>
        <w:rPr>
          <w:sz w:val="20"/>
          <w:szCs w:val="20"/>
          <w:color w:val="auto"/>
        </w:rPr>
      </w:pPr>
      <w:r>
        <w:rPr>
          <w:rFonts w:ascii="Arial" w:cs="Arial" w:eastAsia="Arial" w:hAnsi="Arial"/>
          <w:sz w:val="19"/>
          <w:szCs w:val="19"/>
          <w:color w:val="auto"/>
        </w:rPr>
        <w:t xml:space="preserve">Availability shall be at least $25,000,000 and (y) the sum of Availability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Eligible Cash shall be at least $60,000,000.</w:t>
      </w:r>
    </w:p>
    <w:p>
      <w:pPr>
        <w:spacing w:after="0" w:line="214" w:lineRule="exact"/>
        <w:rPr>
          <w:sz w:val="20"/>
          <w:szCs w:val="20"/>
          <w:color w:val="auto"/>
        </w:rPr>
      </w:pPr>
    </w:p>
    <w:p>
      <w:pPr>
        <w:jc w:val="both"/>
        <w:ind w:firstLine="629"/>
        <w:spacing w:after="0" w:line="294" w:lineRule="auto"/>
        <w:rPr>
          <w:sz w:val="20"/>
          <w:szCs w:val="20"/>
          <w:color w:val="auto"/>
        </w:rPr>
      </w:pPr>
      <w:r>
        <w:rPr>
          <w:rFonts w:ascii="Arial" w:cs="Arial" w:eastAsia="Arial" w:hAnsi="Arial"/>
          <w:sz w:val="17"/>
          <w:szCs w:val="17"/>
          <w:color w:val="auto"/>
        </w:rPr>
        <w:t xml:space="preserve">Without limiting the generality of the provisions of </w:t>
      </w:r>
      <w:r>
        <w:rPr>
          <w:rFonts w:ascii="Arial" w:cs="Arial" w:eastAsia="Arial" w:hAnsi="Arial"/>
          <w:sz w:val="17"/>
          <w:szCs w:val="17"/>
          <w:u w:val="single" w:color="auto"/>
          <w:color w:val="auto"/>
        </w:rPr>
        <w:t>Section 10.04</w:t>
      </w:r>
      <w:r>
        <w:rPr>
          <w:rFonts w:ascii="Arial" w:cs="Arial" w:eastAsia="Arial" w:hAnsi="Arial"/>
          <w:sz w:val="17"/>
          <w:szCs w:val="17"/>
          <w:color w:val="auto"/>
        </w:rPr>
        <w:t xml:space="preserve">, for purposes of determining compliance with the conditions specified in this </w:t>
      </w:r>
      <w:r>
        <w:rPr>
          <w:rFonts w:ascii="Arial" w:cs="Arial" w:eastAsia="Arial" w:hAnsi="Arial"/>
          <w:sz w:val="17"/>
          <w:szCs w:val="17"/>
          <w:u w:val="single" w:color="auto"/>
          <w:color w:val="auto"/>
        </w:rPr>
        <w:t>Section 5.01</w:t>
      </w:r>
      <w:r>
        <w:rPr>
          <w:rFonts w:ascii="Arial" w:cs="Arial" w:eastAsia="Arial" w:hAnsi="Arial"/>
          <w:sz w:val="17"/>
          <w:szCs w:val="17"/>
          <w:color w:val="auto"/>
        </w:rPr>
        <w:t>,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w:t>
      </w:r>
    </w:p>
    <w:p>
      <w:pPr>
        <w:spacing w:after="0" w:line="138" w:lineRule="exact"/>
        <w:rPr>
          <w:sz w:val="20"/>
          <w:szCs w:val="20"/>
          <w:color w:val="auto"/>
        </w:rPr>
      </w:pPr>
    </w:p>
    <w:p>
      <w:pPr>
        <w:jc w:val="both"/>
        <w:ind w:firstLine="629"/>
        <w:spacing w:after="0" w:line="262" w:lineRule="auto"/>
        <w:rPr>
          <w:sz w:val="20"/>
          <w:szCs w:val="20"/>
          <w:color w:val="auto"/>
        </w:rPr>
      </w:pPr>
      <w:r>
        <w:rPr>
          <w:rFonts w:ascii="Arial" w:cs="Arial" w:eastAsia="Arial" w:hAnsi="Arial"/>
          <w:sz w:val="19"/>
          <w:szCs w:val="19"/>
          <w:b w:val="1"/>
          <w:bCs w:val="1"/>
          <w:color w:val="auto"/>
        </w:rPr>
        <w:t>5.2 Conditions to all Credit Extensions</w:t>
      </w:r>
      <w:r>
        <w:rPr>
          <w:rFonts w:ascii="Arial" w:cs="Arial" w:eastAsia="Arial" w:hAnsi="Arial"/>
          <w:sz w:val="19"/>
          <w:szCs w:val="19"/>
          <w:color w:val="auto"/>
        </w:rPr>
        <w:t>. The obligation of each Lender or Letter of Credit Issuer to honor any Request for Credit</w:t>
      </w:r>
      <w:r>
        <w:rPr>
          <w:rFonts w:ascii="Arial" w:cs="Arial" w:eastAsia="Arial" w:hAnsi="Arial"/>
          <w:sz w:val="19"/>
          <w:szCs w:val="19"/>
          <w:b w:val="1"/>
          <w:bCs w:val="1"/>
          <w:color w:val="auto"/>
        </w:rPr>
        <w:t xml:space="preserve"> </w:t>
      </w:r>
      <w:r>
        <w:rPr>
          <w:rFonts w:ascii="Arial" w:cs="Arial" w:eastAsia="Arial" w:hAnsi="Arial"/>
          <w:sz w:val="19"/>
          <w:szCs w:val="19"/>
          <w:color w:val="auto"/>
        </w:rPr>
        <w:t>Extension (other than one requesting only a conversion of Loans to the other Type or a continuation of Eurocurrency Rate Loans) or make the initial Credit Extension hereunder is subject to the following conditions precedent:</w:t>
      </w:r>
    </w:p>
    <w:p>
      <w:pPr>
        <w:spacing w:after="0" w:line="169" w:lineRule="exact"/>
        <w:rPr>
          <w:sz w:val="20"/>
          <w:szCs w:val="20"/>
          <w:color w:val="auto"/>
        </w:rPr>
      </w:pPr>
    </w:p>
    <w:p>
      <w:pPr>
        <w:jc w:val="both"/>
        <w:ind w:firstLine="634"/>
        <w:spacing w:after="0" w:line="250" w:lineRule="auto"/>
        <w:tabs>
          <w:tab w:leader="none" w:pos="1249" w:val="left"/>
        </w:tabs>
        <w:numPr>
          <w:ilvl w:val="0"/>
          <w:numId w:val="211"/>
        </w:numPr>
        <w:rPr>
          <w:rFonts w:ascii="Arial" w:cs="Arial" w:eastAsia="Arial" w:hAnsi="Arial"/>
          <w:sz w:val="19"/>
          <w:szCs w:val="19"/>
          <w:color w:val="auto"/>
        </w:rPr>
      </w:pPr>
      <w:r>
        <w:rPr>
          <w:rFonts w:ascii="Arial" w:cs="Arial" w:eastAsia="Arial" w:hAnsi="Arial"/>
          <w:sz w:val="19"/>
          <w:szCs w:val="19"/>
          <w:color w:val="auto"/>
        </w:rPr>
        <w:t xml:space="preserve">The representations and warranties of the Loan Parties contained in </w:t>
      </w:r>
      <w:r>
        <w:rPr>
          <w:rFonts w:ascii="Arial" w:cs="Arial" w:eastAsia="Arial" w:hAnsi="Arial"/>
          <w:sz w:val="19"/>
          <w:szCs w:val="19"/>
          <w:u w:val="single" w:color="auto"/>
          <w:color w:val="auto"/>
        </w:rPr>
        <w:t>Article VI</w:t>
      </w:r>
      <w:r>
        <w:rPr>
          <w:rFonts w:ascii="Arial" w:cs="Arial" w:eastAsia="Arial" w:hAnsi="Arial"/>
          <w:sz w:val="19"/>
          <w:szCs w:val="19"/>
          <w:color w:val="auto"/>
        </w:rPr>
        <w:t xml:space="preserve"> or any other Loan Document, or which are contained in any document furnished at any time under or in connection herewith or therewith, shall be true and correct on and as of the date of such Credit Extension, except to the extent that such representations and warranties specifically refer to an earlier date, in which case they shall be true and correct as of such earlier date, and except that for purposes of this </w:t>
      </w:r>
      <w:r>
        <w:rPr>
          <w:rFonts w:ascii="Arial" w:cs="Arial" w:eastAsia="Arial" w:hAnsi="Arial"/>
          <w:sz w:val="19"/>
          <w:szCs w:val="19"/>
          <w:u w:val="single" w:color="auto"/>
          <w:color w:val="auto"/>
        </w:rPr>
        <w:t>Section 5.02(a)</w:t>
      </w:r>
      <w:r>
        <w:rPr>
          <w:rFonts w:ascii="Arial" w:cs="Arial" w:eastAsia="Arial" w:hAnsi="Arial"/>
          <w:sz w:val="19"/>
          <w:szCs w:val="19"/>
          <w:color w:val="auto"/>
        </w:rPr>
        <w:t xml:space="preserve">, the representations and warranties contained in subsections (a) and (b) of </w:t>
      </w:r>
      <w:r>
        <w:rPr>
          <w:rFonts w:ascii="Arial" w:cs="Arial" w:eastAsia="Arial" w:hAnsi="Arial"/>
          <w:sz w:val="19"/>
          <w:szCs w:val="19"/>
          <w:u w:val="single" w:color="auto"/>
          <w:color w:val="auto"/>
        </w:rPr>
        <w:t>Section 6.05</w:t>
      </w:r>
      <w:r>
        <w:rPr>
          <w:rFonts w:ascii="Arial" w:cs="Arial" w:eastAsia="Arial" w:hAnsi="Arial"/>
          <w:sz w:val="19"/>
          <w:szCs w:val="19"/>
          <w:color w:val="auto"/>
        </w:rPr>
        <w:t xml:space="preserve"> shall be deemed to refer to the most recent statements furnished pursuant to clauses (a) and (b), respectively, of </w:t>
      </w:r>
      <w:r>
        <w:rPr>
          <w:rFonts w:ascii="Arial" w:cs="Arial" w:eastAsia="Arial" w:hAnsi="Arial"/>
          <w:sz w:val="19"/>
          <w:szCs w:val="19"/>
          <w:u w:val="single" w:color="auto"/>
          <w:color w:val="auto"/>
        </w:rPr>
        <w:t>Section 7.01</w:t>
      </w:r>
      <w:r>
        <w:rPr>
          <w:rFonts w:ascii="Arial" w:cs="Arial" w:eastAsia="Arial" w:hAnsi="Arial"/>
          <w:sz w:val="19"/>
          <w:szCs w:val="19"/>
          <w:color w:val="auto"/>
        </w:rPr>
        <w:t>.</w:t>
      </w:r>
    </w:p>
    <w:p>
      <w:pPr>
        <w:spacing w:after="0" w:line="181" w:lineRule="exact"/>
        <w:rPr>
          <w:rFonts w:ascii="Arial" w:cs="Arial" w:eastAsia="Arial" w:hAnsi="Arial"/>
          <w:sz w:val="19"/>
          <w:szCs w:val="19"/>
          <w:color w:val="auto"/>
        </w:rPr>
      </w:pPr>
    </w:p>
    <w:p>
      <w:pPr>
        <w:ind w:firstLine="634"/>
        <w:spacing w:after="0" w:line="274" w:lineRule="auto"/>
        <w:tabs>
          <w:tab w:leader="none" w:pos="1247" w:val="left"/>
        </w:tabs>
        <w:numPr>
          <w:ilvl w:val="0"/>
          <w:numId w:val="211"/>
        </w:numPr>
        <w:rPr>
          <w:rFonts w:ascii="Arial" w:cs="Arial" w:eastAsia="Arial" w:hAnsi="Arial"/>
          <w:sz w:val="19"/>
          <w:szCs w:val="19"/>
          <w:color w:val="auto"/>
        </w:rPr>
      </w:pPr>
      <w:r>
        <w:rPr>
          <w:rFonts w:ascii="Arial" w:cs="Arial" w:eastAsia="Arial" w:hAnsi="Arial"/>
          <w:sz w:val="19"/>
          <w:szCs w:val="19"/>
          <w:color w:val="auto"/>
        </w:rPr>
        <w:t>No Default or Overadvance shall have occurred and be continuing, or would result from such proposed Credit Extension or from the application of the proceeds thereof.</w:t>
      </w:r>
    </w:p>
    <w:p>
      <w:pPr>
        <w:spacing w:after="0" w:line="156" w:lineRule="exact"/>
        <w:rPr>
          <w:rFonts w:ascii="Arial" w:cs="Arial" w:eastAsia="Arial" w:hAnsi="Arial"/>
          <w:sz w:val="19"/>
          <w:szCs w:val="19"/>
          <w:color w:val="auto"/>
        </w:rPr>
      </w:pPr>
    </w:p>
    <w:p>
      <w:pPr>
        <w:ind w:firstLine="634"/>
        <w:spacing w:after="0" w:line="274" w:lineRule="auto"/>
        <w:tabs>
          <w:tab w:leader="none" w:pos="1249" w:val="left"/>
        </w:tabs>
        <w:numPr>
          <w:ilvl w:val="0"/>
          <w:numId w:val="211"/>
        </w:numPr>
        <w:rPr>
          <w:rFonts w:ascii="Arial" w:cs="Arial" w:eastAsia="Arial" w:hAnsi="Arial"/>
          <w:sz w:val="19"/>
          <w:szCs w:val="19"/>
          <w:color w:val="auto"/>
        </w:rPr>
      </w:pPr>
      <w:r>
        <w:rPr>
          <w:rFonts w:ascii="Arial" w:cs="Arial" w:eastAsia="Arial" w:hAnsi="Arial"/>
          <w:sz w:val="19"/>
          <w:szCs w:val="19"/>
          <w:color w:val="auto"/>
        </w:rPr>
        <w:t>The Administrative Agent and, if applicable, the Letter of Credit Issuer or the Swing Line Lender shall have received a Request for Credit Extension in accordance with the requirements hereof.</w:t>
      </w:r>
    </w:p>
    <w:p>
      <w:pPr>
        <w:spacing w:after="0" w:line="156" w:lineRule="exact"/>
        <w:rPr>
          <w:rFonts w:ascii="Arial" w:cs="Arial" w:eastAsia="Arial" w:hAnsi="Arial"/>
          <w:sz w:val="19"/>
          <w:szCs w:val="19"/>
          <w:color w:val="auto"/>
        </w:rPr>
      </w:pPr>
    </w:p>
    <w:p>
      <w:pPr>
        <w:ind w:firstLine="634"/>
        <w:spacing w:after="0" w:line="302" w:lineRule="auto"/>
        <w:tabs>
          <w:tab w:leader="none" w:pos="1247" w:val="left"/>
        </w:tabs>
        <w:numPr>
          <w:ilvl w:val="0"/>
          <w:numId w:val="211"/>
        </w:numPr>
        <w:rPr>
          <w:rFonts w:ascii="Arial" w:cs="Arial" w:eastAsia="Arial" w:hAnsi="Arial"/>
          <w:sz w:val="18"/>
          <w:szCs w:val="18"/>
          <w:color w:val="auto"/>
        </w:rPr>
      </w:pPr>
      <w:r>
        <w:rPr>
          <w:rFonts w:ascii="Arial" w:cs="Arial" w:eastAsia="Arial" w:hAnsi="Arial"/>
          <w:sz w:val="18"/>
          <w:szCs w:val="18"/>
          <w:color w:val="auto"/>
        </w:rPr>
        <w:t xml:space="preserve">No prepayment would be required under </w:t>
      </w:r>
      <w:r>
        <w:rPr>
          <w:rFonts w:ascii="Arial" w:cs="Arial" w:eastAsia="Arial" w:hAnsi="Arial"/>
          <w:sz w:val="18"/>
          <w:szCs w:val="18"/>
          <w:u w:val="single" w:color="auto"/>
          <w:color w:val="auto"/>
        </w:rPr>
        <w:t>Section 7.20</w:t>
      </w:r>
      <w:r>
        <w:rPr>
          <w:rFonts w:ascii="Arial" w:cs="Arial" w:eastAsia="Arial" w:hAnsi="Arial"/>
          <w:sz w:val="18"/>
          <w:szCs w:val="18"/>
          <w:color w:val="auto"/>
        </w:rPr>
        <w:t xml:space="preserve"> (on the next Business Day or otherwise) as a result of such Credit Extension, as determined on a pro forma basis as of the end of the Business Day on which such Credit Extension is to be made.</w:t>
      </w:r>
    </w:p>
    <w:p>
      <w:pPr>
        <w:spacing w:after="0" w:line="135" w:lineRule="exact"/>
        <w:rPr>
          <w:sz w:val="20"/>
          <w:szCs w:val="20"/>
          <w:color w:val="auto"/>
        </w:rPr>
      </w:pPr>
    </w:p>
    <w:p>
      <w:pPr>
        <w:jc w:val="both"/>
        <w:ind w:firstLine="629"/>
        <w:spacing w:after="0" w:line="294" w:lineRule="auto"/>
        <w:rPr>
          <w:sz w:val="20"/>
          <w:szCs w:val="20"/>
          <w:color w:val="auto"/>
        </w:rPr>
      </w:pPr>
      <w:r>
        <w:rPr>
          <w:rFonts w:ascii="Arial" w:cs="Arial" w:eastAsia="Arial" w:hAnsi="Arial"/>
          <w:sz w:val="17"/>
          <w:szCs w:val="17"/>
          <w:color w:val="auto"/>
        </w:rPr>
        <w:t xml:space="preserve">Each Request for Credit Extension (other than one requesting only a conversion of Loans to the other Type or a continuation of Eurocurrency Rate Loans) submitted by the Borrower Agent shall be deemed to be a representation and warranty that the conditions specified above in this </w:t>
      </w:r>
      <w:r>
        <w:rPr>
          <w:rFonts w:ascii="Arial" w:cs="Arial" w:eastAsia="Arial" w:hAnsi="Arial"/>
          <w:sz w:val="17"/>
          <w:szCs w:val="17"/>
          <w:u w:val="single" w:color="auto"/>
          <w:color w:val="auto"/>
        </w:rPr>
        <w:t>Section 5.02</w:t>
      </w:r>
      <w:r>
        <w:rPr>
          <w:rFonts w:ascii="Arial" w:cs="Arial" w:eastAsia="Arial" w:hAnsi="Arial"/>
          <w:sz w:val="17"/>
          <w:szCs w:val="17"/>
          <w:color w:val="auto"/>
        </w:rPr>
        <w:t xml:space="preserve"> have been satisfied on and as of the date of the applicable Credit Extension. As an additional condition to any Credit Extension, Administrative Agent may request any other information, certification, document, instrument or agreement as it deems appropriate.</w:t>
      </w:r>
    </w:p>
    <w:p>
      <w:pPr>
        <w:spacing w:after="0" w:line="138" w:lineRule="exact"/>
        <w:rPr>
          <w:sz w:val="20"/>
          <w:szCs w:val="20"/>
          <w:color w:val="auto"/>
        </w:rPr>
      </w:pPr>
    </w:p>
    <w:p>
      <w:pPr>
        <w:jc w:val="center"/>
        <w:ind w:right="120"/>
        <w:spacing w:after="0"/>
        <w:rPr>
          <w:sz w:val="20"/>
          <w:szCs w:val="20"/>
          <w:color w:val="auto"/>
        </w:rPr>
      </w:pPr>
      <w:r>
        <w:rPr>
          <w:rFonts w:ascii="Arial" w:cs="Arial" w:eastAsia="Arial" w:hAnsi="Arial"/>
          <w:sz w:val="19"/>
          <w:szCs w:val="19"/>
          <w:b w:val="1"/>
          <w:bCs w:val="1"/>
          <w:color w:val="auto"/>
        </w:rPr>
        <w:t>ARTICLE VI</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REPRESENTATIONS AND WARRANTIES</w:t>
      </w:r>
    </w:p>
    <w:p>
      <w:pPr>
        <w:spacing w:after="0" w:line="198" w:lineRule="exact"/>
        <w:rPr>
          <w:sz w:val="20"/>
          <w:szCs w:val="20"/>
          <w:color w:val="auto"/>
        </w:rPr>
      </w:pPr>
    </w:p>
    <w:p>
      <w:pPr>
        <w:jc w:val="both"/>
        <w:ind w:firstLine="629"/>
        <w:spacing w:after="0" w:line="302" w:lineRule="auto"/>
        <w:rPr>
          <w:sz w:val="20"/>
          <w:szCs w:val="20"/>
          <w:color w:val="auto"/>
        </w:rPr>
      </w:pPr>
      <w:r>
        <w:rPr>
          <w:rFonts w:ascii="Arial" w:cs="Arial" w:eastAsia="Arial" w:hAnsi="Arial"/>
          <w:sz w:val="18"/>
          <w:szCs w:val="18"/>
          <w:color w:val="auto"/>
        </w:rPr>
        <w:t xml:space="preserve">To induce the Secured Parties to enter into this Agreement and to make Loans and to issue Letters of Credit hereunder, each Loan Party represents and warrants to the Administrative Agent and the Lenders, subject to the limitation set forth in </w:t>
      </w:r>
      <w:r>
        <w:rPr>
          <w:rFonts w:ascii="Arial" w:cs="Arial" w:eastAsia="Arial" w:hAnsi="Arial"/>
          <w:sz w:val="18"/>
          <w:szCs w:val="18"/>
          <w:u w:val="single" w:color="auto"/>
          <w:color w:val="auto"/>
        </w:rPr>
        <w:t>Section 5.02(a)</w:t>
      </w:r>
      <w:r>
        <w:rPr>
          <w:rFonts w:ascii="Arial" w:cs="Arial" w:eastAsia="Arial" w:hAnsi="Arial"/>
          <w:sz w:val="18"/>
          <w:szCs w:val="18"/>
          <w:color w:val="auto"/>
        </w:rPr>
        <w:t>,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117</w:t>
      </w:r>
    </w:p>
    <w:p>
      <w:pPr>
        <w:sectPr>
          <w:pgSz w:w="11900" w:h="16838" w:orient="portrait"/>
          <w:cols w:equalWidth="0" w:num="1">
            <w:col w:w="11240"/>
          </w:cols>
          <w:pgMar w:left="320" w:top="1382" w:right="339" w:bottom="1440" w:gutter="0" w:footer="0" w:header="0"/>
        </w:sectPr>
      </w:pPr>
    </w:p>
    <w:bookmarkStart w:id="236" w:name="page237"/>
    <w:bookmarkEnd w:id="236"/>
    <w:p>
      <w:pPr>
        <w:jc w:val="both"/>
        <w:ind w:firstLine="629"/>
        <w:spacing w:after="0" w:line="264" w:lineRule="auto"/>
        <w:rPr>
          <w:sz w:val="20"/>
          <w:szCs w:val="20"/>
          <w:color w:val="auto"/>
        </w:rPr>
      </w:pPr>
      <w:r>
        <w:rPr>
          <w:rFonts w:ascii="Arial" w:cs="Arial" w:eastAsia="Arial" w:hAnsi="Arial"/>
          <w:sz w:val="18"/>
          <w:szCs w:val="18"/>
          <w:b w:val="1"/>
          <w:bCs w:val="1"/>
          <w:color w:val="auto"/>
        </w:rPr>
        <w:t>6.1 Existence, Qualification and Power</w:t>
      </w:r>
      <w:r>
        <w:rPr>
          <w:rFonts w:ascii="Arial" w:cs="Arial" w:eastAsia="Arial" w:hAnsi="Arial"/>
          <w:sz w:val="18"/>
          <w:szCs w:val="18"/>
          <w:color w:val="auto"/>
        </w:rPr>
        <w:t>. Each Loan Party and each Restricted Subsidiary (a) is a corporation, partnership,</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unlimited liability company or limited liability company duly organized or formed, validly existing and in good standing under the Laws of the jurisdiction of its incorporation, organization or formation, (b) has all requisite power and authority and all requisite governmental licenses, authorizations, consents and approvals to (i) own or lease its assets and carry on its business as is now being conducted and (ii) execute, deliver and perform its obligations under the Loan Documents to which it is a party and to consummate the Transactions to which it is a party, and (c) is duly qualified and is licensed and in good standing under the Laws of each jurisdiction where its ownership, lease or operation of properties or the conduct of its business requires such qualification or license; except in each case referred to in clause (b)(i), or (c), to the extent that failure to do so could not, individually or in the aggregate, reasonably be expected to have a Material Adverse Effect. No Loan Party is (a) an Affected Financial Institution or (b) a Covered Entity (as defined in </w:t>
      </w:r>
      <w:r>
        <w:rPr>
          <w:rFonts w:ascii="Arial" w:cs="Arial" w:eastAsia="Arial" w:hAnsi="Arial"/>
          <w:sz w:val="18"/>
          <w:szCs w:val="18"/>
          <w:u w:val="single" w:color="auto"/>
          <w:color w:val="auto"/>
        </w:rPr>
        <w:t>Section 11.21(b)</w:t>
      </w:r>
      <w:r>
        <w:rPr>
          <w:rFonts w:ascii="Arial" w:cs="Arial" w:eastAsia="Arial" w:hAnsi="Arial"/>
          <w:sz w:val="18"/>
          <w:szCs w:val="18"/>
          <w:color w:val="auto"/>
        </w:rPr>
        <w:t>).</w:t>
      </w:r>
    </w:p>
    <w:p>
      <w:pPr>
        <w:spacing w:after="0" w:line="167" w:lineRule="exact"/>
        <w:rPr>
          <w:sz w:val="20"/>
          <w:szCs w:val="20"/>
          <w:color w:val="auto"/>
        </w:rPr>
      </w:pPr>
    </w:p>
    <w:p>
      <w:pPr>
        <w:jc w:val="both"/>
        <w:ind w:firstLine="629"/>
        <w:spacing w:after="0" w:line="252" w:lineRule="auto"/>
        <w:rPr>
          <w:sz w:val="20"/>
          <w:szCs w:val="20"/>
          <w:color w:val="auto"/>
        </w:rPr>
      </w:pPr>
      <w:r>
        <w:rPr>
          <w:rFonts w:ascii="Arial" w:cs="Arial" w:eastAsia="Arial" w:hAnsi="Arial"/>
          <w:sz w:val="19"/>
          <w:szCs w:val="19"/>
          <w:b w:val="1"/>
          <w:bCs w:val="1"/>
          <w:color w:val="auto"/>
        </w:rPr>
        <w:t xml:space="preserve">6.2 Authorization; No Contravention. </w:t>
      </w:r>
      <w:r>
        <w:rPr>
          <w:rFonts w:ascii="Arial" w:cs="Arial" w:eastAsia="Arial" w:hAnsi="Arial"/>
          <w:sz w:val="19"/>
          <w:szCs w:val="19"/>
          <w:color w:val="auto"/>
        </w:rPr>
        <w:t>The execution, delivery and performance by each Loan Party of each Loan Document to</w:t>
      </w:r>
      <w:r>
        <w:rPr>
          <w:rFonts w:ascii="Arial" w:cs="Arial" w:eastAsia="Arial" w:hAnsi="Arial"/>
          <w:sz w:val="19"/>
          <w:szCs w:val="19"/>
          <w:b w:val="1"/>
          <w:bCs w:val="1"/>
          <w:color w:val="auto"/>
        </w:rPr>
        <w:t xml:space="preserve"> </w:t>
      </w:r>
      <w:r>
        <w:rPr>
          <w:rFonts w:ascii="Arial" w:cs="Arial" w:eastAsia="Arial" w:hAnsi="Arial"/>
          <w:sz w:val="19"/>
          <w:szCs w:val="19"/>
          <w:color w:val="auto"/>
        </w:rPr>
        <w:t>which such Person is party, and the consummation of the Transactions, have been duly authorized by all necessary corporate or other organizational action, and do not and will not (a) contravene the terms of the Organizational Documents of any such Person; (b) conflict with or result in any breach or contravention of, or the creation of any Lien under (i) any Contractual Obligation to which such Person is a party or (ii) any order, injunction, writ or decree of any Governmental Authority or any arbitral award to which such Person or its property is subject; or (c) violate any Law.</w:t>
      </w:r>
    </w:p>
    <w:p>
      <w:pPr>
        <w:spacing w:after="0" w:line="171" w:lineRule="exact"/>
        <w:rPr>
          <w:sz w:val="20"/>
          <w:szCs w:val="20"/>
          <w:color w:val="auto"/>
        </w:rPr>
      </w:pPr>
    </w:p>
    <w:p>
      <w:pPr>
        <w:jc w:val="both"/>
        <w:ind w:firstLine="629"/>
        <w:spacing w:after="0" w:line="265" w:lineRule="auto"/>
        <w:rPr>
          <w:sz w:val="20"/>
          <w:szCs w:val="20"/>
          <w:color w:val="auto"/>
        </w:rPr>
      </w:pPr>
      <w:r>
        <w:rPr>
          <w:rFonts w:ascii="Arial" w:cs="Arial" w:eastAsia="Arial" w:hAnsi="Arial"/>
          <w:sz w:val="18"/>
          <w:szCs w:val="18"/>
          <w:b w:val="1"/>
          <w:bCs w:val="1"/>
          <w:color w:val="auto"/>
        </w:rPr>
        <w:t>6.3 Governmental Authorization; Other Consents</w:t>
      </w:r>
      <w:r>
        <w:rPr>
          <w:rFonts w:ascii="Arial" w:cs="Arial" w:eastAsia="Arial" w:hAnsi="Arial"/>
          <w:sz w:val="18"/>
          <w:szCs w:val="18"/>
          <w:color w:val="auto"/>
        </w:rPr>
        <w:t>. No approval, consent, exemption, authorization, or other action by, or notice</w:t>
      </w:r>
      <w:r>
        <w:rPr>
          <w:rFonts w:ascii="Arial" w:cs="Arial" w:eastAsia="Arial" w:hAnsi="Arial"/>
          <w:sz w:val="18"/>
          <w:szCs w:val="18"/>
          <w:b w:val="1"/>
          <w:bCs w:val="1"/>
          <w:color w:val="auto"/>
        </w:rPr>
        <w:t xml:space="preserve"> </w:t>
      </w:r>
      <w:r>
        <w:rPr>
          <w:rFonts w:ascii="Arial" w:cs="Arial" w:eastAsia="Arial" w:hAnsi="Arial"/>
          <w:sz w:val="18"/>
          <w:szCs w:val="18"/>
          <w:color w:val="auto"/>
        </w:rPr>
        <w:t>to, or filing with, any Governmental Authority or any other Person is necessary or required in connection with (a) the execution, delivery or performance by, or enforcement against, any Loan Party of this Agreement or any other Loan Document or the consummation of the Transactions, (b) the grant by any Loan Party of the Liens granted by it pursuant to the Loan Documents, (c) the perfection or maintenance of the Liens created under the Loan Documents (including the first priority nature thereof) or (d) the exercise by the Administrative Agent or any Lender of its rights under the Loan Documents or the remedies in respect of the Collateral pursuant to the Loan Documents, except for the filing of a description of the entry into a material definitive agreement on either a current Report on Form 8-K or Quarterly Report on form 10-Q with the SEC, all of which have been duly obtained, taken, given or made and are in full force and effect.</w:t>
      </w:r>
    </w:p>
    <w:p>
      <w:pPr>
        <w:spacing w:after="0" w:line="165" w:lineRule="exact"/>
        <w:rPr>
          <w:sz w:val="20"/>
          <w:szCs w:val="20"/>
          <w:color w:val="auto"/>
        </w:rPr>
      </w:pPr>
    </w:p>
    <w:p>
      <w:pPr>
        <w:jc w:val="both"/>
        <w:ind w:firstLine="629"/>
        <w:spacing w:after="0" w:line="253" w:lineRule="auto"/>
        <w:rPr>
          <w:sz w:val="20"/>
          <w:szCs w:val="20"/>
          <w:color w:val="auto"/>
        </w:rPr>
      </w:pPr>
      <w:r>
        <w:rPr>
          <w:rFonts w:ascii="Arial" w:cs="Arial" w:eastAsia="Arial" w:hAnsi="Arial"/>
          <w:sz w:val="19"/>
          <w:szCs w:val="19"/>
          <w:b w:val="1"/>
          <w:bCs w:val="1"/>
          <w:color w:val="auto"/>
        </w:rPr>
        <w:t>6.4 Binding Effect</w:t>
      </w:r>
      <w:r>
        <w:rPr>
          <w:rFonts w:ascii="Arial" w:cs="Arial" w:eastAsia="Arial" w:hAnsi="Arial"/>
          <w:sz w:val="19"/>
          <w:szCs w:val="19"/>
          <w:color w:val="auto"/>
        </w:rPr>
        <w:t>. This Agreement has been, and each other Loan Document, when delivered hereunder, will have been, duly</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executed and delivered by each Loan Party that is party thereto. This Agreement constitutes, and each other Loan Document when so delivered will constitute, a legal, valid and binding obligation of such Loan Party, enforceable against each Loan Party that is party thereto in accordance with its terms, </w:t>
      </w:r>
      <w:r>
        <w:rPr>
          <w:rFonts w:ascii="Arial" w:cs="Arial" w:eastAsia="Arial" w:hAnsi="Arial"/>
          <w:sz w:val="19"/>
          <w:szCs w:val="19"/>
          <w:u w:val="single" w:color="auto"/>
          <w:color w:val="auto"/>
        </w:rPr>
        <w:t>except</w:t>
      </w:r>
      <w:r>
        <w:rPr>
          <w:rFonts w:ascii="Arial" w:cs="Arial" w:eastAsia="Arial" w:hAnsi="Arial"/>
          <w:sz w:val="19"/>
          <w:szCs w:val="19"/>
          <w:color w:val="auto"/>
        </w:rPr>
        <w:t xml:space="preserve"> (a) as rights to indemnification hereunder may be limited by applicable Law and (b) as the enforcement hereof may be limited by any applicable Debtor Relief Laws or by general equitable principles.</w:t>
      </w:r>
    </w:p>
    <w:p>
      <w:pPr>
        <w:spacing w:after="0" w:line="173"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9"/>
          <w:szCs w:val="19"/>
          <w:b w:val="1"/>
          <w:bCs w:val="1"/>
          <w:color w:val="auto"/>
        </w:rPr>
        <w:t>6.5</w:t>
      </w:r>
      <w:r>
        <w:rPr>
          <w:sz w:val="20"/>
          <w:szCs w:val="20"/>
          <w:color w:val="auto"/>
        </w:rPr>
        <w:tab/>
      </w:r>
      <w:r>
        <w:rPr>
          <w:rFonts w:ascii="Arial" w:cs="Arial" w:eastAsia="Arial" w:hAnsi="Arial"/>
          <w:sz w:val="17"/>
          <w:szCs w:val="17"/>
          <w:b w:val="1"/>
          <w:bCs w:val="1"/>
          <w:color w:val="auto"/>
        </w:rPr>
        <w:t>Financial Statements; No Material Adverse Effect</w:t>
      </w:r>
      <w:r>
        <w:rPr>
          <w:rFonts w:ascii="Arial" w:cs="Arial" w:eastAsia="Arial" w:hAnsi="Arial"/>
          <w:sz w:val="17"/>
          <w:szCs w:val="17"/>
          <w:color w:val="auto"/>
        </w:rPr>
        <w:t>.</w:t>
      </w:r>
    </w:p>
    <w:p>
      <w:pPr>
        <w:spacing w:after="0" w:line="220" w:lineRule="exact"/>
        <w:rPr>
          <w:sz w:val="20"/>
          <w:szCs w:val="20"/>
          <w:color w:val="auto"/>
        </w:rPr>
      </w:pPr>
    </w:p>
    <w:p>
      <w:pPr>
        <w:jc w:val="both"/>
        <w:ind w:firstLine="634"/>
        <w:spacing w:after="0" w:line="280" w:lineRule="auto"/>
        <w:tabs>
          <w:tab w:leader="none" w:pos="1249"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The Audited Financial Statements (i) were prepared in accordance with GAAP consistently applied throughout the period covered thereby, except as otherwise expressly noted therein; (ii) fairly present the financial condition of the Company and its Subsidiaries as of the date thereof and their results of operations for the period covered thereby in accordance with GAAP consistently applied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118</w:t>
      </w:r>
    </w:p>
    <w:p>
      <w:pPr>
        <w:sectPr>
          <w:pgSz w:w="11900" w:h="16838" w:orient="portrait"/>
          <w:cols w:equalWidth="0" w:num="1">
            <w:col w:w="11240"/>
          </w:cols>
          <w:pgMar w:left="320" w:top="1375" w:right="339" w:bottom="1440" w:gutter="0" w:footer="0" w:header="0"/>
        </w:sectPr>
      </w:pPr>
    </w:p>
    <w:bookmarkStart w:id="237" w:name="page238"/>
    <w:bookmarkEnd w:id="237"/>
    <w:p>
      <w:pPr>
        <w:jc w:val="both"/>
        <w:spacing w:after="0" w:line="259" w:lineRule="auto"/>
        <w:rPr>
          <w:sz w:val="20"/>
          <w:szCs w:val="20"/>
          <w:color w:val="auto"/>
        </w:rPr>
      </w:pPr>
      <w:r>
        <w:rPr>
          <w:rFonts w:ascii="Arial" w:cs="Arial" w:eastAsia="Arial" w:hAnsi="Arial"/>
          <w:sz w:val="19"/>
          <w:szCs w:val="19"/>
          <w:color w:val="auto"/>
        </w:rPr>
        <w:t>throughout the period covered thereby, except as otherwise expressly noted therein; (iii) show all material Indebtedness and other liabilities, direct or contingent, of the Company and its Subsidiaries as of the date thereof, including liabilities for taxes, material commitments and Indebtedness, in each case, to the extent required to be reflected thereon pursuant to GAAP.</w:t>
      </w:r>
    </w:p>
    <w:p>
      <w:pPr>
        <w:spacing w:after="0" w:line="171" w:lineRule="exact"/>
        <w:rPr>
          <w:sz w:val="20"/>
          <w:szCs w:val="20"/>
          <w:color w:val="auto"/>
        </w:rPr>
      </w:pPr>
    </w:p>
    <w:p>
      <w:pPr>
        <w:jc w:val="both"/>
        <w:ind w:firstLine="634"/>
        <w:spacing w:after="0" w:line="269" w:lineRule="auto"/>
        <w:tabs>
          <w:tab w:leader="none" w:pos="1247" w:val="left"/>
        </w:tabs>
        <w:numPr>
          <w:ilvl w:val="0"/>
          <w:numId w:val="213"/>
        </w:numPr>
        <w:rPr>
          <w:rFonts w:ascii="Arial" w:cs="Arial" w:eastAsia="Arial" w:hAnsi="Arial"/>
          <w:sz w:val="18"/>
          <w:szCs w:val="18"/>
          <w:color w:val="auto"/>
        </w:rPr>
      </w:pPr>
      <w:r>
        <w:rPr>
          <w:rFonts w:ascii="Arial" w:cs="Arial" w:eastAsia="Arial" w:hAnsi="Arial"/>
          <w:sz w:val="18"/>
          <w:szCs w:val="18"/>
          <w:color w:val="auto"/>
        </w:rPr>
        <w:t>The unaudited Consolidated balance sheet of the Company and its Subsidiaries dated as of June 30, 2021, and the related Consolidated statements of income or operations, shareholders’ equity and cash flows for the month then ended (i) were prepared in accordance with GAAP consistently applied throughout the period covered thereby, except as otherwise expressly noted therein, and (ii) fairly present the financial condition of the Company and its Subsidiaries as of the date thereof and their results of operations for the period covered thereby, subject, in the case of clauses (i) and (ii), to the absence of footnotes and to normal year-end audit adjustments.</w:t>
      </w:r>
    </w:p>
    <w:p>
      <w:pPr>
        <w:spacing w:after="0" w:line="164" w:lineRule="exact"/>
        <w:rPr>
          <w:rFonts w:ascii="Arial" w:cs="Arial" w:eastAsia="Arial" w:hAnsi="Arial"/>
          <w:sz w:val="18"/>
          <w:szCs w:val="18"/>
          <w:color w:val="auto"/>
        </w:rPr>
      </w:pPr>
    </w:p>
    <w:p>
      <w:pPr>
        <w:ind w:firstLine="634"/>
        <w:spacing w:after="0" w:line="274" w:lineRule="auto"/>
        <w:tabs>
          <w:tab w:leader="none" w:pos="1249" w:val="left"/>
        </w:tabs>
        <w:numPr>
          <w:ilvl w:val="0"/>
          <w:numId w:val="213"/>
        </w:numPr>
        <w:rPr>
          <w:rFonts w:ascii="Arial" w:cs="Arial" w:eastAsia="Arial" w:hAnsi="Arial"/>
          <w:sz w:val="19"/>
          <w:szCs w:val="19"/>
          <w:color w:val="auto"/>
        </w:rPr>
      </w:pPr>
      <w:r>
        <w:rPr>
          <w:rFonts w:ascii="Arial" w:cs="Arial" w:eastAsia="Arial" w:hAnsi="Arial"/>
          <w:sz w:val="19"/>
          <w:szCs w:val="19"/>
          <w:color w:val="auto"/>
        </w:rPr>
        <w:t>Since the date of the Audited Financial Statements, there has been no event or circumstance, either individually or in the aggregate, that has had or could reasonably be expected to have a Material Adverse Effect.</w:t>
      </w:r>
    </w:p>
    <w:p>
      <w:pPr>
        <w:spacing w:after="0" w:line="156" w:lineRule="exact"/>
        <w:rPr>
          <w:rFonts w:ascii="Arial" w:cs="Arial" w:eastAsia="Arial" w:hAnsi="Arial"/>
          <w:sz w:val="19"/>
          <w:szCs w:val="19"/>
          <w:color w:val="auto"/>
        </w:rPr>
      </w:pPr>
    </w:p>
    <w:p>
      <w:pPr>
        <w:jc w:val="both"/>
        <w:ind w:firstLine="634"/>
        <w:spacing w:after="0" w:line="304" w:lineRule="auto"/>
        <w:tabs>
          <w:tab w:leader="none" w:pos="1247" w:val="left"/>
        </w:tabs>
        <w:numPr>
          <w:ilvl w:val="0"/>
          <w:numId w:val="213"/>
        </w:numPr>
        <w:rPr>
          <w:rFonts w:ascii="Arial" w:cs="Arial" w:eastAsia="Arial" w:hAnsi="Arial"/>
          <w:sz w:val="17"/>
          <w:szCs w:val="17"/>
          <w:color w:val="auto"/>
        </w:rPr>
      </w:pPr>
      <w:r>
        <w:rPr>
          <w:rFonts w:ascii="Arial" w:cs="Arial" w:eastAsia="Arial" w:hAnsi="Arial"/>
          <w:sz w:val="17"/>
          <w:szCs w:val="17"/>
          <w:color w:val="auto"/>
        </w:rPr>
        <w:t>Each Borrower is Solvent and the Loan Parties, on a Consolidated basis, are Solvent. No transfer of property has been or will be made by any Loan Party and no obligation has been or will be incurred by any Loan Party in connection with the transactions contemplated by this Agreement or the other Loan Documents with the intent to hinder, delay, or defraud either present or future creditors of any Loan Party.</w:t>
      </w:r>
    </w:p>
    <w:p>
      <w:pPr>
        <w:spacing w:after="0" w:line="130" w:lineRule="exact"/>
        <w:rPr>
          <w:sz w:val="20"/>
          <w:szCs w:val="20"/>
          <w:color w:val="auto"/>
        </w:rPr>
      </w:pPr>
    </w:p>
    <w:p>
      <w:pPr>
        <w:jc w:val="both"/>
        <w:ind w:firstLine="629"/>
        <w:spacing w:after="0" w:line="250" w:lineRule="auto"/>
        <w:rPr>
          <w:sz w:val="20"/>
          <w:szCs w:val="20"/>
          <w:color w:val="auto"/>
        </w:rPr>
      </w:pPr>
      <w:r>
        <w:rPr>
          <w:rFonts w:ascii="Arial" w:cs="Arial" w:eastAsia="Arial" w:hAnsi="Arial"/>
          <w:sz w:val="19"/>
          <w:szCs w:val="19"/>
          <w:b w:val="1"/>
          <w:bCs w:val="1"/>
          <w:color w:val="auto"/>
        </w:rPr>
        <w:t xml:space="preserve">6.6 Litigation. </w:t>
      </w:r>
      <w:r>
        <w:rPr>
          <w:rFonts w:ascii="Arial" w:cs="Arial" w:eastAsia="Arial" w:hAnsi="Arial"/>
          <w:sz w:val="19"/>
          <w:szCs w:val="19"/>
          <w:color w:val="auto"/>
        </w:rPr>
        <w:t>There are no actions, suits, proceedings, claims or disputes pending or, to the knowledge of any Loan Party after due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investigation, threatened or contemplated, at law, in equity, in arbitration or before any Governmental Authority, by or against any Loan Party or any of its Subsidiaries or against any of their properties or revenues, that (a) purport to affect or pertain to this Agreement or any other Loan Document (including the grant and perfection of any Lien under any Security Instrument) or any of the Transactions or (b) except as specifically disclosed in </w:t>
      </w:r>
      <w:r>
        <w:rPr>
          <w:rFonts w:ascii="Arial" w:cs="Arial" w:eastAsia="Arial" w:hAnsi="Arial"/>
          <w:sz w:val="19"/>
          <w:szCs w:val="19"/>
          <w:u w:val="single" w:color="auto"/>
          <w:color w:val="auto"/>
        </w:rPr>
        <w:t>Schedule 6.06</w:t>
      </w:r>
      <w:r>
        <w:rPr>
          <w:rFonts w:ascii="Arial" w:cs="Arial" w:eastAsia="Arial" w:hAnsi="Arial"/>
          <w:sz w:val="19"/>
          <w:szCs w:val="19"/>
          <w:color w:val="auto"/>
        </w:rPr>
        <w:t xml:space="preserve">, either individually or in the aggregate, if determined adversely, could reasonably be expected to have a Material Adverse Effect. There has been no adverse change in the status, or financial effect on any Loan Party or any Subsidiary thereof, of the matters described on </w:t>
      </w:r>
      <w:r>
        <w:rPr>
          <w:rFonts w:ascii="Arial" w:cs="Arial" w:eastAsia="Arial" w:hAnsi="Arial"/>
          <w:sz w:val="19"/>
          <w:szCs w:val="19"/>
          <w:u w:val="single" w:color="auto"/>
          <w:color w:val="auto"/>
        </w:rPr>
        <w:t>Schedule 6.06</w:t>
      </w:r>
      <w:r>
        <w:rPr>
          <w:rFonts w:ascii="Arial" w:cs="Arial" w:eastAsia="Arial" w:hAnsi="Arial"/>
          <w:sz w:val="19"/>
          <w:szCs w:val="19"/>
          <w:color w:val="auto"/>
        </w:rPr>
        <w:t>.</w:t>
      </w:r>
    </w:p>
    <w:p>
      <w:pPr>
        <w:spacing w:after="0" w:line="177" w:lineRule="exact"/>
        <w:rPr>
          <w:sz w:val="20"/>
          <w:szCs w:val="20"/>
          <w:color w:val="auto"/>
        </w:rPr>
      </w:pPr>
    </w:p>
    <w:p>
      <w:pPr>
        <w:jc w:val="both"/>
        <w:ind w:firstLine="629"/>
        <w:spacing w:after="0" w:line="262" w:lineRule="auto"/>
        <w:rPr>
          <w:sz w:val="20"/>
          <w:szCs w:val="20"/>
          <w:color w:val="auto"/>
        </w:rPr>
      </w:pPr>
      <w:r>
        <w:rPr>
          <w:rFonts w:ascii="Arial" w:cs="Arial" w:eastAsia="Arial" w:hAnsi="Arial"/>
          <w:sz w:val="19"/>
          <w:szCs w:val="19"/>
          <w:b w:val="1"/>
          <w:bCs w:val="1"/>
          <w:color w:val="auto"/>
        </w:rPr>
        <w:t xml:space="preserve">6.7 No Default. </w:t>
      </w:r>
      <w:r>
        <w:rPr>
          <w:rFonts w:ascii="Arial" w:cs="Arial" w:eastAsia="Arial" w:hAnsi="Arial"/>
          <w:sz w:val="19"/>
          <w:szCs w:val="19"/>
          <w:color w:val="auto"/>
        </w:rPr>
        <w:t>No Loan Party nor any Subsidiary is in default under or with respect to any Contractual Obligation that could, either</w:t>
      </w:r>
      <w:r>
        <w:rPr>
          <w:rFonts w:ascii="Arial" w:cs="Arial" w:eastAsia="Arial" w:hAnsi="Arial"/>
          <w:sz w:val="19"/>
          <w:szCs w:val="19"/>
          <w:b w:val="1"/>
          <w:bCs w:val="1"/>
          <w:color w:val="auto"/>
        </w:rPr>
        <w:t xml:space="preserve"> </w:t>
      </w:r>
      <w:r>
        <w:rPr>
          <w:rFonts w:ascii="Arial" w:cs="Arial" w:eastAsia="Arial" w:hAnsi="Arial"/>
          <w:sz w:val="19"/>
          <w:szCs w:val="19"/>
          <w:color w:val="auto"/>
        </w:rPr>
        <w:t>individually or in the aggregate, reasonably be expected to have a Material Adverse Effect. No Default has occurred and is continuing or would result from the consummation of the transactions contemplated by this Agreement or any other Loan Document.</w:t>
      </w:r>
    </w:p>
    <w:p>
      <w:pPr>
        <w:spacing w:after="0" w:line="163"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9"/>
          <w:szCs w:val="19"/>
          <w:b w:val="1"/>
          <w:bCs w:val="1"/>
          <w:color w:val="auto"/>
        </w:rPr>
        <w:t>6.8</w:t>
      </w:r>
      <w:r>
        <w:rPr>
          <w:sz w:val="20"/>
          <w:szCs w:val="20"/>
          <w:color w:val="auto"/>
        </w:rPr>
        <w:tab/>
      </w:r>
      <w:r>
        <w:rPr>
          <w:rFonts w:ascii="Arial" w:cs="Arial" w:eastAsia="Arial" w:hAnsi="Arial"/>
          <w:sz w:val="17"/>
          <w:szCs w:val="17"/>
          <w:b w:val="1"/>
          <w:bCs w:val="1"/>
          <w:color w:val="auto"/>
        </w:rPr>
        <w:t>Ownership of Property; Liens.</w:t>
      </w:r>
    </w:p>
    <w:p>
      <w:pPr>
        <w:spacing w:after="0" w:line="220" w:lineRule="exact"/>
        <w:rPr>
          <w:sz w:val="20"/>
          <w:szCs w:val="20"/>
          <w:color w:val="auto"/>
        </w:rPr>
      </w:pPr>
    </w:p>
    <w:p>
      <w:pPr>
        <w:jc w:val="both"/>
        <w:ind w:firstLine="634"/>
        <w:spacing w:after="0" w:line="254" w:lineRule="auto"/>
        <w:tabs>
          <w:tab w:leader="none" w:pos="1249" w:val="left"/>
        </w:tabs>
        <w:numPr>
          <w:ilvl w:val="0"/>
          <w:numId w:val="214"/>
        </w:numPr>
        <w:rPr>
          <w:rFonts w:ascii="Arial" w:cs="Arial" w:eastAsia="Arial" w:hAnsi="Arial"/>
          <w:sz w:val="19"/>
          <w:szCs w:val="19"/>
          <w:color w:val="auto"/>
        </w:rPr>
      </w:pPr>
      <w:r>
        <w:rPr>
          <w:rFonts w:ascii="Arial" w:cs="Arial" w:eastAsia="Arial" w:hAnsi="Arial"/>
          <w:sz w:val="19"/>
          <w:szCs w:val="19"/>
          <w:color w:val="auto"/>
        </w:rPr>
        <w:t>Each Loan Party and each Restricted Subsidiary has good title to, or valid leasehold interests in, all its real and personal property material to its business, if any (including the Mortgaged Properties), (i) free and clear of all Liens except for Permitted Liens and (ii) except for minor defects in title that do not materially interfere with its ability to conduct its business as currently conducted or as proposed to be conducted or to utilize such properties for their intended purposes.</w:t>
      </w:r>
    </w:p>
    <w:p>
      <w:pPr>
        <w:spacing w:after="0" w:line="176" w:lineRule="exact"/>
        <w:rPr>
          <w:rFonts w:ascii="Arial" w:cs="Arial" w:eastAsia="Arial" w:hAnsi="Arial"/>
          <w:sz w:val="19"/>
          <w:szCs w:val="19"/>
          <w:color w:val="auto"/>
        </w:rPr>
      </w:pPr>
    </w:p>
    <w:p>
      <w:pPr>
        <w:ind w:firstLine="634"/>
        <w:spacing w:after="0" w:line="274" w:lineRule="auto"/>
        <w:tabs>
          <w:tab w:leader="none" w:pos="1247" w:val="left"/>
        </w:tabs>
        <w:numPr>
          <w:ilvl w:val="0"/>
          <w:numId w:val="214"/>
        </w:numPr>
        <w:rPr>
          <w:rFonts w:ascii="Arial" w:cs="Arial" w:eastAsia="Arial" w:hAnsi="Arial"/>
          <w:sz w:val="19"/>
          <w:szCs w:val="19"/>
          <w:color w:val="auto"/>
        </w:rPr>
      </w:pPr>
      <w:r>
        <w:rPr>
          <w:rFonts w:ascii="Arial" w:cs="Arial" w:eastAsia="Arial" w:hAnsi="Arial"/>
          <w:sz w:val="19"/>
          <w:szCs w:val="19"/>
          <w:u w:val="single" w:color="auto"/>
          <w:color w:val="auto"/>
        </w:rPr>
        <w:t>Schedule 6.08</w:t>
      </w:r>
      <w:r>
        <w:rPr>
          <w:rFonts w:ascii="Arial" w:cs="Arial" w:eastAsia="Arial" w:hAnsi="Arial"/>
          <w:sz w:val="19"/>
          <w:szCs w:val="19"/>
          <w:color w:val="auto"/>
        </w:rPr>
        <w:t xml:space="preserve"> sets forth the address (including street address, county and state and province and territory) of all Real Property that is owned or subject to a ground lease by the Loan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119</w:t>
      </w:r>
    </w:p>
    <w:p>
      <w:pPr>
        <w:sectPr>
          <w:pgSz w:w="11900" w:h="16838" w:orient="portrait"/>
          <w:cols w:equalWidth="0" w:num="1">
            <w:col w:w="11240"/>
          </w:cols>
          <w:pgMar w:left="320" w:top="1382" w:right="339" w:bottom="1440" w:gutter="0" w:footer="0" w:header="0"/>
        </w:sectPr>
      </w:pPr>
    </w:p>
    <w:bookmarkStart w:id="238" w:name="page239"/>
    <w:bookmarkEnd w:id="238"/>
    <w:p>
      <w:pPr>
        <w:jc w:val="both"/>
        <w:spacing w:after="0" w:line="259" w:lineRule="auto"/>
        <w:rPr>
          <w:sz w:val="20"/>
          <w:szCs w:val="20"/>
          <w:color w:val="auto"/>
        </w:rPr>
      </w:pPr>
      <w:r>
        <w:rPr>
          <w:rFonts w:ascii="Arial" w:cs="Arial" w:eastAsia="Arial" w:hAnsi="Arial"/>
          <w:sz w:val="19"/>
          <w:szCs w:val="19"/>
          <w:color w:val="auto"/>
        </w:rPr>
        <w:t>as of the Closing Date. Each Loan Party and each of its Subsidiaries has good, marketable and insurable fee simple title to the Real Property owned by such Loan Party or such Subsidiary, free and clear of all Liens, other than Permitted Liens. Each ground lease of the Loan Parties is in full force and effect and the Loan Parties are not in default of any material terms thereof.</w:t>
      </w:r>
    </w:p>
    <w:p>
      <w:pPr>
        <w:spacing w:after="0" w:line="165"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9"/>
          <w:szCs w:val="19"/>
          <w:b w:val="1"/>
          <w:bCs w:val="1"/>
          <w:color w:val="auto"/>
        </w:rPr>
        <w:t>6.9</w:t>
      </w:r>
      <w:r>
        <w:rPr>
          <w:sz w:val="20"/>
          <w:szCs w:val="20"/>
          <w:color w:val="auto"/>
        </w:rPr>
        <w:tab/>
      </w:r>
      <w:r>
        <w:rPr>
          <w:rFonts w:ascii="Arial" w:cs="Arial" w:eastAsia="Arial" w:hAnsi="Arial"/>
          <w:sz w:val="17"/>
          <w:szCs w:val="17"/>
          <w:b w:val="1"/>
          <w:bCs w:val="1"/>
          <w:color w:val="auto"/>
        </w:rPr>
        <w:t>Environmental Compliance</w:t>
      </w:r>
      <w:r>
        <w:rPr>
          <w:rFonts w:ascii="Arial" w:cs="Arial" w:eastAsia="Arial" w:hAnsi="Arial"/>
          <w:sz w:val="17"/>
          <w:szCs w:val="17"/>
          <w:color w:val="auto"/>
        </w:rPr>
        <w:t>.</w:t>
      </w:r>
    </w:p>
    <w:p>
      <w:pPr>
        <w:spacing w:after="0" w:line="220" w:lineRule="exact"/>
        <w:rPr>
          <w:sz w:val="20"/>
          <w:szCs w:val="20"/>
          <w:color w:val="auto"/>
        </w:rPr>
      </w:pPr>
    </w:p>
    <w:p>
      <w:pPr>
        <w:jc w:val="both"/>
        <w:ind w:firstLine="634"/>
        <w:spacing w:after="0" w:line="252" w:lineRule="auto"/>
        <w:tabs>
          <w:tab w:leader="none" w:pos="1249" w:val="left"/>
        </w:tabs>
        <w:numPr>
          <w:ilvl w:val="0"/>
          <w:numId w:val="215"/>
        </w:numPr>
        <w:rPr>
          <w:rFonts w:ascii="Arial" w:cs="Arial" w:eastAsia="Arial" w:hAnsi="Arial"/>
          <w:sz w:val="19"/>
          <w:szCs w:val="19"/>
          <w:color w:val="auto"/>
        </w:rPr>
      </w:pPr>
      <w:r>
        <w:rPr>
          <w:rFonts w:ascii="Arial" w:cs="Arial" w:eastAsia="Arial" w:hAnsi="Arial"/>
          <w:sz w:val="19"/>
          <w:szCs w:val="19"/>
          <w:color w:val="auto"/>
        </w:rPr>
        <w:t xml:space="preserve">Except as disclosed in </w:t>
      </w:r>
      <w:r>
        <w:rPr>
          <w:rFonts w:ascii="Arial" w:cs="Arial" w:eastAsia="Arial" w:hAnsi="Arial"/>
          <w:sz w:val="19"/>
          <w:szCs w:val="19"/>
          <w:u w:val="single" w:color="auto"/>
          <w:color w:val="auto"/>
        </w:rPr>
        <w:t>Schedule 6.09</w:t>
      </w:r>
      <w:r>
        <w:rPr>
          <w:rFonts w:ascii="Arial" w:cs="Arial" w:eastAsia="Arial" w:hAnsi="Arial"/>
          <w:sz w:val="19"/>
          <w:szCs w:val="19"/>
          <w:color w:val="auto"/>
        </w:rPr>
        <w:t>, no Loan Party or any Subsidiary thereof (i) has failed to comply with any Environmental Law or to obtain, maintain or comply with any permit, license or other approval required under any Environmental Law with respect to the Loan Party or any Subsidiary’s operations, (ii) has become subject to a pending claim with respect to any Environmental Liability or (iii) has received written notice of any claim with respect to any Environmental Liability except, in each case, as could not, individually or in the aggregate, reasonably be expected to have a Material Adverse Effect.</w:t>
      </w:r>
    </w:p>
    <w:p>
      <w:pPr>
        <w:spacing w:after="0" w:line="177" w:lineRule="exact"/>
        <w:rPr>
          <w:rFonts w:ascii="Arial" w:cs="Arial" w:eastAsia="Arial" w:hAnsi="Arial"/>
          <w:sz w:val="19"/>
          <w:szCs w:val="19"/>
          <w:color w:val="auto"/>
        </w:rPr>
      </w:pPr>
    </w:p>
    <w:p>
      <w:pPr>
        <w:jc w:val="both"/>
        <w:ind w:firstLine="634"/>
        <w:spacing w:after="0" w:line="263" w:lineRule="auto"/>
        <w:tabs>
          <w:tab w:leader="none" w:pos="1247" w:val="left"/>
        </w:tabs>
        <w:numPr>
          <w:ilvl w:val="0"/>
          <w:numId w:val="215"/>
        </w:numPr>
        <w:rPr>
          <w:rFonts w:ascii="Arial" w:cs="Arial" w:eastAsia="Arial" w:hAnsi="Arial"/>
          <w:sz w:val="18"/>
          <w:szCs w:val="18"/>
          <w:color w:val="auto"/>
        </w:rPr>
      </w:pPr>
      <w:r>
        <w:rPr>
          <w:rFonts w:ascii="Arial" w:cs="Arial" w:eastAsia="Arial" w:hAnsi="Arial"/>
          <w:sz w:val="18"/>
          <w:szCs w:val="18"/>
          <w:color w:val="auto"/>
        </w:rPr>
        <w:t xml:space="preserve">Except as otherwise set forth in </w:t>
      </w:r>
      <w:r>
        <w:rPr>
          <w:rFonts w:ascii="Arial" w:cs="Arial" w:eastAsia="Arial" w:hAnsi="Arial"/>
          <w:sz w:val="18"/>
          <w:szCs w:val="18"/>
          <w:u w:val="single" w:color="auto"/>
          <w:color w:val="auto"/>
        </w:rPr>
        <w:t>Schedule 6.09</w:t>
      </w:r>
      <w:r>
        <w:rPr>
          <w:rFonts w:ascii="Arial" w:cs="Arial" w:eastAsia="Arial" w:hAnsi="Arial"/>
          <w:sz w:val="18"/>
          <w:szCs w:val="18"/>
          <w:color w:val="auto"/>
        </w:rPr>
        <w:t xml:space="preserve"> or as would not individually or in the aggregate reasonably be expected to result in a Material Adverse Effect, (i) none of the properties currently owned or operated by any Loan Party or any Subsidiary thereof is listed or, to the knowledge of the Loan Parties, proposed for listing on the NPL or on the CERCLIS or any analogous foreign, state or local list or is adjacent to any such property; (ii) there are no and, to the knowledge of the Loan Parties, never have been any underground or above-ground storage tanks or any surface impoundments, septic tanks, pits, sumps or lagoons in which Hazardous Materials are being or have been treated, stored or disposed on any property currently owned or operated by any Loan Party or any Subsidiary thereof; (iii) to the knowledge of the Loan Parties, there is no asbestos or asbestos-containing material on any property currently owned or operated by any Loan Party or Subsidiary thereof; and (iv) Hazardous Materials have not been released, discharged or disposed of by any Loan Party or Subsidiary in violation of Environmental Laws or, to the knowledge of the Loan Parties, by any other Person in violation of Environmental Laws on any property currently owned or operated by any Loan Party or any Subsidiary thereof.</w:t>
      </w:r>
    </w:p>
    <w:p>
      <w:pPr>
        <w:spacing w:after="0" w:line="170" w:lineRule="exact"/>
        <w:rPr>
          <w:rFonts w:ascii="Arial" w:cs="Arial" w:eastAsia="Arial" w:hAnsi="Arial"/>
          <w:sz w:val="18"/>
          <w:szCs w:val="18"/>
          <w:color w:val="auto"/>
        </w:rPr>
      </w:pPr>
    </w:p>
    <w:p>
      <w:pPr>
        <w:jc w:val="both"/>
        <w:ind w:firstLine="634"/>
        <w:spacing w:after="0" w:line="282" w:lineRule="auto"/>
        <w:tabs>
          <w:tab w:leader="none" w:pos="1249" w:val="left"/>
        </w:tabs>
        <w:numPr>
          <w:ilvl w:val="0"/>
          <w:numId w:val="215"/>
        </w:numPr>
        <w:rPr>
          <w:rFonts w:ascii="Arial" w:cs="Arial" w:eastAsia="Arial" w:hAnsi="Arial"/>
          <w:sz w:val="17"/>
          <w:szCs w:val="17"/>
          <w:color w:val="auto"/>
        </w:rPr>
      </w:pPr>
      <w:r>
        <w:rPr>
          <w:rFonts w:ascii="Arial" w:cs="Arial" w:eastAsia="Arial" w:hAnsi="Arial"/>
          <w:sz w:val="17"/>
          <w:szCs w:val="17"/>
          <w:color w:val="auto"/>
        </w:rPr>
        <w:t xml:space="preserve">Except as otherwise set forth on </w:t>
      </w:r>
      <w:r>
        <w:rPr>
          <w:rFonts w:ascii="Arial" w:cs="Arial" w:eastAsia="Arial" w:hAnsi="Arial"/>
          <w:sz w:val="17"/>
          <w:szCs w:val="17"/>
          <w:u w:val="single" w:color="auto"/>
          <w:color w:val="auto"/>
        </w:rPr>
        <w:t>Schedule 6.09</w:t>
      </w:r>
      <w:r>
        <w:rPr>
          <w:rFonts w:ascii="Arial" w:cs="Arial" w:eastAsia="Arial" w:hAnsi="Arial"/>
          <w:sz w:val="17"/>
          <w:szCs w:val="17"/>
          <w:color w:val="auto"/>
        </w:rPr>
        <w:t xml:space="preserve"> or as would not individually or in the aggregate reasonably be expected to result in a Material Adverse Effect, no Loan Party or any Subsidiary thereof is undertaking, and no Loan Party or any Subsidiary thereof has completed, either individually or together with other potentially responsible parties, any investigation or assessment or remedial or response action relating to any actual or threatened release, discharge or disposal of Hazardous Materials at any site, location or operation, either voluntarily or pursuant to the order of any Governmental Authority or the requirements of any Environmental Law; and all Hazardous Materials generated, used, treated, handled or stored by any Loan Party or any Subsidiary at, or transported to or from by or on behalf of any Loan Party or any Subsidiary, any property currently owned or operated by any Loan Party or any Subsidiary thereof have, to the knowledge of the Loan Parties, been disposed of in a manner not reasonably expected to result in material liability to any Loan Party or any Subsidiary thereof.</w:t>
      </w:r>
    </w:p>
    <w:p>
      <w:pPr>
        <w:spacing w:after="0" w:line="155" w:lineRule="exact"/>
        <w:rPr>
          <w:rFonts w:ascii="Arial" w:cs="Arial" w:eastAsia="Arial" w:hAnsi="Arial"/>
          <w:sz w:val="17"/>
          <w:szCs w:val="17"/>
          <w:color w:val="auto"/>
        </w:rPr>
      </w:pPr>
    </w:p>
    <w:p>
      <w:pPr>
        <w:jc w:val="both"/>
        <w:ind w:firstLine="634"/>
        <w:spacing w:after="0" w:line="273" w:lineRule="auto"/>
        <w:tabs>
          <w:tab w:leader="none" w:pos="1247" w:val="left"/>
        </w:tabs>
        <w:numPr>
          <w:ilvl w:val="0"/>
          <w:numId w:val="215"/>
        </w:numPr>
        <w:rPr>
          <w:rFonts w:ascii="Arial" w:cs="Arial" w:eastAsia="Arial" w:hAnsi="Arial"/>
          <w:sz w:val="18"/>
          <w:szCs w:val="18"/>
          <w:color w:val="auto"/>
        </w:rPr>
      </w:pPr>
      <w:r>
        <w:rPr>
          <w:rFonts w:ascii="Arial" w:cs="Arial" w:eastAsia="Arial" w:hAnsi="Arial"/>
          <w:sz w:val="18"/>
          <w:szCs w:val="18"/>
          <w:color w:val="auto"/>
        </w:rPr>
        <w:t xml:space="preserve">Each Loan Party conducts in the Ordinary Course of Business a review of the effect of existing Environmental Laws and claims alleging potential liability or responsibility for violation of any Environmental Law on their respective businesses, operations and properties, and as a result thereof each Loan Party has reasonably concluded that, except as set forth on </w:t>
      </w:r>
      <w:r>
        <w:rPr>
          <w:rFonts w:ascii="Arial" w:cs="Arial" w:eastAsia="Arial" w:hAnsi="Arial"/>
          <w:sz w:val="18"/>
          <w:szCs w:val="18"/>
          <w:u w:val="single" w:color="auto"/>
          <w:color w:val="auto"/>
        </w:rPr>
        <w:t>Schedule 6.09</w:t>
      </w:r>
      <w:r>
        <w:rPr>
          <w:rFonts w:ascii="Arial" w:cs="Arial" w:eastAsia="Arial" w:hAnsi="Arial"/>
          <w:sz w:val="18"/>
          <w:szCs w:val="18"/>
          <w:color w:val="auto"/>
        </w:rPr>
        <w:t>, such Environmental Laws and claims could not, individually or in the aggregate, reasonably be expected to have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120</w:t>
      </w:r>
    </w:p>
    <w:p>
      <w:pPr>
        <w:sectPr>
          <w:pgSz w:w="11900" w:h="16838" w:orient="portrait"/>
          <w:cols w:equalWidth="0" w:num="1">
            <w:col w:w="11240"/>
          </w:cols>
          <w:pgMar w:left="320" w:top="1381" w:right="339" w:bottom="1440" w:gutter="0" w:footer="0" w:header="0"/>
        </w:sectPr>
      </w:pPr>
    </w:p>
    <w:bookmarkStart w:id="239" w:name="page240"/>
    <w:bookmarkEnd w:id="239"/>
    <w:p>
      <w:pPr>
        <w:jc w:val="both"/>
        <w:ind w:firstLine="629"/>
        <w:spacing w:after="0" w:line="250" w:lineRule="auto"/>
        <w:rPr>
          <w:sz w:val="20"/>
          <w:szCs w:val="20"/>
          <w:color w:val="auto"/>
        </w:rPr>
      </w:pPr>
      <w:r>
        <w:rPr>
          <w:rFonts w:ascii="Arial" w:cs="Arial" w:eastAsia="Arial" w:hAnsi="Arial"/>
          <w:sz w:val="19"/>
          <w:szCs w:val="19"/>
          <w:b w:val="1"/>
          <w:bCs w:val="1"/>
          <w:color w:val="auto"/>
        </w:rPr>
        <w:t xml:space="preserve">6.10 Insurance. </w:t>
      </w:r>
      <w:r>
        <w:rPr>
          <w:rFonts w:ascii="Arial" w:cs="Arial" w:eastAsia="Arial" w:hAnsi="Arial"/>
          <w:sz w:val="19"/>
          <w:szCs w:val="19"/>
          <w:color w:val="auto"/>
        </w:rPr>
        <w:t>The properties of the Loan Parties and their Subsidiaries are insured with financially sound and reputable insurance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companies which are not Affiliates of the Loan Parties, in such amounts, with such deductibles and covering such risks (including, without limitation, workmen’s compensation, public liability, professional liability, product liability and property damage insurance) as are customarily carried by companies engaged in similar businesses and owning similar properties in localities where the Loan Parties or the applicable Subsidiary operates. </w:t>
      </w:r>
      <w:r>
        <w:rPr>
          <w:rFonts w:ascii="Arial" w:cs="Arial" w:eastAsia="Arial" w:hAnsi="Arial"/>
          <w:sz w:val="19"/>
          <w:szCs w:val="19"/>
          <w:u w:val="single" w:color="auto"/>
          <w:color w:val="auto"/>
        </w:rPr>
        <w:t>Schedule 6.10</w:t>
      </w:r>
      <w:r>
        <w:rPr>
          <w:rFonts w:ascii="Arial" w:cs="Arial" w:eastAsia="Arial" w:hAnsi="Arial"/>
          <w:sz w:val="19"/>
          <w:szCs w:val="19"/>
          <w:color w:val="auto"/>
        </w:rPr>
        <w:t xml:space="preserve"> sets forth a description of all insurance maintained by or on behalf of the Loan Parties as of the Closing Date. Each insurance policy listed on </w:t>
      </w:r>
      <w:r>
        <w:rPr>
          <w:rFonts w:ascii="Arial" w:cs="Arial" w:eastAsia="Arial" w:hAnsi="Arial"/>
          <w:sz w:val="19"/>
          <w:szCs w:val="19"/>
          <w:u w:val="single" w:color="auto"/>
          <w:color w:val="auto"/>
        </w:rPr>
        <w:t>Schedule 6.10</w:t>
      </w:r>
      <w:r>
        <w:rPr>
          <w:rFonts w:ascii="Arial" w:cs="Arial" w:eastAsia="Arial" w:hAnsi="Arial"/>
          <w:sz w:val="19"/>
          <w:szCs w:val="19"/>
          <w:color w:val="auto"/>
        </w:rPr>
        <w:t xml:space="preserve"> is in full force and effect and all premiums in respect thereof that are due and payable have been paid.</w:t>
      </w:r>
    </w:p>
    <w:p>
      <w:pPr>
        <w:spacing w:after="0" w:line="177" w:lineRule="exact"/>
        <w:rPr>
          <w:sz w:val="20"/>
          <w:szCs w:val="20"/>
          <w:color w:val="auto"/>
        </w:rPr>
      </w:pPr>
    </w:p>
    <w:p>
      <w:pPr>
        <w:jc w:val="both"/>
        <w:ind w:firstLine="629"/>
        <w:spacing w:after="0" w:line="271" w:lineRule="auto"/>
        <w:rPr>
          <w:sz w:val="20"/>
          <w:szCs w:val="20"/>
          <w:color w:val="auto"/>
        </w:rPr>
      </w:pPr>
      <w:r>
        <w:rPr>
          <w:rFonts w:ascii="Arial" w:cs="Arial" w:eastAsia="Arial" w:hAnsi="Arial"/>
          <w:sz w:val="18"/>
          <w:szCs w:val="18"/>
          <w:b w:val="1"/>
          <w:bCs w:val="1"/>
          <w:color w:val="auto"/>
        </w:rPr>
        <w:t xml:space="preserve">6.11 Taxes. </w:t>
      </w:r>
      <w:r>
        <w:rPr>
          <w:rFonts w:ascii="Arial" w:cs="Arial" w:eastAsia="Arial" w:hAnsi="Arial"/>
          <w:sz w:val="18"/>
          <w:szCs w:val="18"/>
          <w:color w:val="auto"/>
        </w:rPr>
        <w:t>Each Loan Party and its Subsidiaries have filed all federal, provincial, territorial, state and other material tax returns and</w:t>
      </w:r>
      <w:r>
        <w:rPr>
          <w:rFonts w:ascii="Arial" w:cs="Arial" w:eastAsia="Arial" w:hAnsi="Arial"/>
          <w:sz w:val="18"/>
          <w:szCs w:val="18"/>
          <w:b w:val="1"/>
          <w:bCs w:val="1"/>
          <w:color w:val="auto"/>
        </w:rPr>
        <w:t xml:space="preserve"> </w:t>
      </w:r>
      <w:r>
        <w:rPr>
          <w:rFonts w:ascii="Arial" w:cs="Arial" w:eastAsia="Arial" w:hAnsi="Arial"/>
          <w:sz w:val="18"/>
          <w:szCs w:val="18"/>
          <w:color w:val="auto"/>
        </w:rPr>
        <w:t>reports required to be filed, and have paid all federal, provincial, territorial, state and other material taxes, assessments, fees and other governmental charges levied or imposed upon them or their properties, income or assets otherwise due and payable, except those which are being Properly Contested. There is no proposed tax assessment against the Company or any Subsidiary that would, if made, have a Material Adverse Effect. Neither the Company nor any Subsidiary thereof is party to any tax sharing agreement.</w:t>
      </w:r>
    </w:p>
    <w:p>
      <w:pPr>
        <w:spacing w:after="0" w:line="156"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9"/>
          <w:szCs w:val="19"/>
          <w:b w:val="1"/>
          <w:bCs w:val="1"/>
          <w:color w:val="auto"/>
        </w:rPr>
        <w:t>6.12</w:t>
      </w:r>
      <w:r>
        <w:rPr>
          <w:sz w:val="20"/>
          <w:szCs w:val="20"/>
          <w:color w:val="auto"/>
        </w:rPr>
        <w:tab/>
      </w:r>
      <w:r>
        <w:rPr>
          <w:rFonts w:ascii="Arial" w:cs="Arial" w:eastAsia="Arial" w:hAnsi="Arial"/>
          <w:sz w:val="17"/>
          <w:szCs w:val="17"/>
          <w:b w:val="1"/>
          <w:bCs w:val="1"/>
          <w:color w:val="auto"/>
        </w:rPr>
        <w:t>ERISA Compliance</w:t>
      </w:r>
      <w:r>
        <w:rPr>
          <w:rFonts w:ascii="Arial" w:cs="Arial" w:eastAsia="Arial" w:hAnsi="Arial"/>
          <w:sz w:val="17"/>
          <w:szCs w:val="17"/>
          <w:color w:val="auto"/>
        </w:rPr>
        <w:t>.</w:t>
      </w:r>
    </w:p>
    <w:p>
      <w:pPr>
        <w:spacing w:after="0" w:line="220" w:lineRule="exact"/>
        <w:rPr>
          <w:sz w:val="20"/>
          <w:szCs w:val="20"/>
          <w:color w:val="auto"/>
        </w:rPr>
      </w:pPr>
    </w:p>
    <w:p>
      <w:pPr>
        <w:jc w:val="both"/>
        <w:ind w:firstLine="634"/>
        <w:spacing w:after="0" w:line="250" w:lineRule="auto"/>
        <w:tabs>
          <w:tab w:leader="none" w:pos="1249" w:val="left"/>
        </w:tabs>
        <w:numPr>
          <w:ilvl w:val="0"/>
          <w:numId w:val="216"/>
        </w:numPr>
        <w:rPr>
          <w:rFonts w:ascii="Arial" w:cs="Arial" w:eastAsia="Arial" w:hAnsi="Arial"/>
          <w:sz w:val="19"/>
          <w:szCs w:val="19"/>
          <w:color w:val="auto"/>
        </w:rPr>
      </w:pPr>
      <w:r>
        <w:rPr>
          <w:rFonts w:ascii="Arial" w:cs="Arial" w:eastAsia="Arial" w:hAnsi="Arial"/>
          <w:sz w:val="19"/>
          <w:szCs w:val="19"/>
          <w:color w:val="auto"/>
        </w:rPr>
        <w:t>Each Plan is in compliance in all material respects with the applicable provisions of ERISA, the Code and other federal or state Laws. Each Plan that is intended to be a qualified plan under Section 401(a) of the Code has received a favorable determination letter from the Internal Revenue Service or is entitled to rely on a favorable opinion letter from the Internal Revenue Service to the effect that the form of such Plan is qualified under Section 401(a) of the Code and the trust related thereto has been determined by the Internal Revenue Service to be exempt from federal income tax under Section 501(a) of the Code. To the best knowledge of each Loan Party, nothing has occurred that would prevent or cause the loss of such tax-qualified status.</w:t>
      </w:r>
    </w:p>
    <w:p>
      <w:pPr>
        <w:spacing w:after="0" w:line="181" w:lineRule="exact"/>
        <w:rPr>
          <w:rFonts w:ascii="Arial" w:cs="Arial" w:eastAsia="Arial" w:hAnsi="Arial"/>
          <w:sz w:val="19"/>
          <w:szCs w:val="19"/>
          <w:color w:val="auto"/>
        </w:rPr>
      </w:pPr>
    </w:p>
    <w:p>
      <w:pPr>
        <w:jc w:val="both"/>
        <w:ind w:firstLine="634"/>
        <w:spacing w:after="0" w:line="254" w:lineRule="auto"/>
        <w:tabs>
          <w:tab w:leader="none" w:pos="1247" w:val="left"/>
        </w:tabs>
        <w:numPr>
          <w:ilvl w:val="0"/>
          <w:numId w:val="216"/>
        </w:numPr>
        <w:rPr>
          <w:rFonts w:ascii="Arial" w:cs="Arial" w:eastAsia="Arial" w:hAnsi="Arial"/>
          <w:sz w:val="19"/>
          <w:szCs w:val="19"/>
          <w:color w:val="auto"/>
        </w:rPr>
      </w:pPr>
      <w:r>
        <w:rPr>
          <w:rFonts w:ascii="Arial" w:cs="Arial" w:eastAsia="Arial" w:hAnsi="Arial"/>
          <w:sz w:val="19"/>
          <w:szCs w:val="19"/>
          <w:color w:val="auto"/>
        </w:rPr>
        <w:t>There are no pending or, to the knowledge of any Loan Party, threatened claims, actions or lawsuits, or action by any Governmental Authority, with respect to any Plan that could reasonably be expected to have a Material Adverse Effect. There has been no prohibited transaction or violation of the fiduciary responsibility rules with respect to any Plan that has resulted or could reasonably be expected to result in a Material Adverse Effect.</w:t>
      </w:r>
    </w:p>
    <w:p>
      <w:pPr>
        <w:spacing w:after="0" w:line="176" w:lineRule="exact"/>
        <w:rPr>
          <w:rFonts w:ascii="Arial" w:cs="Arial" w:eastAsia="Arial" w:hAnsi="Arial"/>
          <w:sz w:val="19"/>
          <w:szCs w:val="19"/>
          <w:color w:val="auto"/>
        </w:rPr>
      </w:pPr>
    </w:p>
    <w:p>
      <w:pPr>
        <w:jc w:val="both"/>
        <w:ind w:firstLine="634"/>
        <w:spacing w:after="0" w:line="263" w:lineRule="auto"/>
        <w:tabs>
          <w:tab w:leader="none" w:pos="1249" w:val="left"/>
        </w:tabs>
        <w:numPr>
          <w:ilvl w:val="0"/>
          <w:numId w:val="216"/>
        </w:numPr>
        <w:rPr>
          <w:rFonts w:ascii="Arial" w:cs="Arial" w:eastAsia="Arial" w:hAnsi="Arial"/>
          <w:sz w:val="18"/>
          <w:szCs w:val="18"/>
          <w:color w:val="auto"/>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Schedule 6.12</w:t>
      </w:r>
      <w:r>
        <w:rPr>
          <w:rFonts w:ascii="Arial" w:cs="Arial" w:eastAsia="Arial" w:hAnsi="Arial"/>
          <w:sz w:val="18"/>
          <w:szCs w:val="18"/>
          <w:color w:val="auto"/>
        </w:rPr>
        <w:t>, (i) no ERISA Event has occurred, and no Loan Party nor any ERISA Affiliate is aware of any fact, event or circumstance that could reasonably be expected to constitute or result in an ERISA Event with respect to any Pension Plan; (ii) each Loan Party and each ERISA Affiliate has met all applicable requirements under the Pension Funding Rules in respect of each Pension Plan, and no waiver of the minimum funding standards under the Pension Funding Rules has been applied for or obtained; (iii) as of the most recent valuation date for any Pension Plan (other than a Multiemployer Plan for work performed in the building and construction industry), the funding target attainment percentage (as defined in Section 430(d)(2) of the Code) is 60% or higher and no Loan Party nor any ERISA Affiliate knows of any facts or circumstances that could reasonably be expected to cause the funding target attainment percentage for any such plan to drop below 60% as of the most recent valuation date; (iv) no Loan Party nor any ERISA Affiliate has incurred any liability to the PBGC other than for the payment of premiums, and there are no premium payments which have become due that are unpaid; (v) no Loan Party nor any ERISA Affiliate has engaged in a transaction that could be subject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121</w:t>
      </w:r>
    </w:p>
    <w:p>
      <w:pPr>
        <w:sectPr>
          <w:pgSz w:w="11900" w:h="16838" w:orient="portrait"/>
          <w:cols w:equalWidth="0" w:num="1">
            <w:col w:w="11240"/>
          </w:cols>
          <w:pgMar w:left="320" w:top="1376" w:right="339" w:bottom="1440" w:gutter="0" w:footer="0" w:header="0"/>
        </w:sectPr>
      </w:pPr>
    </w:p>
    <w:bookmarkStart w:id="240" w:name="page241"/>
    <w:bookmarkEnd w:id="240"/>
    <w:p>
      <w:pPr>
        <w:jc w:val="both"/>
        <w:spacing w:after="0" w:line="259" w:lineRule="auto"/>
        <w:rPr>
          <w:sz w:val="20"/>
          <w:szCs w:val="20"/>
          <w:color w:val="auto"/>
        </w:rPr>
      </w:pPr>
      <w:r>
        <w:rPr>
          <w:rFonts w:ascii="Arial" w:cs="Arial" w:eastAsia="Arial" w:hAnsi="Arial"/>
          <w:sz w:val="19"/>
          <w:szCs w:val="19"/>
          <w:color w:val="auto"/>
        </w:rPr>
        <w:t>Section 4069 or Section 4212(c) of ERISA; and (vi) no Pension Plan has been terminated by the plan administrator thereof nor by the PBGC, and no Loan Party nor any ERISA Affiliate knows of any facts or circumstances that could reasonably be expected to cause the PBGC to institute proceedings under Title IV of ERISA to terminate any Pension Plan.</w:t>
      </w:r>
    </w:p>
    <w:p>
      <w:pPr>
        <w:spacing w:after="0" w:line="171" w:lineRule="exact"/>
        <w:rPr>
          <w:sz w:val="20"/>
          <w:szCs w:val="20"/>
          <w:color w:val="auto"/>
        </w:rPr>
      </w:pPr>
    </w:p>
    <w:p>
      <w:pPr>
        <w:jc w:val="both"/>
        <w:ind w:firstLine="634"/>
        <w:spacing w:after="0" w:line="259" w:lineRule="auto"/>
        <w:tabs>
          <w:tab w:leader="none" w:pos="1247" w:val="left"/>
        </w:tabs>
        <w:numPr>
          <w:ilvl w:val="0"/>
          <w:numId w:val="217"/>
        </w:numPr>
        <w:rPr>
          <w:rFonts w:ascii="Arial" w:cs="Arial" w:eastAsia="Arial" w:hAnsi="Arial"/>
          <w:sz w:val="19"/>
          <w:szCs w:val="19"/>
          <w:color w:val="auto"/>
        </w:rPr>
      </w:pPr>
      <w:r>
        <w:rPr>
          <w:rFonts w:ascii="Arial" w:cs="Arial" w:eastAsia="Arial" w:hAnsi="Arial"/>
          <w:sz w:val="19"/>
          <w:szCs w:val="19"/>
          <w:color w:val="auto"/>
        </w:rPr>
        <w:t xml:space="preserve">No Loan Party nor any ERISA Affiliate maintains or contributes to, or has any unsatisfied obligation to contribute to, or liability under, any active or terminated Pension Plan other than (A) on the Closing Date, those listed on </w:t>
      </w:r>
      <w:r>
        <w:rPr>
          <w:rFonts w:ascii="Arial" w:cs="Arial" w:eastAsia="Arial" w:hAnsi="Arial"/>
          <w:sz w:val="19"/>
          <w:szCs w:val="19"/>
          <w:u w:val="single" w:color="auto"/>
          <w:color w:val="auto"/>
        </w:rPr>
        <w:t>Schedule 6.12</w:t>
      </w:r>
      <w:r>
        <w:rPr>
          <w:rFonts w:ascii="Arial" w:cs="Arial" w:eastAsia="Arial" w:hAnsi="Arial"/>
          <w:sz w:val="19"/>
          <w:szCs w:val="19"/>
          <w:color w:val="auto"/>
        </w:rPr>
        <w:t xml:space="preserve"> hereto and (B) thereafter, Pension Plans not otherwise prohibited by this Agreement.</w:t>
      </w:r>
    </w:p>
    <w:p>
      <w:pPr>
        <w:spacing w:after="0" w:line="171" w:lineRule="exact"/>
        <w:rPr>
          <w:rFonts w:ascii="Arial" w:cs="Arial" w:eastAsia="Arial" w:hAnsi="Arial"/>
          <w:sz w:val="19"/>
          <w:szCs w:val="19"/>
          <w:color w:val="auto"/>
        </w:rPr>
      </w:pPr>
    </w:p>
    <w:p>
      <w:pPr>
        <w:jc w:val="both"/>
        <w:ind w:firstLine="634"/>
        <w:spacing w:after="0" w:line="259" w:lineRule="auto"/>
        <w:tabs>
          <w:tab w:leader="none" w:pos="1249" w:val="left"/>
        </w:tabs>
        <w:numPr>
          <w:ilvl w:val="0"/>
          <w:numId w:val="217"/>
        </w:numPr>
        <w:rPr>
          <w:rFonts w:ascii="Arial" w:cs="Arial" w:eastAsia="Arial" w:hAnsi="Arial"/>
          <w:sz w:val="19"/>
          <w:szCs w:val="19"/>
          <w:color w:val="auto"/>
        </w:rPr>
      </w:pPr>
      <w:r>
        <w:rPr>
          <w:rFonts w:ascii="Arial" w:cs="Arial" w:eastAsia="Arial" w:hAnsi="Arial"/>
          <w:sz w:val="19"/>
          <w:szCs w:val="19"/>
          <w:color w:val="auto"/>
        </w:rPr>
        <w:t>With respect to each scheme or arrangement mandated by a government other than the United States and Canada (a “</w:t>
      </w:r>
      <w:r>
        <w:rPr>
          <w:rFonts w:ascii="Arial" w:cs="Arial" w:eastAsia="Arial" w:hAnsi="Arial"/>
          <w:sz w:val="19"/>
          <w:szCs w:val="19"/>
          <w:u w:val="single" w:color="auto"/>
          <w:color w:val="auto"/>
        </w:rPr>
        <w:t>Foreign</w:t>
      </w:r>
      <w:r>
        <w:rPr>
          <w:rFonts w:ascii="Arial" w:cs="Arial" w:eastAsia="Arial" w:hAnsi="Arial"/>
          <w:sz w:val="19"/>
          <w:szCs w:val="19"/>
          <w:color w:val="auto"/>
        </w:rPr>
        <w:t xml:space="preserve"> </w:t>
      </w:r>
      <w:r>
        <w:rPr>
          <w:rFonts w:ascii="Arial" w:cs="Arial" w:eastAsia="Arial" w:hAnsi="Arial"/>
          <w:sz w:val="19"/>
          <w:szCs w:val="19"/>
          <w:u w:val="single" w:color="auto"/>
          <w:color w:val="auto"/>
        </w:rPr>
        <w:t>Government Scheme or Arrangement</w:t>
      </w:r>
      <w:r>
        <w:rPr>
          <w:rFonts w:ascii="Arial" w:cs="Arial" w:eastAsia="Arial" w:hAnsi="Arial"/>
          <w:sz w:val="19"/>
          <w:szCs w:val="19"/>
          <w:color w:val="auto"/>
        </w:rPr>
        <w:t>”) and with respect to each employee benefit plan maintained or contributed to by any Loan Party or any Subsidiary of any Loan Party that is not subject to United States or Canadian law (a “</w:t>
      </w:r>
      <w:r>
        <w:rPr>
          <w:rFonts w:ascii="Arial" w:cs="Arial" w:eastAsia="Arial" w:hAnsi="Arial"/>
          <w:sz w:val="19"/>
          <w:szCs w:val="19"/>
          <w:u w:val="single" w:color="auto"/>
          <w:color w:val="auto"/>
        </w:rPr>
        <w:t>Foreign Plan</w:t>
      </w:r>
      <w:r>
        <w:rPr>
          <w:rFonts w:ascii="Arial" w:cs="Arial" w:eastAsia="Arial" w:hAnsi="Arial"/>
          <w:sz w:val="19"/>
          <w:szCs w:val="19"/>
          <w:color w:val="auto"/>
        </w:rPr>
        <w:t>”):</w:t>
      </w:r>
    </w:p>
    <w:p>
      <w:pPr>
        <w:spacing w:after="0" w:line="171" w:lineRule="exact"/>
        <w:rPr>
          <w:rFonts w:ascii="Arial" w:cs="Arial" w:eastAsia="Arial" w:hAnsi="Arial"/>
          <w:sz w:val="19"/>
          <w:szCs w:val="19"/>
          <w:color w:val="auto"/>
        </w:rPr>
      </w:pPr>
    </w:p>
    <w:p>
      <w:pPr>
        <w:ind w:left="640" w:firstLine="624"/>
        <w:spacing w:after="0" w:line="302" w:lineRule="auto"/>
        <w:tabs>
          <w:tab w:leader="none" w:pos="1897" w:val="left"/>
        </w:tabs>
        <w:numPr>
          <w:ilvl w:val="1"/>
          <w:numId w:val="217"/>
        </w:numPr>
        <w:rPr>
          <w:rFonts w:ascii="Arial" w:cs="Arial" w:eastAsia="Arial" w:hAnsi="Arial"/>
          <w:sz w:val="18"/>
          <w:szCs w:val="18"/>
          <w:color w:val="auto"/>
        </w:rPr>
      </w:pPr>
      <w:r>
        <w:rPr>
          <w:rFonts w:ascii="Arial" w:cs="Arial" w:eastAsia="Arial" w:hAnsi="Arial"/>
          <w:sz w:val="18"/>
          <w:szCs w:val="18"/>
          <w:color w:val="auto"/>
        </w:rPr>
        <w:t>any employer and employee contributions required by law or by the terms of any Foreign Government Scheme or Arrangement or any Foreign Plan have been made, or, if applicable, accrued, in accordance with normal accounting practices;</w:t>
      </w:r>
    </w:p>
    <w:p>
      <w:pPr>
        <w:spacing w:after="0" w:line="134" w:lineRule="exact"/>
        <w:rPr>
          <w:rFonts w:ascii="Arial" w:cs="Arial" w:eastAsia="Arial" w:hAnsi="Arial"/>
          <w:sz w:val="18"/>
          <w:szCs w:val="18"/>
          <w:color w:val="auto"/>
        </w:rPr>
      </w:pPr>
    </w:p>
    <w:p>
      <w:pPr>
        <w:jc w:val="both"/>
        <w:ind w:left="640" w:firstLine="624"/>
        <w:spacing w:after="0" w:line="252" w:lineRule="auto"/>
        <w:tabs>
          <w:tab w:leader="none" w:pos="1897" w:val="left"/>
        </w:tabs>
        <w:numPr>
          <w:ilvl w:val="1"/>
          <w:numId w:val="217"/>
        </w:numPr>
        <w:rPr>
          <w:rFonts w:ascii="Arial" w:cs="Arial" w:eastAsia="Arial" w:hAnsi="Arial"/>
          <w:sz w:val="19"/>
          <w:szCs w:val="19"/>
          <w:color w:val="auto"/>
        </w:rPr>
      </w:pPr>
      <w:r>
        <w:rPr>
          <w:rFonts w:ascii="Arial" w:cs="Arial" w:eastAsia="Arial" w:hAnsi="Arial"/>
          <w:sz w:val="19"/>
          <w:szCs w:val="19"/>
          <w:color w:val="auto"/>
        </w:rPr>
        <w:t>the Fair Market Value of the assets of each funded Foreign Plan, the liability of each insurer for any Foreign Plan funded through insurance or the book reserve established for any Foreign Plan, together with any accrued contributions, is sufficient to procure or provide for the accrued benefit obligations, as of the date hereof, with respect to all current and former participants in such Foreign Plan according to the actuarial assumptions and valuations most recently used to account for such obligations in accordance with applicable generally accepted accounting principles; and</w:t>
      </w:r>
    </w:p>
    <w:p>
      <w:pPr>
        <w:spacing w:after="0" w:line="177" w:lineRule="exact"/>
        <w:rPr>
          <w:rFonts w:ascii="Arial" w:cs="Arial" w:eastAsia="Arial" w:hAnsi="Arial"/>
          <w:sz w:val="19"/>
          <w:szCs w:val="19"/>
          <w:color w:val="auto"/>
        </w:rPr>
      </w:pPr>
    </w:p>
    <w:p>
      <w:pPr>
        <w:ind w:left="640" w:firstLine="624"/>
        <w:spacing w:after="0" w:line="274" w:lineRule="auto"/>
        <w:tabs>
          <w:tab w:leader="none" w:pos="1898" w:val="left"/>
        </w:tabs>
        <w:numPr>
          <w:ilvl w:val="1"/>
          <w:numId w:val="217"/>
        </w:numPr>
        <w:rPr>
          <w:rFonts w:ascii="Arial" w:cs="Arial" w:eastAsia="Arial" w:hAnsi="Arial"/>
          <w:sz w:val="19"/>
          <w:szCs w:val="19"/>
          <w:color w:val="auto"/>
        </w:rPr>
      </w:pPr>
      <w:r>
        <w:rPr>
          <w:rFonts w:ascii="Arial" w:cs="Arial" w:eastAsia="Arial" w:hAnsi="Arial"/>
          <w:sz w:val="19"/>
          <w:szCs w:val="19"/>
          <w:color w:val="auto"/>
        </w:rPr>
        <w:t>each Foreign Plan required to be registered has been registered and has been maintained in good standing with applicable regulatory authorities.</w:t>
      </w:r>
    </w:p>
    <w:p>
      <w:pPr>
        <w:spacing w:after="0" w:line="156" w:lineRule="exact"/>
        <w:rPr>
          <w:rFonts w:ascii="Arial" w:cs="Arial" w:eastAsia="Arial" w:hAnsi="Arial"/>
          <w:sz w:val="19"/>
          <w:szCs w:val="19"/>
          <w:color w:val="auto"/>
        </w:rPr>
      </w:pPr>
    </w:p>
    <w:p>
      <w:pPr>
        <w:jc w:val="both"/>
        <w:ind w:firstLine="634"/>
        <w:spacing w:after="0" w:line="259" w:lineRule="auto"/>
        <w:tabs>
          <w:tab w:leader="none" w:pos="1254" w:val="left"/>
        </w:tabs>
        <w:numPr>
          <w:ilvl w:val="0"/>
          <w:numId w:val="217"/>
        </w:numPr>
        <w:rPr>
          <w:rFonts w:ascii="Arial" w:cs="Arial" w:eastAsia="Arial" w:hAnsi="Arial"/>
          <w:sz w:val="19"/>
          <w:szCs w:val="19"/>
          <w:color w:val="auto"/>
        </w:rPr>
      </w:pPr>
      <w:r>
        <w:rPr>
          <w:rFonts w:ascii="Arial" w:cs="Arial" w:eastAsia="Arial" w:hAnsi="Arial"/>
          <w:sz w:val="19"/>
          <w:szCs w:val="19"/>
          <w:color w:val="auto"/>
        </w:rPr>
        <w:t>As of the Closing Date that the Borrower is not and will not be using “plan assets” (within the meaning of 29 CFR § 2510.3-101, as modified by Section 3(42) of ERISA) of one or more Benefit Plans in connection with the Loans, the Letters of Credit or the Revolving Credit Commitments.</w:t>
      </w:r>
    </w:p>
    <w:p>
      <w:pPr>
        <w:spacing w:after="0" w:line="171" w:lineRule="exact"/>
        <w:rPr>
          <w:rFonts w:ascii="Arial" w:cs="Arial" w:eastAsia="Arial" w:hAnsi="Arial"/>
          <w:sz w:val="19"/>
          <w:szCs w:val="19"/>
          <w:color w:val="auto"/>
        </w:rPr>
      </w:pPr>
    </w:p>
    <w:p>
      <w:pPr>
        <w:jc w:val="both"/>
        <w:ind w:firstLine="634"/>
        <w:spacing w:after="0" w:line="267" w:lineRule="auto"/>
        <w:tabs>
          <w:tab w:leader="none" w:pos="1247" w:val="left"/>
        </w:tabs>
        <w:numPr>
          <w:ilvl w:val="0"/>
          <w:numId w:val="217"/>
        </w:numPr>
        <w:rPr>
          <w:rFonts w:ascii="Arial" w:cs="Arial" w:eastAsia="Arial" w:hAnsi="Arial"/>
          <w:sz w:val="18"/>
          <w:szCs w:val="18"/>
          <w:color w:val="auto"/>
        </w:rPr>
      </w:pPr>
      <w:r>
        <w:rPr>
          <w:rFonts w:ascii="Arial" w:cs="Arial" w:eastAsia="Arial" w:hAnsi="Arial"/>
          <w:sz w:val="18"/>
          <w:szCs w:val="18"/>
          <w:color w:val="auto"/>
        </w:rPr>
        <w:t>Each Canadian Pension Plan is in compliance in all material respects with the applicable provisions of PBA, the Tax Act and other federal or provincial Laws. Each Canadian Pension Plan that is intended to be a “registered pension plan” under Section 248(1) of the Tax Act has received a confirmation of such registration from the Canada Revenue Agency and is exempt from federal income tax under Section 149(1) of the Tax Act. To the best knowledge of each Loan Party, no event has occurred and no conditions exist with respect to any Canadian Pension Plan that has resulted or could reasonably be expected to result in any Canadian Pension Plan having its registration revoked or refused by any Governmental Authority or being required to pay any Taxes or penalties under any applicable Laws.</w:t>
      </w:r>
    </w:p>
    <w:p>
      <w:pPr>
        <w:spacing w:after="0" w:line="165" w:lineRule="exact"/>
        <w:rPr>
          <w:rFonts w:ascii="Arial" w:cs="Arial" w:eastAsia="Arial" w:hAnsi="Arial"/>
          <w:sz w:val="18"/>
          <w:szCs w:val="18"/>
          <w:color w:val="auto"/>
        </w:rPr>
      </w:pPr>
    </w:p>
    <w:p>
      <w:pPr>
        <w:jc w:val="both"/>
        <w:ind w:firstLine="634"/>
        <w:spacing w:after="0" w:line="259" w:lineRule="auto"/>
        <w:tabs>
          <w:tab w:leader="none" w:pos="1247" w:val="left"/>
        </w:tabs>
        <w:numPr>
          <w:ilvl w:val="0"/>
          <w:numId w:val="217"/>
        </w:numPr>
        <w:rPr>
          <w:rFonts w:ascii="Arial" w:cs="Arial" w:eastAsia="Arial" w:hAnsi="Arial"/>
          <w:sz w:val="19"/>
          <w:szCs w:val="19"/>
          <w:color w:val="auto"/>
        </w:rPr>
      </w:pPr>
      <w:r>
        <w:rPr>
          <w:rFonts w:ascii="Arial" w:cs="Arial" w:eastAsia="Arial" w:hAnsi="Arial"/>
          <w:sz w:val="19"/>
          <w:szCs w:val="19"/>
          <w:color w:val="auto"/>
        </w:rPr>
        <w:t>There are no pending or, to the knowledge of any Loan Party, threatened claims, actions or lawsuits, or action by any Governmental Authority, with respect to any Canadian Pension Plan that could reasonably be expected to have a Material Adverse Effect. There has been no violation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122</w:t>
      </w:r>
    </w:p>
    <w:p>
      <w:pPr>
        <w:sectPr>
          <w:pgSz w:w="11900" w:h="16838" w:orient="portrait"/>
          <w:cols w:equalWidth="0" w:num="1">
            <w:col w:w="11240"/>
          </w:cols>
          <w:pgMar w:left="320" w:top="1381" w:right="339" w:bottom="1440" w:gutter="0" w:footer="0" w:header="0"/>
        </w:sectPr>
      </w:pPr>
    </w:p>
    <w:bookmarkStart w:id="241" w:name="page242"/>
    <w:bookmarkEnd w:id="241"/>
    <w:p>
      <w:pPr>
        <w:spacing w:after="0" w:line="274" w:lineRule="auto"/>
        <w:rPr>
          <w:sz w:val="20"/>
          <w:szCs w:val="20"/>
          <w:color w:val="auto"/>
        </w:rPr>
      </w:pPr>
      <w:r>
        <w:rPr>
          <w:rFonts w:ascii="Arial" w:cs="Arial" w:eastAsia="Arial" w:hAnsi="Arial"/>
          <w:sz w:val="19"/>
          <w:szCs w:val="19"/>
          <w:color w:val="auto"/>
        </w:rPr>
        <w:t>fiduciary responsibility rules with respect to any Canadian Pension Plan that has resulted or could reasonably be expected to result in a Material Adverse Effect.</w:t>
      </w:r>
    </w:p>
    <w:p>
      <w:pPr>
        <w:spacing w:after="0" w:line="157" w:lineRule="exact"/>
        <w:rPr>
          <w:sz w:val="20"/>
          <w:szCs w:val="20"/>
          <w:color w:val="auto"/>
        </w:rPr>
      </w:pPr>
    </w:p>
    <w:p>
      <w:pPr>
        <w:jc w:val="both"/>
        <w:ind w:firstLine="634"/>
        <w:spacing w:after="0" w:line="283" w:lineRule="auto"/>
        <w:tabs>
          <w:tab w:leader="none" w:pos="1257" w:val="left"/>
        </w:tabs>
        <w:numPr>
          <w:ilvl w:val="1"/>
          <w:numId w:val="218"/>
        </w:numPr>
        <w:rPr>
          <w:rFonts w:ascii="Arial" w:cs="Arial" w:eastAsia="Arial" w:hAnsi="Arial"/>
          <w:sz w:val="17"/>
          <w:szCs w:val="17"/>
          <w:color w:val="auto"/>
        </w:rPr>
      </w:pPr>
      <w:r>
        <w:rPr>
          <w:rFonts w:ascii="Arial" w:cs="Arial" w:eastAsia="Arial" w:hAnsi="Arial"/>
          <w:sz w:val="17"/>
          <w:szCs w:val="17"/>
          <w:color w:val="auto"/>
        </w:rPr>
        <w:t>(i) No Canadian Pension Event has occurred, and no Loan Party nor any Affiliate thereof is aware of any fact, event or circumstance that could reasonably be expected to constitute or result in an Canadian Pension Event with respect to any Canadian Pension Plan;</w:t>
      </w:r>
    </w:p>
    <w:p>
      <w:pPr>
        <w:jc w:val="both"/>
        <w:ind w:firstLine="5"/>
        <w:spacing w:after="0" w:line="261" w:lineRule="auto"/>
        <w:tabs>
          <w:tab w:leader="none" w:pos="283" w:val="left"/>
        </w:tabs>
        <w:numPr>
          <w:ilvl w:val="0"/>
          <w:numId w:val="219"/>
        </w:numPr>
        <w:rPr>
          <w:rFonts w:ascii="Arial" w:cs="Arial" w:eastAsia="Arial" w:hAnsi="Arial"/>
          <w:sz w:val="18"/>
          <w:szCs w:val="18"/>
          <w:color w:val="auto"/>
        </w:rPr>
      </w:pPr>
      <w:r>
        <w:rPr>
          <w:rFonts w:ascii="Arial" w:cs="Arial" w:eastAsia="Arial" w:hAnsi="Arial"/>
          <w:sz w:val="18"/>
          <w:szCs w:val="18"/>
          <w:color w:val="auto"/>
        </w:rPr>
        <w:t>each Loan Party and each Affiliate thereof has met all applicable funding requirements (including employee contributions made by authorized payroll deductions or other withholdings) under the PBA in respect of each Canadian Pension Plan, and no solvency funding relief under the PBA has been applied for or obtained; (iii) as of the most recent valuation date for any Canadian Defined Benefit Pension Plan, the transfer ratio (as calculated on a solvency basis) is 85% or higher and no Loan Party nor any Affiliate thereof knows of any facts or circumstances that could reasonably be expected to cause the transfer ratio for any such plan to drop below 85% as of the most recent valuation date; (iv) no Loan Party nor any Affiliate thereof has incurred any liability to any Canadian Pension Plan other than for the payment of normal cost contributions, and there are no contributions that have become due that are unpaid; (v) no Loan Party or any Affiliate has incurred any material obligation in connection with the termination of or withdrawal from any Canadian Multi-Employer Pension Plan; and (vi) no Canadian Pension Plan has been terminated by the plan administrator thereof nor by any Governmental Authority.</w:t>
      </w:r>
    </w:p>
    <w:p>
      <w:pPr>
        <w:spacing w:after="0" w:line="174" w:lineRule="exact"/>
        <w:rPr>
          <w:sz w:val="20"/>
          <w:szCs w:val="20"/>
          <w:color w:val="auto"/>
        </w:rPr>
      </w:pPr>
    </w:p>
    <w:p>
      <w:pPr>
        <w:jc w:val="both"/>
        <w:ind w:firstLine="634"/>
        <w:spacing w:after="0" w:line="259" w:lineRule="auto"/>
        <w:tabs>
          <w:tab w:leader="none" w:pos="1257" w:val="left"/>
        </w:tabs>
        <w:numPr>
          <w:ilvl w:val="0"/>
          <w:numId w:val="220"/>
        </w:numPr>
        <w:rPr>
          <w:rFonts w:ascii="Arial" w:cs="Arial" w:eastAsia="Arial" w:hAnsi="Arial"/>
          <w:sz w:val="19"/>
          <w:szCs w:val="19"/>
          <w:color w:val="auto"/>
        </w:rPr>
      </w:pPr>
      <w:r>
        <w:rPr>
          <w:rFonts w:ascii="Arial" w:cs="Arial" w:eastAsia="Arial" w:hAnsi="Arial"/>
          <w:sz w:val="19"/>
          <w:szCs w:val="19"/>
          <w:color w:val="auto"/>
        </w:rPr>
        <w:t xml:space="preserve">No Loan Party nor any Affiliate thereof maintains or contributes to, or has any unsatisfied obligation to contribute to, or liability under, any active or terminated Canadian Defined Benefit Pension Plans or Canadian Multi-Employer Pension Plan other than on the Closing Date, those listed on </w:t>
      </w:r>
      <w:r>
        <w:rPr>
          <w:rFonts w:ascii="Arial" w:cs="Arial" w:eastAsia="Arial" w:hAnsi="Arial"/>
          <w:sz w:val="19"/>
          <w:szCs w:val="19"/>
          <w:u w:val="single" w:color="auto"/>
          <w:color w:val="auto"/>
        </w:rPr>
        <w:t>Schedule 6.12</w:t>
      </w:r>
      <w:r>
        <w:rPr>
          <w:rFonts w:ascii="Arial" w:cs="Arial" w:eastAsia="Arial" w:hAnsi="Arial"/>
          <w:sz w:val="19"/>
          <w:szCs w:val="19"/>
          <w:color w:val="auto"/>
        </w:rPr>
        <w:t>.</w:t>
      </w:r>
    </w:p>
    <w:p>
      <w:pPr>
        <w:spacing w:after="0" w:line="165" w:lineRule="exact"/>
        <w:rPr>
          <w:sz w:val="20"/>
          <w:szCs w:val="20"/>
          <w:color w:val="auto"/>
        </w:rPr>
      </w:pPr>
    </w:p>
    <w:p>
      <w:pPr>
        <w:jc w:val="both"/>
        <w:ind w:firstLine="629"/>
        <w:spacing w:after="0" w:line="265" w:lineRule="auto"/>
        <w:rPr>
          <w:sz w:val="20"/>
          <w:szCs w:val="20"/>
          <w:color w:val="auto"/>
        </w:rPr>
      </w:pPr>
      <w:r>
        <w:rPr>
          <w:rFonts w:ascii="Arial" w:cs="Arial" w:eastAsia="Arial" w:hAnsi="Arial"/>
          <w:sz w:val="18"/>
          <w:szCs w:val="18"/>
          <w:b w:val="1"/>
          <w:bCs w:val="1"/>
          <w:color w:val="auto"/>
        </w:rPr>
        <w:t>6.13 Subsidiaries and Equity Interests</w:t>
      </w:r>
      <w:r>
        <w:rPr>
          <w:rFonts w:ascii="Arial" w:cs="Arial" w:eastAsia="Arial" w:hAnsi="Arial"/>
          <w:sz w:val="18"/>
          <w:szCs w:val="18"/>
          <w:color w:val="auto"/>
        </w:rPr>
        <w:t>. No Loan Party (a) has any Subsidiaries other than those specifically disclosed in part (a) of</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4.05</w:t>
      </w:r>
      <w:r>
        <w:rPr>
          <w:rFonts w:ascii="Arial" w:cs="Arial" w:eastAsia="Arial" w:hAnsi="Arial"/>
          <w:sz w:val="18"/>
          <w:szCs w:val="18"/>
          <w:color w:val="auto"/>
        </w:rPr>
        <w:t xml:space="preserve"> or created or acquired after the Closing Date in compliance with </w:t>
      </w:r>
      <w:r>
        <w:rPr>
          <w:rFonts w:ascii="Arial" w:cs="Arial" w:eastAsia="Arial" w:hAnsi="Arial"/>
          <w:sz w:val="18"/>
          <w:szCs w:val="18"/>
          <w:u w:val="single" w:color="auto"/>
          <w:color w:val="auto"/>
        </w:rPr>
        <w:t>Section 7.12</w:t>
      </w:r>
      <w:r>
        <w:rPr>
          <w:rFonts w:ascii="Arial" w:cs="Arial" w:eastAsia="Arial" w:hAnsi="Arial"/>
          <w:sz w:val="18"/>
          <w:szCs w:val="18"/>
          <w:color w:val="auto"/>
        </w:rPr>
        <w:t xml:space="preserve">, and (b) owns any Equity Interests in any other Person other than those specifically disclosed on </w:t>
      </w:r>
      <w:r>
        <w:rPr>
          <w:rFonts w:ascii="Arial" w:cs="Arial" w:eastAsia="Arial" w:hAnsi="Arial"/>
          <w:sz w:val="18"/>
          <w:szCs w:val="18"/>
          <w:u w:val="single" w:color="auto"/>
          <w:color w:val="auto"/>
        </w:rPr>
        <w:t>Schedule 6.13</w:t>
      </w:r>
      <w:r>
        <w:rPr>
          <w:rFonts w:ascii="Arial" w:cs="Arial" w:eastAsia="Arial" w:hAnsi="Arial"/>
          <w:sz w:val="18"/>
          <w:szCs w:val="18"/>
          <w:color w:val="auto"/>
        </w:rPr>
        <w:t xml:space="preserve">, except, in each case, Subsidiaries acquired or created and equity investments made on or after the Closing Date in compliance with this Agreement and the other Loan Documents. All of the outstanding Equity Interests in such Subsidiaries have been validly issued, are fully paid and non-assessable and are owned by a Loan Party (or a Subsidiary of a Loan Party) in the amounts specified on </w:t>
      </w:r>
      <w:r>
        <w:rPr>
          <w:rFonts w:ascii="Arial" w:cs="Arial" w:eastAsia="Arial" w:hAnsi="Arial"/>
          <w:sz w:val="18"/>
          <w:szCs w:val="18"/>
          <w:u w:val="single" w:color="auto"/>
          <w:color w:val="auto"/>
        </w:rPr>
        <w:t>Schedule 6.13</w:t>
      </w:r>
      <w:r>
        <w:rPr>
          <w:rFonts w:ascii="Arial" w:cs="Arial" w:eastAsia="Arial" w:hAnsi="Arial"/>
          <w:sz w:val="18"/>
          <w:szCs w:val="18"/>
          <w:color w:val="auto"/>
        </w:rPr>
        <w:t xml:space="preserve"> free and clear of all Liens except for those created under the Security Instruments. All of the outstanding Equity Interests in the Loan Parties have been validly issued, and are fully paid and non-assessable and are owned in the amounts specified on </w:t>
      </w:r>
      <w:r>
        <w:rPr>
          <w:rFonts w:ascii="Arial" w:cs="Arial" w:eastAsia="Arial" w:hAnsi="Arial"/>
          <w:sz w:val="18"/>
          <w:szCs w:val="18"/>
          <w:u w:val="single" w:color="auto"/>
          <w:color w:val="auto"/>
        </w:rPr>
        <w:t>Schedule 6.13</w:t>
      </w:r>
      <w:r>
        <w:rPr>
          <w:rFonts w:ascii="Arial" w:cs="Arial" w:eastAsia="Arial" w:hAnsi="Arial"/>
          <w:sz w:val="18"/>
          <w:szCs w:val="18"/>
          <w:color w:val="auto"/>
        </w:rPr>
        <w:t xml:space="preserve"> free and clear of all Liens except for those created under the Security Instruments.</w:t>
      </w:r>
    </w:p>
    <w:p>
      <w:pPr>
        <w:spacing w:after="0" w:line="165" w:lineRule="exact"/>
        <w:rPr>
          <w:sz w:val="20"/>
          <w:szCs w:val="20"/>
          <w:color w:val="auto"/>
        </w:rPr>
      </w:pPr>
    </w:p>
    <w:p>
      <w:pPr>
        <w:jc w:val="both"/>
        <w:ind w:firstLine="629"/>
        <w:spacing w:after="0" w:line="253" w:lineRule="auto"/>
        <w:rPr>
          <w:sz w:val="20"/>
          <w:szCs w:val="20"/>
          <w:color w:val="auto"/>
        </w:rPr>
      </w:pPr>
      <w:r>
        <w:rPr>
          <w:rFonts w:ascii="Arial" w:cs="Arial" w:eastAsia="Arial" w:hAnsi="Arial"/>
          <w:sz w:val="19"/>
          <w:szCs w:val="19"/>
          <w:b w:val="1"/>
          <w:bCs w:val="1"/>
          <w:color w:val="auto"/>
        </w:rPr>
        <w:t xml:space="preserve">6.14 Margin Regulations; Investment Company Act. </w:t>
      </w:r>
      <w:r>
        <w:rPr>
          <w:rFonts w:ascii="Arial" w:cs="Arial" w:eastAsia="Arial" w:hAnsi="Arial"/>
          <w:sz w:val="19"/>
          <w:szCs w:val="19"/>
          <w:color w:val="auto"/>
        </w:rPr>
        <w:t>No Loan Party is engaged nor will engage, principally or as one of its</w:t>
      </w:r>
      <w:r>
        <w:rPr>
          <w:rFonts w:ascii="Arial" w:cs="Arial" w:eastAsia="Arial" w:hAnsi="Arial"/>
          <w:sz w:val="19"/>
          <w:szCs w:val="19"/>
          <w:b w:val="1"/>
          <w:bCs w:val="1"/>
          <w:color w:val="auto"/>
        </w:rPr>
        <w:t xml:space="preserve"> </w:t>
      </w:r>
      <w:r>
        <w:rPr>
          <w:rFonts w:ascii="Arial" w:cs="Arial" w:eastAsia="Arial" w:hAnsi="Arial"/>
          <w:sz w:val="19"/>
          <w:szCs w:val="19"/>
          <w:color w:val="auto"/>
        </w:rPr>
        <w:t>important activities, in the business of purchasing or carrying margin stock (within the meaning of Regulation U issued by the Board of Governors of the Federal Reserve System), or extending credit for the purpose of purchasing or carrying margin stock. None of the Loan Parties, any Person Controlling any Loan Party, nor any Subsidiary is or is required to be registered as an “investment company” under the Investment Company Act of 1940.</w:t>
      </w:r>
    </w:p>
    <w:p>
      <w:pPr>
        <w:spacing w:after="0" w:line="173" w:lineRule="exact"/>
        <w:rPr>
          <w:sz w:val="20"/>
          <w:szCs w:val="20"/>
          <w:color w:val="auto"/>
        </w:rPr>
      </w:pPr>
    </w:p>
    <w:p>
      <w:pPr>
        <w:jc w:val="both"/>
        <w:ind w:firstLine="629"/>
        <w:spacing w:after="0" w:line="256" w:lineRule="auto"/>
        <w:rPr>
          <w:sz w:val="20"/>
          <w:szCs w:val="20"/>
          <w:color w:val="auto"/>
        </w:rPr>
      </w:pPr>
      <w:r>
        <w:rPr>
          <w:rFonts w:ascii="Arial" w:cs="Arial" w:eastAsia="Arial" w:hAnsi="Arial"/>
          <w:sz w:val="19"/>
          <w:szCs w:val="19"/>
          <w:b w:val="1"/>
          <w:bCs w:val="1"/>
          <w:color w:val="auto"/>
        </w:rPr>
        <w:t xml:space="preserve">6.15 Disclosure. </w:t>
      </w:r>
      <w:r>
        <w:rPr>
          <w:rFonts w:ascii="Arial" w:cs="Arial" w:eastAsia="Arial" w:hAnsi="Arial"/>
          <w:sz w:val="19"/>
          <w:szCs w:val="19"/>
          <w:color w:val="auto"/>
        </w:rPr>
        <w:t>Each Loan Party has disclosed or caused the Borrower Agent to disclose to the Administrative Agent and the</w:t>
      </w:r>
      <w:r>
        <w:rPr>
          <w:rFonts w:ascii="Arial" w:cs="Arial" w:eastAsia="Arial" w:hAnsi="Arial"/>
          <w:sz w:val="19"/>
          <w:szCs w:val="19"/>
          <w:b w:val="1"/>
          <w:bCs w:val="1"/>
          <w:color w:val="auto"/>
        </w:rPr>
        <w:t xml:space="preserve"> </w:t>
      </w:r>
      <w:r>
        <w:rPr>
          <w:rFonts w:ascii="Arial" w:cs="Arial" w:eastAsia="Arial" w:hAnsi="Arial"/>
          <w:sz w:val="19"/>
          <w:szCs w:val="19"/>
          <w:color w:val="auto"/>
        </w:rPr>
        <w:t>Lenders all agreements, instruments and corporate or other restrictions to which it or any of its Subsidiaries is subject, and all other matters known to it, that, individually or in the aggregate, could reasonably be expected to result in a Material Adverse Effect. No report, financial statement, certificate (including the Borrowing Base Certificates and Beneficial Ownership Certification)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123</w:t>
      </w:r>
    </w:p>
    <w:p>
      <w:pPr>
        <w:sectPr>
          <w:pgSz w:w="11900" w:h="16838" w:orient="portrait"/>
          <w:cols w:equalWidth="0" w:num="1">
            <w:col w:w="11240"/>
          </w:cols>
          <w:pgMar w:left="320" w:top="1382" w:right="339" w:bottom="1440" w:gutter="0" w:footer="0" w:header="0"/>
        </w:sectPr>
      </w:pPr>
    </w:p>
    <w:bookmarkStart w:id="242" w:name="page243"/>
    <w:bookmarkEnd w:id="242"/>
    <w:p>
      <w:pPr>
        <w:jc w:val="both"/>
        <w:spacing w:after="0" w:line="267" w:lineRule="auto"/>
        <w:rPr>
          <w:sz w:val="20"/>
          <w:szCs w:val="20"/>
          <w:color w:val="auto"/>
        </w:rPr>
      </w:pPr>
      <w:r>
        <w:rPr>
          <w:rFonts w:ascii="Arial" w:cs="Arial" w:eastAsia="Arial" w:hAnsi="Arial"/>
          <w:sz w:val="18"/>
          <w:szCs w:val="18"/>
          <w:color w:val="auto"/>
        </w:rPr>
        <w:t xml:space="preserve">or other information furnished (whether in writing or orally) by or on behalf of any Loan Party or any Subsidiary to the Administrative Agent or any Lender in connection with the transactions contemplated hereby and the negotiation of this Agreement or delivered hereunder or under any other Loan Document (in each case, as modified or supplemented by other information so furnished) contains any material misstatement of fact or omits to state any material fact necessary to make the statements therein, in the light of the circumstances under which they were made, not misleading;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with respect to projected financial information, each Loan Party represents only that such information was prepared in good faith based upon assumptions believed to be reasonable at the time.</w:t>
      </w:r>
    </w:p>
    <w:p>
      <w:pPr>
        <w:spacing w:after="0" w:line="160" w:lineRule="exact"/>
        <w:rPr>
          <w:sz w:val="20"/>
          <w:szCs w:val="20"/>
          <w:color w:val="auto"/>
        </w:rPr>
      </w:pPr>
    </w:p>
    <w:p>
      <w:pPr>
        <w:jc w:val="both"/>
        <w:ind w:firstLine="629"/>
        <w:spacing w:after="0" w:line="275" w:lineRule="auto"/>
        <w:rPr>
          <w:sz w:val="20"/>
          <w:szCs w:val="20"/>
          <w:color w:val="auto"/>
        </w:rPr>
      </w:pPr>
      <w:r>
        <w:rPr>
          <w:rFonts w:ascii="Arial" w:cs="Arial" w:eastAsia="Arial" w:hAnsi="Arial"/>
          <w:sz w:val="18"/>
          <w:szCs w:val="18"/>
          <w:b w:val="1"/>
          <w:bCs w:val="1"/>
          <w:color w:val="auto"/>
        </w:rPr>
        <w:t>6.16 Compliance with Laws</w:t>
      </w:r>
      <w:r>
        <w:rPr>
          <w:rFonts w:ascii="Arial" w:cs="Arial" w:eastAsia="Arial" w:hAnsi="Arial"/>
          <w:sz w:val="18"/>
          <w:szCs w:val="18"/>
          <w:color w:val="auto"/>
        </w:rPr>
        <w:t>. Each Loan Party and each Subsidiary is in compliance in all material respects with the requirements of</w:t>
      </w:r>
      <w:r>
        <w:rPr>
          <w:rFonts w:ascii="Arial" w:cs="Arial" w:eastAsia="Arial" w:hAnsi="Arial"/>
          <w:sz w:val="18"/>
          <w:szCs w:val="18"/>
          <w:b w:val="1"/>
          <w:bCs w:val="1"/>
          <w:color w:val="auto"/>
        </w:rPr>
        <w:t xml:space="preserve"> </w:t>
      </w:r>
      <w:r>
        <w:rPr>
          <w:rFonts w:ascii="Arial" w:cs="Arial" w:eastAsia="Arial" w:hAnsi="Arial"/>
          <w:sz w:val="18"/>
          <w:szCs w:val="18"/>
          <w:color w:val="auto"/>
        </w:rPr>
        <w:t>all Laws and all orders, writs, injunctions and decrees applicable to it or to its properties, except in such instances in which (a) such requirement of Law or order, writ, injunction or decree is being contested in good faith by appropriate proceedings diligently conducted or (b) the failure to comply therewith, either individually or in the aggregate, could not reasonably be expected to have a Material Adverse Effect.</w:t>
      </w:r>
    </w:p>
    <w:p>
      <w:pPr>
        <w:spacing w:after="0" w:line="153" w:lineRule="exact"/>
        <w:rPr>
          <w:sz w:val="20"/>
          <w:szCs w:val="20"/>
          <w:color w:val="auto"/>
        </w:rPr>
      </w:pPr>
    </w:p>
    <w:p>
      <w:pPr>
        <w:jc w:val="both"/>
        <w:ind w:firstLine="629"/>
        <w:spacing w:after="0" w:line="253" w:lineRule="auto"/>
        <w:rPr>
          <w:sz w:val="20"/>
          <w:szCs w:val="20"/>
          <w:color w:val="auto"/>
        </w:rPr>
      </w:pPr>
      <w:r>
        <w:rPr>
          <w:rFonts w:ascii="Arial" w:cs="Arial" w:eastAsia="Arial" w:hAnsi="Arial"/>
          <w:sz w:val="19"/>
          <w:szCs w:val="19"/>
          <w:b w:val="1"/>
          <w:bCs w:val="1"/>
          <w:color w:val="auto"/>
        </w:rPr>
        <w:t xml:space="preserve">6.17 Intellectual Property; Licenses, Etc. </w:t>
      </w:r>
      <w:r>
        <w:rPr>
          <w:rFonts w:ascii="Arial" w:cs="Arial" w:eastAsia="Arial" w:hAnsi="Arial"/>
          <w:sz w:val="19"/>
          <w:szCs w:val="19"/>
          <w:color w:val="auto"/>
        </w:rPr>
        <w:t>Each Loan Party and its Subsidiaries own, or possess the right to use, all of the Intellectual</w:t>
      </w:r>
      <w:r>
        <w:rPr>
          <w:rFonts w:ascii="Arial" w:cs="Arial" w:eastAsia="Arial" w:hAnsi="Arial"/>
          <w:sz w:val="19"/>
          <w:szCs w:val="19"/>
          <w:b w:val="1"/>
          <w:bCs w:val="1"/>
          <w:color w:val="auto"/>
        </w:rPr>
        <w:t xml:space="preserve"> </w:t>
      </w:r>
      <w:r>
        <w:rPr>
          <w:rFonts w:ascii="Arial" w:cs="Arial" w:eastAsia="Arial" w:hAnsi="Arial"/>
          <w:sz w:val="19"/>
          <w:szCs w:val="19"/>
          <w:color w:val="auto"/>
        </w:rPr>
        <w:t>Property (including IP Rights) that are reasonably necessary for the operation of their respective businesses, without known conflict with the IP Rights of any other Person, except to the extent any failure so to own or possess the right to use could not reasonably be expected to have a Material Adverse Effect. To the knowledge of each Loan Party, the operation by each Loan Party and its Subsidiaries of their respective businesses does not infringe upon any IP Rights held by any other Person.</w:t>
      </w:r>
    </w:p>
    <w:p>
      <w:pPr>
        <w:spacing w:after="0" w:line="173" w:lineRule="exact"/>
        <w:rPr>
          <w:sz w:val="20"/>
          <w:szCs w:val="20"/>
          <w:color w:val="auto"/>
        </w:rPr>
      </w:pPr>
    </w:p>
    <w:p>
      <w:pPr>
        <w:jc w:val="both"/>
        <w:ind w:firstLine="629"/>
        <w:spacing w:after="0" w:line="277" w:lineRule="auto"/>
        <w:rPr>
          <w:sz w:val="20"/>
          <w:szCs w:val="20"/>
          <w:color w:val="auto"/>
        </w:rPr>
      </w:pPr>
      <w:r>
        <w:rPr>
          <w:rFonts w:ascii="Arial" w:cs="Arial" w:eastAsia="Arial" w:hAnsi="Arial"/>
          <w:sz w:val="17"/>
          <w:szCs w:val="17"/>
          <w:b w:val="1"/>
          <w:bCs w:val="1"/>
          <w:color w:val="auto"/>
        </w:rPr>
        <w:t>6.18 Labor Matters</w:t>
      </w:r>
      <w:r>
        <w:rPr>
          <w:rFonts w:ascii="Arial" w:cs="Arial" w:eastAsia="Arial" w:hAnsi="Arial"/>
          <w:sz w:val="17"/>
          <w:szCs w:val="17"/>
          <w:color w:val="auto"/>
        </w:rPr>
        <w:t>. Except as would not reasonably be expected to result, individually or in the aggregate, in a Material Adverse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Effect or as set forth on </w:t>
      </w:r>
      <w:r>
        <w:rPr>
          <w:rFonts w:ascii="Arial" w:cs="Arial" w:eastAsia="Arial" w:hAnsi="Arial"/>
          <w:sz w:val="17"/>
          <w:szCs w:val="17"/>
          <w:u w:val="single" w:color="auto"/>
          <w:color w:val="auto"/>
        </w:rPr>
        <w:t>Schedule 6.18</w:t>
      </w:r>
      <w:r>
        <w:rPr>
          <w:rFonts w:ascii="Arial" w:cs="Arial" w:eastAsia="Arial" w:hAnsi="Arial"/>
          <w:sz w:val="17"/>
          <w:szCs w:val="17"/>
          <w:color w:val="auto"/>
        </w:rPr>
        <w:t xml:space="preserve">, there are no strikes, lockouts, slowdowns or other material labor disputes against any Loan Party or any Subsidiary thereof pending or, to the knowledge of any Loan Party, threatened. The hours worked by and payments made to employees of the Loan Parties comply with the FLSA and any other applicable federal, state, local or foreign Law dealing with such matters. No Loan Party or any of its Subsidiaries has incurred any liability or obligation under the Worker Adjustment and Retraining Act or similar state Law. All payments due from any Loan Party and its Subsidiaries, or for which any claim may be made against any Loan Party, on account of wages and employee health and welfare insurance and other benefits, have been paid or properly accrued in accordance with GAAP as a liability on the books of such Loan Party. Except as set forth on </w:t>
      </w:r>
      <w:r>
        <w:rPr>
          <w:rFonts w:ascii="Arial" w:cs="Arial" w:eastAsia="Arial" w:hAnsi="Arial"/>
          <w:sz w:val="17"/>
          <w:szCs w:val="17"/>
          <w:u w:val="single" w:color="auto"/>
          <w:color w:val="auto"/>
        </w:rPr>
        <w:t>Schedule 6.18</w:t>
      </w:r>
      <w:r>
        <w:rPr>
          <w:rFonts w:ascii="Arial" w:cs="Arial" w:eastAsia="Arial" w:hAnsi="Arial"/>
          <w:sz w:val="17"/>
          <w:szCs w:val="17"/>
          <w:color w:val="auto"/>
        </w:rPr>
        <w:t>, no Loan Party or any Subsidiary is a party to or bound by any collective bargaining agreement, management agreement, employment agreement, bonus, restricted stock, stock option, or stock appreciation plan or agreement or any similar plan, agreement or arrangement. There are no representation proceedings pending or, to any Loan Party’s knowledge, threatened to be filed with the National Labor Relations Board, and no labor organization or group of employees of any Loan Party or any Subsidiary has made a pending demand for recognition. There are no complaints, unfair labor practice charges, grievances, arbitrations, unfair employment practices charges or any other claims or complaints against any Loan Party or any Subsidiary pending or, to the knowledge of any Loan Party, threatened to be filed with any Governmental Authority or arbitrator based on, arising out of, in connection with, or otherwise relating to the employment or termination of employment of any employee of any Loan Party or any of its Subsidiaries. The consummation of the transactions contemplated by the Loan Documents will not give rise to any right of termination or right of renegotiation on the part of any union under any collective bargaining agreement to which any Loan Party or any of its Subsidiaries is bound.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124</w:t>
      </w:r>
    </w:p>
    <w:p>
      <w:pPr>
        <w:sectPr>
          <w:pgSz w:w="11900" w:h="16838" w:orient="portrait"/>
          <w:cols w:equalWidth="0" w:num="1">
            <w:col w:w="11240"/>
          </w:cols>
          <w:pgMar w:left="320" w:top="1382" w:right="339" w:bottom="1440" w:gutter="0" w:footer="0" w:header="0"/>
        </w:sectPr>
      </w:pPr>
    </w:p>
    <w:bookmarkStart w:id="243" w:name="page244"/>
    <w:bookmarkEnd w:id="243"/>
    <w:p>
      <w:pPr>
        <w:ind w:left="640"/>
        <w:spacing w:after="0"/>
        <w:tabs>
          <w:tab w:leader="none" w:pos="1240" w:val="left"/>
        </w:tabs>
        <w:rPr>
          <w:sz w:val="20"/>
          <w:szCs w:val="20"/>
          <w:color w:val="auto"/>
        </w:rPr>
      </w:pPr>
      <w:r>
        <w:rPr>
          <w:rFonts w:ascii="Arial" w:cs="Arial" w:eastAsia="Arial" w:hAnsi="Arial"/>
          <w:sz w:val="19"/>
          <w:szCs w:val="19"/>
          <w:b w:val="1"/>
          <w:bCs w:val="1"/>
          <w:color w:val="auto"/>
        </w:rPr>
        <w:t>6.19</w:t>
      </w:r>
      <w:r>
        <w:rPr>
          <w:sz w:val="20"/>
          <w:szCs w:val="20"/>
          <w:color w:val="auto"/>
        </w:rPr>
        <w:tab/>
      </w:r>
      <w:r>
        <w:rPr>
          <w:rFonts w:ascii="Arial" w:cs="Arial" w:eastAsia="Arial" w:hAnsi="Arial"/>
          <w:sz w:val="16"/>
          <w:szCs w:val="16"/>
          <w:b w:val="1"/>
          <w:bCs w:val="1"/>
          <w:color w:val="auto"/>
        </w:rPr>
        <w:t>Deposit Accounts and Securities Accounts.</w:t>
      </w:r>
    </w:p>
    <w:p>
      <w:pPr>
        <w:spacing w:after="0" w:line="220" w:lineRule="exact"/>
        <w:rPr>
          <w:sz w:val="20"/>
          <w:szCs w:val="20"/>
          <w:color w:val="auto"/>
        </w:rPr>
      </w:pPr>
    </w:p>
    <w:p>
      <w:pPr>
        <w:jc w:val="both"/>
        <w:ind w:firstLine="634"/>
        <w:spacing w:after="0" w:line="294" w:lineRule="auto"/>
        <w:tabs>
          <w:tab w:leader="none" w:pos="1249" w:val="left"/>
        </w:tabs>
        <w:numPr>
          <w:ilvl w:val="0"/>
          <w:numId w:val="221"/>
        </w:numPr>
        <w:rPr>
          <w:rFonts w:ascii="Arial" w:cs="Arial" w:eastAsia="Arial" w:hAnsi="Arial"/>
          <w:sz w:val="17"/>
          <w:szCs w:val="17"/>
          <w:color w:val="auto"/>
        </w:rPr>
      </w:pPr>
      <w:r>
        <w:rPr>
          <w:rFonts w:ascii="Arial" w:cs="Arial" w:eastAsia="Arial" w:hAnsi="Arial"/>
          <w:sz w:val="17"/>
          <w:szCs w:val="17"/>
          <w:color w:val="auto"/>
        </w:rPr>
        <w:t xml:space="preserve">Part (a) of </w:t>
      </w:r>
      <w:r>
        <w:rPr>
          <w:rFonts w:ascii="Arial" w:cs="Arial" w:eastAsia="Arial" w:hAnsi="Arial"/>
          <w:sz w:val="17"/>
          <w:szCs w:val="17"/>
          <w:u w:val="single" w:color="auto"/>
          <w:color w:val="auto"/>
        </w:rPr>
        <w:t>Schedule 6.19</w:t>
      </w:r>
      <w:r>
        <w:rPr>
          <w:rFonts w:ascii="Arial" w:cs="Arial" w:eastAsia="Arial" w:hAnsi="Arial"/>
          <w:sz w:val="17"/>
          <w:szCs w:val="17"/>
          <w:color w:val="auto"/>
        </w:rPr>
        <w:t xml:space="preserve"> sets forth a list of all Deposit Accounts (including Excluded Deposit Accounts) maintained by the Loan Parties as of the Closing Date, which Schedule includes, with respect to each Deposit Account (i) the name and address of the depository; (ii) the name and account number of such Deposit Account; (iii) the type or use of such Deposit Account and (iv) the average balance of such Deposit Account over the prior twelve month period and (v) whether or not such Deposit Account is an Excluded Deposit Account.</w:t>
      </w:r>
    </w:p>
    <w:p>
      <w:pPr>
        <w:spacing w:after="0" w:line="143" w:lineRule="exact"/>
        <w:rPr>
          <w:rFonts w:ascii="Arial" w:cs="Arial" w:eastAsia="Arial" w:hAnsi="Arial"/>
          <w:sz w:val="17"/>
          <w:szCs w:val="17"/>
          <w:color w:val="auto"/>
        </w:rPr>
      </w:pPr>
    </w:p>
    <w:p>
      <w:pPr>
        <w:jc w:val="both"/>
        <w:ind w:firstLine="634"/>
        <w:spacing w:after="0" w:line="273" w:lineRule="auto"/>
        <w:tabs>
          <w:tab w:leader="none" w:pos="1247" w:val="left"/>
        </w:tabs>
        <w:numPr>
          <w:ilvl w:val="0"/>
          <w:numId w:val="221"/>
        </w:numPr>
        <w:rPr>
          <w:rFonts w:ascii="Arial" w:cs="Arial" w:eastAsia="Arial" w:hAnsi="Arial"/>
          <w:sz w:val="18"/>
          <w:szCs w:val="18"/>
          <w:color w:val="auto"/>
        </w:rPr>
      </w:pPr>
      <w:r>
        <w:rPr>
          <w:rFonts w:ascii="Arial" w:cs="Arial" w:eastAsia="Arial" w:hAnsi="Arial"/>
          <w:sz w:val="18"/>
          <w:szCs w:val="18"/>
          <w:color w:val="auto"/>
        </w:rPr>
        <w:t xml:space="preserve">Part (b) of </w:t>
      </w:r>
      <w:r>
        <w:rPr>
          <w:rFonts w:ascii="Arial" w:cs="Arial" w:eastAsia="Arial" w:hAnsi="Arial"/>
          <w:sz w:val="18"/>
          <w:szCs w:val="18"/>
          <w:u w:val="single" w:color="auto"/>
          <w:color w:val="auto"/>
        </w:rPr>
        <w:t>Schedule 6.19</w:t>
      </w:r>
      <w:r>
        <w:rPr>
          <w:rFonts w:ascii="Arial" w:cs="Arial" w:eastAsia="Arial" w:hAnsi="Arial"/>
          <w:sz w:val="18"/>
          <w:szCs w:val="18"/>
          <w:color w:val="auto"/>
        </w:rPr>
        <w:t xml:space="preserve"> sets forth a list of all Securities Accounts and Commodity Accounts maintained by the Loan Parties as of the Closing Date, which Schedule includes with respect to each Securities Account and Commodity Account (i) the name and address of the securities intermediary or institution holding such account; (ii) the name and account number of such account; (iii) a contact person at such securities intermediary or institution and (iv) the average value of assets held in such account over the prior twelve month period.</w:t>
      </w:r>
    </w:p>
    <w:p>
      <w:pPr>
        <w:spacing w:after="0" w:line="154" w:lineRule="exact"/>
        <w:rPr>
          <w:sz w:val="20"/>
          <w:szCs w:val="20"/>
          <w:color w:val="auto"/>
        </w:rPr>
      </w:pPr>
    </w:p>
    <w:p>
      <w:pPr>
        <w:jc w:val="both"/>
        <w:ind w:firstLine="629"/>
        <w:spacing w:after="0" w:line="256" w:lineRule="auto"/>
        <w:rPr>
          <w:sz w:val="20"/>
          <w:szCs w:val="20"/>
          <w:color w:val="auto"/>
        </w:rPr>
      </w:pPr>
      <w:r>
        <w:rPr>
          <w:rFonts w:ascii="Arial" w:cs="Arial" w:eastAsia="Arial" w:hAnsi="Arial"/>
          <w:sz w:val="19"/>
          <w:szCs w:val="19"/>
          <w:b w:val="1"/>
          <w:bCs w:val="1"/>
          <w:color w:val="auto"/>
        </w:rPr>
        <w:t xml:space="preserve">6.20 Accounts. </w:t>
      </w:r>
      <w:r>
        <w:rPr>
          <w:rFonts w:ascii="Arial" w:cs="Arial" w:eastAsia="Arial" w:hAnsi="Arial"/>
          <w:sz w:val="19"/>
          <w:szCs w:val="19"/>
          <w:color w:val="auto"/>
        </w:rPr>
        <w:t>The Administrative Agent may rely, in determining which Accounts are Eligible Accounts and Eligible Time and</w:t>
      </w:r>
      <w:r>
        <w:rPr>
          <w:rFonts w:ascii="Arial" w:cs="Arial" w:eastAsia="Arial" w:hAnsi="Arial"/>
          <w:sz w:val="19"/>
          <w:szCs w:val="19"/>
          <w:b w:val="1"/>
          <w:bCs w:val="1"/>
          <w:color w:val="auto"/>
        </w:rPr>
        <w:t xml:space="preserve"> </w:t>
      </w:r>
      <w:r>
        <w:rPr>
          <w:rFonts w:ascii="Arial" w:cs="Arial" w:eastAsia="Arial" w:hAnsi="Arial"/>
          <w:sz w:val="19"/>
          <w:szCs w:val="19"/>
          <w:color w:val="auto"/>
        </w:rPr>
        <w:t>Material Accounts, on all statements and representations made by the Loan Parties with respect thereto. Each Borrower warrants, with respect to each Account at the time it is shown as an Eligible Account or a Eligible Time and Material Accounts, as applicable, in a Borrowing Base Certificate, that:</w:t>
      </w:r>
    </w:p>
    <w:p>
      <w:pPr>
        <w:spacing w:after="0" w:line="175" w:lineRule="exact"/>
        <w:rPr>
          <w:sz w:val="20"/>
          <w:szCs w:val="20"/>
          <w:color w:val="auto"/>
        </w:rPr>
      </w:pPr>
    </w:p>
    <w:p>
      <w:pPr>
        <w:ind w:left="1260" w:hanging="626"/>
        <w:spacing w:after="0"/>
        <w:tabs>
          <w:tab w:leader="none" w:pos="1260" w:val="left"/>
        </w:tabs>
        <w:numPr>
          <w:ilvl w:val="0"/>
          <w:numId w:val="222"/>
        </w:numPr>
        <w:rPr>
          <w:rFonts w:ascii="Arial" w:cs="Arial" w:eastAsia="Arial" w:hAnsi="Arial"/>
          <w:sz w:val="19"/>
          <w:szCs w:val="19"/>
          <w:color w:val="auto"/>
        </w:rPr>
      </w:pPr>
      <w:r>
        <w:rPr>
          <w:rFonts w:ascii="Arial" w:cs="Arial" w:eastAsia="Arial" w:hAnsi="Arial"/>
          <w:sz w:val="19"/>
          <w:szCs w:val="19"/>
          <w:color w:val="auto"/>
        </w:rPr>
        <w:t>it is genuine and in all respects what it purports to be, and is not evidenced by a judgment;</w:t>
      </w:r>
    </w:p>
    <w:p>
      <w:pPr>
        <w:spacing w:after="0" w:line="214" w:lineRule="exact"/>
        <w:rPr>
          <w:rFonts w:ascii="Arial" w:cs="Arial" w:eastAsia="Arial" w:hAnsi="Arial"/>
          <w:sz w:val="19"/>
          <w:szCs w:val="19"/>
          <w:color w:val="auto"/>
        </w:rPr>
      </w:pPr>
    </w:p>
    <w:p>
      <w:pPr>
        <w:ind w:firstLine="634"/>
        <w:spacing w:after="0" w:line="274" w:lineRule="auto"/>
        <w:tabs>
          <w:tab w:leader="none" w:pos="1247" w:val="left"/>
        </w:tabs>
        <w:numPr>
          <w:ilvl w:val="0"/>
          <w:numId w:val="222"/>
        </w:numPr>
        <w:rPr>
          <w:rFonts w:ascii="Arial" w:cs="Arial" w:eastAsia="Arial" w:hAnsi="Arial"/>
          <w:sz w:val="19"/>
          <w:szCs w:val="19"/>
          <w:color w:val="auto"/>
        </w:rPr>
      </w:pPr>
      <w:r>
        <w:rPr>
          <w:rFonts w:ascii="Arial" w:cs="Arial" w:eastAsia="Arial" w:hAnsi="Arial"/>
          <w:sz w:val="19"/>
          <w:szCs w:val="19"/>
          <w:color w:val="auto"/>
        </w:rPr>
        <w:t xml:space="preserve">it arises out of a completed, </w:t>
      </w:r>
      <w:r>
        <w:rPr>
          <w:rFonts w:ascii="Arial" w:cs="Arial" w:eastAsia="Arial" w:hAnsi="Arial"/>
          <w:sz w:val="19"/>
          <w:szCs w:val="19"/>
          <w:i w:val="1"/>
          <w:iCs w:val="1"/>
          <w:color w:val="auto"/>
        </w:rPr>
        <w:t>bona fide</w:t>
      </w:r>
      <w:r>
        <w:rPr>
          <w:rFonts w:ascii="Arial" w:cs="Arial" w:eastAsia="Arial" w:hAnsi="Arial"/>
          <w:sz w:val="19"/>
          <w:szCs w:val="19"/>
          <w:color w:val="auto"/>
        </w:rPr>
        <w:t xml:space="preserve"> sale and delivery of goods in the Ordinary Course of Business, and substantially in accordance with any purchase order, contract or other document relating thereto;</w:t>
      </w:r>
    </w:p>
    <w:p>
      <w:pPr>
        <w:spacing w:after="0" w:line="156" w:lineRule="exact"/>
        <w:rPr>
          <w:rFonts w:ascii="Arial" w:cs="Arial" w:eastAsia="Arial" w:hAnsi="Arial"/>
          <w:sz w:val="19"/>
          <w:szCs w:val="19"/>
          <w:color w:val="auto"/>
        </w:rPr>
      </w:pPr>
    </w:p>
    <w:p>
      <w:pPr>
        <w:ind w:firstLine="634"/>
        <w:spacing w:after="0" w:line="274" w:lineRule="auto"/>
        <w:tabs>
          <w:tab w:leader="none" w:pos="1249" w:val="left"/>
        </w:tabs>
        <w:numPr>
          <w:ilvl w:val="0"/>
          <w:numId w:val="222"/>
        </w:numPr>
        <w:rPr>
          <w:rFonts w:ascii="Arial" w:cs="Arial" w:eastAsia="Arial" w:hAnsi="Arial"/>
          <w:sz w:val="19"/>
          <w:szCs w:val="19"/>
          <w:color w:val="auto"/>
        </w:rPr>
      </w:pPr>
      <w:r>
        <w:rPr>
          <w:rFonts w:ascii="Arial" w:cs="Arial" w:eastAsia="Arial" w:hAnsi="Arial"/>
          <w:sz w:val="19"/>
          <w:szCs w:val="19"/>
          <w:color w:val="auto"/>
        </w:rPr>
        <w:t>it is for a sum certain, maturing as stated in the invoice covering such sale, a copy of which has been furnished or is available to the Administrative Agent on request;</w:t>
      </w:r>
    </w:p>
    <w:p>
      <w:pPr>
        <w:spacing w:after="0" w:line="156" w:lineRule="exact"/>
        <w:rPr>
          <w:rFonts w:ascii="Arial" w:cs="Arial" w:eastAsia="Arial" w:hAnsi="Arial"/>
          <w:sz w:val="19"/>
          <w:szCs w:val="19"/>
          <w:color w:val="auto"/>
        </w:rPr>
      </w:pPr>
    </w:p>
    <w:p>
      <w:pPr>
        <w:jc w:val="both"/>
        <w:ind w:firstLine="634"/>
        <w:spacing w:after="0" w:line="259" w:lineRule="auto"/>
        <w:tabs>
          <w:tab w:leader="none" w:pos="1247" w:val="left"/>
        </w:tabs>
        <w:numPr>
          <w:ilvl w:val="0"/>
          <w:numId w:val="222"/>
        </w:numPr>
        <w:rPr>
          <w:rFonts w:ascii="Arial" w:cs="Arial" w:eastAsia="Arial" w:hAnsi="Arial"/>
          <w:sz w:val="19"/>
          <w:szCs w:val="19"/>
          <w:color w:val="auto"/>
        </w:rPr>
      </w:pPr>
      <w:r>
        <w:rPr>
          <w:rFonts w:ascii="Arial" w:cs="Arial" w:eastAsia="Arial" w:hAnsi="Arial"/>
          <w:sz w:val="19"/>
          <w:szCs w:val="19"/>
          <w:color w:val="auto"/>
        </w:rPr>
        <w:t>it is not subject to any offset, Lien (other than the Administrative Agent’s Lien), deduction, defense, dispute, counterclaim or other adverse condition except as arising in the Ordinary Course of Business and disclosed to the Administrative Agent; and it is absolutely owing by the Account Debtor, without contingency in any respect;</w:t>
      </w:r>
    </w:p>
    <w:p>
      <w:pPr>
        <w:spacing w:after="0" w:line="171" w:lineRule="exact"/>
        <w:rPr>
          <w:rFonts w:ascii="Arial" w:cs="Arial" w:eastAsia="Arial" w:hAnsi="Arial"/>
          <w:sz w:val="19"/>
          <w:szCs w:val="19"/>
          <w:color w:val="auto"/>
        </w:rPr>
      </w:pPr>
    </w:p>
    <w:p>
      <w:pPr>
        <w:jc w:val="both"/>
        <w:ind w:firstLine="634"/>
        <w:spacing w:after="0" w:line="259" w:lineRule="auto"/>
        <w:tabs>
          <w:tab w:leader="none" w:pos="1249" w:val="left"/>
        </w:tabs>
        <w:numPr>
          <w:ilvl w:val="0"/>
          <w:numId w:val="222"/>
        </w:numPr>
        <w:rPr>
          <w:rFonts w:ascii="Arial" w:cs="Arial" w:eastAsia="Arial" w:hAnsi="Arial"/>
          <w:sz w:val="19"/>
          <w:szCs w:val="19"/>
          <w:color w:val="auto"/>
        </w:rPr>
      </w:pPr>
      <w:r>
        <w:rPr>
          <w:rFonts w:ascii="Arial" w:cs="Arial" w:eastAsia="Arial" w:hAnsi="Arial"/>
          <w:sz w:val="19"/>
          <w:szCs w:val="19"/>
          <w:color w:val="auto"/>
        </w:rPr>
        <w:t>no purchase order, agreement, document or applicable Laws restricts assignment of the Account to the Administrative Agent (regardless of whether, under the UCC or the PPSA, the restriction is ineffective), and the applicable Borrower is the sole payee or remittance party shown on the invoice;</w:t>
      </w:r>
    </w:p>
    <w:p>
      <w:pPr>
        <w:spacing w:after="0" w:line="171" w:lineRule="exact"/>
        <w:rPr>
          <w:rFonts w:ascii="Arial" w:cs="Arial" w:eastAsia="Arial" w:hAnsi="Arial"/>
          <w:sz w:val="19"/>
          <w:szCs w:val="19"/>
          <w:color w:val="auto"/>
        </w:rPr>
      </w:pPr>
    </w:p>
    <w:p>
      <w:pPr>
        <w:jc w:val="both"/>
        <w:ind w:firstLine="634"/>
        <w:spacing w:after="0" w:line="259" w:lineRule="auto"/>
        <w:tabs>
          <w:tab w:leader="none" w:pos="1254" w:val="left"/>
        </w:tabs>
        <w:numPr>
          <w:ilvl w:val="0"/>
          <w:numId w:val="222"/>
        </w:numPr>
        <w:rPr>
          <w:rFonts w:ascii="Arial" w:cs="Arial" w:eastAsia="Arial" w:hAnsi="Arial"/>
          <w:sz w:val="19"/>
          <w:szCs w:val="19"/>
          <w:color w:val="auto"/>
        </w:rPr>
      </w:pPr>
      <w:r>
        <w:rPr>
          <w:rFonts w:ascii="Arial" w:cs="Arial" w:eastAsia="Arial" w:hAnsi="Arial"/>
          <w:sz w:val="19"/>
          <w:szCs w:val="19"/>
          <w:color w:val="auto"/>
        </w:rPr>
        <w:t>no extension, compromise, settlement, modification, credit, deduction or return has been authorized with respect to the Account, except discounts or allowances granted in the Ordinary Course of Business for prompt payment that are reflected on the face of the invoice related thereto and in the reports submitted to Administrative Agent hereunder; and</w:t>
      </w:r>
    </w:p>
    <w:p>
      <w:pPr>
        <w:spacing w:after="0" w:line="171" w:lineRule="exact"/>
        <w:rPr>
          <w:rFonts w:ascii="Arial" w:cs="Arial" w:eastAsia="Arial" w:hAnsi="Arial"/>
          <w:sz w:val="19"/>
          <w:szCs w:val="19"/>
          <w:color w:val="auto"/>
        </w:rPr>
      </w:pPr>
    </w:p>
    <w:p>
      <w:pPr>
        <w:ind w:firstLine="634"/>
        <w:spacing w:after="0" w:line="274" w:lineRule="auto"/>
        <w:tabs>
          <w:tab w:leader="none" w:pos="1247" w:val="left"/>
        </w:tabs>
        <w:numPr>
          <w:ilvl w:val="0"/>
          <w:numId w:val="222"/>
        </w:numPr>
        <w:rPr>
          <w:rFonts w:ascii="Arial" w:cs="Arial" w:eastAsia="Arial" w:hAnsi="Arial"/>
          <w:sz w:val="19"/>
          <w:szCs w:val="19"/>
          <w:color w:val="auto"/>
        </w:rPr>
      </w:pPr>
      <w:r>
        <w:rPr>
          <w:rFonts w:ascii="Arial" w:cs="Arial" w:eastAsia="Arial" w:hAnsi="Arial"/>
          <w:sz w:val="19"/>
          <w:szCs w:val="19"/>
          <w:color w:val="auto"/>
        </w:rPr>
        <w:t>to each Borrower’s knowledge, (i) there are no facts or circumstances that are reasonably likely to impair the enforceability or collectability of such Account; (ii) the Account Debtor had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125</w:t>
      </w:r>
    </w:p>
    <w:p>
      <w:pPr>
        <w:sectPr>
          <w:pgSz w:w="11900" w:h="16838" w:orient="portrait"/>
          <w:cols w:equalWidth="0" w:num="1">
            <w:col w:w="11240"/>
          </w:cols>
          <w:pgMar w:left="320" w:top="1376" w:right="339" w:bottom="1440" w:gutter="0" w:footer="0" w:header="0"/>
        </w:sectPr>
      </w:pPr>
    </w:p>
    <w:bookmarkStart w:id="244" w:name="page245"/>
    <w:bookmarkEnd w:id="244"/>
    <w:p>
      <w:pPr>
        <w:jc w:val="both"/>
        <w:spacing w:after="0" w:line="254" w:lineRule="auto"/>
        <w:rPr>
          <w:sz w:val="20"/>
          <w:szCs w:val="20"/>
          <w:color w:val="auto"/>
        </w:rPr>
      </w:pPr>
      <w:r>
        <w:rPr>
          <w:rFonts w:ascii="Arial" w:cs="Arial" w:eastAsia="Arial" w:hAnsi="Arial"/>
          <w:sz w:val="19"/>
          <w:szCs w:val="19"/>
          <w:color w:val="auto"/>
        </w:rPr>
        <w:t>capacity to contract when the Account arose, continues to meet the applicable Borrower’s customary credit standards, is Solvent, is not contemplating or subject to any proceeding under any Debtor Relief Laws, and has not failed, or suspended or ceased doing business; and (iii) there are no proceedings or actions threatened or pending against any Account Debtor that could reasonably be expected to have a material adverse effect on the Account Debtor’s financial condition.</w:t>
      </w:r>
    </w:p>
    <w:p>
      <w:pPr>
        <w:spacing w:after="0" w:line="171"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9"/>
          <w:szCs w:val="19"/>
          <w:b w:val="1"/>
          <w:bCs w:val="1"/>
          <w:color w:val="auto"/>
        </w:rPr>
        <w:t>6.21</w:t>
      </w:r>
      <w:r>
        <w:rPr>
          <w:sz w:val="20"/>
          <w:szCs w:val="20"/>
          <w:color w:val="auto"/>
        </w:rPr>
        <w:tab/>
      </w:r>
      <w:r>
        <w:rPr>
          <w:rFonts w:ascii="Arial" w:cs="Arial" w:eastAsia="Arial" w:hAnsi="Arial"/>
          <w:sz w:val="17"/>
          <w:szCs w:val="17"/>
          <w:b w:val="1"/>
          <w:bCs w:val="1"/>
          <w:color w:val="auto"/>
        </w:rPr>
        <w:t>Sanctions; Anti-Money Laundering Laws and Anti-Corruption Laws</w:t>
      </w:r>
    </w:p>
    <w:p>
      <w:pPr>
        <w:spacing w:after="0" w:line="220" w:lineRule="exact"/>
        <w:rPr>
          <w:sz w:val="20"/>
          <w:szCs w:val="20"/>
          <w:color w:val="auto"/>
        </w:rPr>
      </w:pPr>
    </w:p>
    <w:p>
      <w:pPr>
        <w:jc w:val="both"/>
        <w:ind w:firstLine="634"/>
        <w:spacing w:after="0" w:line="259" w:lineRule="auto"/>
        <w:tabs>
          <w:tab w:leader="none" w:pos="1249" w:val="left"/>
        </w:tabs>
        <w:numPr>
          <w:ilvl w:val="0"/>
          <w:numId w:val="223"/>
        </w:numPr>
        <w:rPr>
          <w:rFonts w:ascii="Arial" w:cs="Arial" w:eastAsia="Arial" w:hAnsi="Arial"/>
          <w:sz w:val="19"/>
          <w:szCs w:val="19"/>
          <w:color w:val="auto"/>
        </w:rPr>
      </w:pPr>
      <w:r>
        <w:rPr>
          <w:rFonts w:ascii="Arial" w:cs="Arial" w:eastAsia="Arial" w:hAnsi="Arial"/>
          <w:sz w:val="19"/>
          <w:szCs w:val="19"/>
          <w:color w:val="auto"/>
        </w:rPr>
        <w:t>None of the Loan Parties nor any of their Controlled Persons nor, to the knowledge of Borrower, any agent, affiliate or representative of any Loan Party or any of their Subsidiaries, is, or is controlled by a Person that is, a Sanctioned Person or currently the subject or target of any Sanctions.</w:t>
      </w:r>
    </w:p>
    <w:p>
      <w:pPr>
        <w:spacing w:after="0" w:line="171" w:lineRule="exact"/>
        <w:rPr>
          <w:rFonts w:ascii="Arial" w:cs="Arial" w:eastAsia="Arial" w:hAnsi="Arial"/>
          <w:sz w:val="19"/>
          <w:szCs w:val="19"/>
          <w:color w:val="auto"/>
        </w:rPr>
      </w:pPr>
    </w:p>
    <w:p>
      <w:pPr>
        <w:jc w:val="both"/>
        <w:ind w:firstLine="634"/>
        <w:spacing w:after="0" w:line="259" w:lineRule="auto"/>
        <w:tabs>
          <w:tab w:leader="none" w:pos="1247" w:val="left"/>
        </w:tabs>
        <w:numPr>
          <w:ilvl w:val="0"/>
          <w:numId w:val="223"/>
        </w:numPr>
        <w:rPr>
          <w:rFonts w:ascii="Arial" w:cs="Arial" w:eastAsia="Arial" w:hAnsi="Arial"/>
          <w:sz w:val="19"/>
          <w:szCs w:val="19"/>
          <w:color w:val="auto"/>
        </w:rPr>
      </w:pPr>
      <w:r>
        <w:rPr>
          <w:rFonts w:ascii="Arial" w:cs="Arial" w:eastAsia="Arial" w:hAnsi="Arial"/>
          <w:sz w:val="19"/>
          <w:szCs w:val="19"/>
          <w:color w:val="auto"/>
        </w:rPr>
        <w:t>The Loan Parties and each of their Subsidiaries and, to the knowledge of Borrower, each of the Loan Parties’ and their Subsidiaries’ respective agents, affiliates and representatives, is in compliance with all Anti-Corruption Laws, Anti-Money Laundering Laws and Sanctions.</w:t>
      </w:r>
    </w:p>
    <w:p>
      <w:pPr>
        <w:spacing w:after="0" w:line="171" w:lineRule="exact"/>
        <w:rPr>
          <w:rFonts w:ascii="Arial" w:cs="Arial" w:eastAsia="Arial" w:hAnsi="Arial"/>
          <w:sz w:val="19"/>
          <w:szCs w:val="19"/>
          <w:color w:val="auto"/>
        </w:rPr>
      </w:pPr>
    </w:p>
    <w:p>
      <w:pPr>
        <w:jc w:val="both"/>
        <w:ind w:firstLine="634"/>
        <w:spacing w:after="0" w:line="259" w:lineRule="auto"/>
        <w:tabs>
          <w:tab w:leader="none" w:pos="1249" w:val="left"/>
        </w:tabs>
        <w:numPr>
          <w:ilvl w:val="0"/>
          <w:numId w:val="223"/>
        </w:numPr>
        <w:rPr>
          <w:rFonts w:ascii="Arial" w:cs="Arial" w:eastAsia="Arial" w:hAnsi="Arial"/>
          <w:sz w:val="19"/>
          <w:szCs w:val="19"/>
          <w:color w:val="auto"/>
        </w:rPr>
      </w:pPr>
      <w:r>
        <w:rPr>
          <w:rFonts w:ascii="Arial" w:cs="Arial" w:eastAsia="Arial" w:hAnsi="Arial"/>
          <w:sz w:val="19"/>
          <w:szCs w:val="19"/>
          <w:color w:val="auto"/>
        </w:rPr>
        <w:t>The Loan Parties and their Subsidiaries have instituted and maintain in effect policies and procedures reasonably designed to ensure compliance by the Loan Parties, their Subsidiaries, and their Controlled Persons with all Anti-Corruption Laws, Anti-Money Laundering Laws and Sanctions.</w:t>
      </w:r>
    </w:p>
    <w:p>
      <w:pPr>
        <w:spacing w:after="0" w:line="171" w:lineRule="exact"/>
        <w:rPr>
          <w:rFonts w:ascii="Arial" w:cs="Arial" w:eastAsia="Arial" w:hAnsi="Arial"/>
          <w:sz w:val="19"/>
          <w:szCs w:val="19"/>
          <w:color w:val="auto"/>
        </w:rPr>
      </w:pPr>
    </w:p>
    <w:p>
      <w:pPr>
        <w:ind w:left="1260" w:hanging="626"/>
        <w:spacing w:after="0"/>
        <w:tabs>
          <w:tab w:leader="none" w:pos="1260" w:val="left"/>
        </w:tabs>
        <w:numPr>
          <w:ilvl w:val="0"/>
          <w:numId w:val="223"/>
        </w:numPr>
        <w:rPr>
          <w:rFonts w:ascii="Arial" w:cs="Arial" w:eastAsia="Arial" w:hAnsi="Arial"/>
          <w:sz w:val="17"/>
          <w:szCs w:val="17"/>
          <w:color w:val="auto"/>
        </w:rPr>
      </w:pPr>
      <w:r>
        <w:rPr>
          <w:rFonts w:ascii="Arial" w:cs="Arial" w:eastAsia="Arial" w:hAnsi="Arial"/>
          <w:sz w:val="17"/>
          <w:szCs w:val="17"/>
          <w:color w:val="auto"/>
        </w:rPr>
        <w:t>As of the Closing Date, the information included in the Beneficial Ownership Certification, if applicable, is true and correct in all</w:t>
      </w:r>
    </w:p>
    <w:p>
      <w:pPr>
        <w:spacing w:after="0" w:line="43"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9"/>
          <w:szCs w:val="19"/>
          <w:color w:val="auto"/>
        </w:rPr>
        <w:t>respects.</w:t>
      </w:r>
    </w:p>
    <w:p>
      <w:pPr>
        <w:spacing w:after="0" w:line="198" w:lineRule="exact"/>
        <w:rPr>
          <w:rFonts w:ascii="Arial" w:cs="Arial" w:eastAsia="Arial" w:hAnsi="Arial"/>
          <w:sz w:val="17"/>
          <w:szCs w:val="17"/>
          <w:color w:val="auto"/>
        </w:rPr>
      </w:pPr>
    </w:p>
    <w:p>
      <w:pPr>
        <w:jc w:val="both"/>
        <w:ind w:firstLine="634"/>
        <w:spacing w:after="0" w:line="264" w:lineRule="auto"/>
        <w:tabs>
          <w:tab w:leader="none" w:pos="1249" w:val="left"/>
        </w:tabs>
        <w:numPr>
          <w:ilvl w:val="0"/>
          <w:numId w:val="223"/>
        </w:numPr>
        <w:rPr>
          <w:rFonts w:ascii="Arial" w:cs="Arial" w:eastAsia="Arial" w:hAnsi="Arial"/>
          <w:sz w:val="18"/>
          <w:szCs w:val="18"/>
          <w:color w:val="auto"/>
        </w:rPr>
      </w:pPr>
      <w:r>
        <w:rPr>
          <w:rFonts w:ascii="Arial" w:cs="Arial" w:eastAsia="Arial" w:hAnsi="Arial"/>
          <w:sz w:val="18"/>
          <w:szCs w:val="18"/>
          <w:color w:val="auto"/>
        </w:rPr>
        <w:t>No part of the proceeds of the Credit Extensions will be used, directly or indirectly, to (i) conduct any business or engages in making or receiving any contribution of funds, goods or services to or for the benefit of any Sanctioned Person that would Anti-Money Laundering Laws or Sanctions; (ii) deal in, or otherwise engage in, any transaction related to, any property or interests in property blocked pursuant to any Sanctions; (iii) engage in, or conspire to engage in, any transaction that evades or avoids, or has the purpose of evading or avoiding, or attempts to violate, any Sanctions; or (iv) authorize or take any action in furtherance of an offer, payment, promise to pay, or authorization or approval of the payment or giving of money, property, gifts or anything else of value, directly or knowingly indirectly, to any governmental official or employee, political party, official of a political party, candidate for political office, or anyone else acting in an official capacity, in order to obtain, retain or direct business or obtain any improper advantage, in violation of the Anti-Corruption Laws.</w:t>
      </w:r>
    </w:p>
    <w:p>
      <w:pPr>
        <w:spacing w:after="0" w:line="166" w:lineRule="exact"/>
        <w:rPr>
          <w:sz w:val="20"/>
          <w:szCs w:val="20"/>
          <w:color w:val="auto"/>
        </w:rPr>
      </w:pPr>
    </w:p>
    <w:p>
      <w:pPr>
        <w:jc w:val="both"/>
        <w:ind w:firstLine="629"/>
        <w:spacing w:after="0" w:line="262" w:lineRule="auto"/>
        <w:rPr>
          <w:sz w:val="20"/>
          <w:szCs w:val="20"/>
          <w:color w:val="auto"/>
        </w:rPr>
      </w:pPr>
      <w:r>
        <w:rPr>
          <w:rFonts w:ascii="Arial" w:cs="Arial" w:eastAsia="Arial" w:hAnsi="Arial"/>
          <w:sz w:val="19"/>
          <w:szCs w:val="19"/>
          <w:b w:val="1"/>
          <w:bCs w:val="1"/>
          <w:color w:val="auto"/>
        </w:rPr>
        <w:t xml:space="preserve">6.22 Brokers. </w:t>
      </w:r>
      <w:r>
        <w:rPr>
          <w:rFonts w:ascii="Arial" w:cs="Arial" w:eastAsia="Arial" w:hAnsi="Arial"/>
          <w:sz w:val="19"/>
          <w:szCs w:val="19"/>
          <w:color w:val="auto"/>
        </w:rPr>
        <w:t>No broker or finder brought about the obtaining, making or closing of the Loans or transactions contemplated by the</w:t>
      </w:r>
      <w:r>
        <w:rPr>
          <w:rFonts w:ascii="Arial" w:cs="Arial" w:eastAsia="Arial" w:hAnsi="Arial"/>
          <w:sz w:val="19"/>
          <w:szCs w:val="19"/>
          <w:b w:val="1"/>
          <w:bCs w:val="1"/>
          <w:color w:val="auto"/>
        </w:rPr>
        <w:t xml:space="preserve"> </w:t>
      </w:r>
      <w:r>
        <w:rPr>
          <w:rFonts w:ascii="Arial" w:cs="Arial" w:eastAsia="Arial" w:hAnsi="Arial"/>
          <w:sz w:val="19"/>
          <w:szCs w:val="19"/>
          <w:color w:val="auto"/>
        </w:rPr>
        <w:t>Loan Documents, and no Loan Party or Affiliate thereof has any obligation to any Person in respect of any finder’s or brokerage fees in connection therewith.</w:t>
      </w:r>
    </w:p>
    <w:p>
      <w:pPr>
        <w:spacing w:after="0" w:line="163" w:lineRule="exact"/>
        <w:rPr>
          <w:sz w:val="20"/>
          <w:szCs w:val="20"/>
          <w:color w:val="auto"/>
        </w:rPr>
      </w:pPr>
    </w:p>
    <w:p>
      <w:pPr>
        <w:jc w:val="both"/>
        <w:ind w:firstLine="629"/>
        <w:spacing w:after="0" w:line="256" w:lineRule="auto"/>
        <w:rPr>
          <w:sz w:val="20"/>
          <w:szCs w:val="20"/>
          <w:color w:val="auto"/>
        </w:rPr>
      </w:pPr>
      <w:r>
        <w:rPr>
          <w:rFonts w:ascii="Arial" w:cs="Arial" w:eastAsia="Arial" w:hAnsi="Arial"/>
          <w:sz w:val="19"/>
          <w:szCs w:val="19"/>
          <w:b w:val="1"/>
          <w:bCs w:val="1"/>
          <w:color w:val="auto"/>
        </w:rPr>
        <w:t>6.23 Customer and Trade Relations</w:t>
      </w:r>
      <w:r>
        <w:rPr>
          <w:rFonts w:ascii="Arial" w:cs="Arial" w:eastAsia="Arial" w:hAnsi="Arial"/>
          <w:sz w:val="19"/>
          <w:szCs w:val="19"/>
          <w:color w:val="auto"/>
        </w:rPr>
        <w:t>. There exists no actual or, to the knowledge of any Loan Party, threatened, termination or</w:t>
      </w:r>
      <w:r>
        <w:rPr>
          <w:rFonts w:ascii="Arial" w:cs="Arial" w:eastAsia="Arial" w:hAnsi="Arial"/>
          <w:sz w:val="19"/>
          <w:szCs w:val="19"/>
          <w:b w:val="1"/>
          <w:bCs w:val="1"/>
          <w:color w:val="auto"/>
        </w:rPr>
        <w:t xml:space="preserve"> </w:t>
      </w:r>
      <w:r>
        <w:rPr>
          <w:rFonts w:ascii="Arial" w:cs="Arial" w:eastAsia="Arial" w:hAnsi="Arial"/>
          <w:sz w:val="19"/>
          <w:szCs w:val="19"/>
          <w:color w:val="auto"/>
        </w:rPr>
        <w:t>cancellation of, or any modification or change in the business relationship of any Loan Party with any customers or suppliers which are, individually or in the aggregate, material to its operations, to the extent that such cancellation, modification or change would reasonably be expected to result in a Material Adverse Effect.</w:t>
      </w:r>
    </w:p>
    <w:p>
      <w:pPr>
        <w:spacing w:after="0" w:line="169" w:lineRule="exact"/>
        <w:rPr>
          <w:sz w:val="20"/>
          <w:szCs w:val="20"/>
          <w:color w:val="auto"/>
        </w:rPr>
      </w:pPr>
    </w:p>
    <w:p>
      <w:pPr>
        <w:jc w:val="both"/>
        <w:ind w:firstLine="629"/>
        <w:spacing w:after="0" w:line="262" w:lineRule="auto"/>
        <w:rPr>
          <w:sz w:val="20"/>
          <w:szCs w:val="20"/>
          <w:color w:val="auto"/>
        </w:rPr>
      </w:pPr>
      <w:r>
        <w:rPr>
          <w:rFonts w:ascii="Arial" w:cs="Arial" w:eastAsia="Arial" w:hAnsi="Arial"/>
          <w:sz w:val="19"/>
          <w:szCs w:val="19"/>
          <w:b w:val="1"/>
          <w:bCs w:val="1"/>
          <w:color w:val="auto"/>
        </w:rPr>
        <w:t xml:space="preserve">6.24 Material Contracts. </w:t>
      </w:r>
      <w:r>
        <w:rPr>
          <w:rFonts w:ascii="Arial" w:cs="Arial" w:eastAsia="Arial" w:hAnsi="Arial"/>
          <w:sz w:val="19"/>
          <w:szCs w:val="19"/>
          <w:u w:val="single" w:color="auto"/>
          <w:color w:val="auto"/>
        </w:rPr>
        <w:t>Schedule 6.24</w:t>
      </w:r>
      <w:r>
        <w:rPr>
          <w:rFonts w:ascii="Arial" w:cs="Arial" w:eastAsia="Arial" w:hAnsi="Arial"/>
          <w:sz w:val="19"/>
          <w:szCs w:val="19"/>
          <w:b w:val="1"/>
          <w:bCs w:val="1"/>
          <w:color w:val="auto"/>
        </w:rPr>
        <w:t xml:space="preserve"> </w:t>
      </w:r>
      <w:r>
        <w:rPr>
          <w:rFonts w:ascii="Arial" w:cs="Arial" w:eastAsia="Arial" w:hAnsi="Arial"/>
          <w:sz w:val="19"/>
          <w:szCs w:val="19"/>
          <w:color w:val="auto"/>
        </w:rPr>
        <w:t>sets forth all Material Contracts to which any Loan Party is a party or is bound as of the</w:t>
      </w:r>
      <w:r>
        <w:rPr>
          <w:rFonts w:ascii="Arial" w:cs="Arial" w:eastAsia="Arial" w:hAnsi="Arial"/>
          <w:sz w:val="19"/>
          <w:szCs w:val="19"/>
          <w:b w:val="1"/>
          <w:bCs w:val="1"/>
          <w:color w:val="auto"/>
        </w:rPr>
        <w:t xml:space="preserve"> </w:t>
      </w:r>
      <w:r>
        <w:rPr>
          <w:rFonts w:ascii="Arial" w:cs="Arial" w:eastAsia="Arial" w:hAnsi="Arial"/>
          <w:sz w:val="19"/>
          <w:szCs w:val="19"/>
          <w:color w:val="auto"/>
        </w:rPr>
        <w:t>Closing Date other than those contracts specifically described in the definition of Material Contract. The Loan Parties have delivered true, correct and complete copies of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126</w:t>
      </w:r>
    </w:p>
    <w:p>
      <w:pPr>
        <w:sectPr>
          <w:pgSz w:w="11900" w:h="16838" w:orient="portrait"/>
          <w:cols w:equalWidth="0" w:num="1">
            <w:col w:w="11240"/>
          </w:cols>
          <w:pgMar w:left="320" w:top="1382" w:right="339" w:bottom="1440" w:gutter="0" w:footer="0" w:header="0"/>
        </w:sectPr>
      </w:pPr>
    </w:p>
    <w:bookmarkStart w:id="245" w:name="page246"/>
    <w:bookmarkEnd w:id="245"/>
    <w:p>
      <w:pPr>
        <w:jc w:val="both"/>
        <w:spacing w:after="0" w:line="274" w:lineRule="auto"/>
        <w:rPr>
          <w:sz w:val="20"/>
          <w:szCs w:val="20"/>
          <w:color w:val="auto"/>
        </w:rPr>
      </w:pPr>
      <w:r>
        <w:rPr>
          <w:rFonts w:ascii="Arial" w:cs="Arial" w:eastAsia="Arial" w:hAnsi="Arial"/>
          <w:sz w:val="19"/>
          <w:szCs w:val="19"/>
          <w:color w:val="auto"/>
        </w:rPr>
        <w:t>Material Contracts to the Administrative Agent on or before the date hereof. None of the Loan Parties is in default in the performance, observance or fulfillment of any of the obligations, covenants or conditions contained in any Material Contract.</w:t>
      </w:r>
    </w:p>
    <w:p>
      <w:pPr>
        <w:spacing w:after="0" w:line="151" w:lineRule="exact"/>
        <w:rPr>
          <w:sz w:val="20"/>
          <w:szCs w:val="20"/>
          <w:color w:val="auto"/>
        </w:rPr>
      </w:pPr>
    </w:p>
    <w:p>
      <w:pPr>
        <w:jc w:val="both"/>
        <w:ind w:firstLine="629"/>
        <w:spacing w:after="0" w:line="256" w:lineRule="auto"/>
        <w:rPr>
          <w:sz w:val="20"/>
          <w:szCs w:val="20"/>
          <w:color w:val="auto"/>
        </w:rPr>
      </w:pPr>
      <w:r>
        <w:rPr>
          <w:rFonts w:ascii="Arial" w:cs="Arial" w:eastAsia="Arial" w:hAnsi="Arial"/>
          <w:sz w:val="19"/>
          <w:szCs w:val="19"/>
          <w:b w:val="1"/>
          <w:bCs w:val="1"/>
          <w:color w:val="auto"/>
        </w:rPr>
        <w:t>6.25 Casualty</w:t>
      </w:r>
      <w:r>
        <w:rPr>
          <w:rFonts w:ascii="Arial" w:cs="Arial" w:eastAsia="Arial" w:hAnsi="Arial"/>
          <w:sz w:val="19"/>
          <w:szCs w:val="19"/>
          <w:color w:val="auto"/>
        </w:rPr>
        <w:t>. Neither the businesses nor the properties of any Loan Party or any of its Subsidiaries are affected by any fire,</w:t>
      </w:r>
      <w:r>
        <w:rPr>
          <w:rFonts w:ascii="Arial" w:cs="Arial" w:eastAsia="Arial" w:hAnsi="Arial"/>
          <w:sz w:val="19"/>
          <w:szCs w:val="19"/>
          <w:b w:val="1"/>
          <w:bCs w:val="1"/>
          <w:color w:val="auto"/>
        </w:rPr>
        <w:t xml:space="preserve"> </w:t>
      </w:r>
      <w:r>
        <w:rPr>
          <w:rFonts w:ascii="Arial" w:cs="Arial" w:eastAsia="Arial" w:hAnsi="Arial"/>
          <w:sz w:val="19"/>
          <w:szCs w:val="19"/>
          <w:color w:val="auto"/>
        </w:rPr>
        <w:t>explosion, accident, strike, lockout or other labor dispute, drought, storm, hail, earthquake, embargo, act of God or of the public enemy or other casualty (whether or not covered by insurance) that, either individually or in the aggregate, could reasonably be expected to have a Material Adverse Effect.</w:t>
      </w:r>
    </w:p>
    <w:p>
      <w:pPr>
        <w:spacing w:after="0" w:line="169" w:lineRule="exact"/>
        <w:rPr>
          <w:sz w:val="20"/>
          <w:szCs w:val="20"/>
          <w:color w:val="auto"/>
        </w:rPr>
      </w:pPr>
    </w:p>
    <w:p>
      <w:pPr>
        <w:jc w:val="both"/>
        <w:ind w:firstLine="629"/>
        <w:spacing w:after="0" w:line="253" w:lineRule="auto"/>
        <w:rPr>
          <w:sz w:val="20"/>
          <w:szCs w:val="20"/>
          <w:color w:val="auto"/>
        </w:rPr>
      </w:pPr>
      <w:r>
        <w:rPr>
          <w:rFonts w:ascii="Arial" w:cs="Arial" w:eastAsia="Arial" w:hAnsi="Arial"/>
          <w:sz w:val="19"/>
          <w:szCs w:val="19"/>
          <w:b w:val="1"/>
          <w:bCs w:val="1"/>
          <w:color w:val="auto"/>
        </w:rPr>
        <w:t>6.26 Senior Indebtedness</w:t>
      </w:r>
      <w:r>
        <w:rPr>
          <w:rFonts w:ascii="Arial" w:cs="Arial" w:eastAsia="Arial" w:hAnsi="Arial"/>
          <w:sz w:val="19"/>
          <w:szCs w:val="19"/>
          <w:color w:val="auto"/>
        </w:rPr>
        <w:t>. All Obligations including those to pay principal of and interest (including post-petition interest, whether or</w:t>
      </w:r>
      <w:r>
        <w:rPr>
          <w:rFonts w:ascii="Arial" w:cs="Arial" w:eastAsia="Arial" w:hAnsi="Arial"/>
          <w:sz w:val="19"/>
          <w:szCs w:val="19"/>
          <w:b w:val="1"/>
          <w:bCs w:val="1"/>
          <w:color w:val="auto"/>
        </w:rPr>
        <w:t xml:space="preserve"> </w:t>
      </w:r>
      <w:r>
        <w:rPr>
          <w:rFonts w:ascii="Arial" w:cs="Arial" w:eastAsia="Arial" w:hAnsi="Arial"/>
          <w:sz w:val="19"/>
          <w:szCs w:val="19"/>
          <w:color w:val="auto"/>
        </w:rPr>
        <w:t>not allowed as a claim under Debtor Relief Laws) on the Loans and other Obligations, and fees and expenses in connection therewith, are entitled to the benefits of the Subordination Provisions applicable to all Indebtedness. Each Loan Party acknowledges that the Administrative Agent and each Lender is entering into this Agreement and each Lender is extending its Revolving Credit Commitments in reliance upon the Subordination Provisions.</w:t>
      </w:r>
    </w:p>
    <w:p>
      <w:pPr>
        <w:spacing w:after="0" w:line="173" w:lineRule="exact"/>
        <w:rPr>
          <w:sz w:val="20"/>
          <w:szCs w:val="20"/>
          <w:color w:val="auto"/>
        </w:rPr>
      </w:pPr>
    </w:p>
    <w:p>
      <w:pPr>
        <w:jc w:val="both"/>
        <w:ind w:firstLine="629"/>
        <w:spacing w:after="0" w:line="256" w:lineRule="auto"/>
        <w:rPr>
          <w:sz w:val="20"/>
          <w:szCs w:val="20"/>
          <w:color w:val="auto"/>
        </w:rPr>
      </w:pPr>
      <w:r>
        <w:rPr>
          <w:rFonts w:ascii="Arial" w:cs="Arial" w:eastAsia="Arial" w:hAnsi="Arial"/>
          <w:sz w:val="19"/>
          <w:szCs w:val="19"/>
          <w:b w:val="1"/>
          <w:bCs w:val="1"/>
          <w:color w:val="auto"/>
        </w:rPr>
        <w:t>6.27 Post-Retirement Benefits</w:t>
      </w:r>
      <w:r>
        <w:rPr>
          <w:rFonts w:ascii="Arial" w:cs="Arial" w:eastAsia="Arial" w:hAnsi="Arial"/>
          <w:sz w:val="19"/>
          <w:szCs w:val="19"/>
          <w:color w:val="auto"/>
        </w:rPr>
        <w:t>. The present value of the expected cost of post-retirement medical (excluding the cost of continuation</w:t>
      </w:r>
      <w:r>
        <w:rPr>
          <w:rFonts w:ascii="Arial" w:cs="Arial" w:eastAsia="Arial" w:hAnsi="Arial"/>
          <w:sz w:val="19"/>
          <w:szCs w:val="19"/>
          <w:b w:val="1"/>
          <w:bCs w:val="1"/>
          <w:color w:val="auto"/>
        </w:rPr>
        <w:t xml:space="preserve"> </w:t>
      </w:r>
      <w:r>
        <w:rPr>
          <w:rFonts w:ascii="Arial" w:cs="Arial" w:eastAsia="Arial" w:hAnsi="Arial"/>
          <w:sz w:val="19"/>
          <w:szCs w:val="19"/>
          <w:color w:val="auto"/>
        </w:rPr>
        <w:t>coverage as required by Section 4980(B) of the Code or by similar, applicable state insurance laws) and insurance benefits payable by the Company and its Subsidiaries to its employees and former employees, as estimated by the Company in accordance with procedures and assumptions deemed reasonable by the Required Lenders, does not exceed $500,000.</w:t>
      </w:r>
    </w:p>
    <w:p>
      <w:pPr>
        <w:spacing w:after="0" w:line="196" w:lineRule="exact"/>
        <w:rPr>
          <w:sz w:val="20"/>
          <w:szCs w:val="20"/>
          <w:color w:val="auto"/>
        </w:rPr>
      </w:pPr>
    </w:p>
    <w:p>
      <w:pPr>
        <w:jc w:val="both"/>
        <w:ind w:firstLine="629"/>
        <w:spacing w:after="0" w:line="253" w:lineRule="auto"/>
        <w:rPr>
          <w:sz w:val="20"/>
          <w:szCs w:val="20"/>
          <w:color w:val="auto"/>
        </w:rPr>
      </w:pPr>
      <w:r>
        <w:rPr>
          <w:rFonts w:ascii="Arial" w:cs="Arial" w:eastAsia="Arial" w:hAnsi="Arial"/>
          <w:sz w:val="19"/>
          <w:szCs w:val="19"/>
          <w:b w:val="1"/>
          <w:bCs w:val="1"/>
          <w:color w:val="auto"/>
        </w:rPr>
        <w:t>6.28 Payment and Performance Bonds</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Schedule 6.28</w:t>
      </w:r>
      <w:r>
        <w:rPr>
          <w:rFonts w:ascii="Arial" w:cs="Arial" w:eastAsia="Arial" w:hAnsi="Arial"/>
          <w:sz w:val="19"/>
          <w:szCs w:val="19"/>
          <w:b w:val="1"/>
          <w:bCs w:val="1"/>
          <w:color w:val="auto"/>
        </w:rPr>
        <w:t xml:space="preserve"> </w:t>
      </w:r>
      <w:r>
        <w:rPr>
          <w:rFonts w:ascii="Arial" w:cs="Arial" w:eastAsia="Arial" w:hAnsi="Arial"/>
          <w:sz w:val="19"/>
          <w:szCs w:val="19"/>
          <w:color w:val="auto"/>
        </w:rPr>
        <w:t>sets forth an accurate list and brief description of all payment and</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performance bonds (including all Bonding Obligations) to which the Company or any of its Restricted Subsidiaries is a party as of the Closing Date, the underlying contracts subject to such bonds and the Bonded Job Sites. No such bonds (or any application or related documents) currently provide for any collateral or other security of any kind or nature in favor of the Surety thereunder, except as expressly permitted under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8.02(f)</w:t>
      </w:r>
      <w:r>
        <w:rPr>
          <w:rFonts w:ascii="Arial" w:cs="Arial" w:eastAsia="Arial" w:hAnsi="Arial"/>
          <w:sz w:val="19"/>
          <w:szCs w:val="19"/>
          <w:color w:val="auto"/>
        </w:rPr>
        <w:t>.</w:t>
      </w:r>
    </w:p>
    <w:p>
      <w:pPr>
        <w:spacing w:after="0" w:line="199" w:lineRule="exact"/>
        <w:rPr>
          <w:sz w:val="20"/>
          <w:szCs w:val="20"/>
          <w:color w:val="auto"/>
        </w:rPr>
      </w:pPr>
    </w:p>
    <w:p>
      <w:pPr>
        <w:jc w:val="center"/>
        <w:ind w:right="40"/>
        <w:spacing w:after="0"/>
        <w:rPr>
          <w:sz w:val="20"/>
          <w:szCs w:val="20"/>
          <w:color w:val="auto"/>
        </w:rPr>
      </w:pPr>
      <w:r>
        <w:rPr>
          <w:rFonts w:ascii="Arial" w:cs="Arial" w:eastAsia="Arial" w:hAnsi="Arial"/>
          <w:sz w:val="19"/>
          <w:szCs w:val="19"/>
          <w:b w:val="1"/>
          <w:bCs w:val="1"/>
          <w:color w:val="auto"/>
        </w:rPr>
        <w:t>ARTICLE VII</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AFFIRMATIVE COVENANTS</w:t>
      </w:r>
    </w:p>
    <w:p>
      <w:pPr>
        <w:spacing w:after="0" w:line="198" w:lineRule="exact"/>
        <w:rPr>
          <w:sz w:val="20"/>
          <w:szCs w:val="20"/>
          <w:color w:val="auto"/>
        </w:rPr>
      </w:pPr>
    </w:p>
    <w:p>
      <w:pPr>
        <w:jc w:val="both"/>
        <w:ind w:firstLine="629"/>
        <w:spacing w:after="0" w:line="259" w:lineRule="auto"/>
        <w:rPr>
          <w:sz w:val="20"/>
          <w:szCs w:val="20"/>
          <w:color w:val="auto"/>
        </w:rPr>
      </w:pPr>
      <w:r>
        <w:rPr>
          <w:rFonts w:ascii="Arial" w:cs="Arial" w:eastAsia="Arial" w:hAnsi="Arial"/>
          <w:sz w:val="19"/>
          <w:szCs w:val="19"/>
          <w:color w:val="auto"/>
        </w:rPr>
        <w:t xml:space="preserve">So long as any Lender shall have any Revolving Credit Commitment hereunder or any Loan Obligation hereunder shall remain unpaid or unsatisfied, each Loan Party shall, and shall cause each Restricted Subsidiary to, or with respect to </w:t>
      </w:r>
      <w:r>
        <w:rPr>
          <w:rFonts w:ascii="Arial" w:cs="Arial" w:eastAsia="Arial" w:hAnsi="Arial"/>
          <w:sz w:val="19"/>
          <w:szCs w:val="19"/>
          <w:u w:val="single" w:color="auto"/>
          <w:color w:val="auto"/>
        </w:rPr>
        <w:t>Sections 7.01</w:t>
      </w:r>
      <w:r>
        <w:rPr>
          <w:rFonts w:ascii="Arial" w:cs="Arial" w:eastAsia="Arial" w:hAnsi="Arial"/>
          <w:sz w:val="19"/>
          <w:szCs w:val="19"/>
          <w:color w:val="auto"/>
        </w:rPr>
        <w:t xml:space="preserve">, </w:t>
      </w:r>
      <w:r>
        <w:rPr>
          <w:rFonts w:ascii="Arial" w:cs="Arial" w:eastAsia="Arial" w:hAnsi="Arial"/>
          <w:sz w:val="19"/>
          <w:szCs w:val="19"/>
          <w:u w:val="single" w:color="auto"/>
          <w:color w:val="auto"/>
        </w:rPr>
        <w:t>7.02</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7.03</w:t>
      </w:r>
      <w:r>
        <w:rPr>
          <w:rFonts w:ascii="Arial" w:cs="Arial" w:eastAsia="Arial" w:hAnsi="Arial"/>
          <w:sz w:val="19"/>
          <w:szCs w:val="19"/>
          <w:color w:val="auto"/>
        </w:rPr>
        <w:t>, the Borrower Agent shall:</w:t>
      </w:r>
    </w:p>
    <w:p>
      <w:pPr>
        <w:spacing w:after="0" w:line="165"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9"/>
          <w:szCs w:val="19"/>
          <w:b w:val="1"/>
          <w:bCs w:val="1"/>
          <w:color w:val="auto"/>
        </w:rPr>
        <w:t>7.1</w:t>
      </w:r>
      <w:r>
        <w:rPr>
          <w:sz w:val="20"/>
          <w:szCs w:val="20"/>
          <w:color w:val="auto"/>
        </w:rPr>
        <w:tab/>
      </w:r>
      <w:r>
        <w:rPr>
          <w:rFonts w:ascii="Arial" w:cs="Arial" w:eastAsia="Arial" w:hAnsi="Arial"/>
          <w:sz w:val="17"/>
          <w:szCs w:val="17"/>
          <w:b w:val="1"/>
          <w:bCs w:val="1"/>
          <w:color w:val="auto"/>
        </w:rPr>
        <w:t>Financial Statements</w:t>
      </w:r>
      <w:r>
        <w:rPr>
          <w:rFonts w:ascii="Arial" w:cs="Arial" w:eastAsia="Arial" w:hAnsi="Arial"/>
          <w:sz w:val="17"/>
          <w:szCs w:val="17"/>
          <w:color w:val="auto"/>
        </w:rPr>
        <w:t>. Deliver to the Administrative Agent and each Lender:</w:t>
      </w:r>
    </w:p>
    <w:p>
      <w:pPr>
        <w:spacing w:after="0" w:line="220" w:lineRule="exact"/>
        <w:rPr>
          <w:sz w:val="20"/>
          <w:szCs w:val="20"/>
          <w:color w:val="auto"/>
        </w:rPr>
      </w:pPr>
    </w:p>
    <w:p>
      <w:pPr>
        <w:jc w:val="both"/>
        <w:ind w:firstLine="634"/>
        <w:spacing w:after="0" w:line="249" w:lineRule="auto"/>
        <w:tabs>
          <w:tab w:leader="none" w:pos="1249" w:val="left"/>
        </w:tabs>
        <w:numPr>
          <w:ilvl w:val="0"/>
          <w:numId w:val="224"/>
        </w:numPr>
        <w:rPr>
          <w:rFonts w:ascii="Arial" w:cs="Arial" w:eastAsia="Arial" w:hAnsi="Arial"/>
          <w:sz w:val="19"/>
          <w:szCs w:val="19"/>
          <w:color w:val="auto"/>
        </w:rPr>
      </w:pPr>
      <w:r>
        <w:rPr>
          <w:rFonts w:ascii="Arial" w:cs="Arial" w:eastAsia="Arial" w:hAnsi="Arial"/>
          <w:sz w:val="19"/>
          <w:szCs w:val="19"/>
          <w:color w:val="auto"/>
        </w:rPr>
        <w:t>as soon as available, but in any event within 90 days after the end of each fiscal year of the Company or, if earlier, 15 days after the date required to be filed with the SEC (without giving effect to any extension permitted by the SEC), a Consolidated balance sheet of the Company and its Subsidiaries as at the end of such fiscal year, and the related Consolidated statements of income or operations, shareholders’ equity and cash flows for such fiscal year, setting forth in each case in comparative form the figures for the previous fiscal year, all in reasonable detail and prepared in accordance with GAAP, (i) such Consolidated statements to be audited and accompanied by a report and opinion of a Registered Public Accounting Firm of nationally recognized standing reasonably acceptable to the Administrative Agent (the “</w:t>
      </w:r>
      <w:r>
        <w:rPr>
          <w:rFonts w:ascii="Arial" w:cs="Arial" w:eastAsia="Arial" w:hAnsi="Arial"/>
          <w:sz w:val="19"/>
          <w:szCs w:val="19"/>
          <w:u w:val="single" w:color="auto"/>
          <w:color w:val="auto"/>
        </w:rPr>
        <w:t>Auditor</w:t>
      </w:r>
      <w:r>
        <w:rPr>
          <w:rFonts w:ascii="Arial" w:cs="Arial" w:eastAsia="Arial" w:hAnsi="Arial"/>
          <w:sz w:val="19"/>
          <w:szCs w:val="19"/>
          <w:color w:val="auto"/>
        </w:rPr>
        <w:t>”), which report and opinion shall be prepared in accordance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127</w:t>
      </w:r>
    </w:p>
    <w:p>
      <w:pPr>
        <w:sectPr>
          <w:pgSz w:w="11900" w:h="16838" w:orient="portrait"/>
          <w:cols w:equalWidth="0" w:num="1">
            <w:col w:w="11240"/>
          </w:cols>
          <w:pgMar w:left="320" w:top="1382" w:right="339" w:bottom="1440" w:gutter="0" w:footer="0" w:header="0"/>
        </w:sectPr>
      </w:pPr>
    </w:p>
    <w:bookmarkStart w:id="246" w:name="page247"/>
    <w:bookmarkEnd w:id="246"/>
    <w:p>
      <w:pPr>
        <w:jc w:val="both"/>
        <w:spacing w:after="0" w:line="252" w:lineRule="auto"/>
        <w:rPr>
          <w:sz w:val="20"/>
          <w:szCs w:val="20"/>
          <w:color w:val="auto"/>
        </w:rPr>
      </w:pPr>
      <w:r>
        <w:rPr>
          <w:rFonts w:ascii="Arial" w:cs="Arial" w:eastAsia="Arial" w:hAnsi="Arial"/>
          <w:sz w:val="19"/>
          <w:szCs w:val="19"/>
          <w:color w:val="auto"/>
        </w:rPr>
        <w:t xml:space="preserve">with audit standards of the Public Company Accounting Oversight Board and applicable Securities Laws and shall not be subject to any “going concern” or like qualification or exception or any qualification or exception as to the scope of such audit and shall include a certificate of the Auditor stating that in making the examination necessary with respect to such audit it has not become aware of any Default in respect of any term, covenant, condition of </w:t>
      </w:r>
      <w:r>
        <w:rPr>
          <w:rFonts w:ascii="Arial" w:cs="Arial" w:eastAsia="Arial" w:hAnsi="Arial"/>
          <w:sz w:val="19"/>
          <w:szCs w:val="19"/>
          <w:u w:val="single" w:color="auto"/>
          <w:color w:val="auto"/>
        </w:rPr>
        <w:t>Section 8.12</w:t>
      </w:r>
      <w:r>
        <w:rPr>
          <w:rFonts w:ascii="Arial" w:cs="Arial" w:eastAsia="Arial" w:hAnsi="Arial"/>
          <w:sz w:val="19"/>
          <w:szCs w:val="19"/>
          <w:color w:val="auto"/>
        </w:rPr>
        <w:t xml:space="preserve"> or other provision in so far as they relate to accounting matters or, if any such Default shall exist, stating the nature and status of such event;</w:t>
      </w:r>
    </w:p>
    <w:p>
      <w:pPr>
        <w:spacing w:after="0" w:line="177" w:lineRule="exact"/>
        <w:rPr>
          <w:sz w:val="20"/>
          <w:szCs w:val="20"/>
          <w:color w:val="auto"/>
        </w:rPr>
      </w:pPr>
    </w:p>
    <w:p>
      <w:pPr>
        <w:jc w:val="both"/>
        <w:ind w:firstLine="634"/>
        <w:spacing w:after="0" w:line="250" w:lineRule="auto"/>
        <w:tabs>
          <w:tab w:leader="none" w:pos="1247" w:val="left"/>
        </w:tabs>
        <w:numPr>
          <w:ilvl w:val="1"/>
          <w:numId w:val="225"/>
        </w:numPr>
        <w:rPr>
          <w:rFonts w:ascii="Arial" w:cs="Arial" w:eastAsia="Arial" w:hAnsi="Arial"/>
          <w:sz w:val="19"/>
          <w:szCs w:val="19"/>
          <w:color w:val="auto"/>
        </w:rPr>
      </w:pPr>
      <w:r>
        <w:rPr>
          <w:rFonts w:ascii="Arial" w:cs="Arial" w:eastAsia="Arial" w:hAnsi="Arial"/>
          <w:sz w:val="19"/>
          <w:szCs w:val="19"/>
          <w:color w:val="auto"/>
        </w:rPr>
        <w:t>monthly, as soon as available, but in any event within 30 days after the end of each Fiscal Month, unaudited Consolidated balance sheets of the Company as of the end of such month and the related statements of income and cash flow for such month and for the portion of the Fiscal Year then elapsed, on a Consolidated basis for the Company and Subsidiaries, setting forth in comparative form corresponding figures for the preceding Fiscal Year and certified by the chief financial officer of Borrower Agent as prepared in accordance with GAAP and fairly presenting the financial condition, results of operations, shareholders equity and cash flows for such month and period, subject to normal yearend adjustments and the absence of footnotes; and</w:t>
      </w:r>
    </w:p>
    <w:p>
      <w:pPr>
        <w:spacing w:after="0" w:line="181" w:lineRule="exact"/>
        <w:rPr>
          <w:rFonts w:ascii="Arial" w:cs="Arial" w:eastAsia="Arial" w:hAnsi="Arial"/>
          <w:sz w:val="19"/>
          <w:szCs w:val="19"/>
          <w:color w:val="auto"/>
        </w:rPr>
      </w:pPr>
    </w:p>
    <w:p>
      <w:pPr>
        <w:jc w:val="both"/>
        <w:ind w:firstLine="634"/>
        <w:spacing w:after="0" w:line="283" w:lineRule="auto"/>
        <w:tabs>
          <w:tab w:leader="none" w:pos="1249" w:val="left"/>
        </w:tabs>
        <w:numPr>
          <w:ilvl w:val="1"/>
          <w:numId w:val="225"/>
        </w:numPr>
        <w:rPr>
          <w:rFonts w:ascii="Arial" w:cs="Arial" w:eastAsia="Arial" w:hAnsi="Arial"/>
          <w:sz w:val="17"/>
          <w:szCs w:val="17"/>
          <w:color w:val="auto"/>
        </w:rPr>
      </w:pPr>
      <w:r>
        <w:rPr>
          <w:rFonts w:ascii="Arial" w:cs="Arial" w:eastAsia="Arial" w:hAnsi="Arial"/>
          <w:sz w:val="17"/>
          <w:szCs w:val="17"/>
          <w:color w:val="auto"/>
        </w:rPr>
        <w:t>as soon as available but not later than thirty (30) days prior to the end of each fiscal year, annual financial projections of the Company and its Subsidiaries on a Consolidated basis, in form satisfactory to the Administrative Agent and the Required Lenders, consisting of</w:t>
      </w:r>
    </w:p>
    <w:p>
      <w:pPr>
        <w:ind w:firstLine="5"/>
        <w:spacing w:after="0" w:line="256" w:lineRule="auto"/>
        <w:tabs>
          <w:tab w:leader="none" w:pos="241" w:val="left"/>
        </w:tabs>
        <w:numPr>
          <w:ilvl w:val="0"/>
          <w:numId w:val="226"/>
        </w:numPr>
        <w:rPr>
          <w:rFonts w:ascii="Arial" w:cs="Arial" w:eastAsia="Arial" w:hAnsi="Arial"/>
          <w:sz w:val="19"/>
          <w:szCs w:val="19"/>
          <w:color w:val="auto"/>
        </w:rPr>
      </w:pPr>
      <w:r>
        <w:rPr>
          <w:rFonts w:ascii="Arial" w:cs="Arial" w:eastAsia="Arial" w:hAnsi="Arial"/>
          <w:sz w:val="19"/>
          <w:szCs w:val="19"/>
          <w:color w:val="auto"/>
        </w:rPr>
        <w:t>monthly Consolidated balance sheets and statements of income or operations and cash flows and (ii) monthly Availability for Borrowers for the immediately following fiscal year.</w:t>
      </w:r>
    </w:p>
    <w:p>
      <w:pPr>
        <w:spacing w:after="0" w:line="174" w:lineRule="exact"/>
        <w:rPr>
          <w:sz w:val="20"/>
          <w:szCs w:val="20"/>
          <w:color w:val="auto"/>
        </w:rPr>
      </w:pPr>
    </w:p>
    <w:p>
      <w:pPr>
        <w:jc w:val="both"/>
        <w:ind w:firstLine="629"/>
        <w:spacing w:after="0" w:line="259" w:lineRule="auto"/>
        <w:rPr>
          <w:sz w:val="20"/>
          <w:szCs w:val="20"/>
          <w:color w:val="auto"/>
        </w:rPr>
      </w:pPr>
      <w:r>
        <w:rPr>
          <w:rFonts w:ascii="Arial" w:cs="Arial" w:eastAsia="Arial" w:hAnsi="Arial"/>
          <w:sz w:val="19"/>
          <w:szCs w:val="19"/>
          <w:color w:val="auto"/>
        </w:rPr>
        <w:t xml:space="preserve">As to any information contained in materials furnished pursuant to </w:t>
      </w:r>
      <w:r>
        <w:rPr>
          <w:rFonts w:ascii="Arial" w:cs="Arial" w:eastAsia="Arial" w:hAnsi="Arial"/>
          <w:sz w:val="19"/>
          <w:szCs w:val="19"/>
          <w:u w:val="single" w:color="auto"/>
          <w:color w:val="auto"/>
        </w:rPr>
        <w:t>Section 7.02(d)</w:t>
      </w:r>
      <w:r>
        <w:rPr>
          <w:rFonts w:ascii="Arial" w:cs="Arial" w:eastAsia="Arial" w:hAnsi="Arial"/>
          <w:sz w:val="19"/>
          <w:szCs w:val="19"/>
          <w:color w:val="auto"/>
        </w:rPr>
        <w:t>, the Loan Parties shall not be separately required to furnish such information under clause (a) or (b) above, but the foregoing shall not be in derogation of the obligation of the Loan Parties to furnish the information and materials described in subsections (a) and (b) above at the times specified therein.</w:t>
      </w:r>
    </w:p>
    <w:p>
      <w:pPr>
        <w:spacing w:after="0" w:line="165" w:lineRule="exact"/>
        <w:rPr>
          <w:sz w:val="20"/>
          <w:szCs w:val="20"/>
          <w:color w:val="auto"/>
        </w:rPr>
      </w:pPr>
    </w:p>
    <w:p>
      <w:pPr>
        <w:jc w:val="both"/>
        <w:ind w:firstLine="629"/>
        <w:spacing w:after="0" w:line="280" w:lineRule="auto"/>
        <w:rPr>
          <w:sz w:val="20"/>
          <w:szCs w:val="20"/>
          <w:color w:val="auto"/>
        </w:rPr>
      </w:pPr>
      <w:r>
        <w:rPr>
          <w:rFonts w:ascii="Arial" w:cs="Arial" w:eastAsia="Arial" w:hAnsi="Arial"/>
          <w:sz w:val="19"/>
          <w:szCs w:val="19"/>
          <w:b w:val="1"/>
          <w:bCs w:val="1"/>
          <w:color w:val="auto"/>
        </w:rPr>
        <w:t>7.2 Borrowing Base Certificate; Other Information</w:t>
      </w:r>
      <w:r>
        <w:rPr>
          <w:rFonts w:ascii="Arial" w:cs="Arial" w:eastAsia="Arial" w:hAnsi="Arial"/>
          <w:sz w:val="19"/>
          <w:szCs w:val="19"/>
          <w:color w:val="auto"/>
        </w:rPr>
        <w:t>. Deliver to the Administrative Agent and each Lender, in form and detail</w:t>
      </w:r>
      <w:r>
        <w:rPr>
          <w:rFonts w:ascii="Arial" w:cs="Arial" w:eastAsia="Arial" w:hAnsi="Arial"/>
          <w:sz w:val="19"/>
          <w:szCs w:val="19"/>
          <w:b w:val="1"/>
          <w:bCs w:val="1"/>
          <w:color w:val="auto"/>
        </w:rPr>
        <w:t xml:space="preserve"> </w:t>
      </w:r>
      <w:r>
        <w:rPr>
          <w:rFonts w:ascii="Arial" w:cs="Arial" w:eastAsia="Arial" w:hAnsi="Arial"/>
          <w:sz w:val="19"/>
          <w:szCs w:val="19"/>
          <w:color w:val="auto"/>
        </w:rPr>
        <w:t>satisfactory to the Administrative Agent and the Required Lenders:</w:t>
      </w:r>
    </w:p>
    <w:p>
      <w:pPr>
        <w:spacing w:after="0" w:line="152" w:lineRule="exact"/>
        <w:rPr>
          <w:sz w:val="20"/>
          <w:szCs w:val="20"/>
          <w:color w:val="auto"/>
        </w:rPr>
      </w:pPr>
    </w:p>
    <w:p>
      <w:pPr>
        <w:jc w:val="both"/>
        <w:ind w:firstLine="634"/>
        <w:spacing w:after="0" w:line="255" w:lineRule="auto"/>
        <w:tabs>
          <w:tab w:leader="none" w:pos="1249" w:val="left"/>
        </w:tabs>
        <w:numPr>
          <w:ilvl w:val="0"/>
          <w:numId w:val="227"/>
        </w:numPr>
        <w:rPr>
          <w:rFonts w:ascii="Arial" w:cs="Arial" w:eastAsia="Arial" w:hAnsi="Arial"/>
          <w:sz w:val="18"/>
          <w:szCs w:val="18"/>
          <w:color w:val="auto"/>
        </w:rPr>
      </w:pPr>
      <w:r>
        <w:rPr>
          <w:rFonts w:ascii="Arial" w:cs="Arial" w:eastAsia="Arial" w:hAnsi="Arial"/>
          <w:sz w:val="18"/>
          <w:szCs w:val="18"/>
          <w:color w:val="auto"/>
        </w:rPr>
        <w:t>on or before the 20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of each month from and after the date hereof, Borrower Agent shall deliver to Administrative Agent, in form acceptable to the Administrative Agent, a Borrowing Base Certificate as of the last day of the immediately preceding month, with such supporting materials as the Administrative Agent shall reasonably request (including weekly reporting of rolling forward accounts receivable data by reporting weekly sales, cash collections and credits and monthly reporting of gross inventory, inventory ineligibles and accounts receivable ineligibles). If a Reporting Trigger Period exists, Borrower Agent shall execute and deliver to Administrative Agent a Borrowing Base Certificate on or before Wednesday of each week. All calculations of Availability in any Borrowing Base Certificate shall initially be made by Borrowers and certified by a Responsible Officer,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Administrative Agent may from time to time review and adjust any such calculation (a) to reflect its reasonable estimate of declines in value of any Collateral, including due to collections received in the Concentration Account or otherwise or to reflect balance reductions of Eligible Cash; (b) to adjust advance rates to reflect changes in dilution, quality, mix and other factors affecting Collateral, including delay of payment of accounts payable beyond past practice; and (c) to the extent the calculation is not made in accordance with this Agreement or does not accurately reflect the Availability Reserve or the Line Reserve;</w:t>
      </w:r>
    </w:p>
    <w:p>
      <w:pPr>
        <w:spacing w:after="0" w:line="181" w:lineRule="exact"/>
        <w:rPr>
          <w:rFonts w:ascii="Arial" w:cs="Arial" w:eastAsia="Arial" w:hAnsi="Arial"/>
          <w:sz w:val="18"/>
          <w:szCs w:val="18"/>
          <w:color w:val="auto"/>
        </w:rPr>
      </w:pPr>
    </w:p>
    <w:p>
      <w:pPr>
        <w:ind w:firstLine="634"/>
        <w:spacing w:after="0" w:line="227" w:lineRule="auto"/>
        <w:tabs>
          <w:tab w:leader="none" w:pos="1247" w:val="left"/>
        </w:tabs>
        <w:numPr>
          <w:ilvl w:val="0"/>
          <w:numId w:val="227"/>
        </w:numPr>
        <w:rPr>
          <w:rFonts w:ascii="Arial" w:cs="Arial" w:eastAsia="Arial" w:hAnsi="Arial"/>
          <w:sz w:val="19"/>
          <w:szCs w:val="19"/>
          <w:color w:val="auto"/>
        </w:rPr>
      </w:pPr>
      <w:r>
        <w:rPr>
          <w:rFonts w:ascii="Arial" w:cs="Arial" w:eastAsia="Arial" w:hAnsi="Arial"/>
          <w:sz w:val="19"/>
          <w:szCs w:val="19"/>
          <w:color w:val="auto"/>
        </w:rPr>
        <w:t>on or before the 20</w:t>
      </w:r>
      <w:r>
        <w:rPr>
          <w:rFonts w:ascii="Arial" w:cs="Arial" w:eastAsia="Arial" w:hAnsi="Arial"/>
          <w:sz w:val="24"/>
          <w:szCs w:val="24"/>
          <w:color w:val="auto"/>
          <w:vertAlign w:val="superscript"/>
        </w:rPr>
        <w:t>th</w:t>
      </w:r>
      <w:r>
        <w:rPr>
          <w:rFonts w:ascii="Arial" w:cs="Arial" w:eastAsia="Arial" w:hAnsi="Arial"/>
          <w:sz w:val="19"/>
          <w:szCs w:val="19"/>
          <w:color w:val="auto"/>
        </w:rPr>
        <w:t xml:space="preserve"> day of each calendar month from and after the date hereof, Borrower Agent shall deliver to the Administrative Agent, in the form reasonably acceptable to the Administrative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128</w:t>
      </w:r>
    </w:p>
    <w:p>
      <w:pPr>
        <w:sectPr>
          <w:pgSz w:w="11900" w:h="16838" w:orient="portrait"/>
          <w:cols w:equalWidth="0" w:num="1">
            <w:col w:w="11240"/>
          </w:cols>
          <w:pgMar w:left="320" w:top="1381" w:right="339" w:bottom="1440" w:gutter="0" w:footer="0" w:header="0"/>
        </w:sectPr>
      </w:pPr>
    </w:p>
    <w:bookmarkStart w:id="247" w:name="page248"/>
    <w:bookmarkEnd w:id="247"/>
    <w:p>
      <w:pPr>
        <w:jc w:val="both"/>
        <w:spacing w:after="0" w:line="262" w:lineRule="auto"/>
        <w:rPr>
          <w:sz w:val="20"/>
          <w:szCs w:val="20"/>
          <w:color w:val="auto"/>
        </w:rPr>
      </w:pPr>
      <w:r>
        <w:rPr>
          <w:rFonts w:ascii="Arial" w:cs="Arial" w:eastAsia="Arial" w:hAnsi="Arial"/>
          <w:sz w:val="18"/>
          <w:szCs w:val="18"/>
          <w:color w:val="auto"/>
        </w:rPr>
        <w:t>Agent, (i) reconciliations of all Borrowers’ Accounts as shown on the monthend Borrowing Base Certificate for the immediately preceding month to Borrowers’ accounts receivable agings, to Borrowers’ general ledger and to Borrowers’ most recent financial statements, (ii) a detailed aged trial balance of all Accounts as of the end of the preceding fiscal month, specifying each Account’s Account Debtor name and address, amount, invoice date and due date, showing any discount, allowance, credit, authorized return or dispute, and including such proof of delivery, copies of invoices and invoice registers, copies of related documents, repayment histories, status reports and other information as the Administrative Agent may reasonably request, (iii) accounts payable agings, (iv) accounts receivable agings, (v) reconciliations of Borrowers’ Inventory as shown on Borrowers’ perpetual inventory, to Borrowers’ general ledger and to Borrowers’ financial statements, (vi) Inventory status reports, all with supporting materials as the Administrative Agent shall reasonably request and (vii) a bonding report, as to all bonds to which the Company or any Restricted Subsidiary is a party (including all Bonding Obligations), which shall include the following information: the identity of the principal, the identity of the obligee, a description of the applicable project, the type of bond, the amount of the bond, the premium paid for the bond, and the effective date and expiration date of the bond, and such other information regarding such bonds as reasonably requested by the Administrative Agent or any Lender.</w:t>
      </w:r>
    </w:p>
    <w:p>
      <w:pPr>
        <w:spacing w:after="0" w:line="173" w:lineRule="exact"/>
        <w:rPr>
          <w:sz w:val="20"/>
          <w:szCs w:val="20"/>
          <w:color w:val="auto"/>
        </w:rPr>
      </w:pPr>
    </w:p>
    <w:p>
      <w:pPr>
        <w:jc w:val="both"/>
        <w:ind w:firstLine="634"/>
        <w:spacing w:after="0" w:line="273" w:lineRule="auto"/>
        <w:tabs>
          <w:tab w:leader="none" w:pos="1249" w:val="left"/>
        </w:tabs>
        <w:numPr>
          <w:ilvl w:val="0"/>
          <w:numId w:val="228"/>
        </w:numPr>
        <w:rPr>
          <w:rFonts w:ascii="Arial" w:cs="Arial" w:eastAsia="Arial" w:hAnsi="Arial"/>
          <w:sz w:val="18"/>
          <w:szCs w:val="18"/>
          <w:color w:val="auto"/>
        </w:rPr>
      </w:pPr>
      <w:r>
        <w:rPr>
          <w:rFonts w:ascii="Arial" w:cs="Arial" w:eastAsia="Arial" w:hAnsi="Arial"/>
          <w:sz w:val="18"/>
          <w:szCs w:val="18"/>
          <w:color w:val="auto"/>
        </w:rPr>
        <w:t xml:space="preserve">a Compliance Certificate executed by the chief financial officer of Borrower Agent which certifies compliance with </w:t>
      </w:r>
      <w:r>
        <w:rPr>
          <w:rFonts w:ascii="Arial" w:cs="Arial" w:eastAsia="Arial" w:hAnsi="Arial"/>
          <w:sz w:val="18"/>
          <w:szCs w:val="18"/>
          <w:u w:val="single" w:color="auto"/>
          <w:color w:val="auto"/>
        </w:rPr>
        <w:t>Section 8.12</w:t>
      </w:r>
      <w:r>
        <w:rPr>
          <w:rFonts w:ascii="Arial" w:cs="Arial" w:eastAsia="Arial" w:hAnsi="Arial"/>
          <w:sz w:val="18"/>
          <w:szCs w:val="18"/>
          <w:color w:val="auto"/>
        </w:rPr>
        <w:t xml:space="preserve"> and provides a reasonably detailed calculation of the Consolidated Fixed Charge Coverage Ratio delivered (i) on the first day of any Fixed Charge Trigger Period (certifying compliance as of the last day of the Measurement Period most recently ended prior to the start of such Fixed Charge Trigger Period) and (ii) as requested by the Administrative Agent while a Default or an Event of Default exists;</w:t>
      </w:r>
    </w:p>
    <w:p>
      <w:pPr>
        <w:spacing w:after="0" w:line="159" w:lineRule="exact"/>
        <w:rPr>
          <w:rFonts w:ascii="Arial" w:cs="Arial" w:eastAsia="Arial" w:hAnsi="Arial"/>
          <w:sz w:val="18"/>
          <w:szCs w:val="18"/>
          <w:color w:val="auto"/>
        </w:rPr>
      </w:pPr>
    </w:p>
    <w:p>
      <w:pPr>
        <w:jc w:val="both"/>
        <w:ind w:firstLine="634"/>
        <w:spacing w:after="0" w:line="254" w:lineRule="auto"/>
        <w:tabs>
          <w:tab w:leader="none" w:pos="1247" w:val="left"/>
        </w:tabs>
        <w:numPr>
          <w:ilvl w:val="0"/>
          <w:numId w:val="228"/>
        </w:numPr>
        <w:rPr>
          <w:rFonts w:ascii="Arial" w:cs="Arial" w:eastAsia="Arial" w:hAnsi="Arial"/>
          <w:sz w:val="19"/>
          <w:szCs w:val="19"/>
          <w:color w:val="auto"/>
        </w:rPr>
      </w:pPr>
      <w:r>
        <w:rPr>
          <w:rFonts w:ascii="Arial" w:cs="Arial" w:eastAsia="Arial" w:hAnsi="Arial"/>
          <w:sz w:val="19"/>
          <w:szCs w:val="19"/>
          <w:color w:val="auto"/>
        </w:rPr>
        <w:t>promptly after the same are available, copies of each annual report, proxy or financial statement sent to the stockholders of the Company, and copies of all annual, regular, periodic and special reports and registration statements which the Company may file or be required to file with the SEC under Section 13 or 15(d) of the Exchange Act, and not otherwise required to be delivered to the Administrative Agent pursuant hereto;</w:t>
      </w:r>
    </w:p>
    <w:p>
      <w:pPr>
        <w:spacing w:after="0" w:line="176" w:lineRule="exact"/>
        <w:rPr>
          <w:rFonts w:ascii="Arial" w:cs="Arial" w:eastAsia="Arial" w:hAnsi="Arial"/>
          <w:sz w:val="19"/>
          <w:szCs w:val="19"/>
          <w:color w:val="auto"/>
        </w:rPr>
      </w:pPr>
    </w:p>
    <w:p>
      <w:pPr>
        <w:jc w:val="both"/>
        <w:ind w:firstLine="634"/>
        <w:spacing w:after="0" w:line="259" w:lineRule="auto"/>
        <w:tabs>
          <w:tab w:leader="none" w:pos="1249" w:val="left"/>
        </w:tabs>
        <w:numPr>
          <w:ilvl w:val="0"/>
          <w:numId w:val="228"/>
        </w:numPr>
        <w:rPr>
          <w:rFonts w:ascii="Arial" w:cs="Arial" w:eastAsia="Arial" w:hAnsi="Arial"/>
          <w:sz w:val="19"/>
          <w:szCs w:val="19"/>
          <w:color w:val="auto"/>
        </w:rPr>
      </w:pPr>
      <w:r>
        <w:rPr>
          <w:rFonts w:ascii="Arial" w:cs="Arial" w:eastAsia="Arial" w:hAnsi="Arial"/>
          <w:sz w:val="19"/>
          <w:szCs w:val="19"/>
          <w:color w:val="auto"/>
        </w:rPr>
        <w:t>at the Administrative Agent’s request (but not more frequently than monthly unless a Default or Event of Default has occurred and is continuing), a listing of each Borrower’s trade payables, specifying the trade creditor and balance due, and a detailed trade payable aging, all in form and scope satisfactory to the Administrative Agent;</w:t>
      </w:r>
    </w:p>
    <w:p>
      <w:pPr>
        <w:spacing w:after="0" w:line="171" w:lineRule="exact"/>
        <w:rPr>
          <w:rFonts w:ascii="Arial" w:cs="Arial" w:eastAsia="Arial" w:hAnsi="Arial"/>
          <w:sz w:val="19"/>
          <w:szCs w:val="19"/>
          <w:color w:val="auto"/>
        </w:rPr>
      </w:pPr>
    </w:p>
    <w:p>
      <w:pPr>
        <w:jc w:val="both"/>
        <w:ind w:firstLine="634"/>
        <w:spacing w:after="0" w:line="259" w:lineRule="auto"/>
        <w:tabs>
          <w:tab w:leader="none" w:pos="1254" w:val="left"/>
        </w:tabs>
        <w:numPr>
          <w:ilvl w:val="0"/>
          <w:numId w:val="228"/>
        </w:numPr>
        <w:rPr>
          <w:rFonts w:ascii="Arial" w:cs="Arial" w:eastAsia="Arial" w:hAnsi="Arial"/>
          <w:sz w:val="19"/>
          <w:szCs w:val="19"/>
          <w:color w:val="auto"/>
        </w:rPr>
      </w:pPr>
      <w:r>
        <w:rPr>
          <w:rFonts w:ascii="Arial" w:cs="Arial" w:eastAsia="Arial" w:hAnsi="Arial"/>
          <w:sz w:val="19"/>
          <w:szCs w:val="19"/>
          <w:color w:val="auto"/>
        </w:rPr>
        <w:t>promptly following any request therefor, provide information and documentation reasonably requested by Administrative Agent for purposes of compliance with applicable “know your customer” requirements under the PATRIOT Act, the Beneficial Ownership Regulation or other applicable Anti-Money Laundering Laws, Anti-Corruption Laws, or Sanctions; and</w:t>
      </w:r>
    </w:p>
    <w:p>
      <w:pPr>
        <w:spacing w:after="0" w:line="171" w:lineRule="exact"/>
        <w:rPr>
          <w:rFonts w:ascii="Arial" w:cs="Arial" w:eastAsia="Arial" w:hAnsi="Arial"/>
          <w:sz w:val="19"/>
          <w:szCs w:val="19"/>
          <w:color w:val="auto"/>
        </w:rPr>
      </w:pPr>
    </w:p>
    <w:p>
      <w:pPr>
        <w:jc w:val="both"/>
        <w:ind w:firstLine="634"/>
        <w:spacing w:after="0" w:line="259" w:lineRule="auto"/>
        <w:tabs>
          <w:tab w:leader="none" w:pos="1247" w:val="left"/>
        </w:tabs>
        <w:numPr>
          <w:ilvl w:val="0"/>
          <w:numId w:val="228"/>
        </w:numPr>
        <w:rPr>
          <w:rFonts w:ascii="Arial" w:cs="Arial" w:eastAsia="Arial" w:hAnsi="Arial"/>
          <w:sz w:val="19"/>
          <w:szCs w:val="19"/>
          <w:color w:val="auto"/>
        </w:rPr>
      </w:pPr>
      <w:r>
        <w:rPr>
          <w:rFonts w:ascii="Arial" w:cs="Arial" w:eastAsia="Arial" w:hAnsi="Arial"/>
          <w:sz w:val="19"/>
          <w:szCs w:val="19"/>
          <w:color w:val="auto"/>
        </w:rPr>
        <w:t>promptly, such additional information regarding the business, financial or corporate affairs of any Loan Party or any Subsidiary, or compliance with the terms of the Loan Documents, as the Administrative Agent or any Lender may from time to time reasonably request, all in form and scope reasonably acceptable to the Administrative Agent.</w:t>
      </w:r>
    </w:p>
    <w:p>
      <w:pPr>
        <w:spacing w:after="0" w:line="171" w:lineRule="exact"/>
        <w:rPr>
          <w:sz w:val="20"/>
          <w:szCs w:val="20"/>
          <w:color w:val="auto"/>
        </w:rPr>
      </w:pPr>
    </w:p>
    <w:p>
      <w:pPr>
        <w:jc w:val="both"/>
        <w:ind w:firstLine="629"/>
        <w:spacing w:after="0" w:line="259" w:lineRule="auto"/>
        <w:rPr>
          <w:sz w:val="20"/>
          <w:szCs w:val="20"/>
          <w:color w:val="auto"/>
        </w:rPr>
      </w:pPr>
      <w:r>
        <w:rPr>
          <w:rFonts w:ascii="Arial" w:cs="Arial" w:eastAsia="Arial" w:hAnsi="Arial"/>
          <w:sz w:val="19"/>
          <w:szCs w:val="19"/>
          <w:color w:val="auto"/>
        </w:rPr>
        <w:t xml:space="preserve">Documents required to be delivered pursuant to </w:t>
      </w:r>
      <w:r>
        <w:rPr>
          <w:rFonts w:ascii="Arial" w:cs="Arial" w:eastAsia="Arial" w:hAnsi="Arial"/>
          <w:sz w:val="19"/>
          <w:szCs w:val="19"/>
          <w:u w:val="single" w:color="auto"/>
          <w:color w:val="auto"/>
        </w:rPr>
        <w:t>Section 7.01(a)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7.01(b)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7.02(c)</w:t>
      </w:r>
      <w:r>
        <w:rPr>
          <w:rFonts w:ascii="Arial" w:cs="Arial" w:eastAsia="Arial" w:hAnsi="Arial"/>
          <w:sz w:val="19"/>
          <w:szCs w:val="19"/>
          <w:color w:val="auto"/>
        </w:rPr>
        <w:t xml:space="preserve"> (to the extent any such documents are included in materials otherwise filed with the SEC) may be delivered electronically and if so delivered, shall be deemed to have been delivered on the date (i) on which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129</w:t>
      </w:r>
    </w:p>
    <w:p>
      <w:pPr>
        <w:sectPr>
          <w:pgSz w:w="11900" w:h="16838" w:orient="portrait"/>
          <w:cols w:equalWidth="0" w:num="1">
            <w:col w:w="11240"/>
          </w:cols>
          <w:pgMar w:left="320" w:top="1381" w:right="339" w:bottom="1440" w:gutter="0" w:footer="0" w:header="0"/>
        </w:sectPr>
      </w:pPr>
    </w:p>
    <w:bookmarkStart w:id="248" w:name="page249"/>
    <w:bookmarkEnd w:id="248"/>
    <w:p>
      <w:pPr>
        <w:jc w:val="both"/>
        <w:spacing w:after="0" w:line="280" w:lineRule="auto"/>
        <w:rPr>
          <w:sz w:val="20"/>
          <w:szCs w:val="20"/>
          <w:color w:val="auto"/>
        </w:rPr>
      </w:pPr>
      <w:r>
        <w:rPr>
          <w:rFonts w:ascii="Arial" w:cs="Arial" w:eastAsia="Arial" w:hAnsi="Arial"/>
          <w:sz w:val="17"/>
          <w:szCs w:val="17"/>
          <w:color w:val="auto"/>
        </w:rPr>
        <w:t xml:space="preserve">Borrower Agent posts such documents, or provides a link thereto on the Borrower Agent’s website on the Internet at the website address listed on </w:t>
      </w:r>
      <w:r>
        <w:rPr>
          <w:rFonts w:ascii="Arial" w:cs="Arial" w:eastAsia="Arial" w:hAnsi="Arial"/>
          <w:sz w:val="17"/>
          <w:szCs w:val="17"/>
          <w:u w:val="single" w:color="auto"/>
          <w:color w:val="auto"/>
        </w:rPr>
        <w:t>Schedule 11.02</w:t>
      </w:r>
      <w:r>
        <w:rPr>
          <w:rFonts w:ascii="Arial" w:cs="Arial" w:eastAsia="Arial" w:hAnsi="Arial"/>
          <w:sz w:val="17"/>
          <w:szCs w:val="17"/>
          <w:color w:val="auto"/>
        </w:rPr>
        <w:t xml:space="preserve">; or (ii) on which such documents are posted on the Borrower Agent’s behalf on an Internet or intranet website, if any, to which each Lender and the Administrative Agent have access (whether a commercial, third-party website or whether sponsored by the Administrative Agent);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(x) the Borrower Agent shall deliver paper copies of such documents to the Administrative Agent or any Lender that requests the Borrower Agent to deliver such paper copies until a written request to cease delivering paper copies is given by the Administrative Agent or such Lender and (y) the Borrower Agent shall notify (which may be by facsimile or electronic mail) the Administrative Agent and each Lender of the posting of any such documents and provide to the Administrative Agent by electronic mail electronic versions (</w:t>
      </w:r>
      <w:r>
        <w:rPr>
          <w:rFonts w:ascii="Arial" w:cs="Arial" w:eastAsia="Arial" w:hAnsi="Arial"/>
          <w:sz w:val="17"/>
          <w:szCs w:val="17"/>
          <w:u w:val="single" w:color="auto"/>
          <w:color w:val="auto"/>
        </w:rPr>
        <w:t>i.e.</w:t>
      </w:r>
      <w:r>
        <w:rPr>
          <w:rFonts w:ascii="Arial" w:cs="Arial" w:eastAsia="Arial" w:hAnsi="Arial"/>
          <w:sz w:val="17"/>
          <w:szCs w:val="17"/>
          <w:color w:val="auto"/>
        </w:rPr>
        <w:t>, soft copies) of such documents. The Administrative Agent shall have no obligation to request the delivery or to maintain copies of the documents referred to above, and in any event shall have no responsibility to monitor compliance by the Borrowers with any such request for delivery, and each Lender shall be solely responsible for requesting delivery to it or maintaining its copies of such documents.</w:t>
      </w:r>
    </w:p>
    <w:p>
      <w:pPr>
        <w:spacing w:after="0" w:line="159" w:lineRule="exact"/>
        <w:rPr>
          <w:sz w:val="20"/>
          <w:szCs w:val="20"/>
          <w:color w:val="auto"/>
        </w:rPr>
      </w:pPr>
    </w:p>
    <w:p>
      <w:pPr>
        <w:jc w:val="both"/>
        <w:ind w:firstLine="629"/>
        <w:spacing w:after="0" w:line="277" w:lineRule="auto"/>
        <w:rPr>
          <w:sz w:val="20"/>
          <w:szCs w:val="20"/>
          <w:color w:val="auto"/>
        </w:rPr>
      </w:pPr>
      <w:r>
        <w:rPr>
          <w:rFonts w:ascii="Arial" w:cs="Arial" w:eastAsia="Arial" w:hAnsi="Arial"/>
          <w:sz w:val="17"/>
          <w:szCs w:val="17"/>
          <w:color w:val="auto"/>
        </w:rPr>
        <w:t>Each Loan Party hereby acknowledges that (a) the Administrative Agent and/or the Arrangers will make available to the Lenders and the Letter of Credit Issuer materials and/or information provided by or on behalf of the Borrowers hereunder (collectively, “</w:t>
      </w:r>
      <w:r>
        <w:rPr>
          <w:rFonts w:ascii="Arial" w:cs="Arial" w:eastAsia="Arial" w:hAnsi="Arial"/>
          <w:sz w:val="17"/>
          <w:szCs w:val="17"/>
          <w:u w:val="single" w:color="auto"/>
          <w:color w:val="auto"/>
        </w:rPr>
        <w:t>Borrower Materials</w:t>
      </w:r>
      <w:r>
        <w:rPr>
          <w:rFonts w:ascii="Arial" w:cs="Arial" w:eastAsia="Arial" w:hAnsi="Arial"/>
          <w:sz w:val="17"/>
          <w:szCs w:val="17"/>
          <w:color w:val="auto"/>
        </w:rPr>
        <w:t>”) by posting the Borrower Materials on SyndTrak or another similar electronic system (the “</w:t>
      </w:r>
      <w:r>
        <w:rPr>
          <w:rFonts w:ascii="Arial" w:cs="Arial" w:eastAsia="Arial" w:hAnsi="Arial"/>
          <w:sz w:val="17"/>
          <w:szCs w:val="17"/>
          <w:u w:val="single" w:color="auto"/>
          <w:color w:val="auto"/>
        </w:rPr>
        <w:t>Platform</w:t>
      </w:r>
      <w:r>
        <w:rPr>
          <w:rFonts w:ascii="Arial" w:cs="Arial" w:eastAsia="Arial" w:hAnsi="Arial"/>
          <w:sz w:val="17"/>
          <w:szCs w:val="17"/>
          <w:color w:val="auto"/>
        </w:rPr>
        <w:t>”) and (b) certain of the Lenders (each, a “</w:t>
      </w:r>
      <w:r>
        <w:rPr>
          <w:rFonts w:ascii="Arial" w:cs="Arial" w:eastAsia="Arial" w:hAnsi="Arial"/>
          <w:sz w:val="17"/>
          <w:szCs w:val="17"/>
          <w:u w:val="single" w:color="auto"/>
          <w:color w:val="auto"/>
        </w:rPr>
        <w:t>Public</w:t>
      </w:r>
      <w:r>
        <w:rPr>
          <w:rFonts w:ascii="Arial" w:cs="Arial" w:eastAsia="Arial" w:hAnsi="Arial"/>
          <w:sz w:val="17"/>
          <w:szCs w:val="17"/>
          <w:color w:val="auto"/>
        </w:rPr>
        <w:t xml:space="preserve"> </w:t>
      </w:r>
      <w:r>
        <w:rPr>
          <w:rFonts w:ascii="Arial" w:cs="Arial" w:eastAsia="Arial" w:hAnsi="Arial"/>
          <w:sz w:val="17"/>
          <w:szCs w:val="17"/>
          <w:u w:val="single" w:color="auto"/>
          <w:color w:val="auto"/>
        </w:rPr>
        <w:t>Lender</w:t>
      </w:r>
      <w:r>
        <w:rPr>
          <w:rFonts w:ascii="Arial" w:cs="Arial" w:eastAsia="Arial" w:hAnsi="Arial"/>
          <w:sz w:val="17"/>
          <w:szCs w:val="17"/>
          <w:color w:val="auto"/>
        </w:rPr>
        <w:t>”) may have personnel who do not wish to receive material non-public information with respect to the Loan Parties or their Affiliates, or the respective securities of any of the foregoing, and who may be engaged in investment and other market-related activities with respect to such Persons’ securities. Each Loan Party hereby agrees that, so long as any Borrower is the issuer of any outstanding debt or equity securities that are registered or issued pursuant to a private offering or is actively contemplating issuing any such securities, (w) all Borrower Materials that are to be made available to Public Lenders shall be clearly and conspicuously marked “PUBLIC” which, at a minimum, shall mean that the word “PUBLIC” shall appear prominently on the first page thereof; (x) by marking Borrower Materials “PUBLIC”, each Loan Party shall be deemed to have authorized the Administrative Agent, the Arrangers, the Letter of Credit Issuer and the Lenders to treat such Borrower Materials as not containing any material non-public information with respect to any Loan Party or its securities for purposes of United States or Canadian federal, state, provincial and territorial securities laws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to the extent such Borrower Materials constitute Information, they shall be treated as set forth in </w:t>
      </w:r>
      <w:r>
        <w:rPr>
          <w:rFonts w:ascii="Arial" w:cs="Arial" w:eastAsia="Arial" w:hAnsi="Arial"/>
          <w:sz w:val="17"/>
          <w:szCs w:val="17"/>
          <w:u w:val="single" w:color="auto"/>
          <w:color w:val="auto"/>
        </w:rPr>
        <w:t>Section 11.07</w:t>
      </w:r>
      <w:r>
        <w:rPr>
          <w:rFonts w:ascii="Arial" w:cs="Arial" w:eastAsia="Arial" w:hAnsi="Arial"/>
          <w:sz w:val="17"/>
          <w:szCs w:val="17"/>
          <w:color w:val="auto"/>
        </w:rPr>
        <w:t>); (y) all Borrower Materials marked “PUBLIC” are permitted to be made available through a portion of the Platform designated “Public Investor”; and (z) the Administrative Agent and the Arrangers shall be entitled to treat any Borrower Materials that are not marked “PUBLIC” as being suitable only for posting on a portion of the Platform not designated “Public Investor”. Notwithstanding the foregoing, the Borrowers shall be under no obligation to mark any Borrower Materials “PUBLIC.”</w:t>
      </w:r>
    </w:p>
    <w:p>
      <w:pPr>
        <w:spacing w:after="0" w:line="161"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9"/>
          <w:szCs w:val="19"/>
          <w:b w:val="1"/>
          <w:bCs w:val="1"/>
          <w:color w:val="auto"/>
        </w:rPr>
        <w:t>7.3</w:t>
      </w:r>
      <w:r>
        <w:rPr>
          <w:sz w:val="20"/>
          <w:szCs w:val="20"/>
          <w:color w:val="auto"/>
        </w:rPr>
        <w:tab/>
      </w:r>
      <w:r>
        <w:rPr>
          <w:rFonts w:ascii="Arial" w:cs="Arial" w:eastAsia="Arial" w:hAnsi="Arial"/>
          <w:sz w:val="16"/>
          <w:szCs w:val="16"/>
          <w:b w:val="1"/>
          <w:bCs w:val="1"/>
          <w:color w:val="auto"/>
        </w:rPr>
        <w:t>Notices.</w:t>
      </w:r>
    </w:p>
    <w:p>
      <w:pPr>
        <w:spacing w:after="0" w:line="220" w:lineRule="exact"/>
        <w:rPr>
          <w:sz w:val="20"/>
          <w:szCs w:val="20"/>
          <w:color w:val="auto"/>
        </w:rPr>
      </w:pPr>
    </w:p>
    <w:p>
      <w:pPr>
        <w:ind w:firstLine="634"/>
        <w:spacing w:after="0" w:line="274" w:lineRule="auto"/>
        <w:tabs>
          <w:tab w:leader="none" w:pos="1249" w:val="left"/>
        </w:tabs>
        <w:numPr>
          <w:ilvl w:val="0"/>
          <w:numId w:val="229"/>
        </w:numPr>
        <w:rPr>
          <w:rFonts w:ascii="Arial" w:cs="Arial" w:eastAsia="Arial" w:hAnsi="Arial"/>
          <w:sz w:val="19"/>
          <w:szCs w:val="19"/>
          <w:color w:val="auto"/>
        </w:rPr>
      </w:pPr>
      <w:r>
        <w:rPr>
          <w:rFonts w:ascii="Arial" w:cs="Arial" w:eastAsia="Arial" w:hAnsi="Arial"/>
          <w:sz w:val="19"/>
          <w:szCs w:val="19"/>
          <w:u w:val="single" w:color="auto"/>
          <w:color w:val="auto"/>
        </w:rPr>
        <w:t>Material Events</w:t>
      </w:r>
      <w:r>
        <w:rPr>
          <w:rFonts w:ascii="Arial" w:cs="Arial" w:eastAsia="Arial" w:hAnsi="Arial"/>
          <w:sz w:val="19"/>
          <w:szCs w:val="19"/>
          <w:color w:val="auto"/>
        </w:rPr>
        <w:t>. Promptly, and in any event within one (1) Business Days after any Responsible Officer obtains knowledge thereof, notify the Administrative Agent of:</w:t>
      </w:r>
    </w:p>
    <w:p>
      <w:pPr>
        <w:spacing w:after="0" w:line="156" w:lineRule="exact"/>
        <w:rPr>
          <w:rFonts w:ascii="Arial" w:cs="Arial" w:eastAsia="Arial" w:hAnsi="Arial"/>
          <w:sz w:val="19"/>
          <w:szCs w:val="19"/>
          <w:color w:val="auto"/>
        </w:rPr>
      </w:pPr>
    </w:p>
    <w:p>
      <w:pPr>
        <w:ind w:left="1900" w:hanging="636"/>
        <w:spacing w:after="0"/>
        <w:tabs>
          <w:tab w:leader="none" w:pos="1900" w:val="left"/>
        </w:tabs>
        <w:numPr>
          <w:ilvl w:val="1"/>
          <w:numId w:val="229"/>
        </w:numPr>
        <w:rPr>
          <w:rFonts w:ascii="Arial" w:cs="Arial" w:eastAsia="Arial" w:hAnsi="Arial"/>
          <w:sz w:val="19"/>
          <w:szCs w:val="19"/>
          <w:color w:val="auto"/>
        </w:rPr>
      </w:pPr>
      <w:r>
        <w:rPr>
          <w:rFonts w:ascii="Arial" w:cs="Arial" w:eastAsia="Arial" w:hAnsi="Arial"/>
          <w:sz w:val="19"/>
          <w:szCs w:val="19"/>
          <w:color w:val="auto"/>
        </w:rPr>
        <w:t>the occurrence of any Default or Event of Default;</w:t>
      </w:r>
    </w:p>
    <w:p>
      <w:pPr>
        <w:spacing w:after="0" w:line="214" w:lineRule="exact"/>
        <w:rPr>
          <w:rFonts w:ascii="Arial" w:cs="Arial" w:eastAsia="Arial" w:hAnsi="Arial"/>
          <w:sz w:val="19"/>
          <w:szCs w:val="19"/>
          <w:color w:val="auto"/>
        </w:rPr>
      </w:pPr>
    </w:p>
    <w:p>
      <w:pPr>
        <w:ind w:left="640" w:firstLine="624"/>
        <w:spacing w:after="0" w:line="334" w:lineRule="auto"/>
        <w:tabs>
          <w:tab w:leader="none" w:pos="1897" w:val="left"/>
        </w:tabs>
        <w:numPr>
          <w:ilvl w:val="1"/>
          <w:numId w:val="229"/>
        </w:numPr>
        <w:rPr>
          <w:rFonts w:ascii="Arial" w:cs="Arial" w:eastAsia="Arial" w:hAnsi="Arial"/>
          <w:sz w:val="17"/>
          <w:szCs w:val="17"/>
          <w:color w:val="auto"/>
        </w:rPr>
      </w:pPr>
      <w:r>
        <w:rPr>
          <w:rFonts w:ascii="Arial" w:cs="Arial" w:eastAsia="Arial" w:hAnsi="Arial"/>
          <w:sz w:val="17"/>
          <w:szCs w:val="17"/>
          <w:color w:val="auto"/>
        </w:rPr>
        <w:t>any matter that has resulted or could reasonably be expected to result in a Material Adverse Effect, including (A) breach or non-performance of, or any default under, a Contractual Obligation of any Loan Party or any Subsidiary; (B) any dispute, litigation,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130</w:t>
      </w:r>
    </w:p>
    <w:p>
      <w:pPr>
        <w:sectPr>
          <w:pgSz w:w="11900" w:h="16838" w:orient="portrait"/>
          <w:cols w:equalWidth="0" w:num="1">
            <w:col w:w="11240"/>
          </w:cols>
          <w:pgMar w:left="320" w:top="1381" w:right="339" w:bottom="1440" w:gutter="0" w:footer="0" w:header="0"/>
        </w:sectPr>
      </w:pPr>
    </w:p>
    <w:bookmarkStart w:id="249" w:name="page250"/>
    <w:bookmarkEnd w:id="249"/>
    <w:p>
      <w:pPr>
        <w:jc w:val="both"/>
        <w:ind w:left="640"/>
        <w:spacing w:after="0" w:line="259" w:lineRule="auto"/>
        <w:rPr>
          <w:sz w:val="20"/>
          <w:szCs w:val="20"/>
          <w:color w:val="auto"/>
        </w:rPr>
      </w:pPr>
      <w:r>
        <w:rPr>
          <w:rFonts w:ascii="Arial" w:cs="Arial" w:eastAsia="Arial" w:hAnsi="Arial"/>
          <w:sz w:val="19"/>
          <w:szCs w:val="19"/>
          <w:color w:val="auto"/>
        </w:rPr>
        <w:t>investigation, proceeding or suspension between any Loan Party or any Subsidiary and any Governmental Authority; (C) the commencement of, or any material development in, any litigation or proceeding affecting any Loan Party or any Subsidiary, including pursuant to any applicable Environmental Laws; violation or asserted violation of any applicable Law;</w:t>
      </w:r>
    </w:p>
    <w:p>
      <w:pPr>
        <w:spacing w:after="0" w:line="171" w:lineRule="exact"/>
        <w:rPr>
          <w:sz w:val="20"/>
          <w:szCs w:val="20"/>
          <w:color w:val="auto"/>
        </w:rPr>
      </w:pPr>
    </w:p>
    <w:p>
      <w:pPr>
        <w:ind w:left="1900" w:hanging="636"/>
        <w:spacing w:after="0"/>
        <w:tabs>
          <w:tab w:leader="none" w:pos="1900" w:val="left"/>
        </w:tabs>
        <w:numPr>
          <w:ilvl w:val="1"/>
          <w:numId w:val="230"/>
        </w:numPr>
        <w:rPr>
          <w:rFonts w:ascii="Arial" w:cs="Arial" w:eastAsia="Arial" w:hAnsi="Arial"/>
          <w:sz w:val="19"/>
          <w:szCs w:val="19"/>
          <w:color w:val="auto"/>
        </w:rPr>
      </w:pPr>
      <w:r>
        <w:rPr>
          <w:rFonts w:ascii="Arial" w:cs="Arial" w:eastAsia="Arial" w:hAnsi="Arial"/>
          <w:sz w:val="19"/>
          <w:szCs w:val="19"/>
          <w:color w:val="auto"/>
        </w:rPr>
        <w:t>the occurrence of a Change of Control; or</w:t>
      </w:r>
    </w:p>
    <w:p>
      <w:pPr>
        <w:spacing w:after="0" w:line="214" w:lineRule="exact"/>
        <w:rPr>
          <w:rFonts w:ascii="Arial" w:cs="Arial" w:eastAsia="Arial" w:hAnsi="Arial"/>
          <w:sz w:val="19"/>
          <w:szCs w:val="19"/>
          <w:color w:val="auto"/>
        </w:rPr>
      </w:pPr>
    </w:p>
    <w:p>
      <w:pPr>
        <w:ind w:left="1880" w:hanging="616"/>
        <w:spacing w:after="0"/>
        <w:tabs>
          <w:tab w:leader="none" w:pos="1880" w:val="left"/>
        </w:tabs>
        <w:numPr>
          <w:ilvl w:val="1"/>
          <w:numId w:val="230"/>
        </w:numPr>
        <w:rPr>
          <w:rFonts w:ascii="Arial" w:cs="Arial" w:eastAsia="Arial" w:hAnsi="Arial"/>
          <w:sz w:val="19"/>
          <w:szCs w:val="19"/>
          <w:color w:val="auto"/>
        </w:rPr>
      </w:pPr>
      <w:r>
        <w:rPr>
          <w:rFonts w:ascii="Arial" w:cs="Arial" w:eastAsia="Arial" w:hAnsi="Arial"/>
          <w:sz w:val="19"/>
          <w:szCs w:val="19"/>
          <w:color w:val="auto"/>
        </w:rPr>
        <w:t>the discharge by any Loan Party of its present Auditors or any withdrawal or resignation by such Auditors.</w:t>
      </w:r>
    </w:p>
    <w:p>
      <w:pPr>
        <w:spacing w:after="0" w:line="214" w:lineRule="exact"/>
        <w:rPr>
          <w:rFonts w:ascii="Arial" w:cs="Arial" w:eastAsia="Arial" w:hAnsi="Arial"/>
          <w:sz w:val="19"/>
          <w:szCs w:val="19"/>
          <w:color w:val="auto"/>
        </w:rPr>
      </w:pPr>
    </w:p>
    <w:p>
      <w:pPr>
        <w:ind w:firstLine="634"/>
        <w:spacing w:after="0" w:line="274" w:lineRule="auto"/>
        <w:tabs>
          <w:tab w:leader="none" w:pos="1247" w:val="left"/>
        </w:tabs>
        <w:numPr>
          <w:ilvl w:val="0"/>
          <w:numId w:val="231"/>
        </w:numPr>
        <w:rPr>
          <w:rFonts w:ascii="Arial" w:cs="Arial" w:eastAsia="Arial" w:hAnsi="Arial"/>
          <w:sz w:val="19"/>
          <w:szCs w:val="19"/>
          <w:color w:val="auto"/>
        </w:rPr>
      </w:pPr>
      <w:r>
        <w:rPr>
          <w:rFonts w:ascii="Arial" w:cs="Arial" w:eastAsia="Arial" w:hAnsi="Arial"/>
          <w:sz w:val="19"/>
          <w:szCs w:val="19"/>
          <w:u w:val="single" w:color="auto"/>
          <w:color w:val="auto"/>
        </w:rPr>
        <w:t>Other Events</w:t>
      </w:r>
      <w:r>
        <w:rPr>
          <w:rFonts w:ascii="Arial" w:cs="Arial" w:eastAsia="Arial" w:hAnsi="Arial"/>
          <w:sz w:val="19"/>
          <w:szCs w:val="19"/>
          <w:color w:val="auto"/>
        </w:rPr>
        <w:t>. Promptly, and in any event within fifteen (15) Business Days after any Responsible Officer obtains knowledge thereof, notify the Administrative Agent of:</w:t>
      </w:r>
    </w:p>
    <w:p>
      <w:pPr>
        <w:spacing w:after="0" w:line="156" w:lineRule="exact"/>
        <w:rPr>
          <w:rFonts w:ascii="Arial" w:cs="Arial" w:eastAsia="Arial" w:hAnsi="Arial"/>
          <w:sz w:val="19"/>
          <w:szCs w:val="19"/>
          <w:color w:val="auto"/>
        </w:rPr>
      </w:pPr>
    </w:p>
    <w:p>
      <w:pPr>
        <w:ind w:left="1900" w:hanging="636"/>
        <w:spacing w:after="0"/>
        <w:tabs>
          <w:tab w:leader="none" w:pos="1900" w:val="left"/>
        </w:tabs>
        <w:numPr>
          <w:ilvl w:val="1"/>
          <w:numId w:val="231"/>
        </w:numPr>
        <w:rPr>
          <w:rFonts w:ascii="Arial" w:cs="Arial" w:eastAsia="Arial" w:hAnsi="Arial"/>
          <w:sz w:val="19"/>
          <w:szCs w:val="19"/>
          <w:color w:val="auto"/>
        </w:rPr>
      </w:pPr>
      <w:r>
        <w:rPr>
          <w:rFonts w:ascii="Arial" w:cs="Arial" w:eastAsia="Arial" w:hAnsi="Arial"/>
          <w:sz w:val="19"/>
          <w:szCs w:val="19"/>
          <w:color w:val="auto"/>
        </w:rPr>
        <w:t>the occurrence of any ERISA Event or any Canadian Pension Event;</w:t>
      </w:r>
    </w:p>
    <w:p>
      <w:pPr>
        <w:spacing w:after="0" w:line="214" w:lineRule="exact"/>
        <w:rPr>
          <w:rFonts w:ascii="Arial" w:cs="Arial" w:eastAsia="Arial" w:hAnsi="Arial"/>
          <w:sz w:val="19"/>
          <w:szCs w:val="19"/>
          <w:color w:val="auto"/>
        </w:rPr>
      </w:pPr>
    </w:p>
    <w:p>
      <w:pPr>
        <w:jc w:val="both"/>
        <w:ind w:left="640" w:firstLine="624"/>
        <w:spacing w:after="0" w:line="280" w:lineRule="auto"/>
        <w:tabs>
          <w:tab w:leader="none" w:pos="1897" w:val="left"/>
        </w:tabs>
        <w:numPr>
          <w:ilvl w:val="1"/>
          <w:numId w:val="231"/>
        </w:numPr>
        <w:rPr>
          <w:rFonts w:ascii="Arial" w:cs="Arial" w:eastAsia="Arial" w:hAnsi="Arial"/>
          <w:sz w:val="18"/>
          <w:szCs w:val="18"/>
          <w:color w:val="auto"/>
        </w:rPr>
      </w:pPr>
      <w:r>
        <w:rPr>
          <w:rFonts w:ascii="Arial" w:cs="Arial" w:eastAsia="Arial" w:hAnsi="Arial"/>
          <w:sz w:val="18"/>
          <w:szCs w:val="18"/>
          <w:color w:val="auto"/>
        </w:rPr>
        <w:t>the establishment, maintenance, sponsorship, administration, contribution to, participation in, or incurring any liability or contingent liability in respect of a new Canadian Defined Benefit Pension Plan or a new Canadian Multi-Employer Pension Plan without the prior written consent of the Administrative Agent, such consent not to be withheld conditioned or delayed unreasonably;</w:t>
      </w:r>
    </w:p>
    <w:p>
      <w:pPr>
        <w:spacing w:after="0" w:line="154" w:lineRule="exact"/>
        <w:rPr>
          <w:rFonts w:ascii="Arial" w:cs="Arial" w:eastAsia="Arial" w:hAnsi="Arial"/>
          <w:sz w:val="18"/>
          <w:szCs w:val="18"/>
          <w:color w:val="auto"/>
        </w:rPr>
      </w:pPr>
    </w:p>
    <w:p>
      <w:pPr>
        <w:jc w:val="both"/>
        <w:ind w:left="640" w:firstLine="624"/>
        <w:spacing w:after="0" w:line="280" w:lineRule="auto"/>
        <w:tabs>
          <w:tab w:leader="none" w:pos="1898" w:val="left"/>
        </w:tabs>
        <w:numPr>
          <w:ilvl w:val="1"/>
          <w:numId w:val="231"/>
        </w:numPr>
        <w:rPr>
          <w:rFonts w:ascii="Arial" w:cs="Arial" w:eastAsia="Arial" w:hAnsi="Arial"/>
          <w:sz w:val="18"/>
          <w:szCs w:val="18"/>
          <w:color w:val="auto"/>
        </w:rPr>
      </w:pPr>
      <w:r>
        <w:rPr>
          <w:rFonts w:ascii="Arial" w:cs="Arial" w:eastAsia="Arial" w:hAnsi="Arial"/>
          <w:sz w:val="18"/>
          <w:szCs w:val="18"/>
          <w:color w:val="auto"/>
        </w:rPr>
        <w:t>the amalgamation with any Person if such Person, sponsors, administers, contributes to, participates in or has any liability in respect of, any new Canadian Defined Benefit Pension Plan or new Canadian Multi-Employer Pension Plan without the prior written consent of the Administrative Agent, such consent not to be withheld, conditioned or delayed unreasonably;</w:t>
      </w:r>
    </w:p>
    <w:p>
      <w:pPr>
        <w:spacing w:after="0" w:line="154" w:lineRule="exact"/>
        <w:rPr>
          <w:rFonts w:ascii="Arial" w:cs="Arial" w:eastAsia="Arial" w:hAnsi="Arial"/>
          <w:sz w:val="18"/>
          <w:szCs w:val="18"/>
          <w:color w:val="auto"/>
        </w:rPr>
      </w:pPr>
    </w:p>
    <w:p>
      <w:pPr>
        <w:ind w:left="1880" w:hanging="616"/>
        <w:spacing w:after="0"/>
        <w:tabs>
          <w:tab w:leader="none" w:pos="1880" w:val="left"/>
        </w:tabs>
        <w:numPr>
          <w:ilvl w:val="1"/>
          <w:numId w:val="231"/>
        </w:numPr>
        <w:rPr>
          <w:rFonts w:ascii="Arial" w:cs="Arial" w:eastAsia="Arial" w:hAnsi="Arial"/>
          <w:sz w:val="19"/>
          <w:szCs w:val="19"/>
          <w:color w:val="auto"/>
        </w:rPr>
      </w:pPr>
      <w:r>
        <w:rPr>
          <w:rFonts w:ascii="Arial" w:cs="Arial" w:eastAsia="Arial" w:hAnsi="Arial"/>
          <w:sz w:val="19"/>
          <w:szCs w:val="19"/>
          <w:color w:val="auto"/>
        </w:rPr>
        <w:t>the creation (by Division or otherwise) or acquisition of any Subsidiary;</w:t>
      </w:r>
    </w:p>
    <w:p>
      <w:pPr>
        <w:spacing w:after="0" w:line="214" w:lineRule="exact"/>
        <w:rPr>
          <w:rFonts w:ascii="Arial" w:cs="Arial" w:eastAsia="Arial" w:hAnsi="Arial"/>
          <w:sz w:val="19"/>
          <w:szCs w:val="19"/>
          <w:color w:val="auto"/>
        </w:rPr>
      </w:pPr>
    </w:p>
    <w:p>
      <w:pPr>
        <w:ind w:left="1880" w:hanging="616"/>
        <w:spacing w:after="0"/>
        <w:tabs>
          <w:tab w:leader="none" w:pos="1880" w:val="left"/>
        </w:tabs>
        <w:numPr>
          <w:ilvl w:val="1"/>
          <w:numId w:val="231"/>
        </w:numPr>
        <w:rPr>
          <w:rFonts w:ascii="Arial" w:cs="Arial" w:eastAsia="Arial" w:hAnsi="Arial"/>
          <w:sz w:val="19"/>
          <w:szCs w:val="19"/>
          <w:color w:val="auto"/>
        </w:rPr>
      </w:pPr>
      <w:r>
        <w:rPr>
          <w:rFonts w:ascii="Arial" w:cs="Arial" w:eastAsia="Arial" w:hAnsi="Arial"/>
          <w:sz w:val="19"/>
          <w:szCs w:val="19"/>
          <w:color w:val="auto"/>
        </w:rPr>
        <w:t>any material change in accounting policies or financial reporting practices by any Loan Party or any Restricted</w:t>
      </w:r>
    </w:p>
    <w:p>
      <w:pPr>
        <w:spacing w:after="0" w:line="20" w:lineRule="exact"/>
        <w:rPr>
          <w:rFonts w:ascii="Arial" w:cs="Arial" w:eastAsia="Arial" w:hAnsi="Arial"/>
          <w:sz w:val="19"/>
          <w:szCs w:val="19"/>
          <w:color w:val="auto"/>
        </w:rPr>
      </w:pPr>
    </w:p>
    <w:p>
      <w:pPr>
        <w:ind w:left="640"/>
        <w:spacing w:after="0"/>
        <w:rPr>
          <w:rFonts w:ascii="Arial" w:cs="Arial" w:eastAsia="Arial" w:hAnsi="Arial"/>
          <w:sz w:val="19"/>
          <w:szCs w:val="19"/>
          <w:color w:val="auto"/>
        </w:rPr>
      </w:pPr>
      <w:r>
        <w:rPr>
          <w:rFonts w:ascii="Arial" w:cs="Arial" w:eastAsia="Arial" w:hAnsi="Arial"/>
          <w:sz w:val="19"/>
          <w:szCs w:val="19"/>
          <w:color w:val="auto"/>
        </w:rPr>
        <w:t>Subsidiary;</w:t>
      </w:r>
    </w:p>
    <w:p>
      <w:pPr>
        <w:spacing w:after="0" w:line="198" w:lineRule="exact"/>
        <w:rPr>
          <w:rFonts w:ascii="Arial" w:cs="Arial" w:eastAsia="Arial" w:hAnsi="Arial"/>
          <w:sz w:val="19"/>
          <w:szCs w:val="19"/>
          <w:color w:val="auto"/>
        </w:rPr>
      </w:pPr>
    </w:p>
    <w:p>
      <w:pPr>
        <w:ind w:left="1880" w:hanging="616"/>
        <w:spacing w:after="0"/>
        <w:tabs>
          <w:tab w:leader="none" w:pos="1880" w:val="left"/>
        </w:tabs>
        <w:numPr>
          <w:ilvl w:val="1"/>
          <w:numId w:val="231"/>
        </w:numPr>
        <w:rPr>
          <w:rFonts w:ascii="Arial" w:cs="Arial" w:eastAsia="Arial" w:hAnsi="Arial"/>
          <w:sz w:val="19"/>
          <w:szCs w:val="19"/>
          <w:color w:val="auto"/>
        </w:rPr>
      </w:pPr>
      <w:r>
        <w:rPr>
          <w:rFonts w:ascii="Arial" w:cs="Arial" w:eastAsia="Arial" w:hAnsi="Arial"/>
          <w:sz w:val="19"/>
          <w:szCs w:val="19"/>
          <w:color w:val="auto"/>
        </w:rPr>
        <w:t>any change in any Loan Party’s senior executive officers;</w:t>
      </w:r>
    </w:p>
    <w:p>
      <w:pPr>
        <w:spacing w:after="0" w:line="214" w:lineRule="exact"/>
        <w:rPr>
          <w:rFonts w:ascii="Arial" w:cs="Arial" w:eastAsia="Arial" w:hAnsi="Arial"/>
          <w:sz w:val="19"/>
          <w:szCs w:val="19"/>
          <w:color w:val="auto"/>
        </w:rPr>
      </w:pPr>
    </w:p>
    <w:p>
      <w:pPr>
        <w:ind w:left="640" w:firstLine="624"/>
        <w:spacing w:after="0" w:line="274" w:lineRule="auto"/>
        <w:tabs>
          <w:tab w:leader="none" w:pos="1889" w:val="left"/>
        </w:tabs>
        <w:numPr>
          <w:ilvl w:val="1"/>
          <w:numId w:val="231"/>
        </w:numPr>
        <w:rPr>
          <w:rFonts w:ascii="Arial" w:cs="Arial" w:eastAsia="Arial" w:hAnsi="Arial"/>
          <w:sz w:val="19"/>
          <w:szCs w:val="19"/>
          <w:color w:val="auto"/>
        </w:rPr>
      </w:pPr>
      <w:r>
        <w:rPr>
          <w:rFonts w:ascii="Arial" w:cs="Arial" w:eastAsia="Arial" w:hAnsi="Arial"/>
          <w:sz w:val="19"/>
          <w:szCs w:val="19"/>
          <w:color w:val="auto"/>
        </w:rPr>
        <w:t>any collective bargaining agreement or other labor contract to which a Loan Party becomes a party, or the application for the certification of a collective bargaining agent;</w:t>
      </w:r>
    </w:p>
    <w:p>
      <w:pPr>
        <w:spacing w:after="0" w:line="156" w:lineRule="exact"/>
        <w:rPr>
          <w:rFonts w:ascii="Arial" w:cs="Arial" w:eastAsia="Arial" w:hAnsi="Arial"/>
          <w:sz w:val="19"/>
          <w:szCs w:val="19"/>
          <w:color w:val="auto"/>
        </w:rPr>
      </w:pPr>
    </w:p>
    <w:p>
      <w:pPr>
        <w:ind w:left="1880" w:hanging="616"/>
        <w:spacing w:after="0"/>
        <w:tabs>
          <w:tab w:leader="none" w:pos="1880" w:val="left"/>
        </w:tabs>
        <w:numPr>
          <w:ilvl w:val="1"/>
          <w:numId w:val="231"/>
        </w:numPr>
        <w:rPr>
          <w:rFonts w:ascii="Arial" w:cs="Arial" w:eastAsia="Arial" w:hAnsi="Arial"/>
          <w:sz w:val="19"/>
          <w:szCs w:val="19"/>
          <w:color w:val="auto"/>
        </w:rPr>
      </w:pPr>
      <w:r>
        <w:rPr>
          <w:rFonts w:ascii="Arial" w:cs="Arial" w:eastAsia="Arial" w:hAnsi="Arial"/>
          <w:sz w:val="19"/>
          <w:szCs w:val="19"/>
          <w:color w:val="auto"/>
        </w:rPr>
        <w:t>the filing of any Lien for unpaid Taxes against any Loan Party</w:t>
      </w:r>
    </w:p>
    <w:p>
      <w:pPr>
        <w:spacing w:after="0" w:line="214" w:lineRule="exact"/>
        <w:rPr>
          <w:rFonts w:ascii="Arial" w:cs="Arial" w:eastAsia="Arial" w:hAnsi="Arial"/>
          <w:sz w:val="19"/>
          <w:szCs w:val="19"/>
          <w:color w:val="auto"/>
        </w:rPr>
      </w:pPr>
    </w:p>
    <w:p>
      <w:pPr>
        <w:jc w:val="both"/>
        <w:ind w:left="640" w:firstLine="624"/>
        <w:spacing w:after="0" w:line="259" w:lineRule="auto"/>
        <w:tabs>
          <w:tab w:leader="none" w:pos="1888" w:val="left"/>
        </w:tabs>
        <w:numPr>
          <w:ilvl w:val="1"/>
          <w:numId w:val="231"/>
        </w:numPr>
        <w:rPr>
          <w:rFonts w:ascii="Arial" w:cs="Arial" w:eastAsia="Arial" w:hAnsi="Arial"/>
          <w:sz w:val="19"/>
          <w:szCs w:val="19"/>
          <w:color w:val="auto"/>
        </w:rPr>
      </w:pPr>
      <w:r>
        <w:rPr>
          <w:rFonts w:ascii="Arial" w:cs="Arial" w:eastAsia="Arial" w:hAnsi="Arial"/>
          <w:sz w:val="19"/>
          <w:szCs w:val="19"/>
          <w:color w:val="auto"/>
        </w:rPr>
        <w:t>any casualty or other insured damage to any material portion of the Collateral or the commencement of any action or proceeding for the taking of any interest in a material portion of the Collateral under power of eminent domain or by condemnation or similar proceeding or if any material portion of the Collateral is damaged or destroyed;</w:t>
      </w:r>
    </w:p>
    <w:p>
      <w:pPr>
        <w:spacing w:after="0" w:line="171" w:lineRule="exact"/>
        <w:rPr>
          <w:rFonts w:ascii="Arial" w:cs="Arial" w:eastAsia="Arial" w:hAnsi="Arial"/>
          <w:sz w:val="19"/>
          <w:szCs w:val="19"/>
          <w:color w:val="auto"/>
        </w:rPr>
      </w:pPr>
    </w:p>
    <w:p>
      <w:pPr>
        <w:ind w:left="640" w:firstLine="624"/>
        <w:spacing w:after="0" w:line="274" w:lineRule="auto"/>
        <w:tabs>
          <w:tab w:leader="none" w:pos="1887" w:val="left"/>
        </w:tabs>
        <w:numPr>
          <w:ilvl w:val="1"/>
          <w:numId w:val="231"/>
        </w:numPr>
        <w:rPr>
          <w:rFonts w:ascii="Arial" w:cs="Arial" w:eastAsia="Arial" w:hAnsi="Arial"/>
          <w:sz w:val="19"/>
          <w:szCs w:val="19"/>
          <w:color w:val="auto"/>
        </w:rPr>
      </w:pPr>
      <w:r>
        <w:rPr>
          <w:rFonts w:ascii="Arial" w:cs="Arial" w:eastAsia="Arial" w:hAnsi="Arial"/>
          <w:sz w:val="19"/>
          <w:szCs w:val="19"/>
          <w:color w:val="auto"/>
        </w:rPr>
        <w:t>Collateral in an aggregate face amount or value of $250,000 or more ceasing to be Eligible Accounts, Eligible Time and Material Accounts, Eligible Equipment or Eligible Inventory at any time;</w:t>
      </w:r>
    </w:p>
    <w:p>
      <w:pPr>
        <w:spacing w:after="0" w:line="156" w:lineRule="exact"/>
        <w:rPr>
          <w:rFonts w:ascii="Arial" w:cs="Arial" w:eastAsia="Arial" w:hAnsi="Arial"/>
          <w:sz w:val="19"/>
          <w:szCs w:val="19"/>
          <w:color w:val="auto"/>
        </w:rPr>
      </w:pPr>
    </w:p>
    <w:p>
      <w:pPr>
        <w:ind w:left="1880" w:hanging="616"/>
        <w:spacing w:after="0"/>
        <w:tabs>
          <w:tab w:leader="none" w:pos="1880" w:val="left"/>
        </w:tabs>
        <w:numPr>
          <w:ilvl w:val="1"/>
          <w:numId w:val="231"/>
        </w:numPr>
        <w:rPr>
          <w:rFonts w:ascii="Arial" w:cs="Arial" w:eastAsia="Arial" w:hAnsi="Arial"/>
          <w:sz w:val="19"/>
          <w:szCs w:val="19"/>
          <w:color w:val="auto"/>
        </w:rPr>
      </w:pPr>
      <w:r>
        <w:rPr>
          <w:rFonts w:ascii="Arial" w:cs="Arial" w:eastAsia="Arial" w:hAnsi="Arial"/>
          <w:sz w:val="19"/>
          <w:szCs w:val="19"/>
          <w:color w:val="auto"/>
        </w:rPr>
        <w:t>any material notice received with respect to any Equity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131</w:t>
      </w:r>
    </w:p>
    <w:p>
      <w:pPr>
        <w:sectPr>
          <w:pgSz w:w="11900" w:h="16838" w:orient="portrait"/>
          <w:cols w:equalWidth="0" w:num="1">
            <w:col w:w="11240"/>
          </w:cols>
          <w:pgMar w:left="320" w:top="1382" w:right="339" w:bottom="1440" w:gutter="0" w:footer="0" w:header="0"/>
        </w:sectPr>
      </w:pPr>
    </w:p>
    <w:bookmarkStart w:id="250" w:name="page251"/>
    <w:bookmarkEnd w:id="250"/>
    <w:p>
      <w:pPr>
        <w:ind w:left="640" w:firstLine="624"/>
        <w:spacing w:after="0" w:line="274" w:lineRule="auto"/>
        <w:tabs>
          <w:tab w:leader="none" w:pos="1889" w:val="left"/>
        </w:tabs>
        <w:numPr>
          <w:ilvl w:val="0"/>
          <w:numId w:val="232"/>
        </w:numPr>
        <w:rPr>
          <w:rFonts w:ascii="Arial" w:cs="Arial" w:eastAsia="Arial" w:hAnsi="Arial"/>
          <w:sz w:val="19"/>
          <w:szCs w:val="19"/>
          <w:color w:val="auto"/>
        </w:rPr>
      </w:pPr>
      <w:r>
        <w:rPr>
          <w:rFonts w:ascii="Arial" w:cs="Arial" w:eastAsia="Arial" w:hAnsi="Arial"/>
          <w:sz w:val="19"/>
          <w:szCs w:val="19"/>
          <w:color w:val="auto"/>
        </w:rPr>
        <w:t>any notice of default received with respect to any Bonded Job Site or any notice of demand received demanding that a surety or a Loan Party perform with respect to any Bonding Obligation; and</w:t>
      </w:r>
    </w:p>
    <w:p>
      <w:pPr>
        <w:spacing w:after="0" w:line="156" w:lineRule="exact"/>
        <w:rPr>
          <w:rFonts w:ascii="Arial" w:cs="Arial" w:eastAsia="Arial" w:hAnsi="Arial"/>
          <w:sz w:val="19"/>
          <w:szCs w:val="19"/>
          <w:color w:val="auto"/>
        </w:rPr>
      </w:pPr>
    </w:p>
    <w:p>
      <w:pPr>
        <w:ind w:left="640" w:firstLine="624"/>
        <w:spacing w:after="0" w:line="274" w:lineRule="auto"/>
        <w:tabs>
          <w:tab w:leader="none" w:pos="1890" w:val="left"/>
        </w:tabs>
        <w:numPr>
          <w:ilvl w:val="0"/>
          <w:numId w:val="232"/>
        </w:numPr>
        <w:rPr>
          <w:rFonts w:ascii="Arial" w:cs="Arial" w:eastAsia="Arial" w:hAnsi="Arial"/>
          <w:sz w:val="19"/>
          <w:szCs w:val="19"/>
          <w:color w:val="auto"/>
        </w:rPr>
      </w:pPr>
      <w:r>
        <w:rPr>
          <w:rFonts w:ascii="Arial" w:cs="Arial" w:eastAsia="Arial" w:hAnsi="Arial"/>
          <w:sz w:val="19"/>
          <w:szCs w:val="19"/>
          <w:color w:val="auto"/>
        </w:rPr>
        <w:t>any failure by any Loan Party to pay rent at any of such Loan Party’s locations if such failure continues for more than fifteen (15) days following the day on which such rent first came due.</w:t>
      </w:r>
    </w:p>
    <w:p>
      <w:pPr>
        <w:spacing w:after="0" w:line="157" w:lineRule="exact"/>
        <w:rPr>
          <w:sz w:val="20"/>
          <w:szCs w:val="20"/>
          <w:color w:val="auto"/>
        </w:rPr>
      </w:pPr>
    </w:p>
    <w:p>
      <w:pPr>
        <w:jc w:val="both"/>
        <w:ind w:firstLine="629"/>
        <w:spacing w:after="0" w:line="254" w:lineRule="auto"/>
        <w:rPr>
          <w:sz w:val="20"/>
          <w:szCs w:val="20"/>
          <w:color w:val="auto"/>
        </w:rPr>
      </w:pPr>
      <w:r>
        <w:rPr>
          <w:rFonts w:ascii="Arial" w:cs="Arial" w:eastAsia="Arial" w:hAnsi="Arial"/>
          <w:sz w:val="19"/>
          <w:szCs w:val="19"/>
          <w:color w:val="auto"/>
        </w:rPr>
        <w:t xml:space="preserve">Each notice pursuant to this </w:t>
      </w:r>
      <w:r>
        <w:rPr>
          <w:rFonts w:ascii="Arial" w:cs="Arial" w:eastAsia="Arial" w:hAnsi="Arial"/>
          <w:sz w:val="19"/>
          <w:szCs w:val="19"/>
          <w:u w:val="single" w:color="auto"/>
          <w:color w:val="auto"/>
        </w:rPr>
        <w:t>Section 7.03</w:t>
      </w:r>
      <w:r>
        <w:rPr>
          <w:rFonts w:ascii="Arial" w:cs="Arial" w:eastAsia="Arial" w:hAnsi="Arial"/>
          <w:sz w:val="19"/>
          <w:szCs w:val="19"/>
          <w:color w:val="auto"/>
        </w:rPr>
        <w:t xml:space="preserve"> shall be accompanied by a statement of a Responsible Officer of the Borrower Agent setting forth details of the occurrence referred to therein and stating what action the Borrowers have taken and proposes to take with respect thereto. Each notice pursuant to </w:t>
      </w:r>
      <w:r>
        <w:rPr>
          <w:rFonts w:ascii="Arial" w:cs="Arial" w:eastAsia="Arial" w:hAnsi="Arial"/>
          <w:sz w:val="19"/>
          <w:szCs w:val="19"/>
          <w:u w:val="single" w:color="auto"/>
          <w:color w:val="auto"/>
        </w:rPr>
        <w:t>Section 7.03(a)</w:t>
      </w:r>
      <w:r>
        <w:rPr>
          <w:rFonts w:ascii="Arial" w:cs="Arial" w:eastAsia="Arial" w:hAnsi="Arial"/>
          <w:sz w:val="19"/>
          <w:szCs w:val="19"/>
          <w:color w:val="auto"/>
        </w:rPr>
        <w:t xml:space="preserve"> shall describe with particularity any and all provisions of this Agreement and any other Loan Document that have been breached.</w:t>
      </w:r>
    </w:p>
    <w:p>
      <w:pPr>
        <w:spacing w:after="0" w:line="171" w:lineRule="exact"/>
        <w:rPr>
          <w:sz w:val="20"/>
          <w:szCs w:val="20"/>
          <w:color w:val="auto"/>
        </w:rPr>
      </w:pPr>
    </w:p>
    <w:p>
      <w:pPr>
        <w:jc w:val="both"/>
        <w:ind w:firstLine="629"/>
        <w:spacing w:after="0" w:line="250" w:lineRule="auto"/>
        <w:rPr>
          <w:sz w:val="20"/>
          <w:szCs w:val="20"/>
          <w:color w:val="auto"/>
        </w:rPr>
      </w:pPr>
      <w:r>
        <w:rPr>
          <w:rFonts w:ascii="Arial" w:cs="Arial" w:eastAsia="Arial" w:hAnsi="Arial"/>
          <w:sz w:val="19"/>
          <w:szCs w:val="19"/>
          <w:b w:val="1"/>
          <w:bCs w:val="1"/>
          <w:color w:val="auto"/>
        </w:rPr>
        <w:t>7.4 Payment of Obligations</w:t>
      </w:r>
      <w:r>
        <w:rPr>
          <w:rFonts w:ascii="Arial" w:cs="Arial" w:eastAsia="Arial" w:hAnsi="Arial"/>
          <w:sz w:val="19"/>
          <w:szCs w:val="19"/>
          <w:color w:val="auto"/>
        </w:rPr>
        <w:t>. Pay and discharge as the same shall become due and payable, all its obligations and liabilities,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including (a) all tax liabilities, assessments and governmental charges or levies upon it or its properties or assets, unless the same are being Properly Contested; (b) all lawful claims which, if unpaid, would by law become a Lien upon its property, except to the extent that any such Lien would otherwise be permitted by </w:t>
      </w:r>
      <w:r>
        <w:rPr>
          <w:rFonts w:ascii="Arial" w:cs="Arial" w:eastAsia="Arial" w:hAnsi="Arial"/>
          <w:sz w:val="19"/>
          <w:szCs w:val="19"/>
          <w:u w:val="single" w:color="auto"/>
          <w:color w:val="auto"/>
        </w:rPr>
        <w:t>Section 8.02</w:t>
      </w:r>
      <w:r>
        <w:rPr>
          <w:rFonts w:ascii="Arial" w:cs="Arial" w:eastAsia="Arial" w:hAnsi="Arial"/>
          <w:sz w:val="19"/>
          <w:szCs w:val="19"/>
          <w:color w:val="auto"/>
        </w:rPr>
        <w:t>; and (c) all Indebtedness having an aggregate principal amount (including undrawn committed or available amounts and including amounts owing to all creditors under any combined or syndicated credit arrangement) of more than the Threshold Amount, as and when due and payable, but subject to any subordination provisions contained in any instrument or agreement evidencing such Indebtedness.</w:t>
      </w:r>
    </w:p>
    <w:p>
      <w:pPr>
        <w:spacing w:after="0" w:line="177" w:lineRule="exact"/>
        <w:rPr>
          <w:sz w:val="20"/>
          <w:szCs w:val="20"/>
          <w:color w:val="auto"/>
        </w:rPr>
      </w:pPr>
    </w:p>
    <w:p>
      <w:pPr>
        <w:jc w:val="both"/>
        <w:ind w:firstLine="629"/>
        <w:spacing w:after="0" w:line="290" w:lineRule="auto"/>
        <w:rPr>
          <w:sz w:val="20"/>
          <w:szCs w:val="20"/>
          <w:color w:val="auto"/>
        </w:rPr>
      </w:pPr>
      <w:r>
        <w:rPr>
          <w:rFonts w:ascii="Arial" w:cs="Arial" w:eastAsia="Arial" w:hAnsi="Arial"/>
          <w:sz w:val="17"/>
          <w:szCs w:val="17"/>
          <w:b w:val="1"/>
          <w:bCs w:val="1"/>
          <w:color w:val="auto"/>
        </w:rPr>
        <w:t xml:space="preserve">7.5 Preservation of Existence, Etc. </w:t>
      </w:r>
      <w:r>
        <w:rPr>
          <w:rFonts w:ascii="Arial" w:cs="Arial" w:eastAsia="Arial" w:hAnsi="Arial"/>
          <w:sz w:val="17"/>
          <w:szCs w:val="17"/>
          <w:color w:val="auto"/>
        </w:rPr>
        <w:t>(a) Preserve, renew and maintain in full force and effect its legal existence and good standing</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under the Laws of the jurisdiction of its organization or formation except in a transaction permitted by </w:t>
      </w:r>
      <w:r>
        <w:rPr>
          <w:rFonts w:ascii="Arial" w:cs="Arial" w:eastAsia="Arial" w:hAnsi="Arial"/>
          <w:sz w:val="17"/>
          <w:szCs w:val="17"/>
          <w:u w:val="single" w:color="auto"/>
          <w:color w:val="auto"/>
        </w:rPr>
        <w:t>Section 8.04</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8.05</w:t>
      </w:r>
      <w:r>
        <w:rPr>
          <w:rFonts w:ascii="Arial" w:cs="Arial" w:eastAsia="Arial" w:hAnsi="Arial"/>
          <w:sz w:val="17"/>
          <w:szCs w:val="17"/>
          <w:color w:val="auto"/>
        </w:rPr>
        <w:t>; (b) take all reasonable action to maintain all rights, privileges, permits, licenses and franchises necessary or desirable in the normal conduct of its business, except to the extent that failure to do so could not reasonably be expected to have a Material Adverse Effect; and (c) preserve or renew all of its registered Intellectual Property, the non-preservation of which could reasonably be expected to have a Material Adverse Effect.</w:t>
      </w:r>
    </w:p>
    <w:p>
      <w:pPr>
        <w:spacing w:after="0" w:line="143" w:lineRule="exact"/>
        <w:rPr>
          <w:sz w:val="20"/>
          <w:szCs w:val="20"/>
          <w:color w:val="auto"/>
        </w:rPr>
      </w:pPr>
    </w:p>
    <w:p>
      <w:pPr>
        <w:jc w:val="both"/>
        <w:ind w:firstLine="629"/>
        <w:spacing w:after="0" w:line="268" w:lineRule="auto"/>
        <w:rPr>
          <w:sz w:val="20"/>
          <w:szCs w:val="20"/>
          <w:color w:val="auto"/>
        </w:rPr>
      </w:pPr>
      <w:r>
        <w:rPr>
          <w:rFonts w:ascii="Arial" w:cs="Arial" w:eastAsia="Arial" w:hAnsi="Arial"/>
          <w:sz w:val="18"/>
          <w:szCs w:val="18"/>
          <w:b w:val="1"/>
          <w:bCs w:val="1"/>
          <w:color w:val="auto"/>
        </w:rPr>
        <w:t>7.6 Maintenance of Properties</w:t>
      </w:r>
      <w:r>
        <w:rPr>
          <w:rFonts w:ascii="Arial" w:cs="Arial" w:eastAsia="Arial" w:hAnsi="Arial"/>
          <w:sz w:val="18"/>
          <w:szCs w:val="18"/>
          <w:color w:val="auto"/>
        </w:rPr>
        <w:t>. (a) Maintain, preserve and protect all of its properties (other than insignificant properties) and</w:t>
      </w:r>
      <w:r>
        <w:rPr>
          <w:rFonts w:ascii="Arial" w:cs="Arial" w:eastAsia="Arial" w:hAnsi="Arial"/>
          <w:sz w:val="18"/>
          <w:szCs w:val="18"/>
          <w:b w:val="1"/>
          <w:bCs w:val="1"/>
          <w:color w:val="auto"/>
        </w:rPr>
        <w:t xml:space="preserve"> </w:t>
      </w:r>
      <w:r>
        <w:rPr>
          <w:rFonts w:ascii="Arial" w:cs="Arial" w:eastAsia="Arial" w:hAnsi="Arial"/>
          <w:sz w:val="18"/>
          <w:szCs w:val="18"/>
          <w:color w:val="auto"/>
        </w:rPr>
        <w:t>equipment necessary in the operation of its business in good working order and condition, ordinary wear and tear excepted except where the failure to do so could not reasonably be expected to have a Material Adverse Effect; (b) make all necessary repairs thereto and renewals and replacements thereof except where the failure to do so could not reasonably be expected to have a Material Adverse Effect; and (c) use the standard of care typical in the industry in the operation and maintenance of its facilities. The Loan Parties shall not release, or subordinate, any Lien in favor of such Loan Party securing its Accounts, other than in the Ordinary Course of Business.</w:t>
      </w:r>
    </w:p>
    <w:p>
      <w:pPr>
        <w:spacing w:after="0" w:line="161"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9"/>
          <w:szCs w:val="19"/>
          <w:b w:val="1"/>
          <w:bCs w:val="1"/>
          <w:color w:val="auto"/>
        </w:rPr>
        <w:t>7.7</w:t>
      </w:r>
      <w:r>
        <w:rPr>
          <w:sz w:val="20"/>
          <w:szCs w:val="20"/>
          <w:color w:val="auto"/>
        </w:rPr>
        <w:tab/>
      </w:r>
      <w:r>
        <w:rPr>
          <w:rFonts w:ascii="Arial" w:cs="Arial" w:eastAsia="Arial" w:hAnsi="Arial"/>
          <w:sz w:val="17"/>
          <w:szCs w:val="17"/>
          <w:b w:val="1"/>
          <w:bCs w:val="1"/>
          <w:color w:val="auto"/>
        </w:rPr>
        <w:t>Maintenance of Insurance; Condemnation Proceeds</w:t>
      </w:r>
      <w:r>
        <w:rPr>
          <w:rFonts w:ascii="Arial" w:cs="Arial" w:eastAsia="Arial" w:hAnsi="Arial"/>
          <w:sz w:val="17"/>
          <w:szCs w:val="17"/>
          <w:color w:val="auto"/>
        </w:rPr>
        <w:t>.</w:t>
      </w:r>
    </w:p>
    <w:p>
      <w:pPr>
        <w:spacing w:after="0" w:line="220" w:lineRule="exact"/>
        <w:rPr>
          <w:sz w:val="20"/>
          <w:szCs w:val="20"/>
          <w:color w:val="auto"/>
        </w:rPr>
      </w:pPr>
    </w:p>
    <w:p>
      <w:pPr>
        <w:jc w:val="both"/>
        <w:ind w:firstLine="634"/>
        <w:spacing w:after="0" w:line="254" w:lineRule="auto"/>
        <w:tabs>
          <w:tab w:leader="none" w:pos="1249" w:val="left"/>
        </w:tabs>
        <w:numPr>
          <w:ilvl w:val="0"/>
          <w:numId w:val="233"/>
        </w:numPr>
        <w:rPr>
          <w:rFonts w:ascii="Arial" w:cs="Arial" w:eastAsia="Arial" w:hAnsi="Arial"/>
          <w:sz w:val="19"/>
          <w:szCs w:val="19"/>
          <w:color w:val="auto"/>
        </w:rPr>
      </w:pPr>
      <w:r>
        <w:rPr>
          <w:rFonts w:ascii="Arial" w:cs="Arial" w:eastAsia="Arial" w:hAnsi="Arial"/>
          <w:sz w:val="19"/>
          <w:szCs w:val="19"/>
          <w:color w:val="auto"/>
        </w:rPr>
        <w:t>Maintain with (i) companies having an A.M. Best Rating of at least “A-VII” or (ii) financially sound and reputable insurance companies reasonably acceptable to the Administrative Agent and not Affiliates of the Loan Parties, insurance with respect to its properties and business against loss or damage of the kinds customarily insured against by Persons engaged in the same or similar business and operating in the same or similar locations or as is required by applicable Law, of such types and in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132</w:t>
      </w:r>
    </w:p>
    <w:p>
      <w:pPr>
        <w:sectPr>
          <w:pgSz w:w="11900" w:h="16838" w:orient="portrait"/>
          <w:cols w:equalWidth="0" w:num="1">
            <w:col w:w="11240"/>
          </w:cols>
          <w:pgMar w:left="320" w:top="1382" w:right="339" w:bottom="1440" w:gutter="0" w:footer="0" w:header="0"/>
        </w:sectPr>
      </w:pPr>
    </w:p>
    <w:bookmarkStart w:id="251" w:name="page252"/>
    <w:bookmarkEnd w:id="251"/>
    <w:p>
      <w:pPr>
        <w:spacing w:after="0" w:line="274" w:lineRule="auto"/>
        <w:rPr>
          <w:sz w:val="20"/>
          <w:szCs w:val="20"/>
          <w:color w:val="auto"/>
        </w:rPr>
      </w:pPr>
      <w:r>
        <w:rPr>
          <w:rFonts w:ascii="Arial" w:cs="Arial" w:eastAsia="Arial" w:hAnsi="Arial"/>
          <w:sz w:val="19"/>
          <w:szCs w:val="19"/>
          <w:color w:val="auto"/>
        </w:rPr>
        <w:t>amounts as are customarily carried under similar circumstances by such other Persons and as are reasonably acceptable to the Administrative Agent.</w:t>
      </w:r>
    </w:p>
    <w:p>
      <w:pPr>
        <w:spacing w:after="0" w:line="157" w:lineRule="exact"/>
        <w:rPr>
          <w:sz w:val="20"/>
          <w:szCs w:val="20"/>
          <w:color w:val="auto"/>
        </w:rPr>
      </w:pPr>
    </w:p>
    <w:p>
      <w:pPr>
        <w:jc w:val="both"/>
        <w:ind w:firstLine="634"/>
        <w:spacing w:after="0" w:line="254" w:lineRule="auto"/>
        <w:tabs>
          <w:tab w:leader="none" w:pos="1247" w:val="left"/>
        </w:tabs>
        <w:numPr>
          <w:ilvl w:val="0"/>
          <w:numId w:val="234"/>
        </w:numPr>
        <w:rPr>
          <w:rFonts w:ascii="Arial" w:cs="Arial" w:eastAsia="Arial" w:hAnsi="Arial"/>
          <w:sz w:val="19"/>
          <w:szCs w:val="19"/>
          <w:color w:val="auto"/>
        </w:rPr>
      </w:pPr>
      <w:r>
        <w:rPr>
          <w:rFonts w:ascii="Arial" w:cs="Arial" w:eastAsia="Arial" w:hAnsi="Arial"/>
          <w:sz w:val="19"/>
          <w:szCs w:val="19"/>
          <w:color w:val="auto"/>
        </w:rPr>
        <w:t>Maintain flood insurance with respect to any Mortgaged Property located in any area identified by FEMA (or any successor agency) as a Special Flood Zone with such providers, on such terms and in such amounts as required pursuant to the Flood Disaster Protection Act and the National Flood Insurance Act of 1968, and all applicable rules and regulations promulgated thereunder, or as otherwise required by the Lenders.</w:t>
      </w:r>
    </w:p>
    <w:p>
      <w:pPr>
        <w:spacing w:after="0" w:line="176" w:lineRule="exact"/>
        <w:rPr>
          <w:rFonts w:ascii="Arial" w:cs="Arial" w:eastAsia="Arial" w:hAnsi="Arial"/>
          <w:sz w:val="19"/>
          <w:szCs w:val="19"/>
          <w:color w:val="auto"/>
        </w:rPr>
      </w:pPr>
    </w:p>
    <w:p>
      <w:pPr>
        <w:jc w:val="both"/>
        <w:ind w:firstLine="634"/>
        <w:spacing w:after="0" w:line="285" w:lineRule="auto"/>
        <w:tabs>
          <w:tab w:leader="none" w:pos="1249" w:val="left"/>
        </w:tabs>
        <w:numPr>
          <w:ilvl w:val="0"/>
          <w:numId w:val="234"/>
        </w:numPr>
        <w:rPr>
          <w:rFonts w:ascii="Arial" w:cs="Arial" w:eastAsia="Arial" w:hAnsi="Arial"/>
          <w:sz w:val="17"/>
          <w:szCs w:val="17"/>
          <w:color w:val="auto"/>
        </w:rPr>
      </w:pPr>
      <w:r>
        <w:rPr>
          <w:rFonts w:ascii="Arial" w:cs="Arial" w:eastAsia="Arial" w:hAnsi="Arial"/>
          <w:sz w:val="17"/>
          <w:szCs w:val="17"/>
          <w:color w:val="auto"/>
        </w:rPr>
        <w:t>Cause all casualty policies, including fire and extended coverage policies, maintained with respect to any Collateral to be endorsed or otherwise amended to include (i) a non-contributing mortgagee clause (regarding improvements to Real Property) and lenders’ loss payable clause (regarding personal property), in form and substance reasonably satisfactory to the Administrative Agent, which endorsements or amendments shall provide that the insurer shall pay all proceeds otherwise payable to the Loan Parties under the policies directly to the Administrative Agent, (ii) a provision to the effect that none of the Loan Parties, Secured Parties or any other Person shall be a co-insurer and (iii) such other provisions as the Administrative Agent may reasonably require from time to time to protect the interests of the Secured Parties.</w:t>
      </w:r>
    </w:p>
    <w:p>
      <w:pPr>
        <w:spacing w:after="0" w:line="154" w:lineRule="exact"/>
        <w:rPr>
          <w:rFonts w:ascii="Arial" w:cs="Arial" w:eastAsia="Arial" w:hAnsi="Arial"/>
          <w:sz w:val="17"/>
          <w:szCs w:val="17"/>
          <w:color w:val="auto"/>
        </w:rPr>
      </w:pPr>
    </w:p>
    <w:p>
      <w:pPr>
        <w:jc w:val="both"/>
        <w:ind w:firstLine="634"/>
        <w:spacing w:after="0" w:line="254" w:lineRule="auto"/>
        <w:tabs>
          <w:tab w:leader="none" w:pos="1247" w:val="left"/>
        </w:tabs>
        <w:numPr>
          <w:ilvl w:val="0"/>
          <w:numId w:val="234"/>
        </w:numPr>
        <w:rPr>
          <w:rFonts w:ascii="Arial" w:cs="Arial" w:eastAsia="Arial" w:hAnsi="Arial"/>
          <w:sz w:val="19"/>
          <w:szCs w:val="19"/>
          <w:color w:val="auto"/>
        </w:rPr>
      </w:pPr>
      <w:r>
        <w:rPr>
          <w:rFonts w:ascii="Arial" w:cs="Arial" w:eastAsia="Arial" w:hAnsi="Arial"/>
          <w:sz w:val="19"/>
          <w:szCs w:val="19"/>
          <w:color w:val="auto"/>
        </w:rPr>
        <w:t>Cause commercial general liability policies to be endorsed to name the Administrative Agent as an additional insured; and to be endorsed or amended to include (i) a provision to the effect that none of the Loan Parties, the Administrative Agent or any other party shall be a coinsurer and (ii) such other provisions as the Administrative Agent may reasonably require from time to time to protect the interests of the Secured Parties.</w:t>
      </w:r>
    </w:p>
    <w:p>
      <w:pPr>
        <w:spacing w:after="0" w:line="176" w:lineRule="exact"/>
        <w:rPr>
          <w:rFonts w:ascii="Arial" w:cs="Arial" w:eastAsia="Arial" w:hAnsi="Arial"/>
          <w:sz w:val="19"/>
          <w:szCs w:val="19"/>
          <w:color w:val="auto"/>
        </w:rPr>
      </w:pPr>
    </w:p>
    <w:p>
      <w:pPr>
        <w:jc w:val="both"/>
        <w:ind w:firstLine="634"/>
        <w:spacing w:after="0" w:line="269" w:lineRule="auto"/>
        <w:tabs>
          <w:tab w:leader="none" w:pos="1249" w:val="left"/>
        </w:tabs>
        <w:numPr>
          <w:ilvl w:val="0"/>
          <w:numId w:val="234"/>
        </w:numPr>
        <w:rPr>
          <w:rFonts w:ascii="Arial" w:cs="Arial" w:eastAsia="Arial" w:hAnsi="Arial"/>
          <w:sz w:val="18"/>
          <w:szCs w:val="18"/>
          <w:color w:val="auto"/>
        </w:rPr>
      </w:pPr>
      <w:r>
        <w:rPr>
          <w:rFonts w:ascii="Arial" w:cs="Arial" w:eastAsia="Arial" w:hAnsi="Arial"/>
          <w:sz w:val="18"/>
          <w:szCs w:val="18"/>
          <w:color w:val="auto"/>
        </w:rPr>
        <w:t xml:space="preserve">Cause each such policy referred to in this </w:t>
      </w:r>
      <w:r>
        <w:rPr>
          <w:rFonts w:ascii="Arial" w:cs="Arial" w:eastAsia="Arial" w:hAnsi="Arial"/>
          <w:sz w:val="18"/>
          <w:szCs w:val="18"/>
          <w:u w:val="single" w:color="auto"/>
          <w:color w:val="auto"/>
        </w:rPr>
        <w:t>Section 7.07</w:t>
      </w:r>
      <w:r>
        <w:rPr>
          <w:rFonts w:ascii="Arial" w:cs="Arial" w:eastAsia="Arial" w:hAnsi="Arial"/>
          <w:sz w:val="18"/>
          <w:szCs w:val="18"/>
          <w:color w:val="auto"/>
        </w:rPr>
        <w:t xml:space="preserve"> to also provide that it shall not be canceled, (i) by reason of nonpayment of premium except upon not less than ten (10) days’ prior written notice thereof by the insurer to the Administrative Agent (giving the Administrative Agent the right to cure defaults in the payment of premiums) or (ii) for any other reason except upon not less than thirty (30) days’ prior written notice thereof by the insurer to the Administrative Agent. The Loan Parties shall provide to Administrative Agent not less than ten (10) days’ prior written notice of any material modification or non-renewal of each such policy referred to in this </w:t>
      </w:r>
      <w:r>
        <w:rPr>
          <w:rFonts w:ascii="Arial" w:cs="Arial" w:eastAsia="Arial" w:hAnsi="Arial"/>
          <w:sz w:val="18"/>
          <w:szCs w:val="18"/>
          <w:u w:val="single" w:color="auto"/>
          <w:color w:val="auto"/>
        </w:rPr>
        <w:t>Section 7.07</w:t>
      </w:r>
      <w:r>
        <w:rPr>
          <w:rFonts w:ascii="Arial" w:cs="Arial" w:eastAsia="Arial" w:hAnsi="Arial"/>
          <w:sz w:val="18"/>
          <w:szCs w:val="18"/>
          <w:color w:val="auto"/>
        </w:rPr>
        <w:t>.</w:t>
      </w:r>
    </w:p>
    <w:p>
      <w:pPr>
        <w:spacing w:after="0" w:line="164" w:lineRule="exact"/>
        <w:rPr>
          <w:rFonts w:ascii="Arial" w:cs="Arial" w:eastAsia="Arial" w:hAnsi="Arial"/>
          <w:sz w:val="18"/>
          <w:szCs w:val="18"/>
          <w:color w:val="auto"/>
        </w:rPr>
      </w:pPr>
    </w:p>
    <w:p>
      <w:pPr>
        <w:jc w:val="both"/>
        <w:ind w:firstLine="634"/>
        <w:spacing w:after="0" w:line="254" w:lineRule="auto"/>
        <w:tabs>
          <w:tab w:leader="none" w:pos="1254" w:val="left"/>
        </w:tabs>
        <w:numPr>
          <w:ilvl w:val="0"/>
          <w:numId w:val="234"/>
        </w:numPr>
        <w:rPr>
          <w:rFonts w:ascii="Arial" w:cs="Arial" w:eastAsia="Arial" w:hAnsi="Arial"/>
          <w:sz w:val="19"/>
          <w:szCs w:val="19"/>
          <w:color w:val="auto"/>
        </w:rPr>
      </w:pPr>
      <w:r>
        <w:rPr>
          <w:rFonts w:ascii="Arial" w:cs="Arial" w:eastAsia="Arial" w:hAnsi="Arial"/>
          <w:sz w:val="19"/>
          <w:szCs w:val="19"/>
          <w:color w:val="auto"/>
        </w:rPr>
        <w:t>Deliver to the Administrative Agent, prior to the cancellation, modification or non-renewal of any such policy of insurance, a copy of a renewal or replacement policy or insurance certificate (or other evidence of renewal of a policy previously delivered to the Administrative Agent, including an insurance binder) together with evidence reasonably satisfactory to the Administrative Agent of payment of the premium therefor.</w:t>
      </w:r>
    </w:p>
    <w:p>
      <w:pPr>
        <w:spacing w:after="0" w:line="176" w:lineRule="exact"/>
        <w:rPr>
          <w:rFonts w:ascii="Arial" w:cs="Arial" w:eastAsia="Arial" w:hAnsi="Arial"/>
          <w:sz w:val="19"/>
          <w:szCs w:val="19"/>
          <w:color w:val="auto"/>
        </w:rPr>
      </w:pPr>
    </w:p>
    <w:p>
      <w:pPr>
        <w:jc w:val="both"/>
        <w:ind w:firstLine="634"/>
        <w:spacing w:after="0" w:line="280" w:lineRule="auto"/>
        <w:tabs>
          <w:tab w:leader="none" w:pos="1247" w:val="left"/>
        </w:tabs>
        <w:numPr>
          <w:ilvl w:val="0"/>
          <w:numId w:val="234"/>
        </w:numPr>
        <w:rPr>
          <w:rFonts w:ascii="Arial" w:cs="Arial" w:eastAsia="Arial" w:hAnsi="Arial"/>
          <w:sz w:val="18"/>
          <w:szCs w:val="18"/>
          <w:color w:val="auto"/>
        </w:rPr>
      </w:pPr>
      <w:r>
        <w:rPr>
          <w:rFonts w:ascii="Arial" w:cs="Arial" w:eastAsia="Arial" w:hAnsi="Arial"/>
          <w:sz w:val="18"/>
          <w:szCs w:val="18"/>
          <w:color w:val="auto"/>
        </w:rPr>
        <w:t>Permit any representatives that are designated by the Administrative Agent to inspect the insurance policies maintained by or on behalf of the Loan Parties and to inspect books and records related thereto and any properties covered thereby. The Loan Parties shall pay the reasonable fees and expenses of any representatives retained by the Administrative Agent to conduct any such inspection.</w:t>
      </w:r>
    </w:p>
    <w:p>
      <w:pPr>
        <w:spacing w:after="0" w:line="154" w:lineRule="exact"/>
        <w:rPr>
          <w:rFonts w:ascii="Arial" w:cs="Arial" w:eastAsia="Arial" w:hAnsi="Arial"/>
          <w:sz w:val="18"/>
          <w:szCs w:val="18"/>
          <w:color w:val="auto"/>
        </w:rPr>
      </w:pPr>
    </w:p>
    <w:p>
      <w:pPr>
        <w:jc w:val="both"/>
        <w:ind w:firstLine="634"/>
        <w:spacing w:after="0" w:line="280" w:lineRule="auto"/>
        <w:tabs>
          <w:tab w:leader="none" w:pos="1247" w:val="left"/>
        </w:tabs>
        <w:numPr>
          <w:ilvl w:val="0"/>
          <w:numId w:val="234"/>
        </w:numPr>
        <w:rPr>
          <w:rFonts w:ascii="Arial" w:cs="Arial" w:eastAsia="Arial" w:hAnsi="Arial"/>
          <w:sz w:val="18"/>
          <w:szCs w:val="18"/>
          <w:color w:val="auto"/>
        </w:rPr>
      </w:pPr>
      <w:r>
        <w:rPr>
          <w:rFonts w:ascii="Arial" w:cs="Arial" w:eastAsia="Arial" w:hAnsi="Arial"/>
          <w:sz w:val="18"/>
          <w:szCs w:val="18"/>
          <w:color w:val="auto"/>
        </w:rPr>
        <w:t xml:space="preserve">None of the Secured Parties, or their agents or employees shall be liable for any loss or damage insured by the insurance policies required to be maintained under this </w:t>
      </w:r>
      <w:r>
        <w:rPr>
          <w:rFonts w:ascii="Arial" w:cs="Arial" w:eastAsia="Arial" w:hAnsi="Arial"/>
          <w:sz w:val="18"/>
          <w:szCs w:val="18"/>
          <w:u w:val="single" w:color="auto"/>
          <w:color w:val="auto"/>
        </w:rPr>
        <w:t>Section 7.07</w:t>
      </w:r>
      <w:r>
        <w:rPr>
          <w:rFonts w:ascii="Arial" w:cs="Arial" w:eastAsia="Arial" w:hAnsi="Arial"/>
          <w:sz w:val="18"/>
          <w:szCs w:val="18"/>
          <w:color w:val="auto"/>
        </w:rPr>
        <w:t>. Each Loan Party shall look solely to its insurance companies or any other parties other than the Secured Parties for the recovery of such loss or damage and such insurance companies shall have no rights of subrogation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133</w:t>
      </w:r>
    </w:p>
    <w:p>
      <w:pPr>
        <w:sectPr>
          <w:pgSz w:w="11900" w:h="16838" w:orient="portrait"/>
          <w:cols w:equalWidth="0" w:num="1">
            <w:col w:w="11240"/>
          </w:cols>
          <w:pgMar w:left="320" w:top="1382" w:right="339" w:bottom="1440" w:gutter="0" w:footer="0" w:header="0"/>
        </w:sectPr>
      </w:pPr>
    </w:p>
    <w:bookmarkStart w:id="252" w:name="page253"/>
    <w:bookmarkEnd w:id="252"/>
    <w:p>
      <w:pPr>
        <w:jc w:val="both"/>
        <w:spacing w:after="0" w:line="269" w:lineRule="auto"/>
        <w:rPr>
          <w:sz w:val="20"/>
          <w:szCs w:val="20"/>
          <w:color w:val="auto"/>
        </w:rPr>
      </w:pPr>
      <w:r>
        <w:rPr>
          <w:rFonts w:ascii="Arial" w:cs="Arial" w:eastAsia="Arial" w:hAnsi="Arial"/>
          <w:sz w:val="18"/>
          <w:szCs w:val="18"/>
          <w:color w:val="auto"/>
        </w:rPr>
        <w:t xml:space="preserve">against any Secured Party or its agents or employees. If, however, the insurance policies do not provide waiver of subrogation rights against such parties, as required above, then the Loan Parties hereby agree, to the extent permitted by law, to waive their right of recovery, if any, against the Secured Parties and their agents and employees. The designation of any form, type or amount of insurance coverage by any Secured Party under this </w:t>
      </w:r>
      <w:r>
        <w:rPr>
          <w:rFonts w:ascii="Arial" w:cs="Arial" w:eastAsia="Arial" w:hAnsi="Arial"/>
          <w:sz w:val="18"/>
          <w:szCs w:val="18"/>
          <w:u w:val="single" w:color="auto"/>
          <w:color w:val="auto"/>
        </w:rPr>
        <w:t>Section 7.07</w:t>
      </w:r>
      <w:r>
        <w:rPr>
          <w:rFonts w:ascii="Arial" w:cs="Arial" w:eastAsia="Arial" w:hAnsi="Arial"/>
          <w:sz w:val="18"/>
          <w:szCs w:val="18"/>
          <w:color w:val="auto"/>
        </w:rPr>
        <w:t xml:space="preserve"> shall in no event be deemed a representation, warranty or advice by such Secured Party that such insurance is adequate for the purposes of the business of the Loan Parties or the protection of their properties.</w:t>
      </w:r>
    </w:p>
    <w:p>
      <w:pPr>
        <w:spacing w:after="0" w:line="158"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9"/>
          <w:szCs w:val="19"/>
          <w:b w:val="1"/>
          <w:bCs w:val="1"/>
          <w:color w:val="auto"/>
        </w:rPr>
        <w:t>7.8</w:t>
      </w:r>
      <w:r>
        <w:rPr>
          <w:sz w:val="20"/>
          <w:szCs w:val="20"/>
          <w:color w:val="auto"/>
        </w:rPr>
        <w:tab/>
      </w:r>
      <w:r>
        <w:rPr>
          <w:rFonts w:ascii="Arial" w:cs="Arial" w:eastAsia="Arial" w:hAnsi="Arial"/>
          <w:sz w:val="17"/>
          <w:szCs w:val="17"/>
          <w:b w:val="1"/>
          <w:bCs w:val="1"/>
          <w:color w:val="auto"/>
        </w:rPr>
        <w:t>Compliance with Laws</w:t>
      </w:r>
      <w:r>
        <w:rPr>
          <w:rFonts w:ascii="Arial" w:cs="Arial" w:eastAsia="Arial" w:hAnsi="Arial"/>
          <w:sz w:val="17"/>
          <w:szCs w:val="17"/>
          <w:color w:val="auto"/>
        </w:rPr>
        <w:t>;</w:t>
      </w:r>
      <w:r>
        <w:rPr>
          <w:rFonts w:ascii="Arial" w:cs="Arial" w:eastAsia="Arial" w:hAnsi="Arial"/>
          <w:sz w:val="17"/>
          <w:szCs w:val="17"/>
          <w:b w:val="1"/>
          <w:bCs w:val="1"/>
          <w:color w:val="auto"/>
        </w:rPr>
        <w:t xml:space="preserve"> Anti-Corruption Laws, Anti-Money Laundering Laws and Sanctions.</w:t>
      </w:r>
    </w:p>
    <w:p>
      <w:pPr>
        <w:spacing w:after="0" w:line="220" w:lineRule="exact"/>
        <w:rPr>
          <w:sz w:val="20"/>
          <w:szCs w:val="20"/>
          <w:color w:val="auto"/>
        </w:rPr>
      </w:pPr>
    </w:p>
    <w:p>
      <w:pPr>
        <w:jc w:val="both"/>
        <w:ind w:firstLine="634"/>
        <w:spacing w:after="0" w:line="254" w:lineRule="auto"/>
        <w:tabs>
          <w:tab w:leader="none" w:pos="1249" w:val="left"/>
        </w:tabs>
        <w:numPr>
          <w:ilvl w:val="0"/>
          <w:numId w:val="235"/>
        </w:numPr>
        <w:rPr>
          <w:rFonts w:ascii="Arial" w:cs="Arial" w:eastAsia="Arial" w:hAnsi="Arial"/>
          <w:sz w:val="19"/>
          <w:szCs w:val="19"/>
          <w:color w:val="auto"/>
        </w:rPr>
      </w:pPr>
      <w:r>
        <w:rPr>
          <w:rFonts w:ascii="Arial" w:cs="Arial" w:eastAsia="Arial" w:hAnsi="Arial"/>
          <w:sz w:val="19"/>
          <w:szCs w:val="19"/>
          <w:color w:val="auto"/>
        </w:rPr>
        <w:t>Comply in all material respects with the requirements of all Laws (including without limitation all applicable Environmental Laws) and all orders, writs, injunctions and decrees applicable to it or to its business or property, except in such instances in which (i) such requirement of Law or order, writ, injunction or decree is being Properly Contested; or (ii) the failure to comply therewith could not reasonably be expected to have a Material Adverse Effect;</w:t>
      </w:r>
    </w:p>
    <w:p>
      <w:pPr>
        <w:spacing w:after="0" w:line="176" w:lineRule="exact"/>
        <w:rPr>
          <w:rFonts w:ascii="Arial" w:cs="Arial" w:eastAsia="Arial" w:hAnsi="Arial"/>
          <w:sz w:val="19"/>
          <w:szCs w:val="19"/>
          <w:color w:val="auto"/>
        </w:rPr>
      </w:pPr>
    </w:p>
    <w:p>
      <w:pPr>
        <w:jc w:val="both"/>
        <w:ind w:firstLine="634"/>
        <w:spacing w:after="0" w:line="267" w:lineRule="auto"/>
        <w:tabs>
          <w:tab w:leader="none" w:pos="1247" w:val="left"/>
        </w:tabs>
        <w:numPr>
          <w:ilvl w:val="0"/>
          <w:numId w:val="235"/>
        </w:numPr>
        <w:rPr>
          <w:rFonts w:ascii="Arial" w:cs="Arial" w:eastAsia="Arial" w:hAnsi="Arial"/>
          <w:sz w:val="18"/>
          <w:szCs w:val="18"/>
          <w:color w:val="auto"/>
        </w:rPr>
      </w:pPr>
      <w:r>
        <w:rPr>
          <w:rFonts w:ascii="Arial" w:cs="Arial" w:eastAsia="Arial" w:hAnsi="Arial"/>
          <w:sz w:val="18"/>
          <w:szCs w:val="18"/>
          <w:color w:val="auto"/>
        </w:rPr>
        <w:t xml:space="preserve">Notwithstanding the general applicability of </w:t>
      </w:r>
      <w:r>
        <w:rPr>
          <w:rFonts w:ascii="Arial" w:cs="Arial" w:eastAsia="Arial" w:hAnsi="Arial"/>
          <w:sz w:val="18"/>
          <w:szCs w:val="18"/>
          <w:u w:val="single" w:color="auto"/>
          <w:color w:val="auto"/>
        </w:rPr>
        <w:t>Section 7.08(a)</w:t>
      </w:r>
      <w:r>
        <w:rPr>
          <w:rFonts w:ascii="Arial" w:cs="Arial" w:eastAsia="Arial" w:hAnsi="Arial"/>
          <w:sz w:val="18"/>
          <w:szCs w:val="18"/>
          <w:color w:val="auto"/>
        </w:rPr>
        <w:t xml:space="preserve"> above, comply with the requirements of all Anti-Corruption Laws, Anti-Money Laundering Laws and Sanctions and shall cause each other Loan Party and each of its and their respective Subsidiaries to comply with the requirements of all Anti-Corruption Laws, Anti-Money Laundering Laws and Sanctions. Notwithstanding anything in this Agreement, nothing in this Agreement shall require the Borrowers or any of their respective Subsidiaries or any director, officer, employee, agent or Affiliate of the Borrowers or any of their respective Subsidiaries that are registered or incorporated under the laws of Canada or a province or territory thereof to commit an act or omission that contravenes the Foreign Extraterritorial Measures (United States) Order, 1992.</w:t>
      </w:r>
    </w:p>
    <w:p>
      <w:pPr>
        <w:spacing w:after="0" w:line="165" w:lineRule="exact"/>
        <w:rPr>
          <w:rFonts w:ascii="Arial" w:cs="Arial" w:eastAsia="Arial" w:hAnsi="Arial"/>
          <w:sz w:val="18"/>
          <w:szCs w:val="18"/>
          <w:color w:val="auto"/>
        </w:rPr>
      </w:pPr>
    </w:p>
    <w:p>
      <w:pPr>
        <w:ind w:firstLine="634"/>
        <w:spacing w:after="0" w:line="274" w:lineRule="auto"/>
        <w:tabs>
          <w:tab w:leader="none" w:pos="1318" w:val="left"/>
        </w:tabs>
        <w:numPr>
          <w:ilvl w:val="0"/>
          <w:numId w:val="235"/>
        </w:numPr>
        <w:rPr>
          <w:rFonts w:ascii="Arial" w:cs="Arial" w:eastAsia="Arial" w:hAnsi="Arial"/>
          <w:sz w:val="19"/>
          <w:szCs w:val="19"/>
          <w:color w:val="auto"/>
        </w:rPr>
      </w:pPr>
      <w:r>
        <w:rPr>
          <w:rFonts w:ascii="Arial" w:cs="Arial" w:eastAsia="Arial" w:hAnsi="Arial"/>
          <w:sz w:val="19"/>
          <w:szCs w:val="19"/>
          <w:color w:val="auto"/>
        </w:rPr>
        <w:t>Borrower will maintain in effect and enforce policies and procedures reasonably designed to ensure compliance by the Loan Parties and each of their Subsidiaries with Anti-Corruption Laws, Anti-Money-Laundering Laws and Sanctions.</w:t>
      </w:r>
    </w:p>
    <w:p>
      <w:pPr>
        <w:spacing w:after="0" w:line="151" w:lineRule="exact"/>
        <w:rPr>
          <w:sz w:val="20"/>
          <w:szCs w:val="20"/>
          <w:color w:val="auto"/>
        </w:rPr>
      </w:pPr>
    </w:p>
    <w:p>
      <w:pPr>
        <w:jc w:val="both"/>
        <w:ind w:firstLine="629"/>
        <w:spacing w:after="0" w:line="253" w:lineRule="auto"/>
        <w:rPr>
          <w:sz w:val="20"/>
          <w:szCs w:val="20"/>
          <w:color w:val="auto"/>
        </w:rPr>
      </w:pPr>
      <w:r>
        <w:rPr>
          <w:rFonts w:ascii="Arial" w:cs="Arial" w:eastAsia="Arial" w:hAnsi="Arial"/>
          <w:sz w:val="19"/>
          <w:szCs w:val="19"/>
          <w:b w:val="1"/>
          <w:bCs w:val="1"/>
          <w:color w:val="auto"/>
        </w:rPr>
        <w:t>7.9 Books and Records</w:t>
      </w:r>
      <w:r>
        <w:rPr>
          <w:rFonts w:ascii="Arial" w:cs="Arial" w:eastAsia="Arial" w:hAnsi="Arial"/>
          <w:sz w:val="19"/>
          <w:szCs w:val="19"/>
          <w:color w:val="auto"/>
        </w:rPr>
        <w:t>. (a) Maintain proper books of record and account, in which full, true and correct entries in conformity with</w:t>
      </w:r>
      <w:r>
        <w:rPr>
          <w:rFonts w:ascii="Arial" w:cs="Arial" w:eastAsia="Arial" w:hAnsi="Arial"/>
          <w:sz w:val="19"/>
          <w:szCs w:val="19"/>
          <w:b w:val="1"/>
          <w:bCs w:val="1"/>
          <w:color w:val="auto"/>
        </w:rPr>
        <w:t xml:space="preserve"> </w:t>
      </w:r>
      <w:r>
        <w:rPr>
          <w:rFonts w:ascii="Arial" w:cs="Arial" w:eastAsia="Arial" w:hAnsi="Arial"/>
          <w:sz w:val="19"/>
          <w:szCs w:val="19"/>
          <w:color w:val="auto"/>
        </w:rPr>
        <w:t>GAAP consistently applied shall be made of all financial transactions and matters involving the assets and business of the Loan Parties or such Restricted Subsidiary, as the case may be; and (b) maintain such books of record and account in material conformity with all applicable requirements of any Governmental Authority having regulatory jurisdiction over any Loan Party or such Restricted Subsidiary, as the case may be.</w:t>
      </w:r>
    </w:p>
    <w:p>
      <w:pPr>
        <w:spacing w:after="0" w:line="173"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9"/>
          <w:szCs w:val="19"/>
          <w:b w:val="1"/>
          <w:bCs w:val="1"/>
          <w:color w:val="auto"/>
        </w:rPr>
        <w:t>7.10</w:t>
      </w:r>
      <w:r>
        <w:rPr>
          <w:sz w:val="20"/>
          <w:szCs w:val="20"/>
          <w:color w:val="auto"/>
        </w:rPr>
        <w:tab/>
      </w:r>
      <w:r>
        <w:rPr>
          <w:rFonts w:ascii="Arial" w:cs="Arial" w:eastAsia="Arial" w:hAnsi="Arial"/>
          <w:sz w:val="17"/>
          <w:szCs w:val="17"/>
          <w:b w:val="1"/>
          <w:bCs w:val="1"/>
          <w:color w:val="auto"/>
        </w:rPr>
        <w:t>Inspection Rights and Appraisals; Meetings with the Administrative Agent.</w:t>
      </w:r>
    </w:p>
    <w:p>
      <w:pPr>
        <w:spacing w:after="0" w:line="220" w:lineRule="exact"/>
        <w:rPr>
          <w:sz w:val="20"/>
          <w:szCs w:val="20"/>
          <w:color w:val="auto"/>
        </w:rPr>
      </w:pPr>
    </w:p>
    <w:p>
      <w:pPr>
        <w:jc w:val="both"/>
        <w:ind w:firstLine="634"/>
        <w:spacing w:after="0" w:line="267" w:lineRule="auto"/>
        <w:tabs>
          <w:tab w:leader="none" w:pos="1249" w:val="left"/>
        </w:tabs>
        <w:numPr>
          <w:ilvl w:val="0"/>
          <w:numId w:val="236"/>
        </w:numPr>
        <w:rPr>
          <w:rFonts w:ascii="Arial" w:cs="Arial" w:eastAsia="Arial" w:hAnsi="Arial"/>
          <w:sz w:val="18"/>
          <w:szCs w:val="18"/>
          <w:color w:val="auto"/>
        </w:rPr>
      </w:pPr>
      <w:r>
        <w:rPr>
          <w:rFonts w:ascii="Arial" w:cs="Arial" w:eastAsia="Arial" w:hAnsi="Arial"/>
          <w:sz w:val="18"/>
          <w:szCs w:val="18"/>
          <w:color w:val="auto"/>
        </w:rPr>
        <w:t xml:space="preserve">Permit the Administrative Agent or its designees or representatives from time to time, subject to reasonable notice and normal business hours (except, in each case, when a Default or Event of Default exists), to conduct Field Exams and/or appraisals of Inventory and to examine its corporate, financial and operating records, and make copies thereof or abstracts therefrom, and to discuss its affairs, finances and accounts with its directors, officers and Auditors;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representatives of the Borrower Agent shall be given the opportunity to participate in any discussions with the Auditors. The Administrative Agent shall not have any duty to any Loan Party to share any results of any Field Exam with any Loan Party. Appraisals may be shared with the Borrower Agent upon request. The Loan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134</w:t>
      </w:r>
    </w:p>
    <w:p>
      <w:pPr>
        <w:sectPr>
          <w:pgSz w:w="11900" w:h="16838" w:orient="portrait"/>
          <w:cols w:equalWidth="0" w:num="1">
            <w:col w:w="11240"/>
          </w:cols>
          <w:pgMar w:left="320" w:top="1382" w:right="339" w:bottom="1440" w:gutter="0" w:footer="0" w:header="0"/>
        </w:sectPr>
      </w:pPr>
    </w:p>
    <w:bookmarkStart w:id="253" w:name="page254"/>
    <w:bookmarkEnd w:id="253"/>
    <w:p>
      <w:pPr>
        <w:spacing w:after="0" w:line="274" w:lineRule="auto"/>
        <w:rPr>
          <w:sz w:val="20"/>
          <w:szCs w:val="20"/>
          <w:color w:val="auto"/>
        </w:rPr>
      </w:pPr>
      <w:r>
        <w:rPr>
          <w:rFonts w:ascii="Arial" w:cs="Arial" w:eastAsia="Arial" w:hAnsi="Arial"/>
          <w:sz w:val="19"/>
          <w:szCs w:val="19"/>
          <w:color w:val="auto"/>
        </w:rPr>
        <w:t>acknowledge that all Field Exams, appraisals and reports are prepared by or for the Administrative Agent and Lenders for their purposes, and Loan Parties shall not be entitled to rely upon them.</w:t>
      </w:r>
    </w:p>
    <w:p>
      <w:pPr>
        <w:spacing w:after="0" w:line="157" w:lineRule="exact"/>
        <w:rPr>
          <w:sz w:val="20"/>
          <w:szCs w:val="20"/>
          <w:color w:val="auto"/>
        </w:rPr>
      </w:pPr>
    </w:p>
    <w:p>
      <w:pPr>
        <w:jc w:val="both"/>
        <w:ind w:firstLine="634"/>
        <w:spacing w:after="0" w:line="269" w:lineRule="auto"/>
        <w:tabs>
          <w:tab w:leader="none" w:pos="1247" w:val="left"/>
        </w:tabs>
        <w:numPr>
          <w:ilvl w:val="0"/>
          <w:numId w:val="237"/>
        </w:numPr>
        <w:rPr>
          <w:rFonts w:ascii="Arial" w:cs="Arial" w:eastAsia="Arial" w:hAnsi="Arial"/>
          <w:sz w:val="18"/>
          <w:szCs w:val="18"/>
          <w:color w:val="auto"/>
        </w:rPr>
      </w:pPr>
      <w:r>
        <w:rPr>
          <w:rFonts w:ascii="Arial" w:cs="Arial" w:eastAsia="Arial" w:hAnsi="Arial"/>
          <w:sz w:val="18"/>
          <w:szCs w:val="18"/>
          <w:color w:val="auto"/>
        </w:rPr>
        <w:t xml:space="preserve">Reimburse the Administrative Agent for all reasonable and documented out-of-pocket charges, costs and expenses of the Administrative Agent in connection with (i) up to one appraisal and one Field Exams during any twelve (12) month period during which no Field Exam Trigger Event has occurred and (ii) up to two appraisals and two Field Exams in any twelve (12) month period during which a Field Exam Trigger Event has occurred;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a Field Exam or appraisal is initiated during a Default or an Event of Default, all charges, costs and expenses therefor shall be reimbursed by the Loan Parties without regard to such limits.</w:t>
      </w:r>
    </w:p>
    <w:p>
      <w:pPr>
        <w:spacing w:after="0" w:line="164" w:lineRule="exact"/>
        <w:rPr>
          <w:rFonts w:ascii="Arial" w:cs="Arial" w:eastAsia="Arial" w:hAnsi="Arial"/>
          <w:sz w:val="18"/>
          <w:szCs w:val="18"/>
          <w:color w:val="auto"/>
        </w:rPr>
      </w:pPr>
    </w:p>
    <w:p>
      <w:pPr>
        <w:jc w:val="both"/>
        <w:ind w:firstLine="634"/>
        <w:spacing w:after="0" w:line="259" w:lineRule="auto"/>
        <w:tabs>
          <w:tab w:leader="none" w:pos="1249" w:val="left"/>
        </w:tabs>
        <w:numPr>
          <w:ilvl w:val="0"/>
          <w:numId w:val="237"/>
        </w:numPr>
        <w:rPr>
          <w:rFonts w:ascii="Arial" w:cs="Arial" w:eastAsia="Arial" w:hAnsi="Arial"/>
          <w:sz w:val="19"/>
          <w:szCs w:val="19"/>
          <w:color w:val="auto"/>
        </w:rPr>
      </w:pPr>
      <w:r>
        <w:rPr>
          <w:rFonts w:ascii="Arial" w:cs="Arial" w:eastAsia="Arial" w:hAnsi="Arial"/>
          <w:sz w:val="19"/>
          <w:szCs w:val="19"/>
          <w:color w:val="auto"/>
        </w:rPr>
        <w:t>Without limiting the foregoing, participate and will cause their key management personnel to participate in meetings with the Administrative Agent and Lenders periodically during each year, which meetings shall be held at such times and such places as may be reasonably requested by the Administrative Agent.</w:t>
      </w:r>
    </w:p>
    <w:p>
      <w:pPr>
        <w:spacing w:after="0" w:line="165" w:lineRule="exact"/>
        <w:rPr>
          <w:sz w:val="20"/>
          <w:szCs w:val="20"/>
          <w:color w:val="auto"/>
        </w:rPr>
      </w:pPr>
    </w:p>
    <w:p>
      <w:pPr>
        <w:ind w:left="640"/>
        <w:spacing w:after="0"/>
        <w:tabs>
          <w:tab w:leader="none" w:pos="1220" w:val="left"/>
        </w:tabs>
        <w:rPr>
          <w:sz w:val="20"/>
          <w:szCs w:val="20"/>
          <w:color w:val="auto"/>
        </w:rPr>
      </w:pPr>
      <w:r>
        <w:rPr>
          <w:rFonts w:ascii="Arial" w:cs="Arial" w:eastAsia="Arial" w:hAnsi="Arial"/>
          <w:sz w:val="19"/>
          <w:szCs w:val="19"/>
          <w:b w:val="1"/>
          <w:bCs w:val="1"/>
          <w:color w:val="auto"/>
        </w:rPr>
        <w:t>7.11</w:t>
      </w:r>
      <w:r>
        <w:rPr>
          <w:sz w:val="20"/>
          <w:szCs w:val="20"/>
          <w:color w:val="auto"/>
        </w:rPr>
        <w:tab/>
      </w:r>
      <w:r>
        <w:rPr>
          <w:rFonts w:ascii="Arial" w:cs="Arial" w:eastAsia="Arial" w:hAnsi="Arial"/>
          <w:sz w:val="17"/>
          <w:szCs w:val="17"/>
          <w:b w:val="1"/>
          <w:bCs w:val="1"/>
          <w:color w:val="auto"/>
        </w:rPr>
        <w:t>Use of Proceeds</w:t>
      </w:r>
      <w:r>
        <w:rPr>
          <w:rFonts w:ascii="Arial" w:cs="Arial" w:eastAsia="Arial" w:hAnsi="Arial"/>
          <w:sz w:val="17"/>
          <w:szCs w:val="17"/>
          <w:color w:val="auto"/>
        </w:rPr>
        <w:t>. Use the proceeds of the Credit Extensions (i) to refinance certain Indebtedness under the Existing Agreement,</w:t>
      </w:r>
    </w:p>
    <w:p>
      <w:pPr>
        <w:spacing w:after="0" w:line="26" w:lineRule="exact"/>
        <w:rPr>
          <w:sz w:val="20"/>
          <w:szCs w:val="20"/>
          <w:color w:val="auto"/>
        </w:rPr>
      </w:pPr>
    </w:p>
    <w:p>
      <w:pPr>
        <w:ind w:firstLine="5"/>
        <w:spacing w:after="0" w:line="256" w:lineRule="auto"/>
        <w:tabs>
          <w:tab w:leader="none" w:pos="292" w:val="left"/>
        </w:tabs>
        <w:numPr>
          <w:ilvl w:val="0"/>
          <w:numId w:val="238"/>
        </w:numPr>
        <w:rPr>
          <w:rFonts w:ascii="Arial" w:cs="Arial" w:eastAsia="Arial" w:hAnsi="Arial"/>
          <w:sz w:val="19"/>
          <w:szCs w:val="19"/>
          <w:color w:val="auto"/>
        </w:rPr>
      </w:pPr>
      <w:r>
        <w:rPr>
          <w:rFonts w:ascii="Arial" w:cs="Arial" w:eastAsia="Arial" w:hAnsi="Arial"/>
          <w:sz w:val="19"/>
          <w:szCs w:val="19"/>
          <w:color w:val="auto"/>
        </w:rPr>
        <w:t>to pay fees and expenses in connection with the Transactions, and (iii) for working capital, capital expenditures, and other general corporate purposes not in contravention of any Law or of any Loan Document.</w:t>
      </w:r>
    </w:p>
    <w:p>
      <w:pPr>
        <w:spacing w:after="0" w:line="168" w:lineRule="exact"/>
        <w:rPr>
          <w:sz w:val="20"/>
          <w:szCs w:val="20"/>
          <w:color w:val="auto"/>
        </w:rPr>
      </w:pPr>
    </w:p>
    <w:p>
      <w:pPr>
        <w:jc w:val="both"/>
        <w:ind w:firstLine="629"/>
        <w:spacing w:after="0" w:line="284" w:lineRule="auto"/>
        <w:rPr>
          <w:sz w:val="20"/>
          <w:szCs w:val="20"/>
          <w:color w:val="auto"/>
        </w:rPr>
      </w:pPr>
      <w:r>
        <w:rPr>
          <w:rFonts w:ascii="Arial" w:cs="Arial" w:eastAsia="Arial" w:hAnsi="Arial"/>
          <w:sz w:val="18"/>
          <w:szCs w:val="18"/>
          <w:b w:val="1"/>
          <w:bCs w:val="1"/>
          <w:color w:val="auto"/>
        </w:rPr>
        <w:t xml:space="preserve">7.12 New Subsidiaries. </w:t>
      </w:r>
      <w:r>
        <w:rPr>
          <w:rFonts w:ascii="Arial" w:cs="Arial" w:eastAsia="Arial" w:hAnsi="Arial"/>
          <w:sz w:val="18"/>
          <w:szCs w:val="18"/>
          <w:color w:val="auto"/>
        </w:rPr>
        <w:t>As soon as practicable but in any event within 30 Business Days following the acquisition or creation (by</w:t>
      </w:r>
      <w:r>
        <w:rPr>
          <w:rFonts w:ascii="Arial" w:cs="Arial" w:eastAsia="Arial" w:hAnsi="Arial"/>
          <w:sz w:val="18"/>
          <w:szCs w:val="18"/>
          <w:b w:val="1"/>
          <w:bCs w:val="1"/>
          <w:color w:val="auto"/>
        </w:rPr>
        <w:t xml:space="preserve"> </w:t>
      </w:r>
      <w:r>
        <w:rPr>
          <w:rFonts w:ascii="Arial" w:cs="Arial" w:eastAsia="Arial" w:hAnsi="Arial"/>
          <w:sz w:val="18"/>
          <w:szCs w:val="18"/>
          <w:color w:val="auto"/>
        </w:rPr>
        <w:t>Division or otherwise) of any Domestic Subsidiary (other than an Excluded Subsidiary), or the time any existing Excluded Subsidiary ceases to be an Excluded Subsidiary, cause to be delivered to the Administrative Agent each of the following, as applicable:</w:t>
      </w:r>
    </w:p>
    <w:p>
      <w:pPr>
        <w:spacing w:after="0" w:line="150" w:lineRule="exact"/>
        <w:rPr>
          <w:sz w:val="20"/>
          <w:szCs w:val="20"/>
          <w:color w:val="auto"/>
        </w:rPr>
      </w:pPr>
    </w:p>
    <w:p>
      <w:pPr>
        <w:jc w:val="both"/>
        <w:ind w:firstLine="634"/>
        <w:spacing w:after="0" w:line="252" w:lineRule="auto"/>
        <w:tabs>
          <w:tab w:leader="none" w:pos="1249" w:val="left"/>
        </w:tabs>
        <w:numPr>
          <w:ilvl w:val="0"/>
          <w:numId w:val="239"/>
        </w:numPr>
        <w:rPr>
          <w:rFonts w:ascii="Arial" w:cs="Arial" w:eastAsia="Arial" w:hAnsi="Arial"/>
          <w:sz w:val="19"/>
          <w:szCs w:val="19"/>
          <w:color w:val="auto"/>
        </w:rPr>
      </w:pPr>
      <w:r>
        <w:rPr>
          <w:rFonts w:ascii="Arial" w:cs="Arial" w:eastAsia="Arial" w:hAnsi="Arial"/>
          <w:sz w:val="19"/>
          <w:szCs w:val="19"/>
          <w:color w:val="auto"/>
        </w:rPr>
        <w:t>a joinder agreement acceptable to the Administrative Agent duly executed by such Domestic Subsidiary sufficient to cause such Subsidiary to become a Guarantor (or, with the consent of the Administrative Agent if such Subsidiary is to own any assets of the type included in the Borrowing Base, a Borrower hereunder), together with executed counterparts of each other Loan Document reasonably requested by the Administrative Agent, including all Security Instruments and other documents reasonably requested to establish and preserve the Lien of the Administrative Agent in all Collateral of such Domestic Subsidiary;</w:t>
      </w:r>
    </w:p>
    <w:p>
      <w:pPr>
        <w:spacing w:after="0" w:line="177" w:lineRule="exact"/>
        <w:rPr>
          <w:rFonts w:ascii="Arial" w:cs="Arial" w:eastAsia="Arial" w:hAnsi="Arial"/>
          <w:sz w:val="19"/>
          <w:szCs w:val="19"/>
          <w:color w:val="auto"/>
        </w:rPr>
      </w:pPr>
    </w:p>
    <w:p>
      <w:pPr>
        <w:jc w:val="both"/>
        <w:ind w:firstLine="634"/>
        <w:spacing w:after="0" w:line="264" w:lineRule="auto"/>
        <w:tabs>
          <w:tab w:leader="none" w:pos="1247" w:val="left"/>
        </w:tabs>
        <w:numPr>
          <w:ilvl w:val="0"/>
          <w:numId w:val="239"/>
        </w:numPr>
        <w:rPr>
          <w:rFonts w:ascii="Arial" w:cs="Arial" w:eastAsia="Arial" w:hAnsi="Arial"/>
          <w:sz w:val="18"/>
          <w:szCs w:val="18"/>
          <w:color w:val="auto"/>
        </w:rPr>
      </w:pPr>
      <w:r>
        <w:rPr>
          <w:rFonts w:ascii="Arial" w:cs="Arial" w:eastAsia="Arial" w:hAnsi="Arial"/>
          <w:sz w:val="18"/>
          <w:szCs w:val="18"/>
          <w:color w:val="auto"/>
        </w:rPr>
        <w:t>(i) UCC and PPSA financing statements naming such Person as “Debtor” and naming the Administrative Agent for the benefit of the Secured Parties as “Secured Party,” in form, substance and number sufficient in the reasonable opinion of the Administrative Agent and its special counsel to be filed in all UCC and PPSA filing offices and in all jurisdictions in which filing is necessary to perfect in favor of the Administrative Agent for the benefit of the Secured Parties the Lien on the Collateral conferred under such Security Instrument to the extent such Lien may be perfected by a UCC or PPSA filing, and (ii) pledge agreements, control agreements, Documents and original collateral (including pledged Equity Interests (other than Excluded Equity Interests), Securities and Instruments) and such other documents and agreements as may be reasonably required by the Administrative Agent, all as necessary to establish and maintain a valid, perfected security interest in all Collateral in which such Domestic Subsidiary has an interest consistent with the terms of the Loan Documents;</w:t>
      </w:r>
    </w:p>
    <w:p>
      <w:pPr>
        <w:spacing w:after="0" w:line="171" w:lineRule="exact"/>
        <w:rPr>
          <w:rFonts w:ascii="Arial" w:cs="Arial" w:eastAsia="Arial" w:hAnsi="Arial"/>
          <w:sz w:val="18"/>
          <w:szCs w:val="18"/>
          <w:color w:val="auto"/>
        </w:rPr>
      </w:pPr>
    </w:p>
    <w:p>
      <w:pPr>
        <w:ind w:firstLine="634"/>
        <w:spacing w:after="0" w:line="274" w:lineRule="auto"/>
        <w:tabs>
          <w:tab w:leader="none" w:pos="1249" w:val="left"/>
        </w:tabs>
        <w:numPr>
          <w:ilvl w:val="0"/>
          <w:numId w:val="239"/>
        </w:numPr>
        <w:rPr>
          <w:rFonts w:ascii="Arial" w:cs="Arial" w:eastAsia="Arial" w:hAnsi="Arial"/>
          <w:sz w:val="19"/>
          <w:szCs w:val="19"/>
          <w:color w:val="auto"/>
        </w:rPr>
      </w:pPr>
      <w:r>
        <w:rPr>
          <w:rFonts w:ascii="Arial" w:cs="Arial" w:eastAsia="Arial" w:hAnsi="Arial"/>
          <w:sz w:val="19"/>
          <w:szCs w:val="19"/>
          <w:color w:val="auto"/>
        </w:rPr>
        <w:t>upon the request of the Administrative Agent, an opinion of counsel to each such Domestic Subsidiary and addressed to the Administrative Agent and the Lenders, in form and substance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135</w:t>
      </w:r>
    </w:p>
    <w:p>
      <w:pPr>
        <w:sectPr>
          <w:pgSz w:w="11900" w:h="16838" w:orient="portrait"/>
          <w:cols w:equalWidth="0" w:num="1">
            <w:col w:w="11240"/>
          </w:cols>
          <w:pgMar w:left="320" w:top="1381" w:right="339" w:bottom="1440" w:gutter="0" w:footer="0" w:header="0"/>
        </w:sectPr>
      </w:pPr>
    </w:p>
    <w:bookmarkStart w:id="254" w:name="page255"/>
    <w:bookmarkEnd w:id="254"/>
    <w:p>
      <w:pPr>
        <w:spacing w:after="0" w:line="274" w:lineRule="auto"/>
        <w:rPr>
          <w:sz w:val="20"/>
          <w:szCs w:val="20"/>
          <w:color w:val="auto"/>
        </w:rPr>
      </w:pPr>
      <w:r>
        <w:rPr>
          <w:rFonts w:ascii="Arial" w:cs="Arial" w:eastAsia="Arial" w:hAnsi="Arial"/>
          <w:sz w:val="19"/>
          <w:szCs w:val="19"/>
          <w:color w:val="auto"/>
        </w:rPr>
        <w:t xml:space="preserve">reasonably acceptable to the Administrative Agent, each of which opinions may be in form and substance, including assumptions and qualifications contained therein, substantially similar to those opinions of counsel delivered pursuant to </w:t>
      </w:r>
      <w:r>
        <w:rPr>
          <w:rFonts w:ascii="Arial" w:cs="Arial" w:eastAsia="Arial" w:hAnsi="Arial"/>
          <w:sz w:val="19"/>
          <w:szCs w:val="19"/>
          <w:u w:val="single" w:color="auto"/>
          <w:color w:val="auto"/>
        </w:rPr>
        <w:t>Section 5.01(a)</w:t>
      </w:r>
      <w:r>
        <w:rPr>
          <w:rFonts w:ascii="Arial" w:cs="Arial" w:eastAsia="Arial" w:hAnsi="Arial"/>
          <w:sz w:val="19"/>
          <w:szCs w:val="19"/>
          <w:color w:val="auto"/>
        </w:rPr>
        <w:t>;</w:t>
      </w:r>
    </w:p>
    <w:p>
      <w:pPr>
        <w:spacing w:after="0" w:line="157" w:lineRule="exact"/>
        <w:rPr>
          <w:sz w:val="20"/>
          <w:szCs w:val="20"/>
          <w:color w:val="auto"/>
        </w:rPr>
      </w:pPr>
    </w:p>
    <w:p>
      <w:pPr>
        <w:jc w:val="both"/>
        <w:ind w:firstLine="634"/>
        <w:spacing w:after="0" w:line="252" w:lineRule="auto"/>
        <w:tabs>
          <w:tab w:leader="none" w:pos="1247" w:val="left"/>
        </w:tabs>
        <w:numPr>
          <w:ilvl w:val="0"/>
          <w:numId w:val="240"/>
        </w:numPr>
        <w:rPr>
          <w:rFonts w:ascii="Arial" w:cs="Arial" w:eastAsia="Arial" w:hAnsi="Arial"/>
          <w:sz w:val="19"/>
          <w:szCs w:val="19"/>
          <w:color w:val="auto"/>
        </w:rPr>
      </w:pPr>
      <w:r>
        <w:rPr>
          <w:rFonts w:ascii="Arial" w:cs="Arial" w:eastAsia="Arial" w:hAnsi="Arial"/>
          <w:sz w:val="19"/>
          <w:szCs w:val="19"/>
          <w:color w:val="auto"/>
        </w:rPr>
        <w:t xml:space="preserve">current copies of the Organizational Documents of each such Domestic Subsidiary, together with minutes of duly called and conducted meetings (or duly effected consent actions) of the Board of Directors, partners, or appropriate committees thereof (and, if required by such Organizational Documents or applicable law, of the shareholders, members or partners) of such Person authorizing the actions and the execution and delivery of documents described in this </w:t>
      </w:r>
      <w:r>
        <w:rPr>
          <w:rFonts w:ascii="Arial" w:cs="Arial" w:eastAsia="Arial" w:hAnsi="Arial"/>
          <w:sz w:val="19"/>
          <w:szCs w:val="19"/>
          <w:u w:val="single" w:color="auto"/>
          <w:color w:val="auto"/>
        </w:rPr>
        <w:t>Section 7.12</w:t>
      </w:r>
      <w:r>
        <w:rPr>
          <w:rFonts w:ascii="Arial" w:cs="Arial" w:eastAsia="Arial" w:hAnsi="Arial"/>
          <w:sz w:val="19"/>
          <w:szCs w:val="19"/>
          <w:color w:val="auto"/>
        </w:rPr>
        <w:t>, all certified by the applicable Governmental Authority or appropriate officer as the Administrative Agent may elect; and</w:t>
      </w:r>
    </w:p>
    <w:p>
      <w:pPr>
        <w:spacing w:after="0" w:line="177" w:lineRule="exact"/>
        <w:rPr>
          <w:rFonts w:ascii="Arial" w:cs="Arial" w:eastAsia="Arial" w:hAnsi="Arial"/>
          <w:sz w:val="19"/>
          <w:szCs w:val="19"/>
          <w:color w:val="auto"/>
        </w:rPr>
      </w:pPr>
    </w:p>
    <w:p>
      <w:pPr>
        <w:jc w:val="both"/>
        <w:ind w:firstLine="634"/>
        <w:spacing w:after="0" w:line="250" w:lineRule="auto"/>
        <w:tabs>
          <w:tab w:leader="none" w:pos="1249" w:val="left"/>
        </w:tabs>
        <w:numPr>
          <w:ilvl w:val="0"/>
          <w:numId w:val="240"/>
        </w:numPr>
        <w:rPr>
          <w:rFonts w:ascii="Arial" w:cs="Arial" w:eastAsia="Arial" w:hAnsi="Arial"/>
          <w:sz w:val="19"/>
          <w:szCs w:val="19"/>
          <w:color w:val="auto"/>
        </w:rPr>
      </w:pPr>
      <w:r>
        <w:rPr>
          <w:rFonts w:ascii="Arial" w:cs="Arial" w:eastAsia="Arial" w:hAnsi="Arial"/>
          <w:sz w:val="19"/>
          <w:szCs w:val="19"/>
          <w:color w:val="auto"/>
        </w:rPr>
        <w:t>with respect to any Subsidiary to become a Borrower hereunder, within three (3) Business Days prior to becoming a Borrower (which shall require the consent of the Administrative Agent), all information and documentation reasonably requested by (and results satisfactory to) Administrative Agent and each Lender for purposes of compliance with applicable “know your customer” requirements under the PATRIOT Act, the Beneficial Ownership Regulation or other applicable anti-money laundering laws to the extent such information is requested by the Administrative Agent or the Lenders reasonably promptly after written notice to the Administrative Agent of the proposed joinder of a Borrower.</w:t>
      </w:r>
    </w:p>
    <w:p>
      <w:pPr>
        <w:spacing w:after="0" w:line="176"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9"/>
          <w:szCs w:val="19"/>
          <w:b w:val="1"/>
          <w:bCs w:val="1"/>
          <w:color w:val="auto"/>
        </w:rPr>
        <w:t>7.13</w:t>
      </w:r>
      <w:r>
        <w:rPr>
          <w:sz w:val="20"/>
          <w:szCs w:val="20"/>
          <w:color w:val="auto"/>
        </w:rPr>
        <w:tab/>
      </w:r>
      <w:r>
        <w:rPr>
          <w:rFonts w:ascii="Arial" w:cs="Arial" w:eastAsia="Arial" w:hAnsi="Arial"/>
          <w:sz w:val="17"/>
          <w:szCs w:val="17"/>
          <w:b w:val="1"/>
          <w:bCs w:val="1"/>
          <w:color w:val="auto"/>
        </w:rPr>
        <w:t>Compliance with ERISA and PBA</w:t>
      </w:r>
      <w:r>
        <w:rPr>
          <w:rFonts w:ascii="Arial" w:cs="Arial" w:eastAsia="Arial" w:hAnsi="Arial"/>
          <w:sz w:val="17"/>
          <w:szCs w:val="17"/>
          <w:color w:val="auto"/>
        </w:rPr>
        <w:t>.</w:t>
      </w:r>
    </w:p>
    <w:p>
      <w:pPr>
        <w:spacing w:after="0" w:line="220" w:lineRule="exact"/>
        <w:rPr>
          <w:sz w:val="20"/>
          <w:szCs w:val="20"/>
          <w:color w:val="auto"/>
        </w:rPr>
      </w:pPr>
    </w:p>
    <w:p>
      <w:pPr>
        <w:jc w:val="both"/>
        <w:ind w:firstLine="634"/>
        <w:spacing w:after="0" w:line="247" w:lineRule="auto"/>
        <w:tabs>
          <w:tab w:leader="none" w:pos="1249" w:val="left"/>
        </w:tabs>
        <w:numPr>
          <w:ilvl w:val="0"/>
          <w:numId w:val="241"/>
        </w:numPr>
        <w:rPr>
          <w:rFonts w:ascii="Arial" w:cs="Arial" w:eastAsia="Arial" w:hAnsi="Arial"/>
          <w:sz w:val="19"/>
          <w:szCs w:val="19"/>
          <w:color w:val="auto"/>
        </w:rPr>
      </w:pPr>
      <w:r>
        <w:rPr>
          <w:rFonts w:ascii="Arial" w:cs="Arial" w:eastAsia="Arial" w:hAnsi="Arial"/>
          <w:sz w:val="19"/>
          <w:szCs w:val="19"/>
          <w:color w:val="auto"/>
        </w:rPr>
        <w:t>Do, and cause each of its ERISA Affiliates to do, each of the following: (a) maintain each Plan in compliance in all material respects with the applicable provisions of ERISA, the Code and other applicable Laws, including Foreign Benefit Laws; (b) cause each Plan which is qualified under Section 401(a) of the Code to maintain such qualification; (c) cause each Plan subject to any Foreign Benefit Law to maintain any required approvals by any Governmental Authority regulating such Plan, (d) make all required contributions to any Plan subject to the Pension Funding Rules, and (e) make all required contributions and payments to any Foreign Plans. At no time shall the accumulated benefit obligations under any Plan subject to Title IV of ERISA that is not a Multiemployer Plan exceed the Fair Market Value of the assets of such Plan allocable to such benefits by more than $500,000. The Loan Parties and each of their respective Subsidiaries shall not withdraw, and shall cause each ERISA Affiliate not to withdraw, in whole or in part, from any Multiemployer Plan so as to give rise to withdrawal liability exceeding $500,000 in the aggregate. At no time shall the actuarial present value of unfunded liabilities for post-employment health care benefits, whether or not provided under a Plan, calculated in a manner consistent with Statement No. 106 of the Financial Accounting Standards Board, exceed $500,000.</w:t>
      </w:r>
    </w:p>
    <w:p>
      <w:pPr>
        <w:spacing w:after="0" w:line="188" w:lineRule="exact"/>
        <w:rPr>
          <w:rFonts w:ascii="Arial" w:cs="Arial" w:eastAsia="Arial" w:hAnsi="Arial"/>
          <w:sz w:val="19"/>
          <w:szCs w:val="19"/>
          <w:color w:val="auto"/>
        </w:rPr>
      </w:pPr>
    </w:p>
    <w:p>
      <w:pPr>
        <w:jc w:val="both"/>
        <w:ind w:firstLine="634"/>
        <w:spacing w:after="0" w:line="264" w:lineRule="auto"/>
        <w:tabs>
          <w:tab w:leader="none" w:pos="1247" w:val="left"/>
        </w:tabs>
        <w:numPr>
          <w:ilvl w:val="0"/>
          <w:numId w:val="241"/>
        </w:numPr>
        <w:rPr>
          <w:rFonts w:ascii="Arial" w:cs="Arial" w:eastAsia="Arial" w:hAnsi="Arial"/>
          <w:sz w:val="18"/>
          <w:szCs w:val="18"/>
          <w:color w:val="auto"/>
        </w:rPr>
      </w:pPr>
      <w:r>
        <w:rPr>
          <w:rFonts w:ascii="Arial" w:cs="Arial" w:eastAsia="Arial" w:hAnsi="Arial"/>
          <w:sz w:val="18"/>
          <w:szCs w:val="18"/>
          <w:color w:val="auto"/>
        </w:rPr>
        <w:t>Do, and cause each Affiliate thereof to do, each of the following (i) maintain each Canadian Pension Plan in compliance in all material respects with the applicable provisions of the PBA, the Tax Act, and other applicable Laws; (ii) cause each Canadian Pension Plan that is registered under the PBA and the Tax Act to maintain such registration; (iii) take no steps to terminate and/or wind-up any Canadian Pension Plan (wholly or in part) which could result in a Loan Party or any Affiliate being required to make a material additional contribution to any Canadian Pension Plan; and (iv) make all required contributions to any Canadian Pension Plan subject to the PBA. At no time shall the accumulated benefit obligations under any Canadian Defined Benefit Pension Plan exceed the Fair Market Value of the assets of such plan allocable to such benefits by more than the Dollar Equivalent of $500,000. The Loan Parties and each of their respective Subsidiaries shall not withdraw, and shall cause each Affiliate thereof not to withdraw in whole or in part, from any Canadian Multi-Employer Pension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136</w:t>
      </w:r>
    </w:p>
    <w:p>
      <w:pPr>
        <w:sectPr>
          <w:pgSz w:w="11900" w:h="16838" w:orient="portrait"/>
          <w:cols w:equalWidth="0" w:num="1">
            <w:col w:w="11240"/>
          </w:cols>
          <w:pgMar w:left="320" w:top="1382" w:right="339" w:bottom="1440" w:gutter="0" w:footer="0" w:header="0"/>
        </w:sectPr>
      </w:pPr>
    </w:p>
    <w:bookmarkStart w:id="255" w:name="page256"/>
    <w:bookmarkEnd w:id="255"/>
    <w:p>
      <w:pPr>
        <w:jc w:val="both"/>
        <w:spacing w:after="0" w:line="254" w:lineRule="auto"/>
        <w:rPr>
          <w:sz w:val="20"/>
          <w:szCs w:val="20"/>
          <w:color w:val="auto"/>
        </w:rPr>
      </w:pPr>
      <w:r>
        <w:rPr>
          <w:rFonts w:ascii="Arial" w:cs="Arial" w:eastAsia="Arial" w:hAnsi="Arial"/>
          <w:sz w:val="19"/>
          <w:szCs w:val="19"/>
          <w:color w:val="auto"/>
        </w:rPr>
        <w:t>Plan so as to give rise to withdrawal liability exceeding the Dollar Equivalent of $500,000 in the aggregate. Notwithstanding the foregoing, a complete withdrawal (within the meaning of Section 4203 of ERISA) shall not occur for any Loan Party or ERISA Affiliate that has an obligation to contribute under a Multiemployer Plan for work performed in the building and construction industry, unless the requirements of Section 4203(b) of ERISA are met.</w:t>
      </w:r>
    </w:p>
    <w:p>
      <w:pPr>
        <w:spacing w:after="0" w:line="171" w:lineRule="exact"/>
        <w:rPr>
          <w:sz w:val="20"/>
          <w:szCs w:val="20"/>
          <w:color w:val="auto"/>
        </w:rPr>
      </w:pPr>
    </w:p>
    <w:p>
      <w:pPr>
        <w:jc w:val="both"/>
        <w:ind w:firstLine="629"/>
        <w:spacing w:after="0" w:line="283" w:lineRule="auto"/>
        <w:rPr>
          <w:sz w:val="20"/>
          <w:szCs w:val="20"/>
          <w:color w:val="auto"/>
        </w:rPr>
      </w:pPr>
      <w:r>
        <w:rPr>
          <w:rFonts w:ascii="Arial" w:cs="Arial" w:eastAsia="Arial" w:hAnsi="Arial"/>
          <w:sz w:val="17"/>
          <w:szCs w:val="17"/>
          <w:b w:val="1"/>
          <w:bCs w:val="1"/>
          <w:color w:val="auto"/>
        </w:rPr>
        <w:t>7.14 Further Assurances</w:t>
      </w:r>
      <w:r>
        <w:rPr>
          <w:rFonts w:ascii="Arial" w:cs="Arial" w:eastAsia="Arial" w:hAnsi="Arial"/>
          <w:sz w:val="17"/>
          <w:szCs w:val="17"/>
          <w:color w:val="auto"/>
        </w:rPr>
        <w:t>. At the Borrowers’ cost and expense, upon request of the Administrative Agent, (i) use commercially</w:t>
      </w:r>
      <w:r>
        <w:rPr>
          <w:rFonts w:ascii="Arial" w:cs="Arial" w:eastAsia="Arial" w:hAnsi="Arial"/>
          <w:sz w:val="17"/>
          <w:szCs w:val="17"/>
          <w:b w:val="1"/>
          <w:bCs w:val="1"/>
          <w:color w:val="auto"/>
        </w:rPr>
        <w:t xml:space="preserve"> </w:t>
      </w:r>
      <w:r>
        <w:rPr>
          <w:rFonts w:ascii="Arial" w:cs="Arial" w:eastAsia="Arial" w:hAnsi="Arial"/>
          <w:sz w:val="17"/>
          <w:szCs w:val="17"/>
          <w:color w:val="auto"/>
        </w:rPr>
        <w:t>reasonable efforts to obtain a satisfactory intercreditor arrangement for the benefit of the Administrative Agent from each surety a counterparty to any Bonding Obligation, and (ii) duly execute and deliver or cause to be duly executed and delivered, to the Administrative Agent such further information, instruments, documents, certificates, financing and continuation statements and financing change statements, and do and cause to be done such further acts that may be reasonably necessary or advisable in the reasonable opinion of the Administrative Agent to carry out more effectively the provisions and purposes of this Agreement, the Security Instruments and the other Loan Document, including, to create, continue or preserve the liens and security interests in Collateral (and the perfection and priority thereof) of the Administrative Agent contemplated hereby and by the other Loan Documents and specifically including all Collateral acquired by the Borrowers after the Closing Date.</w:t>
      </w:r>
    </w:p>
    <w:p>
      <w:pPr>
        <w:spacing w:after="0" w:line="149" w:lineRule="exact"/>
        <w:rPr>
          <w:sz w:val="20"/>
          <w:szCs w:val="20"/>
          <w:color w:val="auto"/>
        </w:rPr>
      </w:pPr>
    </w:p>
    <w:p>
      <w:pPr>
        <w:jc w:val="both"/>
        <w:ind w:firstLine="629"/>
        <w:spacing w:after="0" w:line="278" w:lineRule="auto"/>
        <w:rPr>
          <w:sz w:val="20"/>
          <w:szCs w:val="20"/>
          <w:color w:val="auto"/>
        </w:rPr>
      </w:pPr>
      <w:r>
        <w:rPr>
          <w:rFonts w:ascii="Arial" w:cs="Arial" w:eastAsia="Arial" w:hAnsi="Arial"/>
          <w:sz w:val="17"/>
          <w:szCs w:val="17"/>
          <w:b w:val="1"/>
          <w:bCs w:val="1"/>
          <w:color w:val="auto"/>
        </w:rPr>
        <w:t>7.15 Licenses</w:t>
      </w:r>
      <w:r>
        <w:rPr>
          <w:rFonts w:ascii="Arial" w:cs="Arial" w:eastAsia="Arial" w:hAnsi="Arial"/>
          <w:sz w:val="17"/>
          <w:szCs w:val="17"/>
          <w:color w:val="auto"/>
        </w:rPr>
        <w:t>. (a) Keep in full force and effect each License (i) the expiration or termination of which could reasonably be expected</w:t>
      </w:r>
      <w:r>
        <w:rPr>
          <w:rFonts w:ascii="Arial" w:cs="Arial" w:eastAsia="Arial" w:hAnsi="Arial"/>
          <w:sz w:val="17"/>
          <w:szCs w:val="17"/>
          <w:b w:val="1"/>
          <w:bCs w:val="1"/>
          <w:color w:val="auto"/>
        </w:rPr>
        <w:t xml:space="preserve"> </w:t>
      </w:r>
      <w:r>
        <w:rPr>
          <w:rFonts w:ascii="Arial" w:cs="Arial" w:eastAsia="Arial" w:hAnsi="Arial"/>
          <w:sz w:val="17"/>
          <w:szCs w:val="17"/>
          <w:color w:val="auto"/>
        </w:rPr>
        <w:t>to materially adversely affect the realizable value in the use or sale of a material amount of Inventory or (ii) the expiration or termination of which could reasonably be expected to have a Material Adverse Effect (each a “</w:t>
      </w:r>
      <w:r>
        <w:rPr>
          <w:rFonts w:ascii="Arial" w:cs="Arial" w:eastAsia="Arial" w:hAnsi="Arial"/>
          <w:sz w:val="17"/>
          <w:szCs w:val="17"/>
          <w:u w:val="single" w:color="auto"/>
          <w:color w:val="auto"/>
        </w:rPr>
        <w:t>Material License</w:t>
      </w:r>
      <w:r>
        <w:rPr>
          <w:rFonts w:ascii="Arial" w:cs="Arial" w:eastAsia="Arial" w:hAnsi="Arial"/>
          <w:sz w:val="17"/>
          <w:szCs w:val="17"/>
          <w:color w:val="auto"/>
        </w:rPr>
        <w:t>”); (b) promptly notify the Administrative Agent of (i) any material modification to any such Material License that could reasonably be expected to be materially adverse to any Loan Party or the Administrative Agent or any Lender and (ii) entering into any new Material License; (c) pay all Royalties (other than immaterial Royalties or Royalties being Properly Contested) arising under such Material Licenses when due (subject to any cure or grace period applicable thereto); and</w:t>
      </w:r>
    </w:p>
    <w:p>
      <w:pPr>
        <w:spacing w:after="0" w:line="1" w:lineRule="exact"/>
        <w:rPr>
          <w:sz w:val="20"/>
          <w:szCs w:val="20"/>
          <w:color w:val="auto"/>
        </w:rPr>
      </w:pPr>
    </w:p>
    <w:p>
      <w:pPr>
        <w:ind w:firstLine="5"/>
        <w:spacing w:after="0" w:line="256" w:lineRule="auto"/>
        <w:tabs>
          <w:tab w:leader="none" w:pos="277" w:val="left"/>
        </w:tabs>
        <w:numPr>
          <w:ilvl w:val="0"/>
          <w:numId w:val="242"/>
        </w:numPr>
        <w:rPr>
          <w:rFonts w:ascii="Arial" w:cs="Arial" w:eastAsia="Arial" w:hAnsi="Arial"/>
          <w:sz w:val="19"/>
          <w:szCs w:val="19"/>
          <w:color w:val="auto"/>
        </w:rPr>
      </w:pPr>
      <w:r>
        <w:rPr>
          <w:rFonts w:ascii="Arial" w:cs="Arial" w:eastAsia="Arial" w:hAnsi="Arial"/>
          <w:sz w:val="19"/>
          <w:szCs w:val="19"/>
          <w:color w:val="auto"/>
        </w:rPr>
        <w:t>notify the Administrative Agent of any material default or material breach asserted in writing by any Person to have occurred under any such Material License.</w:t>
      </w:r>
    </w:p>
    <w:p>
      <w:pPr>
        <w:spacing w:after="0" w:line="168" w:lineRule="exact"/>
        <w:rPr>
          <w:sz w:val="20"/>
          <w:szCs w:val="20"/>
          <w:color w:val="auto"/>
        </w:rPr>
      </w:pPr>
    </w:p>
    <w:p>
      <w:pPr>
        <w:jc w:val="both"/>
        <w:ind w:firstLine="629"/>
        <w:spacing w:after="0" w:line="263" w:lineRule="auto"/>
        <w:rPr>
          <w:sz w:val="20"/>
          <w:szCs w:val="20"/>
          <w:color w:val="auto"/>
        </w:rPr>
      </w:pPr>
      <w:r>
        <w:rPr>
          <w:rFonts w:ascii="Arial" w:cs="Arial" w:eastAsia="Arial" w:hAnsi="Arial"/>
          <w:sz w:val="18"/>
          <w:szCs w:val="18"/>
          <w:b w:val="1"/>
          <w:bCs w:val="1"/>
          <w:color w:val="auto"/>
        </w:rPr>
        <w:t>7.16 Environmental Laws</w:t>
      </w:r>
      <w:r>
        <w:rPr>
          <w:rFonts w:ascii="Arial" w:cs="Arial" w:eastAsia="Arial" w:hAnsi="Arial"/>
          <w:sz w:val="18"/>
          <w:szCs w:val="18"/>
          <w:color w:val="auto"/>
        </w:rPr>
        <w:t>. Conduct its operations and keep and maintain its Real Property in material compliance with all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Environmental Laws, other than any such non-compliance which would not reasonably be expected to result, individually or in the aggregate, in a Material Adverse Effect; (b) obtain and renew all environmental permits necessary for its operations and properties, other than any environmental permits the failure of which to obtain would not reasonably be expected to result, individually or in the aggregate, in a Material Adverse Effect; and (c) implement any and all investigation, remediation, removal and response actions that are required to comply with Environmental Laws pertaining to the presence, generation, treatment, storage, use, disposal, transportation or release of any Hazardous Materials on, at, in, under or about any of its Real Property other than any such non-compliance which would not reasonably be expected to result, individually or in the aggregate, in a Material Adverse Effect;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neither a Loan Party nor any of its Restricted Subsidiaries shall be required to undertake any such cleanup, removal, remedial or other action to the extent that its obligation to do so is being contested in good faith and by proper proceedings and adequate reserves have been set aside and are being maintained by the Loan Parties with respect to such circumstances in accordance with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137</w:t>
      </w:r>
    </w:p>
    <w:p>
      <w:pPr>
        <w:sectPr>
          <w:pgSz w:w="11900" w:h="16838" w:orient="portrait"/>
          <w:cols w:equalWidth="0" w:num="1">
            <w:col w:w="11240"/>
          </w:cols>
          <w:pgMar w:left="320" w:top="1381" w:right="339" w:bottom="1440" w:gutter="0" w:footer="0" w:header="0"/>
        </w:sectPr>
      </w:pPr>
    </w:p>
    <w:bookmarkStart w:id="256" w:name="page257"/>
    <w:bookmarkEnd w:id="256"/>
    <w:p>
      <w:pPr>
        <w:ind w:left="640"/>
        <w:spacing w:after="0"/>
        <w:tabs>
          <w:tab w:leader="none" w:pos="1240" w:val="left"/>
        </w:tabs>
        <w:rPr>
          <w:sz w:val="20"/>
          <w:szCs w:val="20"/>
          <w:color w:val="auto"/>
        </w:rPr>
      </w:pPr>
      <w:r>
        <w:rPr>
          <w:rFonts w:ascii="Arial" w:cs="Arial" w:eastAsia="Arial" w:hAnsi="Arial"/>
          <w:sz w:val="19"/>
          <w:szCs w:val="19"/>
          <w:b w:val="1"/>
          <w:bCs w:val="1"/>
          <w:color w:val="auto"/>
        </w:rPr>
        <w:t>7.17</w:t>
      </w:r>
      <w:r>
        <w:rPr>
          <w:sz w:val="20"/>
          <w:szCs w:val="20"/>
          <w:color w:val="auto"/>
        </w:rPr>
        <w:tab/>
      </w:r>
      <w:r>
        <w:rPr>
          <w:rFonts w:ascii="Arial" w:cs="Arial" w:eastAsia="Arial" w:hAnsi="Arial"/>
          <w:sz w:val="17"/>
          <w:szCs w:val="17"/>
          <w:b w:val="1"/>
          <w:bCs w:val="1"/>
          <w:color w:val="auto"/>
        </w:rPr>
        <w:t>Leases, Mortgages and Third-Party Agreements</w:t>
      </w:r>
      <w:r>
        <w:rPr>
          <w:rFonts w:ascii="Arial" w:cs="Arial" w:eastAsia="Arial" w:hAnsi="Arial"/>
          <w:sz w:val="17"/>
          <w:szCs w:val="17"/>
          <w:color w:val="auto"/>
        </w:rPr>
        <w:t>.</w:t>
      </w:r>
    </w:p>
    <w:p>
      <w:pPr>
        <w:spacing w:after="0" w:line="220" w:lineRule="exact"/>
        <w:rPr>
          <w:sz w:val="20"/>
          <w:szCs w:val="20"/>
          <w:color w:val="auto"/>
        </w:rPr>
      </w:pPr>
    </w:p>
    <w:p>
      <w:pPr>
        <w:jc w:val="both"/>
        <w:ind w:firstLine="634"/>
        <w:spacing w:after="0" w:line="249" w:lineRule="auto"/>
        <w:tabs>
          <w:tab w:leader="none" w:pos="1249" w:val="left"/>
        </w:tabs>
        <w:numPr>
          <w:ilvl w:val="0"/>
          <w:numId w:val="243"/>
        </w:numPr>
        <w:rPr>
          <w:rFonts w:ascii="Arial" w:cs="Arial" w:eastAsia="Arial" w:hAnsi="Arial"/>
          <w:sz w:val="19"/>
          <w:szCs w:val="19"/>
          <w:color w:val="auto"/>
        </w:rPr>
      </w:pPr>
      <w:r>
        <w:rPr>
          <w:rFonts w:ascii="Arial" w:cs="Arial" w:eastAsia="Arial" w:hAnsi="Arial"/>
          <w:sz w:val="19"/>
          <w:szCs w:val="19"/>
          <w:color w:val="auto"/>
        </w:rPr>
        <w:t>Upon request, provide Administrative Agent with copies of all existing and future agreements (including any mortgage, deed of trust or similar security document) entered into between a Loan Party and any landlord, warehouseman, processor, shipper, bailee or other Person that owns, or has a mortgage or similar lien on, any premises (excluding any job site, laydown yard, or other temporary storage or staging area related to project) at which any Collateral with an aggregate Dollar Equivalent value of $250,000 or greater may be kept or that otherwise may possess any Collateral with an aggregate Dollar Equivalent value of $1,000,000 or greater (each a “</w:t>
      </w:r>
      <w:r>
        <w:rPr>
          <w:rFonts w:ascii="Arial" w:cs="Arial" w:eastAsia="Arial" w:hAnsi="Arial"/>
          <w:sz w:val="19"/>
          <w:szCs w:val="19"/>
          <w:u w:val="single" w:color="auto"/>
          <w:color w:val="auto"/>
        </w:rPr>
        <w:t>Material Third-Party Agreement</w:t>
      </w:r>
      <w:r>
        <w:rPr>
          <w:rFonts w:ascii="Arial" w:cs="Arial" w:eastAsia="Arial" w:hAnsi="Arial"/>
          <w:sz w:val="19"/>
          <w:szCs w:val="19"/>
          <w:color w:val="auto"/>
        </w:rPr>
        <w:t>”) and use commercially reasonable efforts to obtain a Lien Waiver with respect to any such agreement that hereafter becomes a Material Third-Party Agreement.</w:t>
      </w:r>
    </w:p>
    <w:p>
      <w:pPr>
        <w:spacing w:after="0" w:line="183" w:lineRule="exact"/>
        <w:rPr>
          <w:rFonts w:ascii="Arial" w:cs="Arial" w:eastAsia="Arial" w:hAnsi="Arial"/>
          <w:sz w:val="19"/>
          <w:szCs w:val="19"/>
          <w:color w:val="auto"/>
        </w:rPr>
      </w:pPr>
    </w:p>
    <w:p>
      <w:pPr>
        <w:jc w:val="both"/>
        <w:ind w:firstLine="634"/>
        <w:spacing w:after="0" w:line="264" w:lineRule="auto"/>
        <w:tabs>
          <w:tab w:leader="none" w:pos="1247" w:val="left"/>
        </w:tabs>
        <w:numPr>
          <w:ilvl w:val="0"/>
          <w:numId w:val="243"/>
        </w:numPr>
        <w:rPr>
          <w:rFonts w:ascii="Arial" w:cs="Arial" w:eastAsia="Arial" w:hAnsi="Arial"/>
          <w:sz w:val="18"/>
          <w:szCs w:val="18"/>
          <w:color w:val="auto"/>
        </w:rPr>
      </w:pPr>
      <w:r>
        <w:rPr>
          <w:rFonts w:ascii="Arial" w:cs="Arial" w:eastAsia="Arial" w:hAnsi="Arial"/>
          <w:sz w:val="18"/>
          <w:szCs w:val="18"/>
          <w:color w:val="auto"/>
        </w:rPr>
        <w:t xml:space="preserve">Except as otherwise expressly permitted hereunder, (i) make all payments and otherwise perform all obligations in respect of all leases constituting Material Third Party Agreements and not allow such leases to lapse or be terminated (or any rights to renew such leases to be forfeited or cancelled), (ii) notify the Administrative Agent of any default by the applicable Loan Party or Restricted Subsidiary with respect to such leases and (iii) promptly cure any such default by the applicable Loan Party or Restricted Subsidiary. If any such default is not so cured, each Loan Party hereby authorizes the Administrative Agent (as its non-fiduciary agent and on its behalf) to, if elected by the Administrative Agent in its sole discretion, make such payments and/or take such other actions as the Administrative Agent may elect in order to cure any such default (whether or not an Event of Default under this Agreement exists at such time). Any payment made pursuant to this </w:t>
      </w:r>
      <w:r>
        <w:rPr>
          <w:rFonts w:ascii="Arial" w:cs="Arial" w:eastAsia="Arial" w:hAnsi="Arial"/>
          <w:sz w:val="18"/>
          <w:szCs w:val="18"/>
          <w:u w:val="single" w:color="auto"/>
          <w:color w:val="auto"/>
        </w:rPr>
        <w:t>Section 7.17(b)</w:t>
      </w:r>
      <w:r>
        <w:rPr>
          <w:rFonts w:ascii="Arial" w:cs="Arial" w:eastAsia="Arial" w:hAnsi="Arial"/>
          <w:sz w:val="18"/>
          <w:szCs w:val="18"/>
          <w:color w:val="auto"/>
        </w:rPr>
        <w:t xml:space="preserve"> shall be deemed a Protective Advance hereunder. Each Loan Party agrees that the Administrative Agent shall have no obligation to exercise any right to cure hereunder, whether or not such right is exercised on any one or more occasions.</w:t>
      </w:r>
    </w:p>
    <w:p>
      <w:pPr>
        <w:spacing w:after="0" w:line="161" w:lineRule="exact"/>
        <w:rPr>
          <w:sz w:val="20"/>
          <w:szCs w:val="20"/>
          <w:color w:val="auto"/>
        </w:rPr>
      </w:pPr>
    </w:p>
    <w:p>
      <w:pPr>
        <w:jc w:val="both"/>
        <w:ind w:firstLine="629"/>
        <w:spacing w:after="0" w:line="250" w:lineRule="auto"/>
        <w:rPr>
          <w:sz w:val="20"/>
          <w:szCs w:val="20"/>
          <w:color w:val="auto"/>
        </w:rPr>
      </w:pPr>
      <w:r>
        <w:rPr>
          <w:rFonts w:ascii="Arial" w:cs="Arial" w:eastAsia="Arial" w:hAnsi="Arial"/>
          <w:sz w:val="19"/>
          <w:szCs w:val="19"/>
          <w:b w:val="1"/>
          <w:bCs w:val="1"/>
          <w:color w:val="auto"/>
        </w:rPr>
        <w:t>7.18 Material Contracts</w:t>
      </w:r>
      <w:r>
        <w:rPr>
          <w:rFonts w:ascii="Arial" w:cs="Arial" w:eastAsia="Arial" w:hAnsi="Arial"/>
          <w:sz w:val="19"/>
          <w:szCs w:val="19"/>
          <w:color w:val="auto"/>
        </w:rPr>
        <w:t>. Perform and observe all the payment terms and other material terms and provisions of each Material</w:t>
      </w:r>
      <w:r>
        <w:rPr>
          <w:rFonts w:ascii="Arial" w:cs="Arial" w:eastAsia="Arial" w:hAnsi="Arial"/>
          <w:sz w:val="19"/>
          <w:szCs w:val="19"/>
          <w:b w:val="1"/>
          <w:bCs w:val="1"/>
          <w:color w:val="auto"/>
        </w:rPr>
        <w:t xml:space="preserve"> </w:t>
      </w:r>
      <w:r>
        <w:rPr>
          <w:rFonts w:ascii="Arial" w:cs="Arial" w:eastAsia="Arial" w:hAnsi="Arial"/>
          <w:sz w:val="19"/>
          <w:szCs w:val="19"/>
          <w:color w:val="auto"/>
        </w:rPr>
        <w:t>Contract to be performed or observed by it, maintain each such Material Contract in full force and effect, enforce each such Material Contract in accordance with its terms, take all such action to such end as may be from time to time reasonably requested by the Administrative Agent and, upon reasonable request of the Administrative Agent, make to each other party to each such Material Contract such demands and requests for information and reports or for action as any Loan Party or any of its Subsidiaries is entitled to make under such Material Contract, and cause each of its Subsidiaries to do so, except, in any case, where the failure to do any of the foregoing, either individually or in the aggregate, could not reasonably be expected to have a Material Adverse Effect.</w:t>
      </w:r>
    </w:p>
    <w:p>
      <w:pPr>
        <w:spacing w:after="0" w:line="177" w:lineRule="exact"/>
        <w:rPr>
          <w:sz w:val="20"/>
          <w:szCs w:val="20"/>
          <w:color w:val="auto"/>
        </w:rPr>
      </w:pPr>
    </w:p>
    <w:p>
      <w:pPr>
        <w:jc w:val="both"/>
        <w:ind w:firstLine="629"/>
        <w:spacing w:after="0" w:line="275" w:lineRule="auto"/>
        <w:rPr>
          <w:sz w:val="20"/>
          <w:szCs w:val="20"/>
          <w:color w:val="auto"/>
        </w:rPr>
      </w:pPr>
      <w:r>
        <w:rPr>
          <w:rFonts w:ascii="Arial" w:cs="Arial" w:eastAsia="Arial" w:hAnsi="Arial"/>
          <w:sz w:val="18"/>
          <w:szCs w:val="18"/>
          <w:b w:val="1"/>
          <w:bCs w:val="1"/>
          <w:color w:val="auto"/>
        </w:rPr>
        <w:t>7.19 Treasury Management Services</w:t>
      </w:r>
      <w:r>
        <w:rPr>
          <w:rFonts w:ascii="Arial" w:cs="Arial" w:eastAsia="Arial" w:hAnsi="Arial"/>
          <w:sz w:val="18"/>
          <w:szCs w:val="18"/>
          <w:color w:val="auto"/>
        </w:rPr>
        <w:t>. Commencing with the date which is one hundred twenty (120) days after the Closing Date,</w:t>
      </w:r>
      <w:r>
        <w:rPr>
          <w:rFonts w:ascii="Arial" w:cs="Arial" w:eastAsia="Arial" w:hAnsi="Arial"/>
          <w:sz w:val="18"/>
          <w:szCs w:val="18"/>
          <w:b w:val="1"/>
          <w:bCs w:val="1"/>
          <w:color w:val="auto"/>
        </w:rPr>
        <w:t xml:space="preserve"> </w:t>
      </w:r>
      <w:r>
        <w:rPr>
          <w:rFonts w:ascii="Arial" w:cs="Arial" w:eastAsia="Arial" w:hAnsi="Arial"/>
          <w:sz w:val="18"/>
          <w:szCs w:val="18"/>
          <w:color w:val="auto"/>
        </w:rPr>
        <w:t>each Loan Party shall maintain its primary lockbox deposit accounts exclusively with Bank of Montreal or its Affiliates and shall utilize Bank of Montreal and such Affiliates for all of its deposit accounts, disbursement accounts, Security Accounts and other Treasury Management and Other Services, with the exception of the Excluded Deposit Accounts and the Equity Repurchase Program Securities Account.</w:t>
      </w:r>
    </w:p>
    <w:p>
      <w:pPr>
        <w:spacing w:after="0" w:line="153" w:lineRule="exact"/>
        <w:rPr>
          <w:sz w:val="20"/>
          <w:szCs w:val="20"/>
          <w:color w:val="auto"/>
        </w:rPr>
      </w:pPr>
    </w:p>
    <w:p>
      <w:pPr>
        <w:jc w:val="both"/>
        <w:ind w:firstLine="629"/>
        <w:spacing w:after="0" w:line="253" w:lineRule="auto"/>
        <w:rPr>
          <w:sz w:val="20"/>
          <w:szCs w:val="20"/>
          <w:color w:val="auto"/>
        </w:rPr>
      </w:pPr>
      <w:r>
        <w:rPr>
          <w:rFonts w:ascii="Arial" w:cs="Arial" w:eastAsia="Arial" w:hAnsi="Arial"/>
          <w:sz w:val="19"/>
          <w:szCs w:val="19"/>
          <w:b w:val="1"/>
          <w:bCs w:val="1"/>
          <w:color w:val="auto"/>
        </w:rPr>
        <w:t xml:space="preserve">7.20 No Cash Hoarding. </w:t>
      </w:r>
      <w:r>
        <w:rPr>
          <w:rFonts w:ascii="Arial" w:cs="Arial" w:eastAsia="Arial" w:hAnsi="Arial"/>
          <w:sz w:val="19"/>
          <w:szCs w:val="19"/>
          <w:color w:val="auto"/>
        </w:rPr>
        <w:t>If, at the end of any Business Day or unless otherwise agreed by the Administrative Agent in writing at its</w:t>
      </w:r>
      <w:r>
        <w:rPr>
          <w:rFonts w:ascii="Arial" w:cs="Arial" w:eastAsia="Arial" w:hAnsi="Arial"/>
          <w:sz w:val="19"/>
          <w:szCs w:val="19"/>
          <w:b w:val="1"/>
          <w:bCs w:val="1"/>
          <w:color w:val="auto"/>
        </w:rPr>
        <w:t xml:space="preserve"> </w:t>
      </w:r>
      <w:r>
        <w:rPr>
          <w:rFonts w:ascii="Arial" w:cs="Arial" w:eastAsia="Arial" w:hAnsi="Arial"/>
          <w:sz w:val="19"/>
          <w:szCs w:val="19"/>
          <w:color w:val="auto"/>
        </w:rPr>
        <w:t>sole option, Total Revolving Credit Outstandings are greater than zero and the Consolidated Cash Balance exceeds the greater of (a) the Dollar Equivalent of $25,000,000 (or if a Dominion Trigger Period is not then in effect, $70,000,000) and (b) 17.5% of the Borrowing Base in effect on such Business Day, then the Borrowers shall, no later than the next Business Day, (i) prepay Revolving Credit Borrowings (without any corresponding commitment reduction)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138</w:t>
      </w:r>
    </w:p>
    <w:p>
      <w:pPr>
        <w:sectPr>
          <w:pgSz w:w="11900" w:h="16838" w:orient="portrait"/>
          <w:cols w:equalWidth="0" w:num="1">
            <w:col w:w="11240"/>
          </w:cols>
          <w:pgMar w:left="320" w:top="1376" w:right="339" w:bottom="1440" w:gutter="0" w:footer="0" w:header="0"/>
        </w:sectPr>
      </w:pPr>
    </w:p>
    <w:bookmarkStart w:id="257" w:name="page258"/>
    <w:bookmarkEnd w:id="257"/>
    <w:p>
      <w:pPr>
        <w:jc w:val="both"/>
        <w:spacing w:after="0" w:line="273" w:lineRule="auto"/>
        <w:rPr>
          <w:sz w:val="20"/>
          <w:szCs w:val="20"/>
          <w:color w:val="auto"/>
        </w:rPr>
      </w:pPr>
      <w:r>
        <w:rPr>
          <w:rFonts w:ascii="Arial" w:cs="Arial" w:eastAsia="Arial" w:hAnsi="Arial"/>
          <w:sz w:val="18"/>
          <w:szCs w:val="18"/>
          <w:color w:val="auto"/>
        </w:rPr>
        <w:t>outstanding on such Business Day in an aggregate principal amount equal to the lesser of (A) such excess Consolidated Cash Balance and (B) the amount of Revolving Credit Borrowings then outstanding and (ii) if an Event of Default then exists and Total Revolving Credit Outstandings remain after prepaying all Revolving Credit Borrowings because of Letter of Credit Obligations, Cash Collateralize such Letter of Credit Obligations to the extent any such excess remains after giving effect to the prepayment of all Revolving Credit Borrowings.</w:t>
      </w:r>
    </w:p>
    <w:p>
      <w:pPr>
        <w:spacing w:after="0" w:line="180" w:lineRule="exact"/>
        <w:rPr>
          <w:sz w:val="20"/>
          <w:szCs w:val="20"/>
          <w:color w:val="auto"/>
        </w:rPr>
      </w:pPr>
    </w:p>
    <w:p>
      <w:pPr>
        <w:jc w:val="both"/>
        <w:ind w:firstLine="629"/>
        <w:spacing w:after="0" w:line="280" w:lineRule="auto"/>
        <w:rPr>
          <w:sz w:val="20"/>
          <w:szCs w:val="20"/>
          <w:color w:val="auto"/>
        </w:rPr>
      </w:pPr>
      <w:r>
        <w:rPr>
          <w:rFonts w:ascii="Arial" w:cs="Arial" w:eastAsia="Arial" w:hAnsi="Arial"/>
          <w:sz w:val="19"/>
          <w:szCs w:val="19"/>
          <w:b w:val="1"/>
          <w:bCs w:val="1"/>
          <w:color w:val="auto"/>
        </w:rPr>
        <w:t>7.21 Post-Closing Obligations</w:t>
      </w:r>
      <w:r>
        <w:rPr>
          <w:rFonts w:ascii="Arial" w:cs="Arial" w:eastAsia="Arial" w:hAnsi="Arial"/>
          <w:sz w:val="19"/>
          <w:szCs w:val="19"/>
          <w:color w:val="auto"/>
        </w:rPr>
        <w:t>. Each Loan Party will satisfy the requirements set forth on</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Schedule 7.21</w:t>
      </w:r>
      <w:r>
        <w:rPr>
          <w:rFonts w:ascii="Arial" w:cs="Arial" w:eastAsia="Arial" w:hAnsi="Arial"/>
          <w:sz w:val="19"/>
          <w:szCs w:val="19"/>
          <w:b w:val="1"/>
          <w:bCs w:val="1"/>
          <w:color w:val="auto"/>
        </w:rPr>
        <w:t xml:space="preserve"> </w:t>
      </w:r>
      <w:r>
        <w:rPr>
          <w:rFonts w:ascii="Arial" w:cs="Arial" w:eastAsia="Arial" w:hAnsi="Arial"/>
          <w:sz w:val="19"/>
          <w:szCs w:val="19"/>
          <w:color w:val="auto"/>
        </w:rPr>
        <w:t>on or before the date</w:t>
      </w:r>
      <w:r>
        <w:rPr>
          <w:rFonts w:ascii="Arial" w:cs="Arial" w:eastAsia="Arial" w:hAnsi="Arial"/>
          <w:sz w:val="19"/>
          <w:szCs w:val="19"/>
          <w:b w:val="1"/>
          <w:bCs w:val="1"/>
          <w:color w:val="auto"/>
        </w:rPr>
        <w:t xml:space="preserve"> </w:t>
      </w:r>
      <w:r>
        <w:rPr>
          <w:rFonts w:ascii="Arial" w:cs="Arial" w:eastAsia="Arial" w:hAnsi="Arial"/>
          <w:sz w:val="19"/>
          <w:szCs w:val="19"/>
          <w:color w:val="auto"/>
        </w:rPr>
        <w:t>specified for such requirement (or such later date to be determined by the Administrative Agent at its sole option).</w:t>
      </w:r>
    </w:p>
    <w:p>
      <w:pPr>
        <w:spacing w:after="0" w:line="146" w:lineRule="exact"/>
        <w:rPr>
          <w:sz w:val="20"/>
          <w:szCs w:val="20"/>
          <w:color w:val="auto"/>
        </w:rPr>
      </w:pPr>
    </w:p>
    <w:p>
      <w:pPr>
        <w:ind w:left="4680"/>
        <w:spacing w:after="0"/>
        <w:rPr>
          <w:sz w:val="20"/>
          <w:szCs w:val="20"/>
          <w:color w:val="auto"/>
        </w:rPr>
      </w:pPr>
      <w:r>
        <w:rPr>
          <w:rFonts w:ascii="Arial" w:cs="Arial" w:eastAsia="Arial" w:hAnsi="Arial"/>
          <w:sz w:val="19"/>
          <w:szCs w:val="19"/>
          <w:b w:val="1"/>
          <w:bCs w:val="1"/>
          <w:color w:val="auto"/>
        </w:rPr>
        <w:t>ARTICLE VIII</w:t>
      </w:r>
    </w:p>
    <w:p>
      <w:pPr>
        <w:spacing w:after="0" w:line="26" w:lineRule="exact"/>
        <w:rPr>
          <w:sz w:val="20"/>
          <w:szCs w:val="20"/>
          <w:color w:val="auto"/>
        </w:rPr>
      </w:pPr>
    </w:p>
    <w:p>
      <w:pPr>
        <w:ind w:left="4500"/>
        <w:spacing w:after="0"/>
        <w:rPr>
          <w:sz w:val="20"/>
          <w:szCs w:val="20"/>
          <w:color w:val="auto"/>
        </w:rPr>
      </w:pPr>
      <w:r>
        <w:rPr>
          <w:rFonts w:ascii="Arial" w:cs="Arial" w:eastAsia="Arial" w:hAnsi="Arial"/>
          <w:sz w:val="19"/>
          <w:szCs w:val="19"/>
          <w:b w:val="1"/>
          <w:bCs w:val="1"/>
          <w:color w:val="auto"/>
        </w:rPr>
        <w:t>NEGATIVE COVENANTS</w:t>
      </w:r>
    </w:p>
    <w:p>
      <w:pPr>
        <w:spacing w:after="0" w:line="198" w:lineRule="exact"/>
        <w:rPr>
          <w:sz w:val="20"/>
          <w:szCs w:val="20"/>
          <w:color w:val="auto"/>
        </w:rPr>
      </w:pPr>
    </w:p>
    <w:p>
      <w:pPr>
        <w:jc w:val="both"/>
        <w:ind w:firstLine="629"/>
        <w:spacing w:after="0" w:line="274" w:lineRule="auto"/>
        <w:rPr>
          <w:sz w:val="20"/>
          <w:szCs w:val="20"/>
          <w:color w:val="auto"/>
        </w:rPr>
      </w:pPr>
      <w:r>
        <w:rPr>
          <w:rFonts w:ascii="Arial" w:cs="Arial" w:eastAsia="Arial" w:hAnsi="Arial"/>
          <w:sz w:val="19"/>
          <w:szCs w:val="19"/>
          <w:color w:val="auto"/>
        </w:rPr>
        <w:t>So long as any Lender shall have any Revolving Credit Commitment hereunder or any Loan Obligation hereunder shall remain unpaid or unsatisfied, no Loan Party shall, nor shall it permit any Restricted Subsidiary to, directly or indirectly:</w:t>
      </w:r>
    </w:p>
    <w:p>
      <w:pPr>
        <w:spacing w:after="0" w:line="151"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9"/>
          <w:szCs w:val="19"/>
          <w:b w:val="1"/>
          <w:bCs w:val="1"/>
          <w:color w:val="auto"/>
        </w:rPr>
        <w:t>8.1</w:t>
      </w:r>
      <w:r>
        <w:rPr>
          <w:sz w:val="20"/>
          <w:szCs w:val="20"/>
          <w:color w:val="auto"/>
        </w:rPr>
        <w:tab/>
      </w:r>
      <w:r>
        <w:rPr>
          <w:rFonts w:ascii="Arial" w:cs="Arial" w:eastAsia="Arial" w:hAnsi="Arial"/>
          <w:sz w:val="17"/>
          <w:szCs w:val="17"/>
          <w:b w:val="1"/>
          <w:bCs w:val="1"/>
          <w:color w:val="auto"/>
        </w:rPr>
        <w:t>Indebtedness</w:t>
      </w:r>
      <w:r>
        <w:rPr>
          <w:rFonts w:ascii="Arial" w:cs="Arial" w:eastAsia="Arial" w:hAnsi="Arial"/>
          <w:sz w:val="17"/>
          <w:szCs w:val="17"/>
          <w:color w:val="auto"/>
        </w:rPr>
        <w:t>. Create, incur, assume or suffer to exist any Indebtedness or issue any Disqualified Equity Interest, except:</w:t>
      </w:r>
    </w:p>
    <w:p>
      <w:pPr>
        <w:spacing w:after="0" w:line="220" w:lineRule="exact"/>
        <w:rPr>
          <w:sz w:val="20"/>
          <w:szCs w:val="20"/>
          <w:color w:val="auto"/>
        </w:rPr>
      </w:pPr>
    </w:p>
    <w:p>
      <w:pPr>
        <w:ind w:left="1260" w:hanging="626"/>
        <w:spacing w:after="0"/>
        <w:tabs>
          <w:tab w:leader="none" w:pos="1260" w:val="left"/>
        </w:tabs>
        <w:numPr>
          <w:ilvl w:val="0"/>
          <w:numId w:val="244"/>
        </w:numPr>
        <w:rPr>
          <w:rFonts w:ascii="Arial" w:cs="Arial" w:eastAsia="Arial" w:hAnsi="Arial"/>
          <w:sz w:val="19"/>
          <w:szCs w:val="19"/>
          <w:color w:val="auto"/>
        </w:rPr>
      </w:pPr>
      <w:r>
        <w:rPr>
          <w:rFonts w:ascii="Arial" w:cs="Arial" w:eastAsia="Arial" w:hAnsi="Arial"/>
          <w:sz w:val="19"/>
          <w:szCs w:val="19"/>
          <w:color w:val="auto"/>
        </w:rPr>
        <w:t>Indebtedness under the Loan Documents;</w:t>
      </w:r>
    </w:p>
    <w:p>
      <w:pPr>
        <w:spacing w:after="0" w:line="214" w:lineRule="exact"/>
        <w:rPr>
          <w:rFonts w:ascii="Arial" w:cs="Arial" w:eastAsia="Arial" w:hAnsi="Arial"/>
          <w:sz w:val="19"/>
          <w:szCs w:val="19"/>
          <w:color w:val="auto"/>
        </w:rPr>
      </w:pPr>
    </w:p>
    <w:p>
      <w:pPr>
        <w:ind w:left="1260" w:hanging="626"/>
        <w:spacing w:after="0"/>
        <w:tabs>
          <w:tab w:leader="none" w:pos="1260" w:val="left"/>
        </w:tabs>
        <w:numPr>
          <w:ilvl w:val="0"/>
          <w:numId w:val="244"/>
        </w:numPr>
        <w:rPr>
          <w:rFonts w:ascii="Arial" w:cs="Arial" w:eastAsia="Arial" w:hAnsi="Arial"/>
          <w:sz w:val="19"/>
          <w:szCs w:val="19"/>
          <w:color w:val="auto"/>
        </w:rPr>
      </w:pPr>
      <w:r>
        <w:rPr>
          <w:rFonts w:ascii="Arial" w:cs="Arial" w:eastAsia="Arial" w:hAnsi="Arial"/>
          <w:sz w:val="19"/>
          <w:szCs w:val="19"/>
          <w:color w:val="auto"/>
        </w:rPr>
        <w:t xml:space="preserve">Indebtedness outstanding on the date hereof and listed on </w:t>
      </w:r>
      <w:r>
        <w:rPr>
          <w:rFonts w:ascii="Arial" w:cs="Arial" w:eastAsia="Arial" w:hAnsi="Arial"/>
          <w:sz w:val="19"/>
          <w:szCs w:val="19"/>
          <w:u w:val="single" w:color="auto"/>
          <w:color w:val="auto"/>
        </w:rPr>
        <w:t>Schedule 8.01</w:t>
      </w:r>
      <w:r>
        <w:rPr>
          <w:rFonts w:ascii="Arial" w:cs="Arial" w:eastAsia="Arial" w:hAnsi="Arial"/>
          <w:sz w:val="19"/>
          <w:szCs w:val="19"/>
          <w:color w:val="auto"/>
        </w:rPr>
        <w:t>;</w:t>
      </w:r>
    </w:p>
    <w:p>
      <w:pPr>
        <w:spacing w:after="0" w:line="214" w:lineRule="exact"/>
        <w:rPr>
          <w:rFonts w:ascii="Arial" w:cs="Arial" w:eastAsia="Arial" w:hAnsi="Arial"/>
          <w:sz w:val="19"/>
          <w:szCs w:val="19"/>
          <w:color w:val="auto"/>
        </w:rPr>
      </w:pPr>
    </w:p>
    <w:p>
      <w:pPr>
        <w:jc w:val="both"/>
        <w:ind w:firstLine="634"/>
        <w:spacing w:after="0" w:line="259" w:lineRule="auto"/>
        <w:tabs>
          <w:tab w:leader="none" w:pos="1249" w:val="left"/>
        </w:tabs>
        <w:numPr>
          <w:ilvl w:val="0"/>
          <w:numId w:val="244"/>
        </w:numPr>
        <w:rPr>
          <w:rFonts w:ascii="Arial" w:cs="Arial" w:eastAsia="Arial" w:hAnsi="Arial"/>
          <w:sz w:val="19"/>
          <w:szCs w:val="19"/>
          <w:color w:val="auto"/>
        </w:rPr>
      </w:pPr>
      <w:r>
        <w:rPr>
          <w:rFonts w:ascii="Arial" w:cs="Arial" w:eastAsia="Arial" w:hAnsi="Arial"/>
          <w:sz w:val="19"/>
          <w:szCs w:val="19"/>
          <w:color w:val="auto"/>
        </w:rPr>
        <w:t xml:space="preserve">Guarantees of any Loan Party in respect of Indebtedness otherwise permitted hereunder of any other Loan Party;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Guarantee of Indebtedness permitted hereunder that is subordinated to the Obligations shall be subordinated to the Obligations on substantially the same terms as such guaranteed Indebtedness;</w:t>
      </w:r>
    </w:p>
    <w:p>
      <w:pPr>
        <w:spacing w:after="0" w:line="171" w:lineRule="exact"/>
        <w:rPr>
          <w:rFonts w:ascii="Arial" w:cs="Arial" w:eastAsia="Arial" w:hAnsi="Arial"/>
          <w:sz w:val="19"/>
          <w:szCs w:val="19"/>
          <w:color w:val="auto"/>
        </w:rPr>
      </w:pPr>
    </w:p>
    <w:p>
      <w:pPr>
        <w:jc w:val="both"/>
        <w:ind w:firstLine="634"/>
        <w:spacing w:after="0" w:line="269" w:lineRule="auto"/>
        <w:tabs>
          <w:tab w:leader="none" w:pos="1247" w:val="left"/>
        </w:tabs>
        <w:numPr>
          <w:ilvl w:val="0"/>
          <w:numId w:val="244"/>
        </w:numPr>
        <w:rPr>
          <w:rFonts w:ascii="Arial" w:cs="Arial" w:eastAsia="Arial" w:hAnsi="Arial"/>
          <w:sz w:val="18"/>
          <w:szCs w:val="18"/>
          <w:color w:val="auto"/>
        </w:rPr>
      </w:pPr>
      <w:r>
        <w:rPr>
          <w:rFonts w:ascii="Arial" w:cs="Arial" w:eastAsia="Arial" w:hAnsi="Arial"/>
          <w:sz w:val="18"/>
          <w:szCs w:val="18"/>
          <w:color w:val="auto"/>
        </w:rPr>
        <w:t xml:space="preserve">obligations (contingent or otherwise) existing or arising under any Swap Contract,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such obligations are (or were) entered into by such Person in the Ordinary Course of Business for the purpose of directly mitigating risks reasonably anticipated by such Person associated with liabilities, commitments, investments, assets, cash flows of or property held by, or changes in the value of securities issued by, such Person, and not for purposes of speculation or taking a “market view” and (ii) such Swap Contract does not contain any provision exonerating the non-defaulting party from its obligation to make payments on outstanding transactions to the defaulting party;</w:t>
      </w:r>
    </w:p>
    <w:p>
      <w:pPr>
        <w:spacing w:after="0" w:line="164" w:lineRule="exact"/>
        <w:rPr>
          <w:rFonts w:ascii="Arial" w:cs="Arial" w:eastAsia="Arial" w:hAnsi="Arial"/>
          <w:sz w:val="18"/>
          <w:szCs w:val="18"/>
          <w:color w:val="auto"/>
        </w:rPr>
      </w:pPr>
    </w:p>
    <w:p>
      <w:pPr>
        <w:ind w:firstLine="634"/>
        <w:spacing w:after="0" w:line="274" w:lineRule="auto"/>
        <w:tabs>
          <w:tab w:leader="none" w:pos="1249" w:val="left"/>
        </w:tabs>
        <w:numPr>
          <w:ilvl w:val="0"/>
          <w:numId w:val="244"/>
        </w:numPr>
        <w:rPr>
          <w:rFonts w:ascii="Arial" w:cs="Arial" w:eastAsia="Arial" w:hAnsi="Arial"/>
          <w:sz w:val="19"/>
          <w:szCs w:val="19"/>
          <w:color w:val="auto"/>
        </w:rPr>
      </w:pPr>
      <w:r>
        <w:rPr>
          <w:rFonts w:ascii="Arial" w:cs="Arial" w:eastAsia="Arial" w:hAnsi="Arial"/>
          <w:sz w:val="19"/>
          <w:szCs w:val="19"/>
          <w:color w:val="auto"/>
        </w:rPr>
        <w:t>Indebtedness arising in the Ordinary Course of Business in connection with treasury management and commercial credit card, merchant card and purchase or procurement card services including Treasury Management and Other Services;</w:t>
      </w:r>
    </w:p>
    <w:p>
      <w:pPr>
        <w:spacing w:after="0" w:line="156" w:lineRule="exact"/>
        <w:rPr>
          <w:rFonts w:ascii="Arial" w:cs="Arial" w:eastAsia="Arial" w:hAnsi="Arial"/>
          <w:sz w:val="19"/>
          <w:szCs w:val="19"/>
          <w:color w:val="auto"/>
        </w:rPr>
      </w:pPr>
    </w:p>
    <w:p>
      <w:pPr>
        <w:jc w:val="both"/>
        <w:ind w:firstLine="634"/>
        <w:spacing w:after="0" w:line="254" w:lineRule="auto"/>
        <w:tabs>
          <w:tab w:leader="none" w:pos="1254" w:val="left"/>
        </w:tabs>
        <w:numPr>
          <w:ilvl w:val="0"/>
          <w:numId w:val="244"/>
        </w:numPr>
        <w:rPr>
          <w:rFonts w:ascii="Arial" w:cs="Arial" w:eastAsia="Arial" w:hAnsi="Arial"/>
          <w:sz w:val="19"/>
          <w:szCs w:val="19"/>
          <w:color w:val="auto"/>
        </w:rPr>
      </w:pPr>
      <w:r>
        <w:rPr>
          <w:rFonts w:ascii="Arial" w:cs="Arial" w:eastAsia="Arial" w:hAnsi="Arial"/>
          <w:sz w:val="19"/>
          <w:szCs w:val="19"/>
          <w:color w:val="auto"/>
        </w:rPr>
        <w:t xml:space="preserve">Indebtedness in respect of Capital Leases, Synthetic Lease Obligations and purchase money obligations for Real Property and other fixed or capital assets within the limitations set forth in </w:t>
      </w:r>
      <w:r>
        <w:rPr>
          <w:rFonts w:ascii="Arial" w:cs="Arial" w:eastAsia="Arial" w:hAnsi="Arial"/>
          <w:sz w:val="19"/>
          <w:szCs w:val="19"/>
          <w:u w:val="single" w:color="auto"/>
          <w:color w:val="auto"/>
        </w:rPr>
        <w:t>Section 8.02(i)</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the aggregate amount of all such Indebtedness at any one time outstanding, together with the Swap Termination Value of all Swap Contracts permitted under </w:t>
      </w:r>
      <w:r>
        <w:rPr>
          <w:rFonts w:ascii="Arial" w:cs="Arial" w:eastAsia="Arial" w:hAnsi="Arial"/>
          <w:sz w:val="19"/>
          <w:szCs w:val="19"/>
          <w:u w:val="single" w:color="auto"/>
          <w:color w:val="auto"/>
        </w:rPr>
        <w:t>Section 8.01(d)</w:t>
      </w:r>
      <w:r>
        <w:rPr>
          <w:rFonts w:ascii="Arial" w:cs="Arial" w:eastAsia="Arial" w:hAnsi="Arial"/>
          <w:sz w:val="19"/>
          <w:szCs w:val="19"/>
          <w:color w:val="auto"/>
        </w:rPr>
        <w:t xml:space="preserve"> above, shall not exceed $1,000,000;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139</w:t>
      </w:r>
    </w:p>
    <w:p>
      <w:pPr>
        <w:sectPr>
          <w:pgSz w:w="11900" w:h="16838" w:orient="portrait"/>
          <w:cols w:equalWidth="0" w:num="1">
            <w:col w:w="11240"/>
          </w:cols>
          <w:pgMar w:left="320" w:top="1382" w:right="339" w:bottom="1440" w:gutter="0" w:footer="0" w:header="0"/>
        </w:sectPr>
      </w:pPr>
    </w:p>
    <w:bookmarkStart w:id="258" w:name="page259"/>
    <w:bookmarkEnd w:id="258"/>
    <w:p>
      <w:pPr>
        <w:ind w:left="1260" w:hanging="626"/>
        <w:spacing w:after="0"/>
        <w:tabs>
          <w:tab w:leader="none" w:pos="1260" w:val="left"/>
        </w:tabs>
        <w:numPr>
          <w:ilvl w:val="0"/>
          <w:numId w:val="245"/>
        </w:numPr>
        <w:rPr>
          <w:rFonts w:ascii="Arial" w:cs="Arial" w:eastAsia="Arial" w:hAnsi="Arial"/>
          <w:sz w:val="19"/>
          <w:szCs w:val="19"/>
          <w:color w:val="auto"/>
        </w:rPr>
      </w:pPr>
      <w:r>
        <w:rPr>
          <w:rFonts w:ascii="Arial" w:cs="Arial" w:eastAsia="Arial" w:hAnsi="Arial"/>
          <w:sz w:val="19"/>
          <w:szCs w:val="19"/>
          <w:color w:val="auto"/>
        </w:rPr>
        <w:t>Assumed Indebtedness in an aggregate principal amount not to exceed $1,000,000 at any time outstanding;</w:t>
      </w:r>
    </w:p>
    <w:p>
      <w:pPr>
        <w:spacing w:after="0" w:line="214" w:lineRule="exact"/>
        <w:rPr>
          <w:rFonts w:ascii="Arial" w:cs="Arial" w:eastAsia="Arial" w:hAnsi="Arial"/>
          <w:sz w:val="19"/>
          <w:szCs w:val="19"/>
          <w:color w:val="auto"/>
        </w:rPr>
      </w:pPr>
    </w:p>
    <w:p>
      <w:pPr>
        <w:jc w:val="both"/>
        <w:ind w:firstLine="634"/>
        <w:spacing w:after="0" w:line="250" w:lineRule="auto"/>
        <w:tabs>
          <w:tab w:leader="none" w:pos="1247" w:val="left"/>
        </w:tabs>
        <w:numPr>
          <w:ilvl w:val="0"/>
          <w:numId w:val="245"/>
        </w:numPr>
        <w:rPr>
          <w:rFonts w:ascii="Arial" w:cs="Arial" w:eastAsia="Arial" w:hAnsi="Arial"/>
          <w:sz w:val="19"/>
          <w:szCs w:val="19"/>
          <w:color w:val="auto"/>
        </w:rPr>
      </w:pPr>
      <w:r>
        <w:rPr>
          <w:rFonts w:ascii="Arial" w:cs="Arial" w:eastAsia="Arial" w:hAnsi="Arial"/>
          <w:sz w:val="19"/>
          <w:szCs w:val="19"/>
          <w:color w:val="auto"/>
        </w:rPr>
        <w:t xml:space="preserve">Indebtedness incurred to finance or as part of the consideration for any Permitted Acquisition; </w:t>
      </w:r>
      <w:r>
        <w:rPr>
          <w:rFonts w:ascii="Arial" w:cs="Arial" w:eastAsia="Arial" w:hAnsi="Arial"/>
          <w:sz w:val="19"/>
          <w:szCs w:val="19"/>
          <w:u w:val="single" w:color="auto"/>
          <w:color w:val="auto"/>
        </w:rPr>
        <w:t>provided</w:t>
      </w:r>
      <w:r>
        <w:rPr>
          <w:rFonts w:ascii="Arial" w:cs="Arial" w:eastAsia="Arial" w:hAnsi="Arial"/>
          <w:sz w:val="19"/>
          <w:szCs w:val="19"/>
          <w:color w:val="auto"/>
        </w:rPr>
        <w:t>, that, (i) no Event of Default exists at the time of or would be caused by the incurrence of such Indebtedness and (ii) such Indebtedness (A) is unsecured, (B) bears interest (and provided for fees) at a rate (or amount) no greater than the then current arm’s length market rate (or amount) for similar Indebtedness, (C) does not have a maturity date or require the payment in cash of principal (other than in respect of working capital adjustments) prior to a date later than 91 days following the Maturity Date and (D) is subordinated to the Obligations on terms reasonably acceptable to the Administrative Agent;</w:t>
      </w:r>
    </w:p>
    <w:p>
      <w:pPr>
        <w:spacing w:after="0" w:line="181" w:lineRule="exact"/>
        <w:rPr>
          <w:rFonts w:ascii="Arial" w:cs="Arial" w:eastAsia="Arial" w:hAnsi="Arial"/>
          <w:sz w:val="19"/>
          <w:szCs w:val="19"/>
          <w:color w:val="auto"/>
        </w:rPr>
      </w:pPr>
    </w:p>
    <w:p>
      <w:pPr>
        <w:jc w:val="both"/>
        <w:ind w:firstLine="634"/>
        <w:spacing w:after="0" w:line="259" w:lineRule="auto"/>
        <w:tabs>
          <w:tab w:leader="none" w:pos="1257" w:val="left"/>
        </w:tabs>
        <w:numPr>
          <w:ilvl w:val="0"/>
          <w:numId w:val="245"/>
        </w:numPr>
        <w:rPr>
          <w:rFonts w:ascii="Arial" w:cs="Arial" w:eastAsia="Arial" w:hAnsi="Arial"/>
          <w:sz w:val="19"/>
          <w:szCs w:val="19"/>
          <w:color w:val="auto"/>
        </w:rPr>
      </w:pPr>
      <w:r>
        <w:rPr>
          <w:rFonts w:ascii="Arial" w:cs="Arial" w:eastAsia="Arial" w:hAnsi="Arial"/>
          <w:sz w:val="19"/>
          <w:szCs w:val="19"/>
          <w:color w:val="auto"/>
        </w:rPr>
        <w:t>Indebtedness of Foreign Subsidiaries (other than the Canadian Borrowers) in an aggregate principal amount at any time outstanding not to exceed 1.00% of the Consolidated Total Assets of the Company and its Restricted Subsidiaries as of the end of the most recently ended fiscal year of the Company;</w:t>
      </w:r>
    </w:p>
    <w:p>
      <w:pPr>
        <w:spacing w:after="0" w:line="171" w:lineRule="exact"/>
        <w:rPr>
          <w:rFonts w:ascii="Arial" w:cs="Arial" w:eastAsia="Arial" w:hAnsi="Arial"/>
          <w:sz w:val="19"/>
          <w:szCs w:val="19"/>
          <w:color w:val="auto"/>
        </w:rPr>
      </w:pPr>
    </w:p>
    <w:p>
      <w:pPr>
        <w:ind w:left="1260" w:hanging="626"/>
        <w:spacing w:after="0"/>
        <w:tabs>
          <w:tab w:leader="none" w:pos="1260" w:val="left"/>
        </w:tabs>
        <w:numPr>
          <w:ilvl w:val="0"/>
          <w:numId w:val="245"/>
        </w:numPr>
        <w:rPr>
          <w:rFonts w:ascii="Arial" w:cs="Arial" w:eastAsia="Arial" w:hAnsi="Arial"/>
          <w:sz w:val="17"/>
          <w:szCs w:val="17"/>
          <w:color w:val="auto"/>
        </w:rPr>
      </w:pPr>
      <w:r>
        <w:rPr>
          <w:rFonts w:ascii="Arial" w:cs="Arial" w:eastAsia="Arial" w:hAnsi="Arial"/>
          <w:sz w:val="17"/>
          <w:szCs w:val="17"/>
          <w:color w:val="auto"/>
        </w:rPr>
        <w:t>the endorsement of negotiable instruments from customers for deposit or collection or similar transactions in the Ordinary Course</w:t>
      </w:r>
    </w:p>
    <w:p>
      <w:pPr>
        <w:spacing w:after="0" w:line="43"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9"/>
          <w:szCs w:val="19"/>
          <w:color w:val="auto"/>
        </w:rPr>
        <w:t>of Business;</w:t>
      </w:r>
    </w:p>
    <w:p>
      <w:pPr>
        <w:spacing w:after="0" w:line="198" w:lineRule="exact"/>
        <w:rPr>
          <w:rFonts w:ascii="Arial" w:cs="Arial" w:eastAsia="Arial" w:hAnsi="Arial"/>
          <w:sz w:val="17"/>
          <w:szCs w:val="17"/>
          <w:color w:val="auto"/>
        </w:rPr>
      </w:pPr>
    </w:p>
    <w:p>
      <w:pPr>
        <w:jc w:val="both"/>
        <w:ind w:firstLine="634"/>
        <w:spacing w:after="0" w:line="254" w:lineRule="auto"/>
        <w:tabs>
          <w:tab w:leader="none" w:pos="1247" w:val="left"/>
        </w:tabs>
        <w:numPr>
          <w:ilvl w:val="0"/>
          <w:numId w:val="245"/>
        </w:numPr>
        <w:rPr>
          <w:rFonts w:ascii="Arial" w:cs="Arial" w:eastAsia="Arial" w:hAnsi="Arial"/>
          <w:sz w:val="19"/>
          <w:szCs w:val="19"/>
          <w:color w:val="auto"/>
        </w:rPr>
      </w:pPr>
      <w:r>
        <w:rPr>
          <w:rFonts w:ascii="Arial" w:cs="Arial" w:eastAsia="Arial" w:hAnsi="Arial"/>
          <w:sz w:val="19"/>
          <w:szCs w:val="19"/>
          <w:color w:val="auto"/>
        </w:rPr>
        <w:t>Indebtedness in respect of any bankers’ acceptance, bank guarantees, letters of credit, warehouse receipt or similar facilities entered into in the Ordinary Course of Business in respect of workers’ compensation and other casualty claims, health, disability or other employee benefits or property, casualty or liability insurance or self-insurance or other Indebtedness with respect to reimbursement-type obligations regarding workers’ compensation and other casualty claims;</w:t>
      </w:r>
    </w:p>
    <w:p>
      <w:pPr>
        <w:spacing w:after="0" w:line="176" w:lineRule="exact"/>
        <w:rPr>
          <w:rFonts w:ascii="Arial" w:cs="Arial" w:eastAsia="Arial" w:hAnsi="Arial"/>
          <w:sz w:val="19"/>
          <w:szCs w:val="19"/>
          <w:color w:val="auto"/>
        </w:rPr>
      </w:pPr>
    </w:p>
    <w:p>
      <w:pPr>
        <w:jc w:val="both"/>
        <w:ind w:firstLine="634"/>
        <w:spacing w:after="0" w:line="265" w:lineRule="auto"/>
        <w:tabs>
          <w:tab w:leader="none" w:pos="1257" w:val="left"/>
        </w:tabs>
        <w:numPr>
          <w:ilvl w:val="0"/>
          <w:numId w:val="245"/>
        </w:numPr>
        <w:rPr>
          <w:rFonts w:ascii="Arial" w:cs="Arial" w:eastAsia="Arial" w:hAnsi="Arial"/>
          <w:sz w:val="18"/>
          <w:szCs w:val="18"/>
          <w:color w:val="auto"/>
        </w:rPr>
      </w:pPr>
      <w:r>
        <w:rPr>
          <w:rFonts w:ascii="Arial" w:cs="Arial" w:eastAsia="Arial" w:hAnsi="Arial"/>
          <w:sz w:val="18"/>
          <w:szCs w:val="18"/>
          <w:color w:val="auto"/>
        </w:rPr>
        <w:t xml:space="preserve">Indebtedness incurred or arising in the Ordinary Course of Business and not in connection with the borrowing of money in respect of (i) obligations to pay the deferred purchase price of goods or services or progress payments in connection with such goods and services,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obligations are incurred in connection with open accounts extended by suppliers on customary trade terms; (ii) performance or payment bonds, bid bonds, appeal bonds, surety bonds, performance and completion guarantees and similar instruments or obligations disclosed to the Administrative Agent pursuant to </w:t>
      </w:r>
      <w:r>
        <w:rPr>
          <w:rFonts w:ascii="Arial" w:cs="Arial" w:eastAsia="Arial" w:hAnsi="Arial"/>
          <w:sz w:val="18"/>
          <w:szCs w:val="18"/>
          <w:u w:val="single" w:color="auto"/>
          <w:color w:val="auto"/>
        </w:rPr>
        <w:t>Section 7.02(b)</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obligation or performance due thereunder must be satisfied upon the earlier of (x) the due date therefor and (y) within five (5) Business Days of first coming performable by the Company or its Restricted Subsidiaries, in each case unless Properly Contested; and (iii) obligations to pay insurance premiums;</w:t>
      </w:r>
    </w:p>
    <w:p>
      <w:pPr>
        <w:spacing w:after="0" w:line="170" w:lineRule="exact"/>
        <w:rPr>
          <w:rFonts w:ascii="Arial" w:cs="Arial" w:eastAsia="Arial" w:hAnsi="Arial"/>
          <w:sz w:val="18"/>
          <w:szCs w:val="18"/>
          <w:color w:val="auto"/>
        </w:rPr>
      </w:pPr>
    </w:p>
    <w:p>
      <w:pPr>
        <w:ind w:firstLine="634"/>
        <w:spacing w:after="0" w:line="274" w:lineRule="auto"/>
        <w:tabs>
          <w:tab w:leader="none" w:pos="1248" w:val="left"/>
        </w:tabs>
        <w:numPr>
          <w:ilvl w:val="0"/>
          <w:numId w:val="245"/>
        </w:numPr>
        <w:rPr>
          <w:rFonts w:ascii="Arial" w:cs="Arial" w:eastAsia="Arial" w:hAnsi="Arial"/>
          <w:sz w:val="19"/>
          <w:szCs w:val="19"/>
          <w:color w:val="auto"/>
        </w:rPr>
      </w:pPr>
      <w:r>
        <w:rPr>
          <w:rFonts w:ascii="Arial" w:cs="Arial" w:eastAsia="Arial" w:hAnsi="Arial"/>
          <w:sz w:val="19"/>
          <w:szCs w:val="19"/>
          <w:color w:val="auto"/>
        </w:rPr>
        <w:t>Indebtedness representing deferred compensation to employees, consultants or independent contractors incurred in the ordinary course of business;</w:t>
      </w:r>
    </w:p>
    <w:p>
      <w:pPr>
        <w:spacing w:after="0" w:line="156" w:lineRule="exact"/>
        <w:rPr>
          <w:rFonts w:ascii="Arial" w:cs="Arial" w:eastAsia="Arial" w:hAnsi="Arial"/>
          <w:sz w:val="19"/>
          <w:szCs w:val="19"/>
          <w:color w:val="auto"/>
        </w:rPr>
      </w:pPr>
    </w:p>
    <w:p>
      <w:pPr>
        <w:jc w:val="both"/>
        <w:ind w:firstLine="634"/>
        <w:spacing w:after="0" w:line="267" w:lineRule="auto"/>
        <w:tabs>
          <w:tab w:leader="none" w:pos="1247" w:val="left"/>
        </w:tabs>
        <w:numPr>
          <w:ilvl w:val="0"/>
          <w:numId w:val="245"/>
        </w:numPr>
        <w:rPr>
          <w:rFonts w:ascii="Arial" w:cs="Arial" w:eastAsia="Arial" w:hAnsi="Arial"/>
          <w:sz w:val="18"/>
          <w:szCs w:val="18"/>
          <w:color w:val="auto"/>
        </w:rPr>
      </w:pPr>
      <w:r>
        <w:rPr>
          <w:rFonts w:ascii="Arial" w:cs="Arial" w:eastAsia="Arial" w:hAnsi="Arial"/>
          <w:sz w:val="18"/>
          <w:szCs w:val="18"/>
          <w:color w:val="auto"/>
        </w:rPr>
        <w:t>unsecured Indebtedness of (A) any Loan Party owing to any other Loan Party or any Subsidiary that is not a Loan Party (so long as such Indebtedness owing to a Subsidiary that is not a Loan Party (1) bears interest (and provided for fees) at a rate (or amount) no greater than the then current arm’s length market rate (or amount) for similar Indebtedness, (2) does not require the payment in cash of principal (at maturity or otherwise) prior to ninety-one (91) days following the Maturity Date, and (3) is subordinated to the Obligations on terms reasonably acceptable to the Administrative Agent and, to the extent in a principal amount in excess of $1,000,000, as to which at least ten (10) Business Days prior to incurrence thereof, the Borrower Agent has delivered a certificate to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140</w:t>
      </w:r>
    </w:p>
    <w:p>
      <w:pPr>
        <w:sectPr>
          <w:pgSz w:w="11900" w:h="16838" w:orient="portrait"/>
          <w:cols w:equalWidth="0" w:num="1">
            <w:col w:w="11240"/>
          </w:cols>
          <w:pgMar w:left="320" w:top="1381" w:right="339" w:bottom="1440" w:gutter="0" w:footer="0" w:header="0"/>
        </w:sectPr>
      </w:pPr>
    </w:p>
    <w:bookmarkStart w:id="259" w:name="page260"/>
    <w:bookmarkEnd w:id="259"/>
    <w:p>
      <w:pPr>
        <w:jc w:val="both"/>
        <w:spacing w:after="0" w:line="250" w:lineRule="auto"/>
        <w:rPr>
          <w:sz w:val="20"/>
          <w:szCs w:val="20"/>
          <w:color w:val="auto"/>
        </w:rPr>
      </w:pPr>
      <w:r>
        <w:rPr>
          <w:rFonts w:ascii="Arial" w:cs="Arial" w:eastAsia="Arial" w:hAnsi="Arial"/>
          <w:sz w:val="19"/>
          <w:szCs w:val="19"/>
          <w:color w:val="auto"/>
        </w:rPr>
        <w:t xml:space="preserve">demonstrating compliance with each of clauses (1) through (3) above), (B) any Subsidiary that is not a Loan Party owing to any other Subsidiary that is not a Loan Party and (C) any Subsidiary that is not a Loan Party owing to any Loan Party;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such Indebtedness described in this clause which is owing to a Loan Party, shall (1) to the extent the aggregate principal amount thereof is in excess of $1,000,000, be evidenced by promissory notes in form and substance satisfactory to the Administrative Agent and pledged to the Administrative Agent on terms acceptable to it, (2) be permitted under </w:t>
      </w:r>
      <w:r>
        <w:rPr>
          <w:rFonts w:ascii="Arial" w:cs="Arial" w:eastAsia="Arial" w:hAnsi="Arial"/>
          <w:sz w:val="19"/>
          <w:szCs w:val="19"/>
          <w:u w:val="single" w:color="auto"/>
          <w:color w:val="auto"/>
        </w:rPr>
        <w:t>Section 8.03(c)(iv)</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(h)</w:t>
      </w:r>
      <w:r>
        <w:rPr>
          <w:rFonts w:ascii="Arial" w:cs="Arial" w:eastAsia="Arial" w:hAnsi="Arial"/>
          <w:sz w:val="19"/>
          <w:szCs w:val="19"/>
          <w:color w:val="auto"/>
        </w:rPr>
        <w:t>, and (3) not be forgiven or otherwise discharged for any consideration other than payment in full in cash unless the Administrative Agent otherwise consents;</w:t>
      </w:r>
    </w:p>
    <w:p>
      <w:pPr>
        <w:spacing w:after="0" w:line="182" w:lineRule="exact"/>
        <w:rPr>
          <w:sz w:val="20"/>
          <w:szCs w:val="20"/>
          <w:color w:val="auto"/>
        </w:rPr>
      </w:pPr>
    </w:p>
    <w:p>
      <w:pPr>
        <w:ind w:left="1260" w:hanging="626"/>
        <w:spacing w:after="0"/>
        <w:tabs>
          <w:tab w:leader="none" w:pos="1260" w:val="left"/>
        </w:tabs>
        <w:numPr>
          <w:ilvl w:val="0"/>
          <w:numId w:val="246"/>
        </w:numPr>
        <w:rPr>
          <w:rFonts w:ascii="Arial" w:cs="Arial" w:eastAsia="Arial" w:hAnsi="Arial"/>
          <w:sz w:val="19"/>
          <w:szCs w:val="19"/>
          <w:color w:val="auto"/>
        </w:rPr>
      </w:pPr>
      <w:r>
        <w:rPr>
          <w:rFonts w:ascii="Arial" w:cs="Arial" w:eastAsia="Arial" w:hAnsi="Arial"/>
          <w:sz w:val="19"/>
          <w:szCs w:val="19"/>
          <w:color w:val="auto"/>
        </w:rPr>
        <w:t>if approved by the Administrative Agent at its sole option, Subordinated Debt; and</w:t>
      </w:r>
    </w:p>
    <w:p>
      <w:pPr>
        <w:spacing w:after="0" w:line="214" w:lineRule="exact"/>
        <w:rPr>
          <w:rFonts w:ascii="Arial" w:cs="Arial" w:eastAsia="Arial" w:hAnsi="Arial"/>
          <w:sz w:val="19"/>
          <w:szCs w:val="19"/>
          <w:color w:val="auto"/>
        </w:rPr>
      </w:pPr>
    </w:p>
    <w:p>
      <w:pPr>
        <w:ind w:left="1260" w:hanging="626"/>
        <w:spacing w:after="0"/>
        <w:tabs>
          <w:tab w:leader="none" w:pos="1260" w:val="left"/>
        </w:tabs>
        <w:numPr>
          <w:ilvl w:val="0"/>
          <w:numId w:val="246"/>
        </w:numPr>
        <w:rPr>
          <w:rFonts w:ascii="Arial" w:cs="Arial" w:eastAsia="Arial" w:hAnsi="Arial"/>
          <w:sz w:val="19"/>
          <w:szCs w:val="19"/>
          <w:color w:val="auto"/>
        </w:rPr>
      </w:pPr>
      <w:r>
        <w:rPr>
          <w:rFonts w:ascii="Arial" w:cs="Arial" w:eastAsia="Arial" w:hAnsi="Arial"/>
          <w:sz w:val="19"/>
          <w:szCs w:val="19"/>
          <w:color w:val="auto"/>
        </w:rPr>
        <w:t>Refinancing Indebtedness.</w:t>
      </w:r>
    </w:p>
    <w:p>
      <w:pPr>
        <w:spacing w:after="0" w:line="208" w:lineRule="exact"/>
        <w:rPr>
          <w:sz w:val="20"/>
          <w:szCs w:val="20"/>
          <w:color w:val="auto"/>
        </w:rPr>
      </w:pPr>
    </w:p>
    <w:p>
      <w:pPr>
        <w:ind w:firstLine="629"/>
        <w:spacing w:after="0" w:line="280" w:lineRule="auto"/>
        <w:rPr>
          <w:sz w:val="20"/>
          <w:szCs w:val="20"/>
          <w:color w:val="auto"/>
        </w:rPr>
      </w:pPr>
      <w:r>
        <w:rPr>
          <w:rFonts w:ascii="Arial" w:cs="Arial" w:eastAsia="Arial" w:hAnsi="Arial"/>
          <w:sz w:val="19"/>
          <w:szCs w:val="19"/>
          <w:b w:val="1"/>
          <w:bCs w:val="1"/>
          <w:color w:val="auto"/>
        </w:rPr>
        <w:t xml:space="preserve">8.2 Liens. </w:t>
      </w:r>
      <w:r>
        <w:rPr>
          <w:rFonts w:ascii="Arial" w:cs="Arial" w:eastAsia="Arial" w:hAnsi="Arial"/>
          <w:sz w:val="19"/>
          <w:szCs w:val="19"/>
          <w:color w:val="auto"/>
        </w:rPr>
        <w:t>Create, incur, assume or suffer to exist any Lien upon any of its property, assets or revenues, whether now owned or</w:t>
      </w:r>
      <w:r>
        <w:rPr>
          <w:rFonts w:ascii="Arial" w:cs="Arial" w:eastAsia="Arial" w:hAnsi="Arial"/>
          <w:sz w:val="19"/>
          <w:szCs w:val="19"/>
          <w:b w:val="1"/>
          <w:bCs w:val="1"/>
          <w:color w:val="auto"/>
        </w:rPr>
        <w:t xml:space="preserve"> </w:t>
      </w:r>
      <w:r>
        <w:rPr>
          <w:rFonts w:ascii="Arial" w:cs="Arial" w:eastAsia="Arial" w:hAnsi="Arial"/>
          <w:sz w:val="19"/>
          <w:szCs w:val="19"/>
          <w:color w:val="auto"/>
        </w:rPr>
        <w:t>hereafter acquired, other than the following (“</w:t>
      </w:r>
      <w:r>
        <w:rPr>
          <w:rFonts w:ascii="Arial" w:cs="Arial" w:eastAsia="Arial" w:hAnsi="Arial"/>
          <w:sz w:val="19"/>
          <w:szCs w:val="19"/>
          <w:u w:val="single" w:color="auto"/>
          <w:color w:val="auto"/>
        </w:rPr>
        <w:t>Permitted Liens</w:t>
      </w:r>
      <w:r>
        <w:rPr>
          <w:rFonts w:ascii="Arial" w:cs="Arial" w:eastAsia="Arial" w:hAnsi="Arial"/>
          <w:sz w:val="19"/>
          <w:szCs w:val="19"/>
          <w:color w:val="auto"/>
        </w:rPr>
        <w:t>”):</w:t>
      </w:r>
    </w:p>
    <w:p>
      <w:pPr>
        <w:spacing w:after="0" w:line="152" w:lineRule="exact"/>
        <w:rPr>
          <w:sz w:val="20"/>
          <w:szCs w:val="20"/>
          <w:color w:val="auto"/>
        </w:rPr>
      </w:pPr>
    </w:p>
    <w:p>
      <w:pPr>
        <w:ind w:left="1260" w:hanging="626"/>
        <w:spacing w:after="0"/>
        <w:tabs>
          <w:tab w:leader="none" w:pos="1260" w:val="left"/>
        </w:tabs>
        <w:numPr>
          <w:ilvl w:val="0"/>
          <w:numId w:val="247"/>
        </w:numPr>
        <w:rPr>
          <w:rFonts w:ascii="Arial" w:cs="Arial" w:eastAsia="Arial" w:hAnsi="Arial"/>
          <w:sz w:val="19"/>
          <w:szCs w:val="19"/>
          <w:color w:val="auto"/>
        </w:rPr>
      </w:pPr>
      <w:r>
        <w:rPr>
          <w:rFonts w:ascii="Arial" w:cs="Arial" w:eastAsia="Arial" w:hAnsi="Arial"/>
          <w:sz w:val="19"/>
          <w:szCs w:val="19"/>
          <w:color w:val="auto"/>
        </w:rPr>
        <w:t>Liens in favor of the Administrative Agent pursuant to any Loan Document;</w:t>
      </w:r>
    </w:p>
    <w:p>
      <w:pPr>
        <w:spacing w:after="0" w:line="214" w:lineRule="exact"/>
        <w:rPr>
          <w:rFonts w:ascii="Arial" w:cs="Arial" w:eastAsia="Arial" w:hAnsi="Arial"/>
          <w:sz w:val="19"/>
          <w:szCs w:val="19"/>
          <w:color w:val="auto"/>
        </w:rPr>
      </w:pPr>
    </w:p>
    <w:p>
      <w:pPr>
        <w:jc w:val="both"/>
        <w:ind w:firstLine="634"/>
        <w:spacing w:after="0" w:line="254" w:lineRule="auto"/>
        <w:tabs>
          <w:tab w:leader="none" w:pos="1247" w:val="left"/>
        </w:tabs>
        <w:numPr>
          <w:ilvl w:val="0"/>
          <w:numId w:val="247"/>
        </w:numPr>
        <w:rPr>
          <w:rFonts w:ascii="Arial" w:cs="Arial" w:eastAsia="Arial" w:hAnsi="Arial"/>
          <w:sz w:val="19"/>
          <w:szCs w:val="19"/>
          <w:color w:val="auto"/>
        </w:rPr>
      </w:pPr>
      <w:r>
        <w:rPr>
          <w:rFonts w:ascii="Arial" w:cs="Arial" w:eastAsia="Arial" w:hAnsi="Arial"/>
          <w:sz w:val="19"/>
          <w:szCs w:val="19"/>
          <w:color w:val="auto"/>
        </w:rPr>
        <w:t xml:space="preserve">Liens existing on the date hereof as described on </w:t>
      </w:r>
      <w:r>
        <w:rPr>
          <w:rFonts w:ascii="Arial" w:cs="Arial" w:eastAsia="Arial" w:hAnsi="Arial"/>
          <w:sz w:val="19"/>
          <w:szCs w:val="19"/>
          <w:u w:val="single" w:color="auto"/>
          <w:color w:val="auto"/>
        </w:rPr>
        <w:t>Schedule 8.02</w:t>
      </w:r>
      <w:r>
        <w:rPr>
          <w:rFonts w:ascii="Arial" w:cs="Arial" w:eastAsia="Arial" w:hAnsi="Arial"/>
          <w:sz w:val="19"/>
          <w:szCs w:val="19"/>
          <w:color w:val="auto"/>
        </w:rPr>
        <w:t xml:space="preserve"> (setting forth, as of the Closing Date, the lienholder thereof, the principal amount of the obligations secured thereby and the property or assets of such Loan Party or such Restricted Subsidiary subject thereto) and any renewals or extensions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the Lien does not extend to any additional property, and (ii) the obligations secured or benefited thereby constitutes Refinancing Indebtedness;</w:t>
      </w:r>
    </w:p>
    <w:p>
      <w:pPr>
        <w:spacing w:after="0" w:line="176" w:lineRule="exact"/>
        <w:rPr>
          <w:rFonts w:ascii="Arial" w:cs="Arial" w:eastAsia="Arial" w:hAnsi="Arial"/>
          <w:sz w:val="19"/>
          <w:szCs w:val="19"/>
          <w:color w:val="auto"/>
        </w:rPr>
      </w:pPr>
    </w:p>
    <w:p>
      <w:pPr>
        <w:ind w:firstLine="634"/>
        <w:spacing w:after="0" w:line="274" w:lineRule="auto"/>
        <w:tabs>
          <w:tab w:leader="none" w:pos="1249" w:val="left"/>
        </w:tabs>
        <w:numPr>
          <w:ilvl w:val="0"/>
          <w:numId w:val="247"/>
        </w:numPr>
        <w:rPr>
          <w:rFonts w:ascii="Arial" w:cs="Arial" w:eastAsia="Arial" w:hAnsi="Arial"/>
          <w:sz w:val="19"/>
          <w:szCs w:val="19"/>
          <w:color w:val="auto"/>
        </w:rPr>
      </w:pPr>
      <w:r>
        <w:rPr>
          <w:rFonts w:ascii="Arial" w:cs="Arial" w:eastAsia="Arial" w:hAnsi="Arial"/>
          <w:sz w:val="19"/>
          <w:szCs w:val="19"/>
          <w:color w:val="auto"/>
        </w:rPr>
        <w:t>Liens for taxes, assessments or other governmental charges, not yet due or which are being Properly Contested, and which in all cases are junior to the Lien of the Administrative Agent;</w:t>
      </w:r>
    </w:p>
    <w:p>
      <w:pPr>
        <w:spacing w:after="0" w:line="156" w:lineRule="exact"/>
        <w:rPr>
          <w:rFonts w:ascii="Arial" w:cs="Arial" w:eastAsia="Arial" w:hAnsi="Arial"/>
          <w:sz w:val="19"/>
          <w:szCs w:val="19"/>
          <w:color w:val="auto"/>
        </w:rPr>
      </w:pPr>
    </w:p>
    <w:p>
      <w:pPr>
        <w:ind w:firstLine="634"/>
        <w:spacing w:after="0" w:line="334" w:lineRule="auto"/>
        <w:tabs>
          <w:tab w:leader="none" w:pos="1247" w:val="left"/>
        </w:tabs>
        <w:numPr>
          <w:ilvl w:val="0"/>
          <w:numId w:val="247"/>
        </w:numPr>
        <w:rPr>
          <w:rFonts w:ascii="Arial" w:cs="Arial" w:eastAsia="Arial" w:hAnsi="Arial"/>
          <w:sz w:val="17"/>
          <w:szCs w:val="17"/>
          <w:color w:val="auto"/>
        </w:rPr>
      </w:pPr>
      <w:r>
        <w:rPr>
          <w:rFonts w:ascii="Arial" w:cs="Arial" w:eastAsia="Arial" w:hAnsi="Arial"/>
          <w:sz w:val="17"/>
          <w:szCs w:val="17"/>
          <w:color w:val="auto"/>
        </w:rPr>
        <w:t>Liens of carriers, warehousemen, mechanics, materialmen, repairmen, landlords or other like Liens imposed by Law or arising in the Ordinary Course of Business which are not overdue for a period of more than thirty (30) days or which are being Properly Contested;</w:t>
      </w:r>
    </w:p>
    <w:p>
      <w:pPr>
        <w:spacing w:after="0" w:line="111" w:lineRule="exact"/>
        <w:rPr>
          <w:rFonts w:ascii="Arial" w:cs="Arial" w:eastAsia="Arial" w:hAnsi="Arial"/>
          <w:sz w:val="17"/>
          <w:szCs w:val="17"/>
          <w:color w:val="auto"/>
        </w:rPr>
      </w:pPr>
    </w:p>
    <w:p>
      <w:pPr>
        <w:jc w:val="both"/>
        <w:ind w:firstLine="634"/>
        <w:spacing w:after="0" w:line="254" w:lineRule="auto"/>
        <w:tabs>
          <w:tab w:leader="none" w:pos="1249" w:val="left"/>
        </w:tabs>
        <w:numPr>
          <w:ilvl w:val="0"/>
          <w:numId w:val="247"/>
        </w:numPr>
        <w:rPr>
          <w:rFonts w:ascii="Arial" w:cs="Arial" w:eastAsia="Arial" w:hAnsi="Arial"/>
          <w:sz w:val="19"/>
          <w:szCs w:val="19"/>
          <w:color w:val="auto"/>
        </w:rPr>
      </w:pPr>
      <w:r>
        <w:rPr>
          <w:rFonts w:ascii="Arial" w:cs="Arial" w:eastAsia="Arial" w:hAnsi="Arial"/>
          <w:sz w:val="19"/>
          <w:szCs w:val="19"/>
          <w:color w:val="auto"/>
        </w:rPr>
        <w:t>Liens, pledges or deposits in the Ordinary Course of Business in connection with (i) insurance, workers compensation, unemployment insurance and social security legislation, (ii) contracts, bids and government contracts and (iii) other similar obligations (exclusive of obligations in respect of the payment for borrowed money), whether pursuant to contracts, statutory requirements, common law or consensual arrangements, other than any Lien imposed by ERISA, PBA or a Foreign Benefit Law;</w:t>
      </w:r>
    </w:p>
    <w:p>
      <w:pPr>
        <w:spacing w:after="0" w:line="176" w:lineRule="exact"/>
        <w:rPr>
          <w:rFonts w:ascii="Arial" w:cs="Arial" w:eastAsia="Arial" w:hAnsi="Arial"/>
          <w:sz w:val="19"/>
          <w:szCs w:val="19"/>
          <w:color w:val="auto"/>
        </w:rPr>
      </w:pPr>
    </w:p>
    <w:p>
      <w:pPr>
        <w:jc w:val="both"/>
        <w:ind w:firstLine="634"/>
        <w:spacing w:after="0" w:line="282" w:lineRule="auto"/>
        <w:tabs>
          <w:tab w:leader="none" w:pos="1254" w:val="left"/>
        </w:tabs>
        <w:numPr>
          <w:ilvl w:val="0"/>
          <w:numId w:val="247"/>
        </w:numPr>
        <w:rPr>
          <w:rFonts w:ascii="Arial" w:cs="Arial" w:eastAsia="Arial" w:hAnsi="Arial"/>
          <w:sz w:val="17"/>
          <w:szCs w:val="17"/>
          <w:color w:val="auto"/>
        </w:rPr>
      </w:pPr>
      <w:r>
        <w:rPr>
          <w:rFonts w:ascii="Arial" w:cs="Arial" w:eastAsia="Arial" w:hAnsi="Arial"/>
          <w:sz w:val="17"/>
          <w:szCs w:val="17"/>
          <w:color w:val="auto"/>
        </w:rPr>
        <w:t xml:space="preserve">Liens arising in the Ordinary Course of Business consisting of deposits or pledges to secure the performance of bids, tenders, trade contracts and leases (other than Indebtedness), statutory obligations, Bonding Obligations otherwise permitted hereunder and other obligations of a like nature, in each case, incurred in the Ordinary Course of Business,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no Bonding Obligations may be secured by a Lien that has been granted by the Company or any Restricted Subsidiary (other than (x) cash deposits specifically pledged in respect of such Bonding Obligation and other than, for the avoidance of doubt, a Lien arising solely by operation of Law and (y) the security grant provided under the Chubb Indemnity Agreement as of the Closing Date, provided that such security grant, if at any time perfected, must be at all times junior in priority and junior of record to each and every Lien securing the Obligations), (ii) the Liens (including rights arising by operation of law) securing any Bonding Obligation shall be limited to the Bonded Equipment and the Bonded Inventory of the applicable Loan Parties at,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141</w:t>
      </w:r>
    </w:p>
    <w:p>
      <w:pPr>
        <w:sectPr>
          <w:pgSz w:w="11900" w:h="16838" w:orient="portrait"/>
          <w:cols w:equalWidth="0" w:num="1">
            <w:col w:w="11240"/>
          </w:cols>
          <w:pgMar w:left="320" w:top="1382" w:right="339" w:bottom="1440" w:gutter="0" w:footer="0" w:header="0"/>
        </w:sectPr>
      </w:pPr>
    </w:p>
    <w:bookmarkStart w:id="260" w:name="page261"/>
    <w:bookmarkEnd w:id="260"/>
    <w:p>
      <w:pPr>
        <w:jc w:val="both"/>
        <w:spacing w:after="0" w:line="280" w:lineRule="auto"/>
        <w:rPr>
          <w:sz w:val="20"/>
          <w:szCs w:val="20"/>
          <w:color w:val="auto"/>
        </w:rPr>
      </w:pPr>
      <w:r>
        <w:rPr>
          <w:rFonts w:ascii="Arial" w:cs="Arial" w:eastAsia="Arial" w:hAnsi="Arial"/>
          <w:sz w:val="18"/>
          <w:szCs w:val="18"/>
          <w:color w:val="auto"/>
        </w:rPr>
        <w:t>the rights of the applicable Loan Parties arising out of, solely the Bonded Job Sites that are the subject of the Bonding Obligations, and the aggregate amount of such Liens at any time shall not exceed the face amount of Bonding Obligations then outstanding for such projects, and (iii) if required by the Administrative Agent, such Surety has entered into to an intercreditor arrangement satisfactory to Administrative Agent;</w:t>
      </w:r>
    </w:p>
    <w:p>
      <w:pPr>
        <w:spacing w:after="0" w:line="154" w:lineRule="exact"/>
        <w:rPr>
          <w:sz w:val="20"/>
          <w:szCs w:val="20"/>
          <w:color w:val="auto"/>
        </w:rPr>
      </w:pPr>
    </w:p>
    <w:p>
      <w:pPr>
        <w:jc w:val="both"/>
        <w:ind w:firstLine="634"/>
        <w:spacing w:after="0" w:line="288" w:lineRule="auto"/>
        <w:tabs>
          <w:tab w:leader="none" w:pos="1247" w:val="left"/>
        </w:tabs>
        <w:numPr>
          <w:ilvl w:val="0"/>
          <w:numId w:val="248"/>
        </w:numPr>
        <w:rPr>
          <w:rFonts w:ascii="Arial" w:cs="Arial" w:eastAsia="Arial" w:hAnsi="Arial"/>
          <w:sz w:val="17"/>
          <w:szCs w:val="17"/>
          <w:color w:val="auto"/>
        </w:rPr>
      </w:pPr>
      <w:r>
        <w:rPr>
          <w:rFonts w:ascii="Arial" w:cs="Arial" w:eastAsia="Arial" w:hAnsi="Arial"/>
          <w:sz w:val="17"/>
          <w:szCs w:val="17"/>
          <w:color w:val="auto"/>
        </w:rPr>
        <w:t>Liens with respect to minor imperfections of title and easements, rights-of-way, covenants, consents, reservations, encroachments, variations and zoning and other similar restrictions, charges, encumbrances or title defects affecting Real Property which, in the aggregate, are not substantial in amount, and which do not in any case materially detract from the value of the property subject thereto or materially interfere with the ordinary conduct of the business of the applicable Person and do not materially detract from the value of or materially impair the use by the Loan Parties in the Ordinary Course of Business of the property subject to or to be subject to such encumbrance;</w:t>
      </w:r>
    </w:p>
    <w:p>
      <w:pPr>
        <w:spacing w:after="0" w:line="151" w:lineRule="exact"/>
        <w:rPr>
          <w:rFonts w:ascii="Arial" w:cs="Arial" w:eastAsia="Arial" w:hAnsi="Arial"/>
          <w:sz w:val="17"/>
          <w:szCs w:val="17"/>
          <w:color w:val="auto"/>
        </w:rPr>
      </w:pPr>
    </w:p>
    <w:p>
      <w:pPr>
        <w:ind w:firstLine="634"/>
        <w:spacing w:after="0" w:line="302" w:lineRule="auto"/>
        <w:tabs>
          <w:tab w:leader="none" w:pos="1247" w:val="left"/>
        </w:tabs>
        <w:numPr>
          <w:ilvl w:val="0"/>
          <w:numId w:val="248"/>
        </w:numPr>
        <w:rPr>
          <w:rFonts w:ascii="Arial" w:cs="Arial" w:eastAsia="Arial" w:hAnsi="Arial"/>
          <w:sz w:val="18"/>
          <w:szCs w:val="18"/>
          <w:color w:val="auto"/>
        </w:rPr>
      </w:pPr>
      <w:r>
        <w:rPr>
          <w:rFonts w:ascii="Arial" w:cs="Arial" w:eastAsia="Arial" w:hAnsi="Arial"/>
          <w:sz w:val="18"/>
          <w:szCs w:val="18"/>
          <w:color w:val="auto"/>
        </w:rPr>
        <w:t xml:space="preserve">Liens securing judgments for the payment of money not constituting an Event of Default under </w:t>
      </w:r>
      <w:r>
        <w:rPr>
          <w:rFonts w:ascii="Arial" w:cs="Arial" w:eastAsia="Arial" w:hAnsi="Arial"/>
          <w:sz w:val="18"/>
          <w:szCs w:val="18"/>
          <w:u w:val="single" w:color="auto"/>
          <w:color w:val="auto"/>
        </w:rPr>
        <w:t>Section 9.01</w:t>
      </w:r>
      <w:r>
        <w:rPr>
          <w:rFonts w:ascii="Arial" w:cs="Arial" w:eastAsia="Arial" w:hAnsi="Arial"/>
          <w:sz w:val="18"/>
          <w:szCs w:val="18"/>
          <w:color w:val="auto"/>
        </w:rPr>
        <w:t xml:space="preserve"> or securing appeal or other surety bonds related to such judgments, and which in all cases are junior to the Lien of the Administrative Agent;</w:t>
      </w:r>
    </w:p>
    <w:p>
      <w:pPr>
        <w:spacing w:after="0" w:line="134" w:lineRule="exact"/>
        <w:rPr>
          <w:rFonts w:ascii="Arial" w:cs="Arial" w:eastAsia="Arial" w:hAnsi="Arial"/>
          <w:sz w:val="18"/>
          <w:szCs w:val="18"/>
          <w:color w:val="auto"/>
        </w:rPr>
      </w:pPr>
    </w:p>
    <w:p>
      <w:pPr>
        <w:jc w:val="both"/>
        <w:ind w:firstLine="634"/>
        <w:spacing w:after="0" w:line="259" w:lineRule="auto"/>
        <w:tabs>
          <w:tab w:leader="none" w:pos="1257" w:val="left"/>
        </w:tabs>
        <w:numPr>
          <w:ilvl w:val="0"/>
          <w:numId w:val="248"/>
        </w:numPr>
        <w:rPr>
          <w:rFonts w:ascii="Arial" w:cs="Arial" w:eastAsia="Arial" w:hAnsi="Arial"/>
          <w:sz w:val="19"/>
          <w:szCs w:val="19"/>
          <w:color w:val="auto"/>
        </w:rPr>
      </w:pPr>
      <w:r>
        <w:rPr>
          <w:rFonts w:ascii="Arial" w:cs="Arial" w:eastAsia="Arial" w:hAnsi="Arial"/>
          <w:sz w:val="19"/>
          <w:szCs w:val="19"/>
          <w:color w:val="auto"/>
        </w:rPr>
        <w:t xml:space="preserve">Liens securing Indebtedness permitted under </w:t>
      </w:r>
      <w:r>
        <w:rPr>
          <w:rFonts w:ascii="Arial" w:cs="Arial" w:eastAsia="Arial" w:hAnsi="Arial"/>
          <w:sz w:val="19"/>
          <w:szCs w:val="19"/>
          <w:u w:val="single" w:color="auto"/>
          <w:color w:val="auto"/>
        </w:rPr>
        <w:t>Section 8.01(f)</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such Liens do not at any time encumber any property other than the property acquired with such Indebtedness and (ii) the Indebtedness secured thereby does not exceed the cost or Fair Market Value, whichever is lower, of the property being acquired on the date of acquisition;</w:t>
      </w:r>
    </w:p>
    <w:p>
      <w:pPr>
        <w:spacing w:after="0" w:line="171" w:lineRule="exact"/>
        <w:rPr>
          <w:rFonts w:ascii="Arial" w:cs="Arial" w:eastAsia="Arial" w:hAnsi="Arial"/>
          <w:sz w:val="19"/>
          <w:szCs w:val="19"/>
          <w:color w:val="auto"/>
        </w:rPr>
      </w:pPr>
    </w:p>
    <w:p>
      <w:pPr>
        <w:jc w:val="both"/>
        <w:ind w:firstLine="634"/>
        <w:spacing w:after="0" w:line="250" w:lineRule="auto"/>
        <w:tabs>
          <w:tab w:leader="none" w:pos="1257" w:val="left"/>
        </w:tabs>
        <w:numPr>
          <w:ilvl w:val="0"/>
          <w:numId w:val="248"/>
        </w:numPr>
        <w:rPr>
          <w:rFonts w:ascii="Arial" w:cs="Arial" w:eastAsia="Arial" w:hAnsi="Arial"/>
          <w:sz w:val="19"/>
          <w:szCs w:val="19"/>
          <w:color w:val="auto"/>
        </w:rPr>
      </w:pPr>
      <w:r>
        <w:rPr>
          <w:rFonts w:ascii="Arial" w:cs="Arial" w:eastAsia="Arial" w:hAnsi="Arial"/>
          <w:sz w:val="19"/>
          <w:szCs w:val="19"/>
          <w:color w:val="auto"/>
        </w:rPr>
        <w:t xml:space="preserve">Liens securing Assumed Indebtedness of the Loan Parties or any Restricted Subsidiary permitted pursuant to </w:t>
      </w:r>
      <w:r>
        <w:rPr>
          <w:rFonts w:ascii="Arial" w:cs="Arial" w:eastAsia="Arial" w:hAnsi="Arial"/>
          <w:sz w:val="19"/>
          <w:szCs w:val="19"/>
          <w:u w:val="single" w:color="auto"/>
          <w:color w:val="auto"/>
        </w:rPr>
        <w:t>Section 8.01(g)</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such Liens do not at any time encumber any property other than property of the Subsidiary acquired, or the property acquired, and proceeds thereof in connection with such Assumed Indebtedness and shall not attach to any assets of the Loan Parties theretofore existing or (except for any such proceeds) which arise after the date thereof and (ii) the Assumed Indebtedness and other secured Indebtedness of the Loan Parties secured by any such Lien does not exceed the Fair Market Value of the property being acquired in connection with such Assumed Indebtedness;</w:t>
      </w:r>
    </w:p>
    <w:p>
      <w:pPr>
        <w:spacing w:after="0" w:line="181" w:lineRule="exact"/>
        <w:rPr>
          <w:rFonts w:ascii="Arial" w:cs="Arial" w:eastAsia="Arial" w:hAnsi="Arial"/>
          <w:sz w:val="19"/>
          <w:szCs w:val="19"/>
          <w:color w:val="auto"/>
        </w:rPr>
      </w:pPr>
    </w:p>
    <w:p>
      <w:pPr>
        <w:ind w:firstLine="634"/>
        <w:spacing w:after="0" w:line="274" w:lineRule="auto"/>
        <w:tabs>
          <w:tab w:leader="none" w:pos="1247" w:val="left"/>
        </w:tabs>
        <w:numPr>
          <w:ilvl w:val="0"/>
          <w:numId w:val="248"/>
        </w:numPr>
        <w:rPr>
          <w:rFonts w:ascii="Arial" w:cs="Arial" w:eastAsia="Arial" w:hAnsi="Arial"/>
          <w:sz w:val="19"/>
          <w:szCs w:val="19"/>
          <w:color w:val="auto"/>
        </w:rPr>
      </w:pPr>
      <w:r>
        <w:rPr>
          <w:rFonts w:ascii="Arial" w:cs="Arial" w:eastAsia="Arial" w:hAnsi="Arial"/>
          <w:sz w:val="19"/>
          <w:szCs w:val="19"/>
          <w:color w:val="auto"/>
        </w:rPr>
        <w:t xml:space="preserve">Liens on assets of Foreign Subsidiaries of the Company (other than the Canadian Borrowers) securing Indebtedness of such Foreign Subsidiaries permitted pursuant to </w:t>
      </w:r>
      <w:r>
        <w:rPr>
          <w:rFonts w:ascii="Arial" w:cs="Arial" w:eastAsia="Arial" w:hAnsi="Arial"/>
          <w:sz w:val="19"/>
          <w:szCs w:val="19"/>
          <w:u w:val="single" w:color="auto"/>
          <w:color w:val="auto"/>
        </w:rPr>
        <w:t>Section 8.01(j)</w:t>
      </w:r>
      <w:r>
        <w:rPr>
          <w:rFonts w:ascii="Arial" w:cs="Arial" w:eastAsia="Arial" w:hAnsi="Arial"/>
          <w:sz w:val="19"/>
          <w:szCs w:val="19"/>
          <w:color w:val="auto"/>
        </w:rPr>
        <w:t>;</w:t>
      </w:r>
    </w:p>
    <w:p>
      <w:pPr>
        <w:spacing w:after="0" w:line="156" w:lineRule="exact"/>
        <w:rPr>
          <w:rFonts w:ascii="Arial" w:cs="Arial" w:eastAsia="Arial" w:hAnsi="Arial"/>
          <w:sz w:val="19"/>
          <w:szCs w:val="19"/>
          <w:color w:val="auto"/>
        </w:rPr>
      </w:pPr>
    </w:p>
    <w:p>
      <w:pPr>
        <w:ind w:left="1260" w:hanging="626"/>
        <w:spacing w:after="0"/>
        <w:tabs>
          <w:tab w:leader="none" w:pos="1260" w:val="left"/>
        </w:tabs>
        <w:numPr>
          <w:ilvl w:val="0"/>
          <w:numId w:val="248"/>
        </w:numPr>
        <w:rPr>
          <w:rFonts w:ascii="Arial" w:cs="Arial" w:eastAsia="Arial" w:hAnsi="Arial"/>
          <w:sz w:val="17"/>
          <w:szCs w:val="17"/>
          <w:color w:val="auto"/>
        </w:rPr>
      </w:pPr>
      <w:r>
        <w:rPr>
          <w:rFonts w:ascii="Arial" w:cs="Arial" w:eastAsia="Arial" w:hAnsi="Arial"/>
          <w:sz w:val="17"/>
          <w:szCs w:val="17"/>
          <w:color w:val="auto"/>
        </w:rPr>
        <w:t>operating leases or subleases granted by the Loan Parties to any other non-Affiliated Person in the Ordinary Course of Business;</w:t>
      </w:r>
    </w:p>
    <w:p>
      <w:pPr>
        <w:spacing w:after="0" w:line="237" w:lineRule="exact"/>
        <w:rPr>
          <w:rFonts w:ascii="Arial" w:cs="Arial" w:eastAsia="Arial" w:hAnsi="Arial"/>
          <w:sz w:val="17"/>
          <w:szCs w:val="17"/>
          <w:color w:val="auto"/>
        </w:rPr>
      </w:pPr>
    </w:p>
    <w:p>
      <w:pPr>
        <w:jc w:val="both"/>
        <w:ind w:firstLine="634"/>
        <w:spacing w:after="0" w:line="254" w:lineRule="auto"/>
        <w:tabs>
          <w:tab w:leader="none" w:pos="1248" w:val="left"/>
        </w:tabs>
        <w:numPr>
          <w:ilvl w:val="0"/>
          <w:numId w:val="248"/>
        </w:numPr>
        <w:rPr>
          <w:rFonts w:ascii="Arial" w:cs="Arial" w:eastAsia="Arial" w:hAnsi="Arial"/>
          <w:sz w:val="19"/>
          <w:szCs w:val="19"/>
          <w:color w:val="auto"/>
        </w:rPr>
      </w:pPr>
      <w:r>
        <w:rPr>
          <w:rFonts w:ascii="Arial" w:cs="Arial" w:eastAsia="Arial" w:hAnsi="Arial"/>
          <w:sz w:val="19"/>
          <w:szCs w:val="19"/>
          <w:color w:val="auto"/>
        </w:rPr>
        <w:t>Liens (a) of a collection bank arising under Section 4-210 of the UCC or any comparable or successor provision on items in the course of collection, (b) attaching to commodity trading accounts or other commodity brokerage accounts incurred in the ordinary course of business and (c) in favor of banking institutions arising as a matter of law encumbering deposits (including the right of set-off) and which are within the general parameters customary in the banking industry; and</w:t>
      </w:r>
    </w:p>
    <w:p>
      <w:pPr>
        <w:spacing w:after="0" w:line="176" w:lineRule="exact"/>
        <w:rPr>
          <w:rFonts w:ascii="Arial" w:cs="Arial" w:eastAsia="Arial" w:hAnsi="Arial"/>
          <w:sz w:val="19"/>
          <w:szCs w:val="19"/>
          <w:color w:val="auto"/>
        </w:rPr>
      </w:pPr>
    </w:p>
    <w:p>
      <w:pPr>
        <w:jc w:val="both"/>
        <w:ind w:firstLine="634"/>
        <w:spacing w:after="0" w:line="259" w:lineRule="auto"/>
        <w:tabs>
          <w:tab w:leader="none" w:pos="1247" w:val="left"/>
        </w:tabs>
        <w:numPr>
          <w:ilvl w:val="0"/>
          <w:numId w:val="248"/>
        </w:numPr>
        <w:rPr>
          <w:rFonts w:ascii="Arial" w:cs="Arial" w:eastAsia="Arial" w:hAnsi="Arial"/>
          <w:sz w:val="19"/>
          <w:szCs w:val="19"/>
          <w:color w:val="auto"/>
        </w:rPr>
      </w:pPr>
      <w:r>
        <w:rPr>
          <w:rFonts w:ascii="Arial" w:cs="Arial" w:eastAsia="Arial" w:hAnsi="Arial"/>
          <w:sz w:val="19"/>
          <w:szCs w:val="19"/>
          <w:color w:val="auto"/>
        </w:rPr>
        <w:t>Liens in favor of customs and revenue authorities imposed by Law to secure payment of customs duties in connection with the importation of goods and arising in the Ordinary Course of Business which are not overdue for a period of more than 30 days or which are being Properly Contested;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142</w:t>
      </w:r>
    </w:p>
    <w:p>
      <w:pPr>
        <w:sectPr>
          <w:pgSz w:w="11900" w:h="16838" w:orient="portrait"/>
          <w:cols w:equalWidth="0" w:num="1">
            <w:col w:w="11240"/>
          </w:cols>
          <w:pgMar w:left="320" w:top="1381" w:right="339" w:bottom="1440" w:gutter="0" w:footer="0" w:header="0"/>
        </w:sectPr>
      </w:pPr>
    </w:p>
    <w:bookmarkStart w:id="261" w:name="page262"/>
    <w:bookmarkEnd w:id="261"/>
    <w:p>
      <w:pPr>
        <w:jc w:val="both"/>
        <w:ind w:firstLine="634"/>
        <w:spacing w:after="0" w:line="254" w:lineRule="auto"/>
        <w:tabs>
          <w:tab w:leader="none" w:pos="1247" w:val="left"/>
        </w:tabs>
        <w:numPr>
          <w:ilvl w:val="0"/>
          <w:numId w:val="249"/>
        </w:numPr>
        <w:rPr>
          <w:rFonts w:ascii="Arial" w:cs="Arial" w:eastAsia="Arial" w:hAnsi="Arial"/>
          <w:sz w:val="19"/>
          <w:szCs w:val="19"/>
          <w:color w:val="auto"/>
        </w:rPr>
      </w:pPr>
      <w:r>
        <w:rPr>
          <w:rFonts w:ascii="Arial" w:cs="Arial" w:eastAsia="Arial" w:hAnsi="Arial"/>
          <w:sz w:val="19"/>
          <w:szCs w:val="19"/>
          <w:color w:val="auto"/>
        </w:rPr>
        <w:t>Liens in favor of JPMorgan Chase Bank, N.A. (“</w:t>
      </w:r>
      <w:r>
        <w:rPr>
          <w:rFonts w:ascii="Arial" w:cs="Arial" w:eastAsia="Arial" w:hAnsi="Arial"/>
          <w:sz w:val="19"/>
          <w:szCs w:val="19"/>
          <w:u w:val="single" w:color="auto"/>
          <w:color w:val="auto"/>
        </w:rPr>
        <w:t>JPMorgan</w:t>
      </w:r>
      <w:r>
        <w:rPr>
          <w:rFonts w:ascii="Arial" w:cs="Arial" w:eastAsia="Arial" w:hAnsi="Arial"/>
          <w:sz w:val="19"/>
          <w:szCs w:val="19"/>
          <w:color w:val="auto"/>
        </w:rPr>
        <w:t xml:space="preserve">”) on cash collateral held by JPMorgan in a segregated deposit account in an aggregate amount of up to $2,6000,000 pledged and deposited with JPMorgan as collateral for the Loan Parties existing cash management agreements with JPMorgan, but only until such time as such cash management services with JPMorgan are terminated and transferred to the Administrative Agent or its Affiliates in accordance with </w:t>
      </w:r>
      <w:r>
        <w:rPr>
          <w:rFonts w:ascii="Arial" w:cs="Arial" w:eastAsia="Arial" w:hAnsi="Arial"/>
          <w:sz w:val="19"/>
          <w:szCs w:val="19"/>
          <w:u w:val="single" w:color="auto"/>
          <w:color w:val="auto"/>
        </w:rPr>
        <w:t>Section 7.19</w:t>
      </w:r>
      <w:r>
        <w:rPr>
          <w:rFonts w:ascii="Arial" w:cs="Arial" w:eastAsia="Arial" w:hAnsi="Arial"/>
          <w:sz w:val="19"/>
          <w:szCs w:val="19"/>
          <w:color w:val="auto"/>
        </w:rPr>
        <w:t>.</w:t>
      </w:r>
    </w:p>
    <w:p>
      <w:pPr>
        <w:spacing w:after="0" w:line="171"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9"/>
          <w:szCs w:val="19"/>
          <w:b w:val="1"/>
          <w:bCs w:val="1"/>
          <w:color w:val="auto"/>
        </w:rPr>
        <w:t>8.3</w:t>
      </w:r>
      <w:r>
        <w:rPr>
          <w:sz w:val="20"/>
          <w:szCs w:val="20"/>
          <w:color w:val="auto"/>
        </w:rPr>
        <w:tab/>
      </w:r>
      <w:r>
        <w:rPr>
          <w:rFonts w:ascii="Arial" w:cs="Arial" w:eastAsia="Arial" w:hAnsi="Arial"/>
          <w:sz w:val="17"/>
          <w:szCs w:val="17"/>
          <w:b w:val="1"/>
          <w:bCs w:val="1"/>
          <w:color w:val="auto"/>
        </w:rPr>
        <w:t xml:space="preserve">Investments. </w:t>
      </w:r>
      <w:r>
        <w:rPr>
          <w:rFonts w:ascii="Arial" w:cs="Arial" w:eastAsia="Arial" w:hAnsi="Arial"/>
          <w:sz w:val="17"/>
          <w:szCs w:val="17"/>
          <w:color w:val="auto"/>
        </w:rPr>
        <w:t>Make or maintain any Investments, except:</w:t>
      </w:r>
    </w:p>
    <w:p>
      <w:pPr>
        <w:spacing w:after="0" w:line="220" w:lineRule="exact"/>
        <w:rPr>
          <w:sz w:val="20"/>
          <w:szCs w:val="20"/>
          <w:color w:val="auto"/>
        </w:rPr>
      </w:pPr>
    </w:p>
    <w:p>
      <w:pPr>
        <w:ind w:firstLine="634"/>
        <w:spacing w:after="0" w:line="274" w:lineRule="auto"/>
        <w:tabs>
          <w:tab w:leader="none" w:pos="1249" w:val="left"/>
        </w:tabs>
        <w:numPr>
          <w:ilvl w:val="0"/>
          <w:numId w:val="250"/>
        </w:numPr>
        <w:rPr>
          <w:rFonts w:ascii="Arial" w:cs="Arial" w:eastAsia="Arial" w:hAnsi="Arial"/>
          <w:sz w:val="19"/>
          <w:szCs w:val="19"/>
          <w:color w:val="auto"/>
        </w:rPr>
      </w:pPr>
      <w:r>
        <w:rPr>
          <w:rFonts w:ascii="Arial" w:cs="Arial" w:eastAsia="Arial" w:hAnsi="Arial"/>
          <w:sz w:val="19"/>
          <w:szCs w:val="19"/>
          <w:color w:val="auto"/>
        </w:rPr>
        <w:t>Investments held by the Loan Parties in the form of Cash Equivalents that are subject to the Administrative Agent’s Lien and control, pursuant to documentation in form and substance satisfactory to the Administrative Agent;</w:t>
      </w:r>
    </w:p>
    <w:p>
      <w:pPr>
        <w:spacing w:after="0" w:line="156" w:lineRule="exact"/>
        <w:rPr>
          <w:rFonts w:ascii="Arial" w:cs="Arial" w:eastAsia="Arial" w:hAnsi="Arial"/>
          <w:sz w:val="19"/>
          <w:szCs w:val="19"/>
          <w:color w:val="auto"/>
        </w:rPr>
      </w:pPr>
    </w:p>
    <w:p>
      <w:pPr>
        <w:ind w:firstLine="634"/>
        <w:spacing w:after="0" w:line="274" w:lineRule="auto"/>
        <w:tabs>
          <w:tab w:leader="none" w:pos="1247" w:val="left"/>
        </w:tabs>
        <w:numPr>
          <w:ilvl w:val="0"/>
          <w:numId w:val="250"/>
        </w:numPr>
        <w:rPr>
          <w:rFonts w:ascii="Arial" w:cs="Arial" w:eastAsia="Arial" w:hAnsi="Arial"/>
          <w:sz w:val="19"/>
          <w:szCs w:val="19"/>
          <w:color w:val="auto"/>
        </w:rPr>
      </w:pPr>
      <w:r>
        <w:rPr>
          <w:rFonts w:ascii="Arial" w:cs="Arial" w:eastAsia="Arial" w:hAnsi="Arial"/>
          <w:sz w:val="19"/>
          <w:szCs w:val="19"/>
          <w:color w:val="auto"/>
        </w:rPr>
        <w:t>loans and advances to officers, directors and employees of the Loan Parties and Restricted Subsidiaries made in the Ordinary Course of Business in an aggregate amount at any one time outstanding not to exceed $250,000;</w:t>
      </w:r>
    </w:p>
    <w:p>
      <w:pPr>
        <w:spacing w:after="0" w:line="156" w:lineRule="exact"/>
        <w:rPr>
          <w:rFonts w:ascii="Arial" w:cs="Arial" w:eastAsia="Arial" w:hAnsi="Arial"/>
          <w:sz w:val="19"/>
          <w:szCs w:val="19"/>
          <w:color w:val="auto"/>
        </w:rPr>
      </w:pPr>
    </w:p>
    <w:p>
      <w:pPr>
        <w:jc w:val="both"/>
        <w:ind w:firstLine="634"/>
        <w:spacing w:after="0" w:line="248" w:lineRule="auto"/>
        <w:tabs>
          <w:tab w:leader="none" w:pos="1249" w:val="left"/>
        </w:tabs>
        <w:numPr>
          <w:ilvl w:val="0"/>
          <w:numId w:val="250"/>
        </w:numPr>
        <w:rPr>
          <w:rFonts w:ascii="Arial" w:cs="Arial" w:eastAsia="Arial" w:hAnsi="Arial"/>
          <w:sz w:val="19"/>
          <w:szCs w:val="19"/>
          <w:color w:val="auto"/>
        </w:rPr>
      </w:pPr>
      <w:r>
        <w:rPr>
          <w:rFonts w:ascii="Arial" w:cs="Arial" w:eastAsia="Arial" w:hAnsi="Arial"/>
          <w:sz w:val="19"/>
          <w:szCs w:val="19"/>
          <w:color w:val="auto"/>
        </w:rPr>
        <w:t xml:space="preserve">(i) Investments in Subsidiaries outstanding on the date hereof, (ii) Investments in Loan Parties, (iii) Investments by Restricted Subsidiaries that are not Loan Parties in other Subsidiaries that are not Loan Parties,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Restricted Subsidiary making such Investment is a wholly-owned Subsidiary, then the recipient of such Investment shall also be a wholly-owned Subsidiary, and (iv) so long as no Default or Event of Default has occurred and is continuing or would result from such Investment, Investments in wholly-owned Subsidiaries that are not Loan Parties in an aggregate amount during the term of this Agreement not to exceed $10,000,000;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(x) if the amount of such Investment under this clause (iv) exceeds $2,000,000 in any transaction or any series of related transactions, then the Borrower Agent shall have delivered a certificate to the Administrative Agent demonstrating compliance with this clause (iv) at least ten (10) Business Days prior to each such Investment, and (y) if the aggregate amount of all Investments made on account of this clause (iv) exceeds (or after giving effect thereto, would exceed) $2,000,000 in the aggregate at any time, the Payment Conditions must be satisfied in order to make any further Investment on account of that clause;</w:t>
      </w:r>
    </w:p>
    <w:p>
      <w:pPr>
        <w:spacing w:after="0" w:line="181" w:lineRule="exact"/>
        <w:rPr>
          <w:rFonts w:ascii="Arial" w:cs="Arial" w:eastAsia="Arial" w:hAnsi="Arial"/>
          <w:sz w:val="19"/>
          <w:szCs w:val="19"/>
          <w:color w:val="auto"/>
        </w:rPr>
      </w:pPr>
    </w:p>
    <w:p>
      <w:pPr>
        <w:jc w:val="both"/>
        <w:ind w:firstLine="634"/>
        <w:spacing w:after="0" w:line="259" w:lineRule="auto"/>
        <w:tabs>
          <w:tab w:leader="none" w:pos="1247" w:val="left"/>
        </w:tabs>
        <w:numPr>
          <w:ilvl w:val="0"/>
          <w:numId w:val="250"/>
        </w:numPr>
        <w:rPr>
          <w:rFonts w:ascii="Arial" w:cs="Arial" w:eastAsia="Arial" w:hAnsi="Arial"/>
          <w:sz w:val="19"/>
          <w:szCs w:val="19"/>
          <w:color w:val="auto"/>
        </w:rPr>
      </w:pPr>
      <w:r>
        <w:rPr>
          <w:rFonts w:ascii="Arial" w:cs="Arial" w:eastAsia="Arial" w:hAnsi="Arial"/>
          <w:sz w:val="19"/>
          <w:szCs w:val="19"/>
          <w:color w:val="auto"/>
        </w:rPr>
        <w:t>Investments consisting of extensions of credit in the nature of accounts receivable or notes receivable arising from the grant of trade credit in the Ordinary Course of Business, and Investments received in satisfaction or partial satisfaction thereof from financially troubled Account Debtors to the extent reasonably necessary in order to prevent or limit loss;</w:t>
      </w:r>
    </w:p>
    <w:p>
      <w:pPr>
        <w:spacing w:after="0" w:line="171" w:lineRule="exact"/>
        <w:rPr>
          <w:rFonts w:ascii="Arial" w:cs="Arial" w:eastAsia="Arial" w:hAnsi="Arial"/>
          <w:sz w:val="19"/>
          <w:szCs w:val="19"/>
          <w:color w:val="auto"/>
        </w:rPr>
      </w:pPr>
    </w:p>
    <w:p>
      <w:pPr>
        <w:ind w:left="1260" w:hanging="626"/>
        <w:spacing w:after="0"/>
        <w:tabs>
          <w:tab w:leader="none" w:pos="1260" w:val="left"/>
        </w:tabs>
        <w:numPr>
          <w:ilvl w:val="0"/>
          <w:numId w:val="250"/>
        </w:numPr>
        <w:rPr>
          <w:rFonts w:ascii="Arial" w:cs="Arial" w:eastAsia="Arial" w:hAnsi="Arial"/>
          <w:sz w:val="19"/>
          <w:szCs w:val="19"/>
          <w:color w:val="auto"/>
        </w:rPr>
      </w:pPr>
      <w:r>
        <w:rPr>
          <w:rFonts w:ascii="Arial" w:cs="Arial" w:eastAsia="Arial" w:hAnsi="Arial"/>
          <w:sz w:val="19"/>
          <w:szCs w:val="19"/>
          <w:color w:val="auto"/>
        </w:rPr>
        <w:t xml:space="preserve">Guarantees permitted by </w:t>
      </w:r>
      <w:r>
        <w:rPr>
          <w:rFonts w:ascii="Arial" w:cs="Arial" w:eastAsia="Arial" w:hAnsi="Arial"/>
          <w:sz w:val="19"/>
          <w:szCs w:val="19"/>
          <w:u w:val="single" w:color="auto"/>
          <w:color w:val="auto"/>
        </w:rPr>
        <w:t>Section 8.01</w:t>
      </w:r>
      <w:r>
        <w:rPr>
          <w:rFonts w:ascii="Arial" w:cs="Arial" w:eastAsia="Arial" w:hAnsi="Arial"/>
          <w:sz w:val="19"/>
          <w:szCs w:val="19"/>
          <w:color w:val="auto"/>
        </w:rPr>
        <w:t>;</w:t>
      </w:r>
    </w:p>
    <w:p>
      <w:pPr>
        <w:spacing w:after="0" w:line="214" w:lineRule="exact"/>
        <w:rPr>
          <w:rFonts w:ascii="Arial" w:cs="Arial" w:eastAsia="Arial" w:hAnsi="Arial"/>
          <w:sz w:val="19"/>
          <w:szCs w:val="19"/>
          <w:color w:val="auto"/>
        </w:rPr>
      </w:pPr>
    </w:p>
    <w:p>
      <w:pPr>
        <w:jc w:val="both"/>
        <w:ind w:firstLine="634"/>
        <w:spacing w:after="0" w:line="280" w:lineRule="auto"/>
        <w:tabs>
          <w:tab w:leader="none" w:pos="1254" w:val="left"/>
        </w:tabs>
        <w:numPr>
          <w:ilvl w:val="0"/>
          <w:numId w:val="250"/>
        </w:numPr>
        <w:rPr>
          <w:rFonts w:ascii="Arial" w:cs="Arial" w:eastAsia="Arial" w:hAnsi="Arial"/>
          <w:sz w:val="18"/>
          <w:szCs w:val="18"/>
          <w:color w:val="auto"/>
        </w:rPr>
      </w:pPr>
      <w:r>
        <w:rPr>
          <w:rFonts w:ascii="Arial" w:cs="Arial" w:eastAsia="Arial" w:hAnsi="Arial"/>
          <w:sz w:val="18"/>
          <w:szCs w:val="18"/>
          <w:color w:val="auto"/>
        </w:rPr>
        <w:t xml:space="preserve">Investments existing as of the date hereof as described in </w:t>
      </w:r>
      <w:r>
        <w:rPr>
          <w:rFonts w:ascii="Arial" w:cs="Arial" w:eastAsia="Arial" w:hAnsi="Arial"/>
          <w:sz w:val="18"/>
          <w:szCs w:val="18"/>
          <w:u w:val="single" w:color="auto"/>
          <w:color w:val="auto"/>
        </w:rPr>
        <w:t>Schedule 8.03</w:t>
      </w:r>
      <w:r>
        <w:rPr>
          <w:rFonts w:ascii="Arial" w:cs="Arial" w:eastAsia="Arial" w:hAnsi="Arial"/>
          <w:sz w:val="18"/>
          <w:szCs w:val="18"/>
          <w:color w:val="auto"/>
        </w:rPr>
        <w:t xml:space="preserve"> (setting forth, as of the Closing Date, the amount, obligor or issuer and maturity, if any, thereof) and extensions or renewals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extension or renewal shall be permitted if it would (i) increase the amount of such Investment at the time of such extension or renewal or (ii) result in a Default hereunder;</w:t>
      </w:r>
    </w:p>
    <w:p>
      <w:pPr>
        <w:spacing w:after="0" w:line="154" w:lineRule="exact"/>
        <w:rPr>
          <w:rFonts w:ascii="Arial" w:cs="Arial" w:eastAsia="Arial" w:hAnsi="Arial"/>
          <w:sz w:val="18"/>
          <w:szCs w:val="18"/>
          <w:color w:val="auto"/>
        </w:rPr>
      </w:pPr>
    </w:p>
    <w:p>
      <w:pPr>
        <w:ind w:left="1260" w:hanging="626"/>
        <w:spacing w:after="0"/>
        <w:tabs>
          <w:tab w:leader="none" w:pos="1260" w:val="left"/>
        </w:tabs>
        <w:numPr>
          <w:ilvl w:val="0"/>
          <w:numId w:val="250"/>
        </w:numPr>
        <w:rPr>
          <w:rFonts w:ascii="Arial" w:cs="Arial" w:eastAsia="Arial" w:hAnsi="Arial"/>
          <w:sz w:val="19"/>
          <w:szCs w:val="19"/>
          <w:color w:val="auto"/>
        </w:rPr>
      </w:pPr>
      <w:r>
        <w:rPr>
          <w:rFonts w:ascii="Arial" w:cs="Arial" w:eastAsia="Arial" w:hAnsi="Arial"/>
          <w:sz w:val="19"/>
          <w:szCs w:val="19"/>
          <w:color w:val="auto"/>
        </w:rPr>
        <w:t>Investments constituting Permitted Acquisitions;</w:t>
      </w:r>
    </w:p>
    <w:p>
      <w:pPr>
        <w:spacing w:after="0" w:line="214" w:lineRule="exact"/>
        <w:rPr>
          <w:rFonts w:ascii="Arial" w:cs="Arial" w:eastAsia="Arial" w:hAnsi="Arial"/>
          <w:sz w:val="19"/>
          <w:szCs w:val="19"/>
          <w:color w:val="auto"/>
        </w:rPr>
      </w:pPr>
    </w:p>
    <w:p>
      <w:pPr>
        <w:ind w:left="1260" w:hanging="626"/>
        <w:spacing w:after="0"/>
        <w:tabs>
          <w:tab w:leader="none" w:pos="126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Investments of up to $20,000,000 at any time in Joint Ventures, so long as the Payment Conditions are satisfied with respect</w:t>
      </w:r>
    </w:p>
    <w:p>
      <w:pPr>
        <w:spacing w:after="0" w:line="3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9"/>
          <w:szCs w:val="19"/>
          <w:color w:val="auto"/>
        </w:rPr>
        <w:t>thereto;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143</w:t>
      </w:r>
    </w:p>
    <w:p>
      <w:pPr>
        <w:sectPr>
          <w:pgSz w:w="11900" w:h="16838" w:orient="portrait"/>
          <w:cols w:equalWidth="0" w:num="1">
            <w:col w:w="11240"/>
          </w:cols>
          <w:pgMar w:left="320" w:top="1382" w:right="339" w:bottom="1440" w:gutter="0" w:footer="0" w:header="0"/>
        </w:sectPr>
      </w:pPr>
    </w:p>
    <w:bookmarkStart w:id="262" w:name="page263"/>
    <w:bookmarkEnd w:id="262"/>
    <w:p>
      <w:pPr>
        <w:jc w:val="both"/>
        <w:ind w:firstLine="634"/>
        <w:spacing w:after="0" w:line="259" w:lineRule="auto"/>
        <w:tabs>
          <w:tab w:leader="none" w:pos="1257" w:val="left"/>
        </w:tabs>
        <w:numPr>
          <w:ilvl w:val="0"/>
          <w:numId w:val="251"/>
        </w:numPr>
        <w:rPr>
          <w:rFonts w:ascii="Arial" w:cs="Arial" w:eastAsia="Arial" w:hAnsi="Arial"/>
          <w:sz w:val="19"/>
          <w:szCs w:val="19"/>
          <w:color w:val="auto"/>
        </w:rPr>
      </w:pPr>
      <w:r>
        <w:rPr>
          <w:rFonts w:ascii="Arial" w:cs="Arial" w:eastAsia="Arial" w:hAnsi="Arial"/>
          <w:sz w:val="19"/>
          <w:szCs w:val="19"/>
          <w:color w:val="auto"/>
        </w:rPr>
        <w:t>other Investments neither constituting Acquisitions nor constituting Investments in a non-Loan Party, so long as (x) the Payment Conditions are satisfied with respect thereto and (y) the aggregate amount of such Investments in any fiscal year of the Borrowers shall not exceed $5,000,000.</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 xml:space="preserve">Notwithstanding the terms of this </w:t>
      </w:r>
      <w:r>
        <w:rPr>
          <w:rFonts w:ascii="Arial" w:cs="Arial" w:eastAsia="Arial" w:hAnsi="Arial"/>
          <w:sz w:val="19"/>
          <w:szCs w:val="19"/>
          <w:u w:val="single" w:color="auto"/>
          <w:color w:val="auto"/>
        </w:rPr>
        <w:t>Section 8.03</w:t>
      </w:r>
      <w:r>
        <w:rPr>
          <w:rFonts w:ascii="Arial" w:cs="Arial" w:eastAsia="Arial" w:hAnsi="Arial"/>
          <w:sz w:val="19"/>
          <w:szCs w:val="19"/>
          <w:color w:val="auto"/>
        </w:rPr>
        <w:t xml:space="preserve">, </w:t>
      </w:r>
      <w:r>
        <w:rPr>
          <w:rFonts w:ascii="Arial" w:cs="Arial" w:eastAsia="Arial" w:hAnsi="Arial"/>
          <w:sz w:val="19"/>
          <w:szCs w:val="19"/>
          <w:u w:val="single" w:color="auto"/>
          <w:color w:val="auto"/>
        </w:rPr>
        <w:t>8.04</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8.05</w:t>
      </w:r>
      <w:r>
        <w:rPr>
          <w:rFonts w:ascii="Arial" w:cs="Arial" w:eastAsia="Arial" w:hAnsi="Arial"/>
          <w:sz w:val="19"/>
          <w:szCs w:val="19"/>
          <w:color w:val="auto"/>
        </w:rPr>
        <w:t>, in no event shall any Loan Party or any Restricted Subsidiary sell, lease, convey, assign, transfer or otherwise dispose of Intellectual Property or any other material asset necessary for the operation of the Loan Parties or any Restricted Subsidiary business to any Person that is a non-Loan Party Affiliate of a Loan Party.</w:t>
      </w:r>
    </w:p>
    <w:p>
      <w:pPr>
        <w:spacing w:after="0" w:line="165" w:lineRule="exact"/>
        <w:rPr>
          <w:sz w:val="20"/>
          <w:szCs w:val="20"/>
          <w:color w:val="auto"/>
        </w:rPr>
      </w:pPr>
    </w:p>
    <w:p>
      <w:pPr>
        <w:jc w:val="both"/>
        <w:ind w:firstLine="629"/>
        <w:spacing w:after="0" w:line="280" w:lineRule="auto"/>
        <w:rPr>
          <w:sz w:val="20"/>
          <w:szCs w:val="20"/>
          <w:color w:val="auto"/>
        </w:rPr>
      </w:pPr>
      <w:r>
        <w:rPr>
          <w:rFonts w:ascii="Arial" w:cs="Arial" w:eastAsia="Arial" w:hAnsi="Arial"/>
          <w:sz w:val="19"/>
          <w:szCs w:val="19"/>
          <w:b w:val="1"/>
          <w:bCs w:val="1"/>
          <w:color w:val="auto"/>
        </w:rPr>
        <w:t xml:space="preserve">8.4 Fundamental Changes. </w:t>
      </w:r>
      <w:r>
        <w:rPr>
          <w:rFonts w:ascii="Arial" w:cs="Arial" w:eastAsia="Arial" w:hAnsi="Arial"/>
          <w:sz w:val="19"/>
          <w:szCs w:val="19"/>
          <w:color w:val="auto"/>
        </w:rPr>
        <w:t>Merge, amalgamate, Divide, dissolve, liquidate, consolidate with or into another Person, except that, so</w:t>
      </w:r>
      <w:r>
        <w:rPr>
          <w:rFonts w:ascii="Arial" w:cs="Arial" w:eastAsia="Arial" w:hAnsi="Arial"/>
          <w:sz w:val="19"/>
          <w:szCs w:val="19"/>
          <w:b w:val="1"/>
          <w:bCs w:val="1"/>
          <w:color w:val="auto"/>
        </w:rPr>
        <w:t xml:space="preserve"> </w:t>
      </w:r>
      <w:r>
        <w:rPr>
          <w:rFonts w:ascii="Arial" w:cs="Arial" w:eastAsia="Arial" w:hAnsi="Arial"/>
          <w:sz w:val="19"/>
          <w:szCs w:val="19"/>
          <w:color w:val="auto"/>
        </w:rPr>
        <w:t>long as no Default exists or would result therefrom:</w:t>
      </w:r>
    </w:p>
    <w:p>
      <w:pPr>
        <w:spacing w:after="0" w:line="152" w:lineRule="exact"/>
        <w:rPr>
          <w:sz w:val="20"/>
          <w:szCs w:val="20"/>
          <w:color w:val="auto"/>
        </w:rPr>
      </w:pPr>
    </w:p>
    <w:p>
      <w:pPr>
        <w:ind w:firstLine="634"/>
        <w:spacing w:after="0" w:line="274" w:lineRule="auto"/>
        <w:tabs>
          <w:tab w:leader="none" w:pos="1249" w:val="left"/>
        </w:tabs>
        <w:numPr>
          <w:ilvl w:val="0"/>
          <w:numId w:val="252"/>
        </w:numPr>
        <w:rPr>
          <w:rFonts w:ascii="Arial" w:cs="Arial" w:eastAsia="Arial" w:hAnsi="Arial"/>
          <w:sz w:val="19"/>
          <w:szCs w:val="19"/>
          <w:color w:val="auto"/>
        </w:rPr>
      </w:pPr>
      <w:r>
        <w:rPr>
          <w:rFonts w:ascii="Arial" w:cs="Arial" w:eastAsia="Arial" w:hAnsi="Arial"/>
          <w:sz w:val="19"/>
          <w:szCs w:val="19"/>
          <w:color w:val="auto"/>
        </w:rPr>
        <w:t xml:space="preserve">any Subsidiary of the Company may merge, amalgamate or consolidate with or liquidate or dissolve into a Loan Party; </w:t>
      </w:r>
      <w:r>
        <w:rPr>
          <w:rFonts w:ascii="Arial" w:cs="Arial" w:eastAsia="Arial" w:hAnsi="Arial"/>
          <w:sz w:val="19"/>
          <w:szCs w:val="19"/>
          <w:u w:val="single" w:color="auto"/>
          <w:color w:val="auto"/>
        </w:rPr>
        <w:t>provided</w:t>
      </w:r>
      <w:r>
        <w:rPr>
          <w:rFonts w:ascii="Arial" w:cs="Arial" w:eastAsia="Arial" w:hAnsi="Arial"/>
          <w:sz w:val="19"/>
          <w:szCs w:val="19"/>
          <w:color w:val="auto"/>
        </w:rPr>
        <w:t>, that, the Loan Party (or if the Company is involved, the Company) shall be the continuing or surviving Person;</w:t>
      </w:r>
    </w:p>
    <w:p>
      <w:pPr>
        <w:spacing w:after="0" w:line="156" w:lineRule="exact"/>
        <w:rPr>
          <w:rFonts w:ascii="Arial" w:cs="Arial" w:eastAsia="Arial" w:hAnsi="Arial"/>
          <w:sz w:val="19"/>
          <w:szCs w:val="19"/>
          <w:color w:val="auto"/>
        </w:rPr>
      </w:pPr>
    </w:p>
    <w:p>
      <w:pPr>
        <w:jc w:val="both"/>
        <w:ind w:firstLine="634"/>
        <w:spacing w:after="0" w:line="252" w:lineRule="auto"/>
        <w:tabs>
          <w:tab w:leader="none" w:pos="1247" w:val="left"/>
        </w:tabs>
        <w:numPr>
          <w:ilvl w:val="0"/>
          <w:numId w:val="252"/>
        </w:numPr>
        <w:rPr>
          <w:rFonts w:ascii="Arial" w:cs="Arial" w:eastAsia="Arial" w:hAnsi="Arial"/>
          <w:sz w:val="19"/>
          <w:szCs w:val="19"/>
          <w:color w:val="auto"/>
        </w:rPr>
      </w:pPr>
      <w:r>
        <w:rPr>
          <w:rFonts w:ascii="Arial" w:cs="Arial" w:eastAsia="Arial" w:hAnsi="Arial"/>
          <w:sz w:val="19"/>
          <w:szCs w:val="19"/>
          <w:color w:val="auto"/>
        </w:rPr>
        <w:t xml:space="preserve">in connection with a Permitted Acquisition, any Subsidiary of a Loan Party may merge or amalgamate with or into or consolidate with any other Person or permit any other Person to merge or amalgamate with or into or consolidate with it; </w:t>
      </w:r>
      <w:r>
        <w:rPr>
          <w:rFonts w:ascii="Arial" w:cs="Arial" w:eastAsia="Arial" w:hAnsi="Arial"/>
          <w:sz w:val="19"/>
          <w:szCs w:val="19"/>
          <w:u w:val="single" w:color="auto"/>
          <w:color w:val="auto"/>
        </w:rPr>
        <w:t>provided</w:t>
      </w:r>
      <w:r>
        <w:rPr>
          <w:rFonts w:ascii="Arial" w:cs="Arial" w:eastAsia="Arial" w:hAnsi="Arial"/>
          <w:sz w:val="19"/>
          <w:szCs w:val="19"/>
          <w:color w:val="auto"/>
        </w:rPr>
        <w:t>, that, (i) the Person surviving such merger or amalgamation shall be a wholly-owned Subsidiary of a Loan Party or shall be the Company and (ii) in the case of any such merger or amalgamation to which any Loan Party is a party, such Loan Party (or if the Company is involved, the Company) is the continuing or surviving Person; and</w:t>
      </w:r>
    </w:p>
    <w:p>
      <w:pPr>
        <w:spacing w:after="0" w:line="177" w:lineRule="exact"/>
        <w:rPr>
          <w:rFonts w:ascii="Arial" w:cs="Arial" w:eastAsia="Arial" w:hAnsi="Arial"/>
          <w:sz w:val="19"/>
          <w:szCs w:val="19"/>
          <w:color w:val="auto"/>
        </w:rPr>
      </w:pPr>
    </w:p>
    <w:p>
      <w:pPr>
        <w:jc w:val="both"/>
        <w:ind w:firstLine="634"/>
        <w:spacing w:after="0" w:line="259" w:lineRule="auto"/>
        <w:tabs>
          <w:tab w:leader="none" w:pos="1249" w:val="left"/>
        </w:tabs>
        <w:numPr>
          <w:ilvl w:val="0"/>
          <w:numId w:val="252"/>
        </w:numPr>
        <w:rPr>
          <w:rFonts w:ascii="Arial" w:cs="Arial" w:eastAsia="Arial" w:hAnsi="Arial"/>
          <w:sz w:val="19"/>
          <w:szCs w:val="19"/>
          <w:color w:val="auto"/>
        </w:rPr>
      </w:pPr>
      <w:r>
        <w:rPr>
          <w:rFonts w:ascii="Arial" w:cs="Arial" w:eastAsia="Arial" w:hAnsi="Arial"/>
          <w:sz w:val="19"/>
          <w:szCs w:val="19"/>
          <w:color w:val="auto"/>
        </w:rPr>
        <w:t xml:space="preserve">any Subsidiary that is not a Loan Party may merge into or amalgamate with any other Subsidiary that is not a Loan Party;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when any wholly-owned Subsidiary is merging or amalgamating with another Subsidiary that is not wholly-owned, the wholly-owned Subsidiary shall be the continuing or surviving Person; and</w:t>
      </w:r>
    </w:p>
    <w:p>
      <w:pPr>
        <w:spacing w:after="0" w:line="171" w:lineRule="exact"/>
        <w:rPr>
          <w:rFonts w:ascii="Arial" w:cs="Arial" w:eastAsia="Arial" w:hAnsi="Arial"/>
          <w:sz w:val="19"/>
          <w:szCs w:val="19"/>
          <w:color w:val="auto"/>
        </w:rPr>
      </w:pPr>
    </w:p>
    <w:p>
      <w:pPr>
        <w:jc w:val="both"/>
        <w:ind w:firstLine="634"/>
        <w:spacing w:after="0" w:line="280" w:lineRule="auto"/>
        <w:tabs>
          <w:tab w:leader="none" w:pos="1247" w:val="left"/>
        </w:tabs>
        <w:numPr>
          <w:ilvl w:val="0"/>
          <w:numId w:val="252"/>
        </w:numPr>
        <w:rPr>
          <w:rFonts w:ascii="Arial" w:cs="Arial" w:eastAsia="Arial" w:hAnsi="Arial"/>
          <w:sz w:val="18"/>
          <w:szCs w:val="18"/>
          <w:color w:val="auto"/>
        </w:rPr>
      </w:pPr>
      <w:r>
        <w:rPr>
          <w:rFonts w:ascii="Arial" w:cs="Arial" w:eastAsia="Arial" w:hAnsi="Arial"/>
          <w:sz w:val="18"/>
          <w:szCs w:val="18"/>
          <w:color w:val="auto"/>
        </w:rPr>
        <w:t>notwithstanding anything herein to the contrary, the Loan Parties may liquidate and dissolve Mobile Aquatic Solutions, Inc., an Oklahoma corporation, DEVCO USA, LLC, an Oklahoma limited liability company, and River Consulting, LLC, a Louisiana limited liability company, so long as in each case, the assets of such liquidated or dissolved entities are transferred to another domestic Loan Party.</w:t>
      </w:r>
    </w:p>
    <w:p>
      <w:pPr>
        <w:spacing w:after="0" w:line="148"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9"/>
          <w:szCs w:val="19"/>
          <w:b w:val="1"/>
          <w:bCs w:val="1"/>
          <w:color w:val="auto"/>
        </w:rPr>
        <w:t>8.5</w:t>
      </w:r>
      <w:r>
        <w:rPr>
          <w:sz w:val="20"/>
          <w:szCs w:val="20"/>
          <w:color w:val="auto"/>
        </w:rPr>
        <w:tab/>
      </w:r>
      <w:r>
        <w:rPr>
          <w:rFonts w:ascii="Arial" w:cs="Arial" w:eastAsia="Arial" w:hAnsi="Arial"/>
          <w:sz w:val="17"/>
          <w:szCs w:val="17"/>
          <w:b w:val="1"/>
          <w:bCs w:val="1"/>
          <w:color w:val="auto"/>
        </w:rPr>
        <w:t xml:space="preserve">Dispositions. </w:t>
      </w:r>
      <w:r>
        <w:rPr>
          <w:rFonts w:ascii="Arial" w:cs="Arial" w:eastAsia="Arial" w:hAnsi="Arial"/>
          <w:sz w:val="17"/>
          <w:szCs w:val="17"/>
          <w:color w:val="auto"/>
        </w:rPr>
        <w:t>Make any Disposition or enter into any agreement to make any Disposition, except:</w:t>
      </w:r>
    </w:p>
    <w:p>
      <w:pPr>
        <w:spacing w:after="0" w:line="220" w:lineRule="exact"/>
        <w:rPr>
          <w:sz w:val="20"/>
          <w:szCs w:val="20"/>
          <w:color w:val="auto"/>
        </w:rPr>
      </w:pPr>
    </w:p>
    <w:p>
      <w:pPr>
        <w:ind w:firstLine="634"/>
        <w:spacing w:after="0" w:line="274" w:lineRule="auto"/>
        <w:tabs>
          <w:tab w:leader="none" w:pos="1249" w:val="left"/>
        </w:tabs>
        <w:numPr>
          <w:ilvl w:val="0"/>
          <w:numId w:val="253"/>
        </w:numPr>
        <w:rPr>
          <w:rFonts w:ascii="Arial" w:cs="Arial" w:eastAsia="Arial" w:hAnsi="Arial"/>
          <w:sz w:val="19"/>
          <w:szCs w:val="19"/>
          <w:color w:val="auto"/>
        </w:rPr>
      </w:pPr>
      <w:r>
        <w:rPr>
          <w:rFonts w:ascii="Arial" w:cs="Arial" w:eastAsia="Arial" w:hAnsi="Arial"/>
          <w:sz w:val="19"/>
          <w:szCs w:val="19"/>
          <w:color w:val="auto"/>
        </w:rPr>
        <w:t>Dispositions of Inventory and, so long as no Event of Default exists or is created thereby, Cash Equivalents, each in the Ordinary Course of Business;</w:t>
      </w:r>
    </w:p>
    <w:p>
      <w:pPr>
        <w:spacing w:after="0" w:line="156" w:lineRule="exact"/>
        <w:rPr>
          <w:rFonts w:ascii="Arial" w:cs="Arial" w:eastAsia="Arial" w:hAnsi="Arial"/>
          <w:sz w:val="19"/>
          <w:szCs w:val="19"/>
          <w:color w:val="auto"/>
        </w:rPr>
      </w:pPr>
    </w:p>
    <w:p>
      <w:pPr>
        <w:jc w:val="both"/>
        <w:ind w:firstLine="634"/>
        <w:spacing w:after="0" w:line="273" w:lineRule="auto"/>
        <w:tabs>
          <w:tab w:leader="none" w:pos="1247" w:val="left"/>
        </w:tabs>
        <w:numPr>
          <w:ilvl w:val="0"/>
          <w:numId w:val="253"/>
        </w:numPr>
        <w:rPr>
          <w:rFonts w:ascii="Arial" w:cs="Arial" w:eastAsia="Arial" w:hAnsi="Arial"/>
          <w:sz w:val="18"/>
          <w:szCs w:val="18"/>
          <w:color w:val="auto"/>
        </w:rPr>
      </w:pPr>
      <w:r>
        <w:rPr>
          <w:rFonts w:ascii="Arial" w:cs="Arial" w:eastAsia="Arial" w:hAnsi="Arial"/>
          <w:sz w:val="18"/>
          <w:szCs w:val="18"/>
          <w:color w:val="auto"/>
        </w:rPr>
        <w:t xml:space="preserve">Dispositions in the Ordinary Course of Business of Equipment or fixed assets that are obsolete or worn out, so long as (i) no Event of Default has occurred and is continuing at the time of such Disposition, (ii) (A) the aggregate Fair Market Value or a book value, whichever is more, of such Equipment and fixed assets does not exceed $1,500,000 in any twelve-month period or (B) such Equipment or fixed assets have been fully depreciated, and (iii) all proceeds thereof are applied in accordance with </w:t>
      </w:r>
      <w:r>
        <w:rPr>
          <w:rFonts w:ascii="Arial" w:cs="Arial" w:eastAsia="Arial" w:hAnsi="Arial"/>
          <w:sz w:val="18"/>
          <w:szCs w:val="18"/>
          <w:u w:val="single" w:color="auto"/>
          <w:color w:val="auto"/>
        </w:rPr>
        <w:t>Section 2.06(c)</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144</w:t>
      </w:r>
    </w:p>
    <w:p>
      <w:pPr>
        <w:sectPr>
          <w:pgSz w:w="11900" w:h="16838" w:orient="portrait"/>
          <w:cols w:equalWidth="0" w:num="1">
            <w:col w:w="11240"/>
          </w:cols>
          <w:pgMar w:left="320" w:top="1381" w:right="339" w:bottom="1440" w:gutter="0" w:footer="0" w:header="0"/>
        </w:sectPr>
      </w:pPr>
    </w:p>
    <w:bookmarkStart w:id="263" w:name="page264"/>
    <w:bookmarkEnd w:id="263"/>
    <w:p>
      <w:pPr>
        <w:jc w:val="both"/>
        <w:ind w:firstLine="634"/>
        <w:spacing w:after="0" w:line="259" w:lineRule="auto"/>
        <w:tabs>
          <w:tab w:leader="none" w:pos="1249" w:val="left"/>
        </w:tabs>
        <w:numPr>
          <w:ilvl w:val="0"/>
          <w:numId w:val="254"/>
        </w:numPr>
        <w:rPr>
          <w:rFonts w:ascii="Arial" w:cs="Arial" w:eastAsia="Arial" w:hAnsi="Arial"/>
          <w:sz w:val="19"/>
          <w:szCs w:val="19"/>
          <w:color w:val="auto"/>
        </w:rPr>
      </w:pPr>
      <w:r>
        <w:rPr>
          <w:rFonts w:ascii="Arial" w:cs="Arial" w:eastAsia="Arial" w:hAnsi="Arial"/>
          <w:sz w:val="19"/>
          <w:szCs w:val="19"/>
          <w:color w:val="auto"/>
        </w:rPr>
        <w:t xml:space="preserve">Dispositions that constitute (i) an Investments permitted under </w:t>
      </w:r>
      <w:r>
        <w:rPr>
          <w:rFonts w:ascii="Arial" w:cs="Arial" w:eastAsia="Arial" w:hAnsi="Arial"/>
          <w:sz w:val="19"/>
          <w:szCs w:val="19"/>
          <w:u w:val="single" w:color="auto"/>
          <w:color w:val="auto"/>
        </w:rPr>
        <w:t>Section 8.03</w:t>
      </w:r>
      <w:r>
        <w:rPr>
          <w:rFonts w:ascii="Arial" w:cs="Arial" w:eastAsia="Arial" w:hAnsi="Arial"/>
          <w:sz w:val="19"/>
          <w:szCs w:val="19"/>
          <w:color w:val="auto"/>
        </w:rPr>
        <w:t xml:space="preserve">, (ii) a Lien permitted under </w:t>
      </w:r>
      <w:r>
        <w:rPr>
          <w:rFonts w:ascii="Arial" w:cs="Arial" w:eastAsia="Arial" w:hAnsi="Arial"/>
          <w:sz w:val="19"/>
          <w:szCs w:val="19"/>
          <w:u w:val="single" w:color="auto"/>
          <w:color w:val="auto"/>
        </w:rPr>
        <w:t>Section 8.02</w:t>
      </w:r>
      <w:r>
        <w:rPr>
          <w:rFonts w:ascii="Arial" w:cs="Arial" w:eastAsia="Arial" w:hAnsi="Arial"/>
          <w:sz w:val="19"/>
          <w:szCs w:val="19"/>
          <w:color w:val="auto"/>
        </w:rPr>
        <w:t xml:space="preserve">, (iii) a merger, amalgamation, dissolution, consolidation or liquidation permitted under </w:t>
      </w:r>
      <w:r>
        <w:rPr>
          <w:rFonts w:ascii="Arial" w:cs="Arial" w:eastAsia="Arial" w:hAnsi="Arial"/>
          <w:sz w:val="19"/>
          <w:szCs w:val="19"/>
          <w:u w:val="single" w:color="auto"/>
          <w:color w:val="auto"/>
        </w:rPr>
        <w:t>Section 8.04(a)</w:t>
      </w:r>
      <w:r>
        <w:rPr>
          <w:rFonts w:ascii="Arial" w:cs="Arial" w:eastAsia="Arial" w:hAnsi="Arial"/>
          <w:sz w:val="19"/>
          <w:szCs w:val="19"/>
          <w:color w:val="auto"/>
        </w:rPr>
        <w:t xml:space="preserve">, or (iv) a Restricted Payment permitted under </w:t>
      </w:r>
      <w:r>
        <w:rPr>
          <w:rFonts w:ascii="Arial" w:cs="Arial" w:eastAsia="Arial" w:hAnsi="Arial"/>
          <w:sz w:val="19"/>
          <w:szCs w:val="19"/>
          <w:u w:val="single" w:color="auto"/>
          <w:color w:val="auto"/>
        </w:rPr>
        <w:t>Section 8.06</w:t>
      </w:r>
      <w:r>
        <w:rPr>
          <w:rFonts w:ascii="Arial" w:cs="Arial" w:eastAsia="Arial" w:hAnsi="Arial"/>
          <w:sz w:val="19"/>
          <w:szCs w:val="19"/>
          <w:color w:val="auto"/>
        </w:rPr>
        <w:t>;</w:t>
      </w:r>
    </w:p>
    <w:p>
      <w:pPr>
        <w:spacing w:after="0" w:line="171" w:lineRule="exact"/>
        <w:rPr>
          <w:rFonts w:ascii="Arial" w:cs="Arial" w:eastAsia="Arial" w:hAnsi="Arial"/>
          <w:sz w:val="19"/>
          <w:szCs w:val="19"/>
          <w:color w:val="auto"/>
        </w:rPr>
      </w:pPr>
    </w:p>
    <w:p>
      <w:pPr>
        <w:ind w:firstLine="634"/>
        <w:spacing w:after="0" w:line="274" w:lineRule="auto"/>
        <w:tabs>
          <w:tab w:leader="none" w:pos="1247" w:val="left"/>
        </w:tabs>
        <w:numPr>
          <w:ilvl w:val="0"/>
          <w:numId w:val="254"/>
        </w:numPr>
        <w:rPr>
          <w:rFonts w:ascii="Arial" w:cs="Arial" w:eastAsia="Arial" w:hAnsi="Arial"/>
          <w:sz w:val="19"/>
          <w:szCs w:val="19"/>
          <w:color w:val="auto"/>
        </w:rPr>
      </w:pPr>
      <w:r>
        <w:rPr>
          <w:rFonts w:ascii="Arial" w:cs="Arial" w:eastAsia="Arial" w:hAnsi="Arial"/>
          <w:sz w:val="19"/>
          <w:szCs w:val="19"/>
          <w:color w:val="auto"/>
        </w:rPr>
        <w:t xml:space="preserve">Dispositions that result from a casualty or condemnation in respect of such property or assets and is not otherwise an Event of Default, so long as all proceeds thereof are applied in accordance with </w:t>
      </w:r>
      <w:r>
        <w:rPr>
          <w:rFonts w:ascii="Arial" w:cs="Arial" w:eastAsia="Arial" w:hAnsi="Arial"/>
          <w:sz w:val="19"/>
          <w:szCs w:val="19"/>
          <w:u w:val="single" w:color="auto"/>
          <w:color w:val="auto"/>
        </w:rPr>
        <w:t>Section 2.06(c)</w:t>
      </w:r>
      <w:r>
        <w:rPr>
          <w:rFonts w:ascii="Arial" w:cs="Arial" w:eastAsia="Arial" w:hAnsi="Arial"/>
          <w:sz w:val="19"/>
          <w:szCs w:val="19"/>
          <w:color w:val="auto"/>
        </w:rPr>
        <w:t>;</w:t>
      </w:r>
    </w:p>
    <w:p>
      <w:pPr>
        <w:spacing w:after="0" w:line="156" w:lineRule="exact"/>
        <w:rPr>
          <w:rFonts w:ascii="Arial" w:cs="Arial" w:eastAsia="Arial" w:hAnsi="Arial"/>
          <w:sz w:val="19"/>
          <w:szCs w:val="19"/>
          <w:color w:val="auto"/>
        </w:rPr>
      </w:pPr>
    </w:p>
    <w:p>
      <w:pPr>
        <w:ind w:firstLine="634"/>
        <w:spacing w:after="0" w:line="274" w:lineRule="auto"/>
        <w:tabs>
          <w:tab w:leader="none" w:pos="1249" w:val="left"/>
        </w:tabs>
        <w:numPr>
          <w:ilvl w:val="0"/>
          <w:numId w:val="254"/>
        </w:numPr>
        <w:rPr>
          <w:rFonts w:ascii="Arial" w:cs="Arial" w:eastAsia="Arial" w:hAnsi="Arial"/>
          <w:sz w:val="19"/>
          <w:szCs w:val="19"/>
          <w:color w:val="auto"/>
        </w:rPr>
      </w:pPr>
      <w:r>
        <w:rPr>
          <w:rFonts w:ascii="Arial" w:cs="Arial" w:eastAsia="Arial" w:hAnsi="Arial"/>
          <w:sz w:val="19"/>
          <w:szCs w:val="19"/>
          <w:color w:val="auto"/>
        </w:rPr>
        <w:t>the licensing, on a non-exclusive basis, of patents, trademarks, copyrights, and other Intellectual Property rights in the Ordinary Course of Business,</w:t>
      </w:r>
    </w:p>
    <w:p>
      <w:pPr>
        <w:spacing w:after="0" w:line="156" w:lineRule="exact"/>
        <w:rPr>
          <w:rFonts w:ascii="Arial" w:cs="Arial" w:eastAsia="Arial" w:hAnsi="Arial"/>
          <w:sz w:val="19"/>
          <w:szCs w:val="19"/>
          <w:color w:val="auto"/>
        </w:rPr>
      </w:pPr>
    </w:p>
    <w:p>
      <w:pPr>
        <w:jc w:val="both"/>
        <w:ind w:firstLine="634"/>
        <w:spacing w:after="0" w:line="254" w:lineRule="auto"/>
        <w:tabs>
          <w:tab w:leader="none" w:pos="1254" w:val="left"/>
        </w:tabs>
        <w:numPr>
          <w:ilvl w:val="0"/>
          <w:numId w:val="254"/>
        </w:numPr>
        <w:rPr>
          <w:rFonts w:ascii="Arial" w:cs="Arial" w:eastAsia="Arial" w:hAnsi="Arial"/>
          <w:sz w:val="19"/>
          <w:szCs w:val="19"/>
          <w:color w:val="auto"/>
        </w:rPr>
      </w:pPr>
      <w:r>
        <w:rPr>
          <w:rFonts w:ascii="Arial" w:cs="Arial" w:eastAsia="Arial" w:hAnsi="Arial"/>
          <w:sz w:val="19"/>
          <w:szCs w:val="19"/>
          <w:color w:val="auto"/>
        </w:rPr>
        <w:t>(i) the lapse of immaterial registered patents, trademarks, copyrights and other Intellectual Property to the extent maintaining such registered Intellectual Property is not economically desirable in the conduct of its business or (ii) the abandonment of patents, trademarks, copyrights, or other intellectual property rights in the Ordinary Course of Business so long as in each case under clauses (i) and (ii), such lapse or abandonment is not materially adverse to the interests of the Secured Parties;</w:t>
      </w:r>
    </w:p>
    <w:p>
      <w:pPr>
        <w:spacing w:after="0" w:line="176" w:lineRule="exact"/>
        <w:rPr>
          <w:rFonts w:ascii="Arial" w:cs="Arial" w:eastAsia="Arial" w:hAnsi="Arial"/>
          <w:sz w:val="19"/>
          <w:szCs w:val="19"/>
          <w:color w:val="auto"/>
        </w:rPr>
      </w:pPr>
    </w:p>
    <w:p>
      <w:pPr>
        <w:ind w:firstLine="634"/>
        <w:spacing w:after="0" w:line="274" w:lineRule="auto"/>
        <w:tabs>
          <w:tab w:leader="none" w:pos="1247" w:val="left"/>
        </w:tabs>
        <w:numPr>
          <w:ilvl w:val="0"/>
          <w:numId w:val="254"/>
        </w:numPr>
        <w:rPr>
          <w:rFonts w:ascii="Arial" w:cs="Arial" w:eastAsia="Arial" w:hAnsi="Arial"/>
          <w:sz w:val="19"/>
          <w:szCs w:val="19"/>
          <w:color w:val="auto"/>
        </w:rPr>
      </w:pPr>
      <w:r>
        <w:rPr>
          <w:rFonts w:ascii="Arial" w:cs="Arial" w:eastAsia="Arial" w:hAnsi="Arial"/>
          <w:sz w:val="19"/>
          <w:szCs w:val="19"/>
          <w:color w:val="auto"/>
        </w:rPr>
        <w:t xml:space="preserve">the leasing or subleasing of assets (other than sale and leaseback transactions prohibited under </w:t>
      </w:r>
      <w:r>
        <w:rPr>
          <w:rFonts w:ascii="Arial" w:cs="Arial" w:eastAsia="Arial" w:hAnsi="Arial"/>
          <w:sz w:val="19"/>
          <w:szCs w:val="19"/>
          <w:u w:val="single" w:color="auto"/>
          <w:color w:val="auto"/>
        </w:rPr>
        <w:t>Section 8.15</w:t>
      </w:r>
      <w:r>
        <w:rPr>
          <w:rFonts w:ascii="Arial" w:cs="Arial" w:eastAsia="Arial" w:hAnsi="Arial"/>
          <w:sz w:val="19"/>
          <w:szCs w:val="19"/>
          <w:color w:val="auto"/>
        </w:rPr>
        <w:t>) in the Ordinary Course of Business;</w:t>
      </w:r>
    </w:p>
    <w:p>
      <w:pPr>
        <w:spacing w:after="0" w:line="156" w:lineRule="exact"/>
        <w:rPr>
          <w:rFonts w:ascii="Arial" w:cs="Arial" w:eastAsia="Arial" w:hAnsi="Arial"/>
          <w:sz w:val="19"/>
          <w:szCs w:val="19"/>
          <w:color w:val="auto"/>
        </w:rPr>
      </w:pPr>
    </w:p>
    <w:p>
      <w:pPr>
        <w:jc w:val="both"/>
        <w:ind w:firstLine="634"/>
        <w:spacing w:after="0" w:line="259" w:lineRule="auto"/>
        <w:tabs>
          <w:tab w:leader="none" w:pos="1247" w:val="left"/>
        </w:tabs>
        <w:numPr>
          <w:ilvl w:val="0"/>
          <w:numId w:val="254"/>
        </w:numPr>
        <w:rPr>
          <w:rFonts w:ascii="Arial" w:cs="Arial" w:eastAsia="Arial" w:hAnsi="Arial"/>
          <w:sz w:val="19"/>
          <w:szCs w:val="19"/>
          <w:color w:val="auto"/>
        </w:rPr>
      </w:pPr>
      <w:r>
        <w:rPr>
          <w:rFonts w:ascii="Arial" w:cs="Arial" w:eastAsia="Arial" w:hAnsi="Arial"/>
          <w:sz w:val="19"/>
          <w:szCs w:val="19"/>
          <w:color w:val="auto"/>
        </w:rPr>
        <w:t xml:space="preserve">Dispositions that consist of the sale or discount in the Ordinary Course of Business of overdue accounts receivable that are neither Eligible Accounts nor Eligible Time and Material Accounts in connection with the compromise or collection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Net Cash Proceeds from such Disposition shall be deposited in the Concentration Account;</w:t>
      </w:r>
    </w:p>
    <w:p>
      <w:pPr>
        <w:spacing w:after="0" w:line="171" w:lineRule="exact"/>
        <w:rPr>
          <w:rFonts w:ascii="Arial" w:cs="Arial" w:eastAsia="Arial" w:hAnsi="Arial"/>
          <w:sz w:val="19"/>
          <w:szCs w:val="19"/>
          <w:color w:val="auto"/>
        </w:rPr>
      </w:pPr>
    </w:p>
    <w:p>
      <w:pPr>
        <w:ind w:left="1260" w:hanging="626"/>
        <w:spacing w:after="0"/>
        <w:tabs>
          <w:tab w:leader="none" w:pos="1260" w:val="left"/>
        </w:tabs>
        <w:numPr>
          <w:ilvl w:val="0"/>
          <w:numId w:val="254"/>
        </w:numPr>
        <w:rPr>
          <w:rFonts w:ascii="Arial" w:cs="Arial" w:eastAsia="Arial" w:hAnsi="Arial"/>
          <w:sz w:val="19"/>
          <w:szCs w:val="19"/>
          <w:color w:val="auto"/>
        </w:rPr>
      </w:pPr>
      <w:r>
        <w:rPr>
          <w:rFonts w:ascii="Arial" w:cs="Arial" w:eastAsia="Arial" w:hAnsi="Arial"/>
          <w:sz w:val="19"/>
          <w:szCs w:val="19"/>
          <w:color w:val="auto"/>
        </w:rPr>
        <w:t>Dispositions among the Loan Parties or by any Subsidiary to a Loan Party;</w:t>
      </w:r>
    </w:p>
    <w:p>
      <w:pPr>
        <w:spacing w:after="0" w:line="214" w:lineRule="exact"/>
        <w:rPr>
          <w:rFonts w:ascii="Arial" w:cs="Arial" w:eastAsia="Arial" w:hAnsi="Arial"/>
          <w:sz w:val="19"/>
          <w:szCs w:val="19"/>
          <w:color w:val="auto"/>
        </w:rPr>
      </w:pPr>
    </w:p>
    <w:p>
      <w:pPr>
        <w:ind w:left="1260" w:hanging="626"/>
        <w:spacing w:after="0"/>
        <w:tabs>
          <w:tab w:leader="none" w:pos="1260" w:val="left"/>
        </w:tabs>
        <w:numPr>
          <w:ilvl w:val="0"/>
          <w:numId w:val="254"/>
        </w:numPr>
        <w:rPr>
          <w:rFonts w:ascii="Arial" w:cs="Arial" w:eastAsia="Arial" w:hAnsi="Arial"/>
          <w:sz w:val="19"/>
          <w:szCs w:val="19"/>
          <w:color w:val="auto"/>
        </w:rPr>
      </w:pPr>
      <w:r>
        <w:rPr>
          <w:rFonts w:ascii="Arial" w:cs="Arial" w:eastAsia="Arial" w:hAnsi="Arial"/>
          <w:sz w:val="19"/>
          <w:szCs w:val="19"/>
          <w:color w:val="auto"/>
        </w:rPr>
        <w:t>Dispositions by any Subsidiary which is not a Loan Party to another Subsidiary that is not a Loan Party; and</w:t>
      </w:r>
    </w:p>
    <w:p>
      <w:pPr>
        <w:spacing w:after="0" w:line="214" w:lineRule="exact"/>
        <w:rPr>
          <w:rFonts w:ascii="Arial" w:cs="Arial" w:eastAsia="Arial" w:hAnsi="Arial"/>
          <w:sz w:val="19"/>
          <w:szCs w:val="19"/>
          <w:color w:val="auto"/>
        </w:rPr>
      </w:pPr>
    </w:p>
    <w:p>
      <w:pPr>
        <w:jc w:val="both"/>
        <w:ind w:firstLine="634"/>
        <w:spacing w:after="0" w:line="294" w:lineRule="auto"/>
        <w:tabs>
          <w:tab w:leader="none" w:pos="1247" w:val="left"/>
        </w:tabs>
        <w:numPr>
          <w:ilvl w:val="0"/>
          <w:numId w:val="254"/>
        </w:numPr>
        <w:rPr>
          <w:rFonts w:ascii="Arial" w:cs="Arial" w:eastAsia="Arial" w:hAnsi="Arial"/>
          <w:sz w:val="17"/>
          <w:szCs w:val="17"/>
          <w:color w:val="auto"/>
        </w:rPr>
      </w:pPr>
      <w:r>
        <w:rPr>
          <w:rFonts w:ascii="Arial" w:cs="Arial" w:eastAsia="Arial" w:hAnsi="Arial"/>
          <w:sz w:val="17"/>
          <w:szCs w:val="17"/>
          <w:color w:val="auto"/>
        </w:rPr>
        <w:t>other Dispositions of assets (other than Borrowing Base Assets or any contracts or other general intangibles related thereto), so long as (i) no Event of Default has occurred and is continuing at the time of such Disposition, (ii) at least 75% of the consideration payable with respect to such Disposition shall be in the form of cash paid at the time of such Disposition, and (iii) the Fair Market Value of all such assets Disposed of, whether individually or in a series of related transactions, does not exceed $1,000,000 in the aggregate in any fiscal year.</w:t>
      </w:r>
    </w:p>
    <w:p>
      <w:pPr>
        <w:spacing w:after="0" w:line="138" w:lineRule="exact"/>
        <w:rPr>
          <w:sz w:val="20"/>
          <w:szCs w:val="20"/>
          <w:color w:val="auto"/>
        </w:rPr>
      </w:pPr>
    </w:p>
    <w:p>
      <w:pPr>
        <w:jc w:val="both"/>
        <w:ind w:firstLine="629"/>
        <w:spacing w:after="0" w:line="262" w:lineRule="auto"/>
        <w:rPr>
          <w:sz w:val="20"/>
          <w:szCs w:val="20"/>
          <w:color w:val="auto"/>
        </w:rPr>
      </w:pPr>
      <w:r>
        <w:rPr>
          <w:rFonts w:ascii="Arial" w:cs="Arial" w:eastAsia="Arial" w:hAnsi="Arial"/>
          <w:sz w:val="19"/>
          <w:szCs w:val="19"/>
          <w:b w:val="1"/>
          <w:bCs w:val="1"/>
          <w:color w:val="auto"/>
        </w:rPr>
        <w:t>8.6 Restricted Payments</w:t>
      </w:r>
      <w:r>
        <w:rPr>
          <w:rFonts w:ascii="Arial" w:cs="Arial" w:eastAsia="Arial" w:hAnsi="Arial"/>
          <w:sz w:val="19"/>
          <w:szCs w:val="19"/>
          <w:color w:val="auto"/>
        </w:rPr>
        <w:t>. Declare or make, directly or indirectly, any Restricted Payment, or incur any obligation (contingent or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otherwise) to do so, except that, in each case (except </w:t>
      </w:r>
      <w:r>
        <w:rPr>
          <w:rFonts w:ascii="Arial" w:cs="Arial" w:eastAsia="Arial" w:hAnsi="Arial"/>
          <w:sz w:val="19"/>
          <w:szCs w:val="19"/>
          <w:u w:val="single" w:color="auto"/>
          <w:color w:val="auto"/>
        </w:rPr>
        <w:t>Section 8.06(a)</w:t>
      </w:r>
      <w:r>
        <w:rPr>
          <w:rFonts w:ascii="Arial" w:cs="Arial" w:eastAsia="Arial" w:hAnsi="Arial"/>
          <w:sz w:val="19"/>
          <w:szCs w:val="19"/>
          <w:color w:val="auto"/>
        </w:rPr>
        <w:t>) so long as no Default or Event of Default shall have occurred and be continuing (both before or as a result of the making of such Restricted Payment):</w:t>
      </w:r>
    </w:p>
    <w:p>
      <w:pPr>
        <w:spacing w:after="0" w:line="169" w:lineRule="exact"/>
        <w:rPr>
          <w:sz w:val="20"/>
          <w:szCs w:val="20"/>
          <w:color w:val="auto"/>
        </w:rPr>
      </w:pPr>
    </w:p>
    <w:p>
      <w:pPr>
        <w:ind w:left="1260" w:hanging="626"/>
        <w:spacing w:after="0"/>
        <w:tabs>
          <w:tab w:leader="none" w:pos="1260" w:val="left"/>
        </w:tabs>
        <w:numPr>
          <w:ilvl w:val="0"/>
          <w:numId w:val="255"/>
        </w:numPr>
        <w:rPr>
          <w:rFonts w:ascii="Arial" w:cs="Arial" w:eastAsia="Arial" w:hAnsi="Arial"/>
          <w:sz w:val="19"/>
          <w:szCs w:val="19"/>
          <w:color w:val="auto"/>
        </w:rPr>
      </w:pPr>
      <w:r>
        <w:rPr>
          <w:rFonts w:ascii="Arial" w:cs="Arial" w:eastAsia="Arial" w:hAnsi="Arial"/>
          <w:sz w:val="19"/>
          <w:szCs w:val="19"/>
          <w:color w:val="auto"/>
        </w:rPr>
        <w:t>each Restricted Subsidiary may make Restricted Payments to any Borrower;</w:t>
      </w:r>
    </w:p>
    <w:p>
      <w:pPr>
        <w:spacing w:after="0" w:line="214" w:lineRule="exact"/>
        <w:rPr>
          <w:rFonts w:ascii="Arial" w:cs="Arial" w:eastAsia="Arial" w:hAnsi="Arial"/>
          <w:sz w:val="19"/>
          <w:szCs w:val="19"/>
          <w:color w:val="auto"/>
        </w:rPr>
      </w:pPr>
    </w:p>
    <w:p>
      <w:pPr>
        <w:ind w:firstLine="634"/>
        <w:spacing w:after="0" w:line="274" w:lineRule="auto"/>
        <w:tabs>
          <w:tab w:leader="none" w:pos="1247" w:val="left"/>
        </w:tabs>
        <w:numPr>
          <w:ilvl w:val="0"/>
          <w:numId w:val="255"/>
        </w:numPr>
        <w:rPr>
          <w:rFonts w:ascii="Arial" w:cs="Arial" w:eastAsia="Arial" w:hAnsi="Arial"/>
          <w:sz w:val="19"/>
          <w:szCs w:val="19"/>
          <w:color w:val="auto"/>
        </w:rPr>
      </w:pPr>
      <w:r>
        <w:rPr>
          <w:rFonts w:ascii="Arial" w:cs="Arial" w:eastAsia="Arial" w:hAnsi="Arial"/>
          <w:sz w:val="19"/>
          <w:szCs w:val="19"/>
          <w:color w:val="auto"/>
        </w:rPr>
        <w:t>the Company and each Restricted Subsidiary may declare and make dividend payments or other distributions payable solely in the common stock or other common Equity Interests (other than Disqualified Equity Interests) of such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145</w:t>
      </w:r>
    </w:p>
    <w:p>
      <w:pPr>
        <w:sectPr>
          <w:pgSz w:w="11900" w:h="16838" w:orient="portrait"/>
          <w:cols w:equalWidth="0" w:num="1">
            <w:col w:w="11240"/>
          </w:cols>
          <w:pgMar w:left="320" w:top="1381" w:right="339" w:bottom="1440" w:gutter="0" w:footer="0" w:header="0"/>
        </w:sectPr>
      </w:pPr>
    </w:p>
    <w:bookmarkStart w:id="264" w:name="page265"/>
    <w:bookmarkEnd w:id="264"/>
    <w:p>
      <w:pPr>
        <w:jc w:val="both"/>
        <w:ind w:firstLine="634"/>
        <w:spacing w:after="0" w:line="249" w:lineRule="auto"/>
        <w:tabs>
          <w:tab w:leader="none" w:pos="1249" w:val="left"/>
        </w:tabs>
        <w:numPr>
          <w:ilvl w:val="0"/>
          <w:numId w:val="256"/>
        </w:numPr>
        <w:rPr>
          <w:rFonts w:ascii="Arial" w:cs="Arial" w:eastAsia="Arial" w:hAnsi="Arial"/>
          <w:sz w:val="19"/>
          <w:szCs w:val="19"/>
          <w:color w:val="auto"/>
        </w:rPr>
      </w:pPr>
      <w:r>
        <w:rPr>
          <w:rFonts w:ascii="Arial" w:cs="Arial" w:eastAsia="Arial" w:hAnsi="Arial"/>
          <w:sz w:val="19"/>
          <w:szCs w:val="19"/>
          <w:color w:val="auto"/>
        </w:rPr>
        <w:t>during each fiscal year (commencing with the fiscal year beginning July 1, 2021) following the Company’s delivery in accordance with this Agreement of its annual audited financial statements for the most recently ended fiscal year, the Company may make cash Restricted Payments in an aggregate amount not to exceed $2,500,000 in any fiscal year, so long as (1) such Restricted Payments are concurrently applied in their entirety to repurchase Equity Interests (other than Disqualified Equity Interests) of the Company in accordance with the Company’s existing share buyback program, as it may be amended from time to time by the Company’s board of directors, or under any other share buyback plan approved from time to time by the Company’s board of directors and (2) the Payment Conditions are satisfied with respect to each such Restricted Payment; and</w:t>
      </w:r>
    </w:p>
    <w:p>
      <w:pPr>
        <w:spacing w:after="0" w:line="183" w:lineRule="exact"/>
        <w:rPr>
          <w:rFonts w:ascii="Arial" w:cs="Arial" w:eastAsia="Arial" w:hAnsi="Arial"/>
          <w:sz w:val="19"/>
          <w:szCs w:val="19"/>
          <w:color w:val="auto"/>
        </w:rPr>
      </w:pPr>
    </w:p>
    <w:p>
      <w:pPr>
        <w:jc w:val="both"/>
        <w:ind w:firstLine="634"/>
        <w:spacing w:after="0" w:line="254" w:lineRule="auto"/>
        <w:tabs>
          <w:tab w:leader="none" w:pos="1247" w:val="left"/>
        </w:tabs>
        <w:numPr>
          <w:ilvl w:val="0"/>
          <w:numId w:val="256"/>
        </w:numPr>
        <w:rPr>
          <w:rFonts w:ascii="Arial" w:cs="Arial" w:eastAsia="Arial" w:hAnsi="Arial"/>
          <w:sz w:val="19"/>
          <w:szCs w:val="19"/>
          <w:color w:val="auto"/>
        </w:rPr>
      </w:pPr>
      <w:r>
        <w:rPr>
          <w:rFonts w:ascii="Arial" w:cs="Arial" w:eastAsia="Arial" w:hAnsi="Arial"/>
          <w:sz w:val="19"/>
          <w:szCs w:val="19"/>
          <w:color w:val="auto"/>
        </w:rPr>
        <w:t>the Company and each Restricted Subsidiary may make cash Restricted Payments or Restricted Payments in the form of Equity Interests of the Company, in either case pursuant to and in accordance with stock option plans or other benefit plans for management or employees of the Borrower and its Restricted Subsidiaries adopted and maintained in the ordinary course of business by the Board of Directors of the Company.</w:t>
      </w:r>
    </w:p>
    <w:p>
      <w:pPr>
        <w:spacing w:after="0" w:line="171" w:lineRule="exact"/>
        <w:rPr>
          <w:sz w:val="20"/>
          <w:szCs w:val="20"/>
          <w:color w:val="auto"/>
        </w:rPr>
      </w:pPr>
    </w:p>
    <w:p>
      <w:pPr>
        <w:ind w:firstLine="629"/>
        <w:spacing w:after="0" w:line="309" w:lineRule="auto"/>
        <w:rPr>
          <w:sz w:val="20"/>
          <w:szCs w:val="20"/>
          <w:color w:val="auto"/>
        </w:rPr>
      </w:pPr>
      <w:r>
        <w:rPr>
          <w:rFonts w:ascii="Arial" w:cs="Arial" w:eastAsia="Arial" w:hAnsi="Arial"/>
          <w:sz w:val="18"/>
          <w:szCs w:val="18"/>
          <w:b w:val="1"/>
          <w:bCs w:val="1"/>
          <w:color w:val="auto"/>
        </w:rPr>
        <w:t>8.7 Change in Nature of Business</w:t>
      </w:r>
      <w:r>
        <w:rPr>
          <w:rFonts w:ascii="Arial" w:cs="Arial" w:eastAsia="Arial" w:hAnsi="Arial"/>
          <w:sz w:val="18"/>
          <w:szCs w:val="18"/>
          <w:color w:val="auto"/>
        </w:rPr>
        <w:t>. Engage in any material line of business substantially different from those lines of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conducted by the Borrowers and their Restricted Subsidiaries on the date hereof or any business substantially related or incidental thereto.</w:t>
      </w:r>
    </w:p>
    <w:p>
      <w:pPr>
        <w:spacing w:after="0" w:line="123"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9"/>
          <w:szCs w:val="19"/>
          <w:b w:val="1"/>
          <w:bCs w:val="1"/>
          <w:color w:val="auto"/>
        </w:rPr>
        <w:t>8.8</w:t>
      </w:r>
      <w:r>
        <w:rPr>
          <w:sz w:val="20"/>
          <w:szCs w:val="20"/>
          <w:color w:val="auto"/>
        </w:rPr>
        <w:tab/>
      </w:r>
      <w:r>
        <w:rPr>
          <w:rFonts w:ascii="Arial" w:cs="Arial" w:eastAsia="Arial" w:hAnsi="Arial"/>
          <w:sz w:val="18"/>
          <w:szCs w:val="18"/>
          <w:b w:val="1"/>
          <w:bCs w:val="1"/>
          <w:color w:val="auto"/>
        </w:rPr>
        <w:t>Transactions with Affiliates</w:t>
      </w:r>
      <w:r>
        <w:rPr>
          <w:rFonts w:ascii="Arial" w:cs="Arial" w:eastAsia="Arial" w:hAnsi="Arial"/>
          <w:sz w:val="18"/>
          <w:szCs w:val="18"/>
          <w:color w:val="auto"/>
        </w:rPr>
        <w:t>. Enter into any transaction of any kind with any Affiliate of any Loan Party, whether or not in the</w:t>
      </w:r>
    </w:p>
    <w:p>
      <w:pPr>
        <w:spacing w:after="0" w:line="26" w:lineRule="exact"/>
        <w:rPr>
          <w:sz w:val="20"/>
          <w:szCs w:val="20"/>
          <w:color w:val="auto"/>
        </w:rPr>
      </w:pPr>
    </w:p>
    <w:p>
      <w:pPr>
        <w:spacing w:after="0"/>
        <w:rPr>
          <w:sz w:val="20"/>
          <w:szCs w:val="20"/>
          <w:color w:val="auto"/>
        </w:rPr>
      </w:pPr>
      <w:r>
        <w:rPr>
          <w:rFonts w:ascii="Arial" w:cs="Arial" w:eastAsia="Arial" w:hAnsi="Arial"/>
          <w:sz w:val="19"/>
          <w:szCs w:val="19"/>
          <w:color w:val="auto"/>
        </w:rPr>
        <w:t>Ordinary Course of Business and whether effected through one transaction or a series of related transactions, other than:</w:t>
      </w:r>
    </w:p>
    <w:p>
      <w:pPr>
        <w:spacing w:after="0" w:line="198" w:lineRule="exact"/>
        <w:rPr>
          <w:sz w:val="20"/>
          <w:szCs w:val="20"/>
          <w:color w:val="auto"/>
        </w:rPr>
      </w:pPr>
    </w:p>
    <w:p>
      <w:pPr>
        <w:jc w:val="both"/>
        <w:ind w:firstLine="634"/>
        <w:spacing w:after="0" w:line="259" w:lineRule="auto"/>
        <w:tabs>
          <w:tab w:leader="none" w:pos="1249" w:val="left"/>
        </w:tabs>
        <w:numPr>
          <w:ilvl w:val="0"/>
          <w:numId w:val="257"/>
        </w:numPr>
        <w:rPr>
          <w:rFonts w:ascii="Arial" w:cs="Arial" w:eastAsia="Arial" w:hAnsi="Arial"/>
          <w:sz w:val="19"/>
          <w:szCs w:val="19"/>
          <w:color w:val="auto"/>
        </w:rPr>
      </w:pPr>
      <w:r>
        <w:rPr>
          <w:rFonts w:ascii="Arial" w:cs="Arial" w:eastAsia="Arial" w:hAnsi="Arial"/>
          <w:sz w:val="19"/>
          <w:szCs w:val="19"/>
          <w:color w:val="auto"/>
        </w:rPr>
        <w:t>transactions on fair and reasonable terms substantially as favorable to such Loan Party or Restricted Subsidiary as would be obtainable by such Loan Party or such Restricted Subsidiary at the time in a comparable arm’s length transaction with a Person other than an Affiliate;</w:t>
      </w:r>
    </w:p>
    <w:p>
      <w:pPr>
        <w:spacing w:after="0" w:line="171" w:lineRule="exact"/>
        <w:rPr>
          <w:rFonts w:ascii="Arial" w:cs="Arial" w:eastAsia="Arial" w:hAnsi="Arial"/>
          <w:sz w:val="19"/>
          <w:szCs w:val="19"/>
          <w:color w:val="auto"/>
        </w:rPr>
      </w:pPr>
    </w:p>
    <w:p>
      <w:pPr>
        <w:ind w:left="1260" w:hanging="626"/>
        <w:spacing w:after="0"/>
        <w:tabs>
          <w:tab w:leader="none" w:pos="1260" w:val="left"/>
        </w:tabs>
        <w:numPr>
          <w:ilvl w:val="0"/>
          <w:numId w:val="257"/>
        </w:numPr>
        <w:rPr>
          <w:rFonts w:ascii="Arial" w:cs="Arial" w:eastAsia="Arial" w:hAnsi="Arial"/>
          <w:sz w:val="19"/>
          <w:szCs w:val="19"/>
          <w:color w:val="auto"/>
        </w:rPr>
      </w:pPr>
      <w:r>
        <w:rPr>
          <w:rFonts w:ascii="Arial" w:cs="Arial" w:eastAsia="Arial" w:hAnsi="Arial"/>
          <w:sz w:val="19"/>
          <w:szCs w:val="19"/>
          <w:color w:val="auto"/>
        </w:rPr>
        <w:t>transactions solely between or among the Loan Parties; and</w:t>
      </w:r>
    </w:p>
    <w:p>
      <w:pPr>
        <w:spacing w:after="0" w:line="214" w:lineRule="exact"/>
        <w:rPr>
          <w:rFonts w:ascii="Arial" w:cs="Arial" w:eastAsia="Arial" w:hAnsi="Arial"/>
          <w:sz w:val="19"/>
          <w:szCs w:val="19"/>
          <w:color w:val="auto"/>
        </w:rPr>
      </w:pPr>
    </w:p>
    <w:p>
      <w:pPr>
        <w:ind w:firstLine="634"/>
        <w:spacing w:after="0" w:line="274" w:lineRule="auto"/>
        <w:tabs>
          <w:tab w:leader="none" w:pos="1249" w:val="left"/>
        </w:tabs>
        <w:numPr>
          <w:ilvl w:val="0"/>
          <w:numId w:val="257"/>
        </w:numPr>
        <w:rPr>
          <w:rFonts w:ascii="Arial" w:cs="Arial" w:eastAsia="Arial" w:hAnsi="Arial"/>
          <w:sz w:val="19"/>
          <w:szCs w:val="19"/>
          <w:color w:val="auto"/>
        </w:rPr>
      </w:pPr>
      <w:r>
        <w:rPr>
          <w:rFonts w:ascii="Arial" w:cs="Arial" w:eastAsia="Arial" w:hAnsi="Arial"/>
          <w:sz w:val="19"/>
          <w:szCs w:val="19"/>
          <w:color w:val="auto"/>
        </w:rPr>
        <w:t xml:space="preserve">transactions pursuant to agreements in existence or contemplated on the Closing Date as set forth on </w:t>
      </w:r>
      <w:r>
        <w:rPr>
          <w:rFonts w:ascii="Arial" w:cs="Arial" w:eastAsia="Arial" w:hAnsi="Arial"/>
          <w:sz w:val="19"/>
          <w:szCs w:val="19"/>
          <w:u w:val="single" w:color="auto"/>
          <w:color w:val="auto"/>
        </w:rPr>
        <w:t>Schedule 8.08</w:t>
      </w:r>
      <w:r>
        <w:rPr>
          <w:rFonts w:ascii="Arial" w:cs="Arial" w:eastAsia="Arial" w:hAnsi="Arial"/>
          <w:sz w:val="19"/>
          <w:szCs w:val="19"/>
          <w:color w:val="auto"/>
        </w:rPr>
        <w:t xml:space="preserve"> or any amendment thereto to the extent such an amendment is not adverse to the Secured Parties in any material respect.</w:t>
      </w:r>
    </w:p>
    <w:p>
      <w:pPr>
        <w:spacing w:after="0" w:line="151"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9"/>
          <w:szCs w:val="19"/>
          <w:b w:val="1"/>
          <w:bCs w:val="1"/>
          <w:color w:val="auto"/>
        </w:rPr>
        <w:t>8.9</w:t>
      </w:r>
      <w:r>
        <w:rPr>
          <w:sz w:val="20"/>
          <w:szCs w:val="20"/>
          <w:color w:val="auto"/>
        </w:rPr>
        <w:tab/>
      </w:r>
      <w:r>
        <w:rPr>
          <w:rFonts w:ascii="Arial" w:cs="Arial" w:eastAsia="Arial" w:hAnsi="Arial"/>
          <w:sz w:val="17"/>
          <w:szCs w:val="17"/>
          <w:b w:val="1"/>
          <w:bCs w:val="1"/>
          <w:color w:val="auto"/>
        </w:rPr>
        <w:t xml:space="preserve">Burdensome Agreements. </w:t>
      </w:r>
      <w:r>
        <w:rPr>
          <w:rFonts w:ascii="Arial" w:cs="Arial" w:eastAsia="Arial" w:hAnsi="Arial"/>
          <w:sz w:val="17"/>
          <w:szCs w:val="17"/>
          <w:color w:val="auto"/>
        </w:rPr>
        <w:t>Enter into any Contractual Obligation (other than this Agreement or any other Loan Document) that:</w:t>
      </w:r>
    </w:p>
    <w:p>
      <w:pPr>
        <w:spacing w:after="0" w:line="220" w:lineRule="exact"/>
        <w:rPr>
          <w:sz w:val="20"/>
          <w:szCs w:val="20"/>
          <w:color w:val="auto"/>
        </w:rPr>
      </w:pPr>
    </w:p>
    <w:p>
      <w:pPr>
        <w:ind w:left="1260" w:hanging="626"/>
        <w:spacing w:after="0"/>
        <w:tabs>
          <w:tab w:leader="none" w:pos="1260" w:val="left"/>
        </w:tabs>
        <w:numPr>
          <w:ilvl w:val="0"/>
          <w:numId w:val="258"/>
        </w:numPr>
        <w:rPr>
          <w:rFonts w:ascii="Arial" w:cs="Arial" w:eastAsia="Arial" w:hAnsi="Arial"/>
          <w:sz w:val="17"/>
          <w:szCs w:val="17"/>
          <w:color w:val="auto"/>
        </w:rPr>
      </w:pPr>
      <w:r>
        <w:rPr>
          <w:rFonts w:ascii="Arial" w:cs="Arial" w:eastAsia="Arial" w:hAnsi="Arial"/>
          <w:sz w:val="17"/>
          <w:szCs w:val="17"/>
          <w:color w:val="auto"/>
        </w:rPr>
        <w:t>requires the grant of a Lien to secure an obligation of such Person if a Lien is granted to secure another obligation of such Person,</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or</w:t>
      </w:r>
    </w:p>
    <w:p>
      <w:pPr>
        <w:spacing w:after="0" w:line="198" w:lineRule="exact"/>
        <w:rPr>
          <w:sz w:val="20"/>
          <w:szCs w:val="20"/>
          <w:color w:val="auto"/>
        </w:rPr>
      </w:pPr>
    </w:p>
    <w:p>
      <w:pPr>
        <w:jc w:val="both"/>
        <w:ind w:firstLine="634"/>
        <w:spacing w:after="0" w:line="288" w:lineRule="auto"/>
        <w:tabs>
          <w:tab w:leader="none" w:pos="1247" w:val="left"/>
        </w:tabs>
        <w:numPr>
          <w:ilvl w:val="0"/>
          <w:numId w:val="259"/>
        </w:numPr>
        <w:rPr>
          <w:rFonts w:ascii="Arial" w:cs="Arial" w:eastAsia="Arial" w:hAnsi="Arial"/>
          <w:sz w:val="17"/>
          <w:szCs w:val="17"/>
          <w:color w:val="auto"/>
        </w:rPr>
      </w:pPr>
      <w:r>
        <w:rPr>
          <w:rFonts w:ascii="Arial" w:cs="Arial" w:eastAsia="Arial" w:hAnsi="Arial"/>
          <w:sz w:val="17"/>
          <w:szCs w:val="17"/>
          <w:color w:val="auto"/>
        </w:rPr>
        <w:t xml:space="preserve">limits the ability (i) of any Subsidiary to make Restricted Payments to the Company or any Borrower or to otherwise transfer property to the Company or any Borrower, (ii) of any Subsidiary to Guarantee the Indebtedness of the Borrowers or become a direct Borrower hereunder, or (iii) of any Borrower or any Subsidiary to create, incur, assume or suffer to exist Liens on property of such Person;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this clause (iii) shall not prohibit any negative pledge incurred or provided in favor of any holder of Indebtedness permitted under </w:t>
      </w:r>
      <w:r>
        <w:rPr>
          <w:rFonts w:ascii="Arial" w:cs="Arial" w:eastAsia="Arial" w:hAnsi="Arial"/>
          <w:sz w:val="17"/>
          <w:szCs w:val="17"/>
          <w:u w:val="single" w:color="auto"/>
          <w:color w:val="auto"/>
        </w:rPr>
        <w:t>Section 8.01(f)</w:t>
      </w:r>
      <w:r>
        <w:rPr>
          <w:rFonts w:ascii="Arial" w:cs="Arial" w:eastAsia="Arial" w:hAnsi="Arial"/>
          <w:sz w:val="17"/>
          <w:szCs w:val="17"/>
          <w:color w:val="auto"/>
        </w:rPr>
        <w:t xml:space="preserve"> solely to the extent any such negative pledge relates to the property acquired with or the subject of such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146</w:t>
      </w:r>
    </w:p>
    <w:p>
      <w:pPr>
        <w:sectPr>
          <w:pgSz w:w="11900" w:h="16838" w:orient="portrait"/>
          <w:cols w:equalWidth="0" w:num="1">
            <w:col w:w="11240"/>
          </w:cols>
          <w:pgMar w:left="320" w:top="1382" w:right="339" w:bottom="1440" w:gutter="0" w:footer="0" w:header="0"/>
        </w:sectPr>
      </w:pPr>
    </w:p>
    <w:bookmarkStart w:id="265" w:name="page266"/>
    <w:bookmarkEnd w:id="265"/>
    <w:p>
      <w:pPr>
        <w:jc w:val="both"/>
        <w:ind w:firstLine="629"/>
        <w:spacing w:after="0" w:line="249" w:lineRule="auto"/>
        <w:rPr>
          <w:sz w:val="20"/>
          <w:szCs w:val="20"/>
          <w:color w:val="auto"/>
        </w:rPr>
      </w:pPr>
      <w:r>
        <w:rPr>
          <w:rFonts w:ascii="Arial" w:cs="Arial" w:eastAsia="Arial" w:hAnsi="Arial"/>
          <w:sz w:val="19"/>
          <w:szCs w:val="19"/>
          <w:b w:val="1"/>
          <w:bCs w:val="1"/>
          <w:color w:val="auto"/>
        </w:rPr>
        <w:t xml:space="preserve">8.10 Use of Proceeds. </w:t>
      </w:r>
      <w:r>
        <w:rPr>
          <w:rFonts w:ascii="Arial" w:cs="Arial" w:eastAsia="Arial" w:hAnsi="Arial"/>
          <w:sz w:val="19"/>
          <w:szCs w:val="19"/>
          <w:color w:val="auto"/>
        </w:rPr>
        <w:t>Use the proceeds of any Credit Extension, whether directly or indirectly, including through or by any</w:t>
      </w:r>
      <w:r>
        <w:rPr>
          <w:rFonts w:ascii="Arial" w:cs="Arial" w:eastAsia="Arial" w:hAnsi="Arial"/>
          <w:sz w:val="19"/>
          <w:szCs w:val="19"/>
          <w:b w:val="1"/>
          <w:bCs w:val="1"/>
          <w:color w:val="auto"/>
        </w:rPr>
        <w:t xml:space="preserve"> </w:t>
      </w:r>
      <w:r>
        <w:rPr>
          <w:rFonts w:ascii="Arial" w:cs="Arial" w:eastAsia="Arial" w:hAnsi="Arial"/>
          <w:sz w:val="19"/>
          <w:szCs w:val="19"/>
          <w:color w:val="auto"/>
        </w:rPr>
        <w:t>Controlled Person, and whether immediately, incidentally or ultimately, (a) in any manner that might cause the Credit Extension or the application of such proceeds to violate Regulations T, U or X of the Board of Governors of the Federal Reserve System, in each case as in effect on the date or dates of such Credit Extension, or (b)(i) in furtherance of an offer, payment, promise to pay, or authorization of the payment or giving of money, or anything else of value, to any Person in violation of any Anti-Corruption Laws, (ii) to fund, finance or facilitate any activities, business or transaction of or with any Sanctioned Person or in any Designated Jurisdiction, or (iii) in any other manner that would result in the violation of any Sanctions, Anti-Corruption Laws, the United Nations Act (Canada), the Special Economic Measures Act (Canada), the Justice for Victims of Corrupt Foreign Officials Act (Sergei Magnitsky Law) (Canada), the Freezing Assets of Corrupt Foreign Officials Act (Canada), the Criminal Code (Canada) or Anti-Money Laundering Laws.</w:t>
      </w:r>
    </w:p>
    <w:p>
      <w:pPr>
        <w:spacing w:after="0" w:line="176" w:lineRule="exact"/>
        <w:rPr>
          <w:sz w:val="20"/>
          <w:szCs w:val="20"/>
          <w:color w:val="auto"/>
        </w:rPr>
      </w:pPr>
    </w:p>
    <w:p>
      <w:pPr>
        <w:ind w:left="640"/>
        <w:spacing w:after="0"/>
        <w:tabs>
          <w:tab w:leader="none" w:pos="1220" w:val="left"/>
        </w:tabs>
        <w:rPr>
          <w:sz w:val="20"/>
          <w:szCs w:val="20"/>
          <w:color w:val="auto"/>
        </w:rPr>
      </w:pPr>
      <w:r>
        <w:rPr>
          <w:rFonts w:ascii="Arial" w:cs="Arial" w:eastAsia="Arial" w:hAnsi="Arial"/>
          <w:sz w:val="19"/>
          <w:szCs w:val="19"/>
          <w:b w:val="1"/>
          <w:bCs w:val="1"/>
          <w:color w:val="auto"/>
        </w:rPr>
        <w:t>8.11</w:t>
      </w:r>
      <w:r>
        <w:rPr>
          <w:sz w:val="20"/>
          <w:szCs w:val="20"/>
          <w:color w:val="auto"/>
        </w:rPr>
        <w:tab/>
      </w:r>
      <w:r>
        <w:rPr>
          <w:rFonts w:ascii="Arial" w:cs="Arial" w:eastAsia="Arial" w:hAnsi="Arial"/>
          <w:sz w:val="17"/>
          <w:szCs w:val="17"/>
          <w:b w:val="1"/>
          <w:bCs w:val="1"/>
          <w:color w:val="auto"/>
        </w:rPr>
        <w:t>Prepayment of Indebtedness; Amendment to Material Contracts.</w:t>
      </w:r>
    </w:p>
    <w:p>
      <w:pPr>
        <w:spacing w:after="0" w:line="220" w:lineRule="exact"/>
        <w:rPr>
          <w:sz w:val="20"/>
          <w:szCs w:val="20"/>
          <w:color w:val="auto"/>
        </w:rPr>
      </w:pPr>
    </w:p>
    <w:p>
      <w:pPr>
        <w:jc w:val="both"/>
        <w:ind w:firstLine="634"/>
        <w:spacing w:after="0" w:line="250" w:lineRule="auto"/>
        <w:tabs>
          <w:tab w:leader="none" w:pos="1249" w:val="left"/>
        </w:tabs>
        <w:numPr>
          <w:ilvl w:val="0"/>
          <w:numId w:val="260"/>
        </w:numPr>
        <w:rPr>
          <w:rFonts w:ascii="Arial" w:cs="Arial" w:eastAsia="Arial" w:hAnsi="Arial"/>
          <w:sz w:val="19"/>
          <w:szCs w:val="19"/>
          <w:color w:val="auto"/>
        </w:rPr>
      </w:pPr>
      <w:r>
        <w:rPr>
          <w:rFonts w:ascii="Arial" w:cs="Arial" w:eastAsia="Arial" w:hAnsi="Arial"/>
          <w:sz w:val="19"/>
          <w:szCs w:val="19"/>
          <w:color w:val="auto"/>
        </w:rPr>
        <w:t>Make or pay, directly or indirectly, any payment or other distribution (whether in cash, securities or other property) of or in respect of principal, interest, fees or other amounts due on any Indebtedness (other than the Obligations), or any payment or other distribution (whether in cash, securities or other property), including any sinking fund or similar deposit, on account of the purchase, redemption, retirement, acquisition, cancellation or termination of any Indebtedness (other than the Obligations), except for the following to the extent permitted by applicable Subordination Provisions (and for the avoidance of doubt, a cross reference by such Subordination Provisions to this Agreement shall not constitute permission to make such payments or other distributions):</w:t>
      </w:r>
    </w:p>
    <w:p>
      <w:pPr>
        <w:spacing w:after="0" w:line="181" w:lineRule="exact"/>
        <w:rPr>
          <w:rFonts w:ascii="Arial" w:cs="Arial" w:eastAsia="Arial" w:hAnsi="Arial"/>
          <w:sz w:val="19"/>
          <w:szCs w:val="19"/>
          <w:color w:val="auto"/>
        </w:rPr>
      </w:pPr>
    </w:p>
    <w:p>
      <w:pPr>
        <w:ind w:left="640" w:firstLine="624"/>
        <w:spacing w:after="0" w:line="334" w:lineRule="auto"/>
        <w:tabs>
          <w:tab w:leader="none" w:pos="1897" w:val="left"/>
        </w:tabs>
        <w:numPr>
          <w:ilvl w:val="1"/>
          <w:numId w:val="260"/>
        </w:numPr>
        <w:rPr>
          <w:rFonts w:ascii="Arial" w:cs="Arial" w:eastAsia="Arial" w:hAnsi="Arial"/>
          <w:sz w:val="17"/>
          <w:szCs w:val="17"/>
          <w:color w:val="auto"/>
        </w:rPr>
      </w:pPr>
      <w:r>
        <w:rPr>
          <w:rFonts w:ascii="Arial" w:cs="Arial" w:eastAsia="Arial" w:hAnsi="Arial"/>
          <w:sz w:val="17"/>
          <w:szCs w:val="17"/>
          <w:color w:val="auto"/>
        </w:rPr>
        <w:t>payments when due of regularly scheduled interest and principal payments, in each case at the non-default rate and on a non-accelerated basis (including mandatory prepayments arising as a result of a change of control or sale of substantially all assets);</w:t>
      </w:r>
    </w:p>
    <w:p>
      <w:pPr>
        <w:spacing w:after="0" w:line="111" w:lineRule="exact"/>
        <w:rPr>
          <w:rFonts w:ascii="Arial" w:cs="Arial" w:eastAsia="Arial" w:hAnsi="Arial"/>
          <w:sz w:val="17"/>
          <w:szCs w:val="17"/>
          <w:color w:val="auto"/>
        </w:rPr>
      </w:pPr>
    </w:p>
    <w:p>
      <w:pPr>
        <w:ind w:left="640" w:firstLine="624"/>
        <w:spacing w:after="0" w:line="274" w:lineRule="auto"/>
        <w:tabs>
          <w:tab w:leader="none" w:pos="1897" w:val="left"/>
        </w:tabs>
        <w:numPr>
          <w:ilvl w:val="1"/>
          <w:numId w:val="260"/>
        </w:numPr>
        <w:rPr>
          <w:rFonts w:ascii="Arial" w:cs="Arial" w:eastAsia="Arial" w:hAnsi="Arial"/>
          <w:sz w:val="19"/>
          <w:szCs w:val="19"/>
          <w:color w:val="auto"/>
        </w:rPr>
      </w:pPr>
      <w:r>
        <w:rPr>
          <w:rFonts w:ascii="Arial" w:cs="Arial" w:eastAsia="Arial" w:hAnsi="Arial"/>
          <w:sz w:val="19"/>
          <w:szCs w:val="19"/>
          <w:color w:val="auto"/>
        </w:rPr>
        <w:t>payments made through the incurrence of Refinancing Indebtedness held by a third-party (and not directly or indirectly held by the Company or an Affiliate of the Company) with respect to such Indebtedness;</w:t>
      </w:r>
    </w:p>
    <w:p>
      <w:pPr>
        <w:spacing w:after="0" w:line="156" w:lineRule="exact"/>
        <w:rPr>
          <w:rFonts w:ascii="Arial" w:cs="Arial" w:eastAsia="Arial" w:hAnsi="Arial"/>
          <w:sz w:val="19"/>
          <w:szCs w:val="19"/>
          <w:color w:val="auto"/>
        </w:rPr>
      </w:pPr>
    </w:p>
    <w:p>
      <w:pPr>
        <w:ind w:left="640" w:firstLine="624"/>
        <w:spacing w:after="0" w:line="274" w:lineRule="auto"/>
        <w:tabs>
          <w:tab w:leader="none" w:pos="1898" w:val="left"/>
        </w:tabs>
        <w:numPr>
          <w:ilvl w:val="1"/>
          <w:numId w:val="260"/>
        </w:numPr>
        <w:rPr>
          <w:rFonts w:ascii="Arial" w:cs="Arial" w:eastAsia="Arial" w:hAnsi="Arial"/>
          <w:sz w:val="19"/>
          <w:szCs w:val="19"/>
          <w:color w:val="auto"/>
        </w:rPr>
      </w:pPr>
      <w:r>
        <w:rPr>
          <w:rFonts w:ascii="Arial" w:cs="Arial" w:eastAsia="Arial" w:hAnsi="Arial"/>
          <w:sz w:val="19"/>
          <w:szCs w:val="19"/>
          <w:color w:val="auto"/>
        </w:rPr>
        <w:t>payments of secured Indebtedness permitted hereunder that become due as a result of a voluntary Disposition permitted hereunder of the property securing such Indebtedness;</w:t>
      </w:r>
    </w:p>
    <w:p>
      <w:pPr>
        <w:spacing w:after="0" w:line="156" w:lineRule="exact"/>
        <w:rPr>
          <w:rFonts w:ascii="Arial" w:cs="Arial" w:eastAsia="Arial" w:hAnsi="Arial"/>
          <w:sz w:val="19"/>
          <w:szCs w:val="19"/>
          <w:color w:val="auto"/>
        </w:rPr>
      </w:pPr>
    </w:p>
    <w:p>
      <w:pPr>
        <w:ind w:left="640" w:firstLine="624"/>
        <w:spacing w:after="0" w:line="274" w:lineRule="auto"/>
        <w:tabs>
          <w:tab w:leader="none" w:pos="1888" w:val="left"/>
        </w:tabs>
        <w:numPr>
          <w:ilvl w:val="1"/>
          <w:numId w:val="260"/>
        </w:numPr>
        <w:rPr>
          <w:rFonts w:ascii="Arial" w:cs="Arial" w:eastAsia="Arial" w:hAnsi="Arial"/>
          <w:sz w:val="19"/>
          <w:szCs w:val="19"/>
          <w:color w:val="auto"/>
        </w:rPr>
      </w:pPr>
      <w:r>
        <w:rPr>
          <w:rFonts w:ascii="Arial" w:cs="Arial" w:eastAsia="Arial" w:hAnsi="Arial"/>
          <w:sz w:val="19"/>
          <w:szCs w:val="19"/>
          <w:color w:val="auto"/>
        </w:rPr>
        <w:t>payments made solely from and substantially contemporaneously with the proceeds of the issuance of Equity Interests by the Company (other than Disqualified Equity Interests); and</w:t>
      </w:r>
    </w:p>
    <w:p>
      <w:pPr>
        <w:spacing w:after="0" w:line="156" w:lineRule="exact"/>
        <w:rPr>
          <w:rFonts w:ascii="Arial" w:cs="Arial" w:eastAsia="Arial" w:hAnsi="Arial"/>
          <w:sz w:val="19"/>
          <w:szCs w:val="19"/>
          <w:color w:val="auto"/>
        </w:rPr>
      </w:pPr>
    </w:p>
    <w:p>
      <w:pPr>
        <w:ind w:left="640" w:firstLine="624"/>
        <w:spacing w:after="0" w:line="274" w:lineRule="auto"/>
        <w:tabs>
          <w:tab w:leader="none" w:pos="1887" w:val="left"/>
        </w:tabs>
        <w:numPr>
          <w:ilvl w:val="1"/>
          <w:numId w:val="260"/>
        </w:numPr>
        <w:rPr>
          <w:rFonts w:ascii="Arial" w:cs="Arial" w:eastAsia="Arial" w:hAnsi="Arial"/>
          <w:sz w:val="19"/>
          <w:szCs w:val="19"/>
          <w:color w:val="auto"/>
        </w:rPr>
      </w:pPr>
      <w:r>
        <w:rPr>
          <w:rFonts w:ascii="Arial" w:cs="Arial" w:eastAsia="Arial" w:hAnsi="Arial"/>
          <w:sz w:val="19"/>
          <w:szCs w:val="19"/>
          <w:color w:val="auto"/>
        </w:rPr>
        <w:t xml:space="preserve">optional payments or prepayments in respect of any Indebtedness,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that</w:t>
      </w:r>
      <w:r>
        <w:rPr>
          <w:rFonts w:ascii="Arial" w:cs="Arial" w:eastAsia="Arial" w:hAnsi="Arial"/>
          <w:sz w:val="19"/>
          <w:szCs w:val="19"/>
          <w:color w:val="auto"/>
        </w:rPr>
        <w:t>, as of the date of any such payment or prepayment and after giving effect thereto, the Payment Conditions are satisfied.</w:t>
      </w:r>
    </w:p>
    <w:p>
      <w:pPr>
        <w:spacing w:after="0" w:line="156" w:lineRule="exact"/>
        <w:rPr>
          <w:rFonts w:ascii="Arial" w:cs="Arial" w:eastAsia="Arial" w:hAnsi="Arial"/>
          <w:sz w:val="19"/>
          <w:szCs w:val="19"/>
          <w:color w:val="auto"/>
        </w:rPr>
      </w:pPr>
    </w:p>
    <w:p>
      <w:pPr>
        <w:jc w:val="both"/>
        <w:ind w:firstLine="634"/>
        <w:spacing w:after="0" w:line="254" w:lineRule="auto"/>
        <w:tabs>
          <w:tab w:leader="none" w:pos="1247" w:val="left"/>
        </w:tabs>
        <w:numPr>
          <w:ilvl w:val="0"/>
          <w:numId w:val="260"/>
        </w:numPr>
        <w:rPr>
          <w:rFonts w:ascii="Arial" w:cs="Arial" w:eastAsia="Arial" w:hAnsi="Arial"/>
          <w:sz w:val="19"/>
          <w:szCs w:val="19"/>
          <w:color w:val="auto"/>
        </w:rPr>
      </w:pPr>
      <w:r>
        <w:rPr>
          <w:rFonts w:ascii="Arial" w:cs="Arial" w:eastAsia="Arial" w:hAnsi="Arial"/>
          <w:sz w:val="19"/>
          <w:szCs w:val="19"/>
          <w:color w:val="auto"/>
        </w:rPr>
        <w:t xml:space="preserve">Amend, modify or change in any manner any term or condition of (i) any Material Contract or (ii) any Indebtedness permitted under </w:t>
      </w:r>
      <w:r>
        <w:rPr>
          <w:rFonts w:ascii="Arial" w:cs="Arial" w:eastAsia="Arial" w:hAnsi="Arial"/>
          <w:sz w:val="19"/>
          <w:szCs w:val="19"/>
          <w:u w:val="single" w:color="auto"/>
          <w:color w:val="auto"/>
        </w:rPr>
        <w:t>Section 8.01(b), (d)</w:t>
      </w:r>
      <w:r>
        <w:rPr>
          <w:rFonts w:ascii="Arial" w:cs="Arial" w:eastAsia="Arial" w:hAnsi="Arial"/>
          <w:sz w:val="19"/>
          <w:szCs w:val="19"/>
          <w:color w:val="auto"/>
        </w:rPr>
        <w:t xml:space="preserve">, </w:t>
      </w:r>
      <w:r>
        <w:rPr>
          <w:rFonts w:ascii="Arial" w:cs="Arial" w:eastAsia="Arial" w:hAnsi="Arial"/>
          <w:sz w:val="19"/>
          <w:szCs w:val="19"/>
          <w:u w:val="single" w:color="auto"/>
          <w:color w:val="auto"/>
        </w:rPr>
        <w:t>(f)</w:t>
      </w:r>
      <w:r>
        <w:rPr>
          <w:rFonts w:ascii="Arial" w:cs="Arial" w:eastAsia="Arial" w:hAnsi="Arial"/>
          <w:sz w:val="19"/>
          <w:szCs w:val="19"/>
          <w:color w:val="auto"/>
        </w:rPr>
        <w:t xml:space="preserve">, </w:t>
      </w:r>
      <w:r>
        <w:rPr>
          <w:rFonts w:ascii="Arial" w:cs="Arial" w:eastAsia="Arial" w:hAnsi="Arial"/>
          <w:sz w:val="19"/>
          <w:szCs w:val="19"/>
          <w:u w:val="single" w:color="auto"/>
          <w:color w:val="auto"/>
        </w:rPr>
        <w:t>(g)</w:t>
      </w:r>
      <w:r>
        <w:rPr>
          <w:rFonts w:ascii="Arial" w:cs="Arial" w:eastAsia="Arial" w:hAnsi="Arial"/>
          <w:sz w:val="19"/>
          <w:szCs w:val="19"/>
          <w:color w:val="auto"/>
        </w:rPr>
        <w:t xml:space="preserve">, </w:t>
      </w:r>
      <w:r>
        <w:rPr>
          <w:rFonts w:ascii="Arial" w:cs="Arial" w:eastAsia="Arial" w:hAnsi="Arial"/>
          <w:sz w:val="19"/>
          <w:szCs w:val="19"/>
          <w:u w:val="single" w:color="auto"/>
          <w:color w:val="auto"/>
        </w:rPr>
        <w:t>(k)</w:t>
      </w:r>
      <w:r>
        <w:rPr>
          <w:rFonts w:ascii="Arial" w:cs="Arial" w:eastAsia="Arial" w:hAnsi="Arial"/>
          <w:sz w:val="19"/>
          <w:szCs w:val="19"/>
          <w:color w:val="auto"/>
        </w:rPr>
        <w:t xml:space="preserve">, </w:t>
      </w:r>
      <w:r>
        <w:rPr>
          <w:rFonts w:ascii="Arial" w:cs="Arial" w:eastAsia="Arial" w:hAnsi="Arial"/>
          <w:sz w:val="19"/>
          <w:szCs w:val="19"/>
          <w:u w:val="single" w:color="auto"/>
          <w:color w:val="auto"/>
        </w:rPr>
        <w:t>(m)</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(o)</w:t>
      </w:r>
      <w:r>
        <w:rPr>
          <w:rFonts w:ascii="Arial" w:cs="Arial" w:eastAsia="Arial" w:hAnsi="Arial"/>
          <w:sz w:val="19"/>
          <w:szCs w:val="19"/>
          <w:color w:val="auto"/>
        </w:rPr>
        <w:t xml:space="preserve"> outstanding on the Closing Date, in each case, so that the terms and conditions thereof are less favorable in any material respect to the Administrative Agent or the Lenders than the terms of such Material Contract or Indebtedness as of the Closing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147</w:t>
      </w:r>
    </w:p>
    <w:p>
      <w:pPr>
        <w:sectPr>
          <w:pgSz w:w="11900" w:h="16838" w:orient="portrait"/>
          <w:cols w:equalWidth="0" w:num="1">
            <w:col w:w="11240"/>
          </w:cols>
          <w:pgMar w:left="320" w:top="1376" w:right="339" w:bottom="1440" w:gutter="0" w:footer="0" w:header="0"/>
        </w:sectPr>
      </w:pPr>
    </w:p>
    <w:bookmarkStart w:id="266" w:name="page267"/>
    <w:bookmarkEnd w:id="266"/>
    <w:p>
      <w:pPr>
        <w:ind w:left="640"/>
        <w:spacing w:after="0"/>
        <w:tabs>
          <w:tab w:leader="none" w:pos="1240" w:val="left"/>
        </w:tabs>
        <w:rPr>
          <w:sz w:val="20"/>
          <w:szCs w:val="20"/>
          <w:color w:val="auto"/>
        </w:rPr>
      </w:pPr>
      <w:r>
        <w:rPr>
          <w:rFonts w:ascii="Arial" w:cs="Arial" w:eastAsia="Arial" w:hAnsi="Arial"/>
          <w:sz w:val="19"/>
          <w:szCs w:val="19"/>
          <w:b w:val="1"/>
          <w:bCs w:val="1"/>
          <w:color w:val="auto"/>
        </w:rPr>
        <w:t>8.12</w:t>
      </w:r>
      <w:r>
        <w:rPr>
          <w:sz w:val="20"/>
          <w:szCs w:val="20"/>
          <w:color w:val="auto"/>
        </w:rPr>
        <w:tab/>
      </w:r>
      <w:r>
        <w:rPr>
          <w:rFonts w:ascii="Arial" w:cs="Arial" w:eastAsia="Arial" w:hAnsi="Arial"/>
          <w:sz w:val="17"/>
          <w:szCs w:val="17"/>
          <w:b w:val="1"/>
          <w:bCs w:val="1"/>
          <w:color w:val="auto"/>
        </w:rPr>
        <w:t>Financial Covenants</w:t>
      </w:r>
      <w:r>
        <w:rPr>
          <w:rFonts w:ascii="Arial" w:cs="Arial" w:eastAsia="Arial" w:hAnsi="Arial"/>
          <w:sz w:val="17"/>
          <w:szCs w:val="17"/>
          <w:color w:val="auto"/>
        </w:rPr>
        <w:t>.</w:t>
      </w:r>
    </w:p>
    <w:p>
      <w:pPr>
        <w:spacing w:after="0" w:line="220" w:lineRule="exact"/>
        <w:rPr>
          <w:sz w:val="20"/>
          <w:szCs w:val="20"/>
          <w:color w:val="auto"/>
        </w:rPr>
      </w:pPr>
    </w:p>
    <w:p>
      <w:pPr>
        <w:jc w:val="both"/>
        <w:ind w:firstLine="634"/>
        <w:spacing w:after="0" w:line="252" w:lineRule="auto"/>
        <w:tabs>
          <w:tab w:leader="none" w:pos="1249" w:val="left"/>
        </w:tabs>
        <w:numPr>
          <w:ilvl w:val="0"/>
          <w:numId w:val="261"/>
        </w:numPr>
        <w:rPr>
          <w:rFonts w:ascii="Arial" w:cs="Arial" w:eastAsia="Arial" w:hAnsi="Arial"/>
          <w:sz w:val="19"/>
          <w:szCs w:val="19"/>
          <w:color w:val="auto"/>
        </w:rPr>
      </w:pPr>
      <w:r>
        <w:rPr>
          <w:rFonts w:ascii="Arial" w:cs="Arial" w:eastAsia="Arial" w:hAnsi="Arial"/>
          <w:sz w:val="19"/>
          <w:szCs w:val="19"/>
          <w:u w:val="single" w:color="auto"/>
          <w:color w:val="auto"/>
        </w:rPr>
        <w:t>Consolidated Fixed Charge Coverage Ratio</w:t>
      </w:r>
      <w:r>
        <w:rPr>
          <w:rFonts w:ascii="Arial" w:cs="Arial" w:eastAsia="Arial" w:hAnsi="Arial"/>
          <w:sz w:val="19"/>
          <w:szCs w:val="19"/>
          <w:color w:val="auto"/>
        </w:rPr>
        <w:t>. During a Fixed Charge Trigger Period, permit the Consolidated Fixed Charge Coverage Ratio, determined on a Pro Forma Basis as of (i) the last day of the Measurement Period most recently ended before the commencement of a Fixed Charge Trigger Period and (ii) the last day of each Measurement Period thereafter ending during any Fixed Charge Trigger Period (irrespective of whether the financial statements for such Measurement Period are delivered before or after the expiration of such Fixed Charge Trigger Period) to be less than 1.00 to 1.00 for such Measurement Period.</w:t>
      </w:r>
    </w:p>
    <w:p>
      <w:pPr>
        <w:spacing w:after="0" w:line="177" w:lineRule="exact"/>
        <w:rPr>
          <w:rFonts w:ascii="Arial" w:cs="Arial" w:eastAsia="Arial" w:hAnsi="Arial"/>
          <w:sz w:val="19"/>
          <w:szCs w:val="19"/>
          <w:color w:val="auto"/>
        </w:rPr>
      </w:pPr>
    </w:p>
    <w:p>
      <w:pPr>
        <w:ind w:left="1260" w:hanging="626"/>
        <w:spacing w:after="0"/>
        <w:tabs>
          <w:tab w:leader="none" w:pos="1260" w:val="left"/>
        </w:tabs>
        <w:numPr>
          <w:ilvl w:val="0"/>
          <w:numId w:val="261"/>
        </w:numPr>
        <w:rPr>
          <w:rFonts w:ascii="Arial" w:cs="Arial" w:eastAsia="Arial" w:hAnsi="Arial"/>
          <w:sz w:val="19"/>
          <w:szCs w:val="19"/>
          <w:color w:val="auto"/>
        </w:rPr>
      </w:pPr>
      <w:r>
        <w:rPr>
          <w:rFonts w:ascii="Arial" w:cs="Arial" w:eastAsia="Arial" w:hAnsi="Arial"/>
          <w:sz w:val="19"/>
          <w:szCs w:val="19"/>
          <w:u w:val="single" w:color="auto"/>
          <w:color w:val="auto"/>
        </w:rPr>
        <w:t>Eligible Cash</w:t>
      </w:r>
      <w:r>
        <w:rPr>
          <w:rFonts w:ascii="Arial" w:cs="Arial" w:eastAsia="Arial" w:hAnsi="Arial"/>
          <w:sz w:val="19"/>
          <w:szCs w:val="19"/>
          <w:color w:val="auto"/>
        </w:rPr>
        <w:t>. At all times, Eligible Cash shall be at least $25,000,000.</w:t>
      </w:r>
    </w:p>
    <w:p>
      <w:pPr>
        <w:spacing w:after="0" w:line="208" w:lineRule="exact"/>
        <w:rPr>
          <w:sz w:val="20"/>
          <w:szCs w:val="20"/>
          <w:color w:val="auto"/>
        </w:rPr>
      </w:pPr>
    </w:p>
    <w:p>
      <w:pPr>
        <w:jc w:val="both"/>
        <w:ind w:firstLine="629"/>
        <w:spacing w:after="0" w:line="280" w:lineRule="auto"/>
        <w:rPr>
          <w:sz w:val="20"/>
          <w:szCs w:val="20"/>
          <w:color w:val="auto"/>
        </w:rPr>
      </w:pPr>
      <w:r>
        <w:rPr>
          <w:rFonts w:ascii="Arial" w:cs="Arial" w:eastAsia="Arial" w:hAnsi="Arial"/>
          <w:sz w:val="19"/>
          <w:szCs w:val="19"/>
          <w:b w:val="1"/>
          <w:bCs w:val="1"/>
          <w:color w:val="auto"/>
        </w:rPr>
        <w:t>8.13 Creation of New Subsidiaries</w:t>
      </w:r>
      <w:r>
        <w:rPr>
          <w:rFonts w:ascii="Arial" w:cs="Arial" w:eastAsia="Arial" w:hAnsi="Arial"/>
          <w:sz w:val="19"/>
          <w:szCs w:val="19"/>
          <w:color w:val="auto"/>
        </w:rPr>
        <w:t>. Create or acquire any new Subsidiary after the Closing Date other than Subsidiaries created or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acquired in accordance with </w:t>
      </w:r>
      <w:r>
        <w:rPr>
          <w:rFonts w:ascii="Arial" w:cs="Arial" w:eastAsia="Arial" w:hAnsi="Arial"/>
          <w:sz w:val="19"/>
          <w:szCs w:val="19"/>
          <w:u w:val="single" w:color="auto"/>
          <w:color w:val="auto"/>
        </w:rPr>
        <w:t>Section 7.12</w:t>
      </w:r>
      <w:r>
        <w:rPr>
          <w:rFonts w:ascii="Arial" w:cs="Arial" w:eastAsia="Arial" w:hAnsi="Arial"/>
          <w:sz w:val="19"/>
          <w:szCs w:val="19"/>
          <w:i w:val="1"/>
          <w:iCs w:val="1"/>
          <w:color w:val="auto"/>
        </w:rPr>
        <w:t>.</w:t>
      </w:r>
    </w:p>
    <w:p>
      <w:pPr>
        <w:spacing w:after="0" w:line="146" w:lineRule="exact"/>
        <w:rPr>
          <w:sz w:val="20"/>
          <w:szCs w:val="20"/>
          <w:color w:val="auto"/>
        </w:rPr>
      </w:pPr>
    </w:p>
    <w:p>
      <w:pPr>
        <w:jc w:val="both"/>
        <w:ind w:firstLine="629"/>
        <w:spacing w:after="0" w:line="280" w:lineRule="auto"/>
        <w:rPr>
          <w:sz w:val="20"/>
          <w:szCs w:val="20"/>
          <w:color w:val="auto"/>
        </w:rPr>
      </w:pPr>
      <w:r>
        <w:rPr>
          <w:rFonts w:ascii="Arial" w:cs="Arial" w:eastAsia="Arial" w:hAnsi="Arial"/>
          <w:sz w:val="19"/>
          <w:szCs w:val="19"/>
          <w:b w:val="1"/>
          <w:bCs w:val="1"/>
          <w:color w:val="auto"/>
        </w:rPr>
        <w:t>8.14 Securities of Subsidiaries</w:t>
      </w:r>
      <w:r>
        <w:rPr>
          <w:rFonts w:ascii="Arial" w:cs="Arial" w:eastAsia="Arial" w:hAnsi="Arial"/>
          <w:sz w:val="19"/>
          <w:szCs w:val="19"/>
          <w:color w:val="auto"/>
        </w:rPr>
        <w:t>. Permit any Restricted Subsidiary to issue any Equity Interests (whether for value or otherwise) to any</w:t>
      </w:r>
      <w:r>
        <w:rPr>
          <w:rFonts w:ascii="Arial" w:cs="Arial" w:eastAsia="Arial" w:hAnsi="Arial"/>
          <w:sz w:val="19"/>
          <w:szCs w:val="19"/>
          <w:b w:val="1"/>
          <w:bCs w:val="1"/>
          <w:color w:val="auto"/>
        </w:rPr>
        <w:t xml:space="preserve"> </w:t>
      </w:r>
      <w:r>
        <w:rPr>
          <w:rFonts w:ascii="Arial" w:cs="Arial" w:eastAsia="Arial" w:hAnsi="Arial"/>
          <w:sz w:val="19"/>
          <w:szCs w:val="19"/>
          <w:color w:val="auto"/>
        </w:rPr>
        <w:t>Person other than a Loan Party.</w:t>
      </w:r>
    </w:p>
    <w:p>
      <w:pPr>
        <w:spacing w:after="0" w:line="146" w:lineRule="exact"/>
        <w:rPr>
          <w:sz w:val="20"/>
          <w:szCs w:val="20"/>
          <w:color w:val="auto"/>
        </w:rPr>
      </w:pPr>
    </w:p>
    <w:p>
      <w:pPr>
        <w:jc w:val="both"/>
        <w:ind w:firstLine="629"/>
        <w:spacing w:after="0" w:line="253" w:lineRule="auto"/>
        <w:rPr>
          <w:sz w:val="20"/>
          <w:szCs w:val="20"/>
          <w:color w:val="auto"/>
        </w:rPr>
      </w:pPr>
      <w:r>
        <w:rPr>
          <w:rFonts w:ascii="Arial" w:cs="Arial" w:eastAsia="Arial" w:hAnsi="Arial"/>
          <w:sz w:val="19"/>
          <w:szCs w:val="19"/>
          <w:b w:val="1"/>
          <w:bCs w:val="1"/>
          <w:color w:val="auto"/>
        </w:rPr>
        <w:t>8.15 Sale and Leaseback</w:t>
      </w:r>
      <w:r>
        <w:rPr>
          <w:rFonts w:ascii="Arial" w:cs="Arial" w:eastAsia="Arial" w:hAnsi="Arial"/>
          <w:sz w:val="19"/>
          <w:szCs w:val="19"/>
          <w:color w:val="auto"/>
        </w:rPr>
        <w:t>. Enter into any agreement or arrangement with any other Person providing for the leasing by any Loan</w:t>
      </w:r>
      <w:r>
        <w:rPr>
          <w:rFonts w:ascii="Arial" w:cs="Arial" w:eastAsia="Arial" w:hAnsi="Arial"/>
          <w:sz w:val="19"/>
          <w:szCs w:val="19"/>
          <w:b w:val="1"/>
          <w:bCs w:val="1"/>
          <w:color w:val="auto"/>
        </w:rPr>
        <w:t xml:space="preserve"> </w:t>
      </w:r>
      <w:r>
        <w:rPr>
          <w:rFonts w:ascii="Arial" w:cs="Arial" w:eastAsia="Arial" w:hAnsi="Arial"/>
          <w:sz w:val="19"/>
          <w:szCs w:val="19"/>
          <w:color w:val="auto"/>
        </w:rPr>
        <w:t>Party or any Restricted Subsidiary of real or personal property which has been or is to be sold or transferred by any Loan Party or any Restricted Subsidiary to such other Person or to any other Person to whom funds have been or are to be advanced by such Person on the security of such property or rental obligations of a Loan Party or any Restricted Subsidiary, in each case whether in one transaction or a series of transactions and whether or not contemporaneous in their timing.</w:t>
      </w:r>
    </w:p>
    <w:p>
      <w:pPr>
        <w:spacing w:after="0" w:line="173" w:lineRule="exact"/>
        <w:rPr>
          <w:sz w:val="20"/>
          <w:szCs w:val="20"/>
          <w:color w:val="auto"/>
        </w:rPr>
      </w:pPr>
    </w:p>
    <w:p>
      <w:pPr>
        <w:jc w:val="both"/>
        <w:ind w:firstLine="629"/>
        <w:spacing w:after="0" w:line="262" w:lineRule="auto"/>
        <w:rPr>
          <w:sz w:val="20"/>
          <w:szCs w:val="20"/>
          <w:color w:val="auto"/>
        </w:rPr>
      </w:pPr>
      <w:r>
        <w:rPr>
          <w:rFonts w:ascii="Arial" w:cs="Arial" w:eastAsia="Arial" w:hAnsi="Arial"/>
          <w:sz w:val="19"/>
          <w:szCs w:val="19"/>
          <w:b w:val="1"/>
          <w:bCs w:val="1"/>
          <w:color w:val="auto"/>
        </w:rPr>
        <w:t xml:space="preserve">8.16 Organizational Documents; Fiscal Year. </w:t>
      </w:r>
      <w:r>
        <w:rPr>
          <w:rFonts w:ascii="Arial" w:cs="Arial" w:eastAsia="Arial" w:hAnsi="Arial"/>
          <w:sz w:val="19"/>
          <w:szCs w:val="19"/>
          <w:color w:val="auto"/>
        </w:rPr>
        <w:t>(a) Amend, modify or otherwise change any of its Organizational Documents in any</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material respect, except in connection with a transaction permitted under </w:t>
      </w:r>
      <w:r>
        <w:rPr>
          <w:rFonts w:ascii="Arial" w:cs="Arial" w:eastAsia="Arial" w:hAnsi="Arial"/>
          <w:sz w:val="19"/>
          <w:szCs w:val="19"/>
          <w:u w:val="single" w:color="auto"/>
          <w:color w:val="auto"/>
        </w:rPr>
        <w:t>Section 8.04</w:t>
      </w:r>
      <w:r>
        <w:rPr>
          <w:rFonts w:ascii="Arial" w:cs="Arial" w:eastAsia="Arial" w:hAnsi="Arial"/>
          <w:sz w:val="19"/>
          <w:szCs w:val="19"/>
          <w:color w:val="auto"/>
        </w:rPr>
        <w:t>, but in any case not in any manner that could have a material adverse effect on the interests of the Secured Parties, or (b) change its fiscal year.</w:t>
      </w:r>
    </w:p>
    <w:p>
      <w:pPr>
        <w:spacing w:after="0" w:line="163" w:lineRule="exact"/>
        <w:rPr>
          <w:sz w:val="20"/>
          <w:szCs w:val="20"/>
          <w:color w:val="auto"/>
        </w:rPr>
      </w:pPr>
    </w:p>
    <w:p>
      <w:pPr>
        <w:jc w:val="center"/>
        <w:ind w:right="120"/>
        <w:spacing w:after="0"/>
        <w:rPr>
          <w:sz w:val="20"/>
          <w:szCs w:val="20"/>
          <w:color w:val="auto"/>
        </w:rPr>
      </w:pPr>
      <w:r>
        <w:rPr>
          <w:rFonts w:ascii="Arial" w:cs="Arial" w:eastAsia="Arial" w:hAnsi="Arial"/>
          <w:sz w:val="19"/>
          <w:szCs w:val="19"/>
          <w:b w:val="1"/>
          <w:bCs w:val="1"/>
          <w:color w:val="auto"/>
        </w:rPr>
        <w:t>ARTICLE IX</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EVENTS OF DEFAULT AND REMEDIES</w:t>
      </w:r>
    </w:p>
    <w:p>
      <w:pPr>
        <w:spacing w:after="0" w:line="192"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9"/>
          <w:szCs w:val="19"/>
          <w:b w:val="1"/>
          <w:bCs w:val="1"/>
          <w:color w:val="auto"/>
        </w:rPr>
        <w:t>9.1</w:t>
      </w:r>
      <w:r>
        <w:rPr>
          <w:sz w:val="20"/>
          <w:szCs w:val="20"/>
          <w:color w:val="auto"/>
        </w:rPr>
        <w:tab/>
      </w:r>
      <w:r>
        <w:rPr>
          <w:rFonts w:ascii="Arial" w:cs="Arial" w:eastAsia="Arial" w:hAnsi="Arial"/>
          <w:sz w:val="17"/>
          <w:szCs w:val="17"/>
          <w:b w:val="1"/>
          <w:bCs w:val="1"/>
          <w:color w:val="auto"/>
        </w:rPr>
        <w:t>Events of Default</w:t>
      </w:r>
      <w:r>
        <w:rPr>
          <w:rFonts w:ascii="Arial" w:cs="Arial" w:eastAsia="Arial" w:hAnsi="Arial"/>
          <w:sz w:val="17"/>
          <w:szCs w:val="17"/>
          <w:color w:val="auto"/>
        </w:rPr>
        <w:t>. Any of the following shall constitute an Event of Default:</w:t>
      </w:r>
    </w:p>
    <w:p>
      <w:pPr>
        <w:spacing w:after="0" w:line="220" w:lineRule="exact"/>
        <w:rPr>
          <w:sz w:val="20"/>
          <w:szCs w:val="20"/>
          <w:color w:val="auto"/>
        </w:rPr>
      </w:pPr>
    </w:p>
    <w:p>
      <w:pPr>
        <w:jc w:val="both"/>
        <w:ind w:firstLine="634"/>
        <w:spacing w:after="0" w:line="254" w:lineRule="auto"/>
        <w:tabs>
          <w:tab w:leader="none" w:pos="1249" w:val="left"/>
        </w:tabs>
        <w:numPr>
          <w:ilvl w:val="0"/>
          <w:numId w:val="262"/>
        </w:numPr>
        <w:rPr>
          <w:rFonts w:ascii="Arial" w:cs="Arial" w:eastAsia="Arial" w:hAnsi="Arial"/>
          <w:sz w:val="19"/>
          <w:szCs w:val="19"/>
          <w:color w:val="auto"/>
        </w:rPr>
      </w:pPr>
      <w:r>
        <w:rPr>
          <w:rFonts w:ascii="Arial" w:cs="Arial" w:eastAsia="Arial" w:hAnsi="Arial"/>
          <w:sz w:val="19"/>
          <w:szCs w:val="19"/>
          <w:u w:val="single" w:color="auto"/>
          <w:color w:val="auto"/>
        </w:rPr>
        <w:t>Non-Payment</w:t>
      </w:r>
      <w:r>
        <w:rPr>
          <w:rFonts w:ascii="Arial" w:cs="Arial" w:eastAsia="Arial" w:hAnsi="Arial"/>
          <w:sz w:val="19"/>
          <w:szCs w:val="19"/>
          <w:color w:val="auto"/>
        </w:rPr>
        <w:t xml:space="preserve">. Any Borrower fails to pay (i) when and as required to be paid herein and in the currency required hereunder, any amount of principal of any Loan or any Letter of Credit Obligation, </w:t>
      </w:r>
      <w:r>
        <w:rPr>
          <w:rFonts w:ascii="Arial" w:cs="Arial" w:eastAsia="Arial" w:hAnsi="Arial"/>
          <w:sz w:val="19"/>
          <w:szCs w:val="19"/>
          <w:b w:val="1"/>
          <w:bCs w:val="1"/>
          <w:color w:val="auto"/>
        </w:rPr>
        <w:t>(</w:t>
      </w:r>
      <w:r>
        <w:rPr>
          <w:rFonts w:ascii="Arial" w:cs="Arial" w:eastAsia="Arial" w:hAnsi="Arial"/>
          <w:sz w:val="19"/>
          <w:szCs w:val="19"/>
          <w:color w:val="auto"/>
        </w:rPr>
        <w:t>ii) within three (3) days after the same becomes due, any interest on any Loan or on any Letter of Credit Obligation, or any commitment or other fee due hereunder, or (iii) within five (5) days after the same becomes due, any other amount payable hereunder or under any other Loan Document; or</w:t>
      </w:r>
    </w:p>
    <w:p>
      <w:pPr>
        <w:spacing w:after="0" w:line="176" w:lineRule="exact"/>
        <w:rPr>
          <w:rFonts w:ascii="Arial" w:cs="Arial" w:eastAsia="Arial" w:hAnsi="Arial"/>
          <w:sz w:val="19"/>
          <w:szCs w:val="19"/>
          <w:color w:val="auto"/>
        </w:rPr>
      </w:pPr>
    </w:p>
    <w:p>
      <w:pPr>
        <w:jc w:val="both"/>
        <w:ind w:firstLine="634"/>
        <w:spacing w:after="0" w:line="259" w:lineRule="auto"/>
        <w:tabs>
          <w:tab w:leader="none" w:pos="1247" w:val="left"/>
        </w:tabs>
        <w:numPr>
          <w:ilvl w:val="0"/>
          <w:numId w:val="262"/>
        </w:numPr>
        <w:rPr>
          <w:rFonts w:ascii="Arial" w:cs="Arial" w:eastAsia="Arial" w:hAnsi="Arial"/>
          <w:sz w:val="19"/>
          <w:szCs w:val="19"/>
          <w:color w:val="auto"/>
        </w:rPr>
      </w:pPr>
      <w:r>
        <w:rPr>
          <w:rFonts w:ascii="Arial" w:cs="Arial" w:eastAsia="Arial" w:hAnsi="Arial"/>
          <w:sz w:val="19"/>
          <w:szCs w:val="19"/>
          <w:u w:val="single" w:color="auto"/>
          <w:color w:val="auto"/>
        </w:rPr>
        <w:t>Specific Covenants</w:t>
      </w:r>
      <w:r>
        <w:rPr>
          <w:rFonts w:ascii="Arial" w:cs="Arial" w:eastAsia="Arial" w:hAnsi="Arial"/>
          <w:sz w:val="19"/>
          <w:szCs w:val="19"/>
          <w:color w:val="auto"/>
        </w:rPr>
        <w:t xml:space="preserve">. Any Loan Party or any of its Restricted Subsidiaries fails to perform or observe any term, covenant or agreement contained (i) in any of </w:t>
      </w:r>
      <w:r>
        <w:rPr>
          <w:rFonts w:ascii="Arial" w:cs="Arial" w:eastAsia="Arial" w:hAnsi="Arial"/>
          <w:sz w:val="19"/>
          <w:szCs w:val="19"/>
          <w:u w:val="single" w:color="auto"/>
          <w:color w:val="auto"/>
        </w:rPr>
        <w:t>Section 7.01(a)</w:t>
      </w:r>
      <w:r>
        <w:rPr>
          <w:rFonts w:ascii="Arial" w:cs="Arial" w:eastAsia="Arial" w:hAnsi="Arial"/>
          <w:sz w:val="19"/>
          <w:szCs w:val="19"/>
          <w:color w:val="auto"/>
        </w:rPr>
        <w:t xml:space="preserve">, </w:t>
      </w:r>
      <w:r>
        <w:rPr>
          <w:rFonts w:ascii="Arial" w:cs="Arial" w:eastAsia="Arial" w:hAnsi="Arial"/>
          <w:sz w:val="19"/>
          <w:szCs w:val="19"/>
          <w:u w:val="single" w:color="auto"/>
          <w:color w:val="auto"/>
        </w:rPr>
        <w:t>7.01(b)</w:t>
      </w:r>
      <w:r>
        <w:rPr>
          <w:rFonts w:ascii="Arial" w:cs="Arial" w:eastAsia="Arial" w:hAnsi="Arial"/>
          <w:sz w:val="19"/>
          <w:szCs w:val="19"/>
          <w:color w:val="auto"/>
        </w:rPr>
        <w:t xml:space="preserve">, </w:t>
      </w:r>
      <w:r>
        <w:rPr>
          <w:rFonts w:ascii="Arial" w:cs="Arial" w:eastAsia="Arial" w:hAnsi="Arial"/>
          <w:sz w:val="19"/>
          <w:szCs w:val="19"/>
          <w:u w:val="single" w:color="auto"/>
          <w:color w:val="auto"/>
        </w:rPr>
        <w:t>7.03</w:t>
      </w:r>
      <w:r>
        <w:rPr>
          <w:rFonts w:ascii="Arial" w:cs="Arial" w:eastAsia="Arial" w:hAnsi="Arial"/>
          <w:sz w:val="19"/>
          <w:szCs w:val="19"/>
          <w:color w:val="auto"/>
        </w:rPr>
        <w:t xml:space="preserve">, </w:t>
      </w:r>
      <w:r>
        <w:rPr>
          <w:rFonts w:ascii="Arial" w:cs="Arial" w:eastAsia="Arial" w:hAnsi="Arial"/>
          <w:sz w:val="19"/>
          <w:szCs w:val="19"/>
          <w:u w:val="single" w:color="auto"/>
          <w:color w:val="auto"/>
        </w:rPr>
        <w:t>7.05</w:t>
      </w:r>
      <w:r>
        <w:rPr>
          <w:rFonts w:ascii="Arial" w:cs="Arial" w:eastAsia="Arial" w:hAnsi="Arial"/>
          <w:sz w:val="19"/>
          <w:szCs w:val="19"/>
          <w:color w:val="auto"/>
        </w:rPr>
        <w:t xml:space="preserve">, </w:t>
      </w:r>
      <w:r>
        <w:rPr>
          <w:rFonts w:ascii="Arial" w:cs="Arial" w:eastAsia="Arial" w:hAnsi="Arial"/>
          <w:sz w:val="19"/>
          <w:szCs w:val="19"/>
          <w:u w:val="single" w:color="auto"/>
          <w:color w:val="auto"/>
        </w:rPr>
        <w:t>7.07</w:t>
      </w:r>
      <w:r>
        <w:rPr>
          <w:rFonts w:ascii="Arial" w:cs="Arial" w:eastAsia="Arial" w:hAnsi="Arial"/>
          <w:sz w:val="19"/>
          <w:szCs w:val="19"/>
          <w:color w:val="auto"/>
        </w:rPr>
        <w:t xml:space="preserve">, </w:t>
      </w:r>
      <w:r>
        <w:rPr>
          <w:rFonts w:ascii="Arial" w:cs="Arial" w:eastAsia="Arial" w:hAnsi="Arial"/>
          <w:sz w:val="19"/>
          <w:szCs w:val="19"/>
          <w:u w:val="single" w:color="auto"/>
          <w:color w:val="auto"/>
        </w:rPr>
        <w:t>7.10</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7.11</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Article VIII</w:t>
      </w:r>
      <w:r>
        <w:rPr>
          <w:rFonts w:ascii="Arial" w:cs="Arial" w:eastAsia="Arial" w:hAnsi="Arial"/>
          <w:sz w:val="19"/>
          <w:szCs w:val="19"/>
          <w:color w:val="auto"/>
        </w:rPr>
        <w:t xml:space="preserve">, or (ii) in any of </w:t>
      </w:r>
      <w:r>
        <w:rPr>
          <w:rFonts w:ascii="Arial" w:cs="Arial" w:eastAsia="Arial" w:hAnsi="Arial"/>
          <w:sz w:val="19"/>
          <w:szCs w:val="19"/>
          <w:u w:val="single" w:color="auto"/>
          <w:color w:val="auto"/>
        </w:rPr>
        <w:t>Section 4.04</w:t>
      </w:r>
      <w:r>
        <w:rPr>
          <w:rFonts w:ascii="Arial" w:cs="Arial" w:eastAsia="Arial" w:hAnsi="Arial"/>
          <w:sz w:val="19"/>
          <w:szCs w:val="19"/>
          <w:color w:val="auto"/>
        </w:rPr>
        <w:t xml:space="preserve">, </w:t>
      </w:r>
      <w:r>
        <w:rPr>
          <w:rFonts w:ascii="Arial" w:cs="Arial" w:eastAsia="Arial" w:hAnsi="Arial"/>
          <w:sz w:val="19"/>
          <w:szCs w:val="19"/>
          <w:u w:val="single" w:color="auto"/>
          <w:color w:val="auto"/>
        </w:rPr>
        <w:t>7.02(a)</w:t>
      </w:r>
      <w:r>
        <w:rPr>
          <w:rFonts w:ascii="Arial" w:cs="Arial" w:eastAsia="Arial" w:hAnsi="Arial"/>
          <w:sz w:val="19"/>
          <w:szCs w:val="19"/>
          <w:color w:val="auto"/>
        </w:rPr>
        <w:t xml:space="preserve">, </w:t>
      </w:r>
      <w:r>
        <w:rPr>
          <w:rFonts w:ascii="Arial" w:cs="Arial" w:eastAsia="Arial" w:hAnsi="Arial"/>
          <w:sz w:val="19"/>
          <w:szCs w:val="19"/>
          <w:u w:val="single" w:color="auto"/>
          <w:color w:val="auto"/>
        </w:rPr>
        <w:t>7.02(b)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7.02(c)</w:t>
      </w:r>
      <w:r>
        <w:rPr>
          <w:rFonts w:ascii="Arial" w:cs="Arial" w:eastAsia="Arial" w:hAnsi="Arial"/>
          <w:sz w:val="19"/>
          <w:szCs w:val="19"/>
          <w:color w:val="auto"/>
        </w:rPr>
        <w:t xml:space="preserve"> and such failure continues for three (3) or more Business Days; or</w:t>
      </w:r>
    </w:p>
    <w:p>
      <w:pPr>
        <w:spacing w:after="0" w:line="171" w:lineRule="exact"/>
        <w:rPr>
          <w:rFonts w:ascii="Arial" w:cs="Arial" w:eastAsia="Arial" w:hAnsi="Arial"/>
          <w:sz w:val="19"/>
          <w:szCs w:val="19"/>
          <w:color w:val="auto"/>
        </w:rPr>
      </w:pPr>
    </w:p>
    <w:p>
      <w:pPr>
        <w:ind w:firstLine="634"/>
        <w:spacing w:after="0" w:line="274" w:lineRule="auto"/>
        <w:tabs>
          <w:tab w:leader="none" w:pos="1249" w:val="left"/>
        </w:tabs>
        <w:numPr>
          <w:ilvl w:val="0"/>
          <w:numId w:val="262"/>
        </w:numPr>
        <w:rPr>
          <w:rFonts w:ascii="Arial" w:cs="Arial" w:eastAsia="Arial" w:hAnsi="Arial"/>
          <w:sz w:val="19"/>
          <w:szCs w:val="19"/>
          <w:color w:val="auto"/>
        </w:rPr>
      </w:pPr>
      <w:r>
        <w:rPr>
          <w:rFonts w:ascii="Arial" w:cs="Arial" w:eastAsia="Arial" w:hAnsi="Arial"/>
          <w:sz w:val="19"/>
          <w:szCs w:val="19"/>
          <w:u w:val="single" w:color="auto"/>
          <w:color w:val="auto"/>
        </w:rPr>
        <w:t>Other Defaults</w:t>
      </w:r>
      <w:r>
        <w:rPr>
          <w:rFonts w:ascii="Arial" w:cs="Arial" w:eastAsia="Arial" w:hAnsi="Arial"/>
          <w:sz w:val="19"/>
          <w:szCs w:val="19"/>
          <w:color w:val="auto"/>
        </w:rPr>
        <w:t>. Any Loan Party or any of its Restricted Subsidiaries fails to perform or observe any other covenant or agreement (not specified in subsection (a) or (b) above) contained in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148</w:t>
      </w:r>
    </w:p>
    <w:p>
      <w:pPr>
        <w:sectPr>
          <w:pgSz w:w="11900" w:h="16838" w:orient="portrait"/>
          <w:cols w:equalWidth="0" w:num="1">
            <w:col w:w="11240"/>
          </w:cols>
          <w:pgMar w:left="320" w:top="1376" w:right="339" w:bottom="1440" w:gutter="0" w:footer="0" w:header="0"/>
        </w:sectPr>
      </w:pPr>
    </w:p>
    <w:bookmarkStart w:id="267" w:name="page268"/>
    <w:bookmarkEnd w:id="267"/>
    <w:p>
      <w:pPr>
        <w:jc w:val="both"/>
        <w:spacing w:after="0" w:line="259" w:lineRule="auto"/>
        <w:rPr>
          <w:sz w:val="20"/>
          <w:szCs w:val="20"/>
          <w:color w:val="auto"/>
        </w:rPr>
      </w:pPr>
      <w:r>
        <w:rPr>
          <w:rFonts w:ascii="Arial" w:cs="Arial" w:eastAsia="Arial" w:hAnsi="Arial"/>
          <w:sz w:val="19"/>
          <w:szCs w:val="19"/>
          <w:color w:val="auto"/>
        </w:rPr>
        <w:t>Loan Document on its part to be performed or observed and such failure continues for thirty (30) days after the earlier of (i) receipt of notice of such default by a Responsible Officer of the Borrower Agent from the Administrative Agent, or (ii) any Responsible Officer of any Loan Party becomes aware of such default; or</w:t>
      </w:r>
    </w:p>
    <w:p>
      <w:pPr>
        <w:spacing w:after="0" w:line="171" w:lineRule="exact"/>
        <w:rPr>
          <w:sz w:val="20"/>
          <w:szCs w:val="20"/>
          <w:color w:val="auto"/>
        </w:rPr>
      </w:pPr>
    </w:p>
    <w:p>
      <w:pPr>
        <w:jc w:val="both"/>
        <w:ind w:firstLine="634"/>
        <w:spacing w:after="0" w:line="259" w:lineRule="auto"/>
        <w:tabs>
          <w:tab w:leader="none" w:pos="1247" w:val="left"/>
        </w:tabs>
        <w:numPr>
          <w:ilvl w:val="1"/>
          <w:numId w:val="263"/>
        </w:numPr>
        <w:rPr>
          <w:rFonts w:ascii="Arial" w:cs="Arial" w:eastAsia="Arial" w:hAnsi="Arial"/>
          <w:sz w:val="19"/>
          <w:szCs w:val="19"/>
          <w:color w:val="auto"/>
        </w:rPr>
      </w:pPr>
      <w:r>
        <w:rPr>
          <w:rFonts w:ascii="Arial" w:cs="Arial" w:eastAsia="Arial" w:hAnsi="Arial"/>
          <w:sz w:val="19"/>
          <w:szCs w:val="19"/>
          <w:u w:val="single" w:color="auto"/>
          <w:color w:val="auto"/>
        </w:rPr>
        <w:t>Representations and Warranties</w:t>
      </w:r>
      <w:r>
        <w:rPr>
          <w:rFonts w:ascii="Arial" w:cs="Arial" w:eastAsia="Arial" w:hAnsi="Arial"/>
          <w:sz w:val="19"/>
          <w:szCs w:val="19"/>
          <w:color w:val="auto"/>
        </w:rPr>
        <w:t>. Any representation, warranty, certification or statement of fact made or deemed made by or on behalf of any Loan Party or its Restricted Subsidiaries herein, in any other Loan Document, or in any document delivered in connection herewith or therewith shall be incorrect or misleading when made or deemed made in any material respect; or</w:t>
      </w:r>
    </w:p>
    <w:p>
      <w:pPr>
        <w:spacing w:after="0" w:line="171" w:lineRule="exact"/>
        <w:rPr>
          <w:rFonts w:ascii="Arial" w:cs="Arial" w:eastAsia="Arial" w:hAnsi="Arial"/>
          <w:sz w:val="19"/>
          <w:szCs w:val="19"/>
          <w:color w:val="auto"/>
        </w:rPr>
      </w:pPr>
    </w:p>
    <w:p>
      <w:pPr>
        <w:jc w:val="both"/>
        <w:ind w:firstLine="634"/>
        <w:spacing w:after="0" w:line="280" w:lineRule="auto"/>
        <w:tabs>
          <w:tab w:leader="none" w:pos="1249" w:val="left"/>
        </w:tabs>
        <w:numPr>
          <w:ilvl w:val="1"/>
          <w:numId w:val="263"/>
        </w:numPr>
        <w:rPr>
          <w:rFonts w:ascii="Arial" w:cs="Arial" w:eastAsia="Arial" w:hAnsi="Arial"/>
          <w:sz w:val="17"/>
          <w:szCs w:val="17"/>
          <w:color w:val="auto"/>
        </w:rPr>
      </w:pPr>
      <w:r>
        <w:rPr>
          <w:rFonts w:ascii="Arial" w:cs="Arial" w:eastAsia="Arial" w:hAnsi="Arial"/>
          <w:sz w:val="17"/>
          <w:szCs w:val="17"/>
          <w:u w:val="single" w:color="auto"/>
          <w:color w:val="auto"/>
        </w:rPr>
        <w:t>Cross-Default</w:t>
      </w:r>
      <w:r>
        <w:rPr>
          <w:rFonts w:ascii="Arial" w:cs="Arial" w:eastAsia="Arial" w:hAnsi="Arial"/>
          <w:sz w:val="17"/>
          <w:szCs w:val="17"/>
          <w:color w:val="auto"/>
        </w:rPr>
        <w:t>. (i) With respect to any Indebtedness or guarantee (other than Indebtedness hereunder and Indebtedness under Swap Contracts) having an aggregate principal amount (including undrawn committed or available amounts and including amounts owing to all creditors under any combined or syndicated credit arrangement) of more than the Threshold Amount any Loan Party or its Restricted Subsidiaries</w:t>
      </w:r>
    </w:p>
    <w:p>
      <w:pPr>
        <w:jc w:val="both"/>
        <w:ind w:firstLine="5"/>
        <w:spacing w:after="0" w:line="277" w:lineRule="auto"/>
        <w:tabs>
          <w:tab w:leader="none" w:pos="335" w:val="left"/>
        </w:tabs>
        <w:numPr>
          <w:ilvl w:val="0"/>
          <w:numId w:val="264"/>
        </w:numPr>
        <w:rPr>
          <w:rFonts w:ascii="Arial" w:cs="Arial" w:eastAsia="Arial" w:hAnsi="Arial"/>
          <w:sz w:val="17"/>
          <w:szCs w:val="17"/>
          <w:color w:val="auto"/>
        </w:rPr>
      </w:pPr>
      <w:r>
        <w:rPr>
          <w:rFonts w:ascii="Arial" w:cs="Arial" w:eastAsia="Arial" w:hAnsi="Arial"/>
          <w:sz w:val="17"/>
          <w:szCs w:val="17"/>
          <w:color w:val="auto"/>
        </w:rPr>
        <w:t>fails to make any payment when due (whether by scheduled maturity, required prepayment, acceleration, demand, or otherwise, and after passage of any grace period) in respect of any such Indebtedness or guarantee, or (B) fails to observe or perform any other agreement or condition relating to any such Indebtedness or guarantee or contained in any instrument or agreement evidencing, securing or relating thereto, or any other event occurs, and such default continues for more than the grace or cure period, if any, therein specified, the effect of which default or other event is to cause, or to permit the holder of such Indebtedness or beneficiary of such guarantee (or a trustee or agent on behalf of such holder or beneficiary) to cause, with the giving of notice if required, such Indebtedness to be demanded or to become due or to be repurchased, prepaid, defeased or redeemed (automatically or otherwise), or an offer to repurchase, prepay, defease or redeem such Indebtedness to be made, prior to its stated maturity, or such guarantee to become payable or cash collateral in respect thereof to be demanded; or (ii) there occurs under any Swap Contract an Early Termination Date (as defined in such Swap Contract) resulting from (A) any event of default under such Swap Contract as to which any Loan Party or any Subsidiary is the Defaulting Party (as defined in such Swap Contract) or (B) any Termination Event (as so defined) under such Swap Contract as to which any Loan Party or any Subsidiary is an Affected Party (as so defined) and, in either event, the Swap Termination Value owed by a Loan Party or any Subsidiary as a result thereof is greater than Threshold Amount; or</w:t>
      </w:r>
    </w:p>
    <w:p>
      <w:pPr>
        <w:spacing w:after="0" w:line="161" w:lineRule="exact"/>
        <w:rPr>
          <w:rFonts w:ascii="Arial" w:cs="Arial" w:eastAsia="Arial" w:hAnsi="Arial"/>
          <w:sz w:val="17"/>
          <w:szCs w:val="17"/>
          <w:color w:val="auto"/>
        </w:rPr>
      </w:pPr>
    </w:p>
    <w:p>
      <w:pPr>
        <w:ind w:left="1260" w:hanging="626"/>
        <w:spacing w:after="0"/>
        <w:tabs>
          <w:tab w:leader="none" w:pos="1260" w:val="left"/>
        </w:tabs>
        <w:numPr>
          <w:ilvl w:val="1"/>
          <w:numId w:val="264"/>
        </w:numPr>
        <w:rPr>
          <w:rFonts w:ascii="Arial" w:cs="Arial" w:eastAsia="Arial" w:hAnsi="Arial"/>
          <w:sz w:val="19"/>
          <w:szCs w:val="19"/>
          <w:color w:val="auto"/>
        </w:rPr>
      </w:pPr>
      <w:r>
        <w:rPr>
          <w:rFonts w:ascii="Arial" w:cs="Arial" w:eastAsia="Arial" w:hAnsi="Arial"/>
          <w:sz w:val="19"/>
          <w:szCs w:val="19"/>
          <w:u w:val="single" w:color="auto"/>
          <w:color w:val="auto"/>
        </w:rPr>
        <w:t>Insolvency Events.</w:t>
      </w:r>
      <w:r>
        <w:rPr>
          <w:rFonts w:ascii="Arial" w:cs="Arial" w:eastAsia="Arial" w:hAnsi="Arial"/>
          <w:sz w:val="19"/>
          <w:szCs w:val="19"/>
          <w:color w:val="auto"/>
        </w:rPr>
        <w:t xml:space="preserve"> Any Insolvency Event shall occur with respect to any Loan Party; or</w:t>
      </w:r>
    </w:p>
    <w:p>
      <w:pPr>
        <w:spacing w:after="0" w:line="214" w:lineRule="exact"/>
        <w:rPr>
          <w:rFonts w:ascii="Arial" w:cs="Arial" w:eastAsia="Arial" w:hAnsi="Arial"/>
          <w:sz w:val="19"/>
          <w:szCs w:val="19"/>
          <w:color w:val="auto"/>
        </w:rPr>
      </w:pPr>
    </w:p>
    <w:p>
      <w:pPr>
        <w:jc w:val="both"/>
        <w:ind w:firstLine="634"/>
        <w:spacing w:after="0" w:line="249" w:lineRule="auto"/>
        <w:tabs>
          <w:tab w:leader="none" w:pos="1247" w:val="left"/>
        </w:tabs>
        <w:numPr>
          <w:ilvl w:val="1"/>
          <w:numId w:val="264"/>
        </w:numPr>
        <w:rPr>
          <w:rFonts w:ascii="Arial" w:cs="Arial" w:eastAsia="Arial" w:hAnsi="Arial"/>
          <w:sz w:val="19"/>
          <w:szCs w:val="19"/>
          <w:color w:val="auto"/>
        </w:rPr>
      </w:pPr>
      <w:r>
        <w:rPr>
          <w:rFonts w:ascii="Arial" w:cs="Arial" w:eastAsia="Arial" w:hAnsi="Arial"/>
          <w:sz w:val="19"/>
          <w:szCs w:val="19"/>
          <w:u w:val="single" w:color="auto"/>
          <w:color w:val="auto"/>
        </w:rPr>
        <w:t>Inability to Pay Debts; Attachment</w:t>
      </w:r>
      <w:r>
        <w:rPr>
          <w:rFonts w:ascii="Arial" w:cs="Arial" w:eastAsia="Arial" w:hAnsi="Arial"/>
          <w:sz w:val="19"/>
          <w:szCs w:val="19"/>
          <w:color w:val="auto"/>
        </w:rPr>
        <w:t>. (i) Any Loan Party becomes unable or admits in writing its inability or fails generally to pay its debts as they become due, (ii) any writ or warrant of attachment or execution or similar process is issued or levied against all or any material part of the property of any Loan Party and is not released, vacated or fully bonded within thirty (30) days after its issue or levy; (iii) any Loan Party is enjoined, restrained or in any way prevented by any Governmental Authority from conducting any material part of its business; (iv) any Loan Party suffers the loss, revocation or termination of any material license, permit, lease or agreement necessary to its business; (v) there is a cessation of any material part of any Loan Party’s business for a material period of time; or (vi) any material Collateral or property or assets of a Loan Party is taken or impaired through condemnation; or</w:t>
      </w:r>
    </w:p>
    <w:p>
      <w:pPr>
        <w:spacing w:after="0" w:line="183" w:lineRule="exact"/>
        <w:rPr>
          <w:rFonts w:ascii="Arial" w:cs="Arial" w:eastAsia="Arial" w:hAnsi="Arial"/>
          <w:sz w:val="19"/>
          <w:szCs w:val="19"/>
          <w:color w:val="auto"/>
        </w:rPr>
      </w:pPr>
    </w:p>
    <w:p>
      <w:pPr>
        <w:jc w:val="both"/>
        <w:ind w:firstLine="634"/>
        <w:spacing w:after="0" w:line="259" w:lineRule="auto"/>
        <w:tabs>
          <w:tab w:leader="none" w:pos="1247" w:val="left"/>
        </w:tabs>
        <w:numPr>
          <w:ilvl w:val="1"/>
          <w:numId w:val="264"/>
        </w:numPr>
        <w:rPr>
          <w:rFonts w:ascii="Arial" w:cs="Arial" w:eastAsia="Arial" w:hAnsi="Arial"/>
          <w:sz w:val="19"/>
          <w:szCs w:val="19"/>
          <w:color w:val="auto"/>
        </w:rPr>
      </w:pPr>
      <w:r>
        <w:rPr>
          <w:rFonts w:ascii="Arial" w:cs="Arial" w:eastAsia="Arial" w:hAnsi="Arial"/>
          <w:sz w:val="19"/>
          <w:szCs w:val="19"/>
          <w:u w:val="single" w:color="auto"/>
          <w:color w:val="auto"/>
        </w:rPr>
        <w:t>Judgments</w:t>
      </w:r>
      <w:r>
        <w:rPr>
          <w:rFonts w:ascii="Arial" w:cs="Arial" w:eastAsia="Arial" w:hAnsi="Arial"/>
          <w:sz w:val="19"/>
          <w:szCs w:val="19"/>
          <w:color w:val="auto"/>
        </w:rPr>
        <w:t>. There is entered against any Loan Party (i) one or more final judgments or orders for the payment of money in an aggregate amount exceeding the Threshold Amount (to the extent not covered by insurance as to which the insurer does not dispute coverage), or (ii) any one or more non-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149</w:t>
      </w:r>
    </w:p>
    <w:p>
      <w:pPr>
        <w:sectPr>
          <w:pgSz w:w="11900" w:h="16838" w:orient="portrait"/>
          <w:cols w:equalWidth="0" w:num="1">
            <w:col w:w="11240"/>
          </w:cols>
          <w:pgMar w:left="320" w:top="1382" w:right="339" w:bottom="1440" w:gutter="0" w:footer="0" w:header="0"/>
        </w:sectPr>
      </w:pPr>
    </w:p>
    <w:bookmarkStart w:id="268" w:name="page269"/>
    <w:bookmarkEnd w:id="268"/>
    <w:p>
      <w:pPr>
        <w:jc w:val="both"/>
        <w:spacing w:after="0" w:line="273" w:lineRule="auto"/>
        <w:rPr>
          <w:sz w:val="20"/>
          <w:szCs w:val="20"/>
          <w:color w:val="auto"/>
        </w:rPr>
      </w:pPr>
      <w:r>
        <w:rPr>
          <w:rFonts w:ascii="Arial" w:cs="Arial" w:eastAsia="Arial" w:hAnsi="Arial"/>
          <w:sz w:val="18"/>
          <w:szCs w:val="18"/>
          <w:color w:val="auto"/>
        </w:rPr>
        <w:t>monetary final judgments or orders (including for injunctive relief) that have, or would reasonably be expected to have, individually or in the aggregate, a Material Adverse Effect and, in either case, such judgment or order remains unvacated and unpaid and either (A) enforcement proceedings are commenced by any creditor upon such judgment or order, or (B) there is a period of thirty (30) consecutive days during which a stay of enforcement of such judgment, by reason of a pending appeal or otherwise, is not in effect; or</w:t>
      </w:r>
    </w:p>
    <w:p>
      <w:pPr>
        <w:spacing w:after="0" w:line="160" w:lineRule="exact"/>
        <w:rPr>
          <w:sz w:val="20"/>
          <w:szCs w:val="20"/>
          <w:color w:val="auto"/>
        </w:rPr>
      </w:pPr>
    </w:p>
    <w:p>
      <w:pPr>
        <w:jc w:val="both"/>
        <w:ind w:firstLine="634"/>
        <w:spacing w:after="0" w:line="264" w:lineRule="auto"/>
        <w:tabs>
          <w:tab w:leader="none" w:pos="1257" w:val="left"/>
        </w:tabs>
        <w:numPr>
          <w:ilvl w:val="1"/>
          <w:numId w:val="265"/>
        </w:numPr>
        <w:rPr>
          <w:rFonts w:ascii="Arial" w:cs="Arial" w:eastAsia="Arial" w:hAnsi="Arial"/>
          <w:sz w:val="18"/>
          <w:szCs w:val="18"/>
          <w:color w:val="auto"/>
        </w:rPr>
      </w:pPr>
      <w:r>
        <w:rPr>
          <w:rFonts w:ascii="Arial" w:cs="Arial" w:eastAsia="Arial" w:hAnsi="Arial"/>
          <w:sz w:val="18"/>
          <w:szCs w:val="18"/>
          <w:u w:val="single" w:color="auto"/>
          <w:color w:val="auto"/>
        </w:rPr>
        <w:t>ERISA; Canadian Pension Plans</w:t>
      </w:r>
      <w:r>
        <w:rPr>
          <w:rFonts w:ascii="Arial" w:cs="Arial" w:eastAsia="Arial" w:hAnsi="Arial"/>
          <w:sz w:val="18"/>
          <w:szCs w:val="18"/>
          <w:color w:val="auto"/>
        </w:rPr>
        <w:t>. (i) An ERISA Event occurs with respect to a Pension Plan which has resulted or could reasonably be expected to result in liability of any Loan Party in an aggregate amount in excess of the Threshold Amount; or (ii) a Canadian Pension Event occurs which has resulted or could reasonably be expected to result in liability of any Loan Party or any pledgor in an aggregate amount in excess of the Threshold Amount; or (iii) a Loan Party or any ERISA Affiliate fails to pay when due, after the expiration of any applicable grace period, any installment payment with respect to its withdrawal liability under Section 4201 of ERISA under a Multiemployer Plan in an aggregate amount in excess of the Threshold Amount; or (iv) the benefit liabilities of all Plans governed by Foreign Benefit Laws, or the funding of which are regulated by any Foreign Benefit Laws, at any time exceed all such Plans’ assets, as computed in accordance with applicable Law as of the most recent valuation date for such Plans, by more than the Threshold Amount; or</w:t>
      </w:r>
    </w:p>
    <w:p>
      <w:pPr>
        <w:spacing w:after="0" w:line="171" w:lineRule="exact"/>
        <w:rPr>
          <w:rFonts w:ascii="Arial" w:cs="Arial" w:eastAsia="Arial" w:hAnsi="Arial"/>
          <w:sz w:val="18"/>
          <w:szCs w:val="18"/>
          <w:color w:val="auto"/>
        </w:rPr>
      </w:pPr>
    </w:p>
    <w:p>
      <w:pPr>
        <w:jc w:val="both"/>
        <w:ind w:firstLine="634"/>
        <w:spacing w:after="0" w:line="265" w:lineRule="auto"/>
        <w:tabs>
          <w:tab w:leader="none" w:pos="1257" w:val="left"/>
        </w:tabs>
        <w:numPr>
          <w:ilvl w:val="1"/>
          <w:numId w:val="265"/>
        </w:numPr>
        <w:rPr>
          <w:rFonts w:ascii="Arial" w:cs="Arial" w:eastAsia="Arial" w:hAnsi="Arial"/>
          <w:sz w:val="18"/>
          <w:szCs w:val="18"/>
          <w:color w:val="auto"/>
        </w:rPr>
      </w:pPr>
      <w:r>
        <w:rPr>
          <w:rFonts w:ascii="Arial" w:cs="Arial" w:eastAsia="Arial" w:hAnsi="Arial"/>
          <w:sz w:val="18"/>
          <w:szCs w:val="18"/>
          <w:u w:val="single" w:color="auto"/>
          <w:color w:val="auto"/>
        </w:rPr>
        <w:t>Invalidity of Loan Documents</w:t>
      </w:r>
      <w:r>
        <w:rPr>
          <w:rFonts w:ascii="Arial" w:cs="Arial" w:eastAsia="Arial" w:hAnsi="Arial"/>
          <w:sz w:val="18"/>
          <w:szCs w:val="18"/>
          <w:color w:val="auto"/>
        </w:rPr>
        <w:t>. Any Loan Document, or any Lien granted thereunder, at any time after its execution and delivery and for any reason, other than as expressly permitted hereunder or upon Payment in Full, ceases to be in full force and effect (except with respect to immaterial assets); or any Borrower or any other Person contests in any manner the validity or enforceability of any Loan Document or any Lien granted to the Administrative Agent pursuant to the Security Instruments; or any Borrower denies that it has any or further liability or obligation under any Loan Document, or purports to revoke, terminate or rescind any Loan Document; or any party to the Intercreditor Agreement contests in any manner the validity or enforceability of the Intercreditor Agreement or denies that it has any liability or obligation thereunder or purports to revoke, terminate or rescind the Intercreditor Agreement; or</w:t>
      </w:r>
    </w:p>
    <w:p>
      <w:pPr>
        <w:spacing w:after="0" w:line="170" w:lineRule="exact"/>
        <w:rPr>
          <w:rFonts w:ascii="Arial" w:cs="Arial" w:eastAsia="Arial" w:hAnsi="Arial"/>
          <w:sz w:val="18"/>
          <w:szCs w:val="18"/>
          <w:color w:val="auto"/>
        </w:rPr>
      </w:pPr>
    </w:p>
    <w:p>
      <w:pPr>
        <w:jc w:val="both"/>
        <w:ind w:firstLine="634"/>
        <w:spacing w:after="0" w:line="250" w:lineRule="auto"/>
        <w:tabs>
          <w:tab w:leader="none" w:pos="1247" w:val="left"/>
        </w:tabs>
        <w:numPr>
          <w:ilvl w:val="1"/>
          <w:numId w:val="265"/>
        </w:numPr>
        <w:rPr>
          <w:rFonts w:ascii="Arial" w:cs="Arial" w:eastAsia="Arial" w:hAnsi="Arial"/>
          <w:sz w:val="19"/>
          <w:szCs w:val="19"/>
          <w:color w:val="auto"/>
        </w:rPr>
      </w:pPr>
      <w:r>
        <w:rPr>
          <w:rFonts w:ascii="Arial" w:cs="Arial" w:eastAsia="Arial" w:hAnsi="Arial"/>
          <w:sz w:val="19"/>
          <w:szCs w:val="19"/>
          <w:u w:val="single" w:color="auto"/>
          <w:color w:val="auto"/>
        </w:rPr>
        <w:t>Breach of Contractual Obligation</w:t>
      </w:r>
      <w:r>
        <w:rPr>
          <w:rFonts w:ascii="Arial" w:cs="Arial" w:eastAsia="Arial" w:hAnsi="Arial"/>
          <w:sz w:val="19"/>
          <w:szCs w:val="19"/>
          <w:color w:val="auto"/>
        </w:rPr>
        <w:t>. Any Loan Party or any Subsidiary thereof fails to make any payment when due (whether by scheduled maturity, required prepayment, acceleration, demand, or otherwise) in respect of any contract to which it is party or fails to observe or perform any other agreement or condition relating to any such contract to which it is party or contained in any instrument or agreement evidencing, securing or relating thereto, or any other event occurs, the effect of which default or other event is to cause, or to permit the counterparty to such contract to terminate such contract, in each case which would, individually or in the aggregate, reasonably be expected to result in a Material Adverse Effect; or</w:t>
      </w:r>
    </w:p>
    <w:p>
      <w:pPr>
        <w:spacing w:after="0" w:line="181" w:lineRule="exact"/>
        <w:rPr>
          <w:rFonts w:ascii="Arial" w:cs="Arial" w:eastAsia="Arial" w:hAnsi="Arial"/>
          <w:sz w:val="19"/>
          <w:szCs w:val="19"/>
          <w:color w:val="auto"/>
        </w:rPr>
      </w:pPr>
    </w:p>
    <w:p>
      <w:pPr>
        <w:jc w:val="both"/>
        <w:ind w:firstLine="634"/>
        <w:spacing w:after="0" w:line="278" w:lineRule="auto"/>
        <w:tabs>
          <w:tab w:leader="none" w:pos="1257" w:val="left"/>
        </w:tabs>
        <w:numPr>
          <w:ilvl w:val="1"/>
          <w:numId w:val="265"/>
        </w:numPr>
        <w:rPr>
          <w:rFonts w:ascii="Arial" w:cs="Arial" w:eastAsia="Arial" w:hAnsi="Arial"/>
          <w:sz w:val="17"/>
          <w:szCs w:val="17"/>
          <w:color w:val="auto"/>
        </w:rPr>
      </w:pPr>
      <w:r>
        <w:rPr>
          <w:rFonts w:ascii="Arial" w:cs="Arial" w:eastAsia="Arial" w:hAnsi="Arial"/>
          <w:sz w:val="17"/>
          <w:szCs w:val="17"/>
          <w:u w:val="single" w:color="auto"/>
          <w:color w:val="auto"/>
        </w:rPr>
        <w:t>Indictment</w:t>
      </w:r>
      <w:r>
        <w:rPr>
          <w:rFonts w:ascii="Arial" w:cs="Arial" w:eastAsia="Arial" w:hAnsi="Arial"/>
          <w:sz w:val="17"/>
          <w:szCs w:val="17"/>
          <w:color w:val="auto"/>
        </w:rPr>
        <w:t>. (i) Any Loan Party is (A) criminally indicted or convicted of a felony for fraud or dishonesty in connection with the Loan Parties’ business or (B) charged by a Governmental Authority under any law that would reasonably be expected to lead to forfeiture of any material portion of Collateral, or (ii) any director or senior officer of any Loan Party is (A) criminally indicted or convicted of a felony for fraud or dishonesty in connection with the Loan Parties’ business, unless such director or senior officer promptly resigns or is removed or replaced or</w:t>
      </w:r>
    </w:p>
    <w:p>
      <w:pPr>
        <w:spacing w:after="0" w:line="2" w:lineRule="exact"/>
        <w:rPr>
          <w:rFonts w:ascii="Arial" w:cs="Arial" w:eastAsia="Arial" w:hAnsi="Arial"/>
          <w:sz w:val="17"/>
          <w:szCs w:val="17"/>
          <w:color w:val="auto"/>
        </w:rPr>
      </w:pPr>
    </w:p>
    <w:p>
      <w:pPr>
        <w:ind w:firstLine="5"/>
        <w:spacing w:after="0" w:line="256" w:lineRule="auto"/>
        <w:tabs>
          <w:tab w:leader="none" w:pos="332" w:val="left"/>
        </w:tabs>
        <w:numPr>
          <w:ilvl w:val="0"/>
          <w:numId w:val="266"/>
        </w:numPr>
        <w:rPr>
          <w:rFonts w:ascii="Arial" w:cs="Arial" w:eastAsia="Arial" w:hAnsi="Arial"/>
          <w:sz w:val="19"/>
          <w:szCs w:val="19"/>
          <w:color w:val="auto"/>
        </w:rPr>
      </w:pPr>
      <w:r>
        <w:rPr>
          <w:rFonts w:ascii="Arial" w:cs="Arial" w:eastAsia="Arial" w:hAnsi="Arial"/>
          <w:sz w:val="19"/>
          <w:szCs w:val="19"/>
          <w:color w:val="auto"/>
        </w:rPr>
        <w:t>charged by a Governmental Authority under any law that would reasonably be expected to lead to forfeiture of any material portion of Collateral;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150</w:t>
      </w:r>
    </w:p>
    <w:p>
      <w:pPr>
        <w:sectPr>
          <w:pgSz w:w="11900" w:h="16838" w:orient="portrait"/>
          <w:cols w:equalWidth="0" w:num="1">
            <w:col w:w="11240"/>
          </w:cols>
          <w:pgMar w:left="320" w:top="1382" w:right="339" w:bottom="1440" w:gutter="0" w:footer="0" w:header="0"/>
        </w:sectPr>
      </w:pPr>
    </w:p>
    <w:bookmarkStart w:id="269" w:name="page270"/>
    <w:bookmarkEnd w:id="269"/>
    <w:p>
      <w:pPr>
        <w:jc w:val="both"/>
        <w:ind w:firstLine="634"/>
        <w:spacing w:after="0" w:line="249" w:lineRule="auto"/>
        <w:tabs>
          <w:tab w:leader="none" w:pos="1248" w:val="left"/>
        </w:tabs>
        <w:numPr>
          <w:ilvl w:val="0"/>
          <w:numId w:val="267"/>
        </w:numPr>
        <w:rPr>
          <w:rFonts w:ascii="Arial" w:cs="Arial" w:eastAsia="Arial" w:hAnsi="Arial"/>
          <w:sz w:val="19"/>
          <w:szCs w:val="19"/>
          <w:color w:val="auto"/>
        </w:rPr>
      </w:pPr>
      <w:r>
        <w:rPr>
          <w:rFonts w:ascii="Arial" w:cs="Arial" w:eastAsia="Arial" w:hAnsi="Arial"/>
          <w:sz w:val="19"/>
          <w:szCs w:val="19"/>
          <w:u w:val="single" w:color="auto"/>
          <w:color w:val="auto"/>
        </w:rPr>
        <w:t>Subordinated Debt.</w:t>
      </w:r>
      <w:r>
        <w:rPr>
          <w:rFonts w:ascii="Arial" w:cs="Arial" w:eastAsia="Arial" w:hAnsi="Arial"/>
          <w:sz w:val="19"/>
          <w:szCs w:val="19"/>
          <w:color w:val="auto"/>
        </w:rPr>
        <w:t xml:space="preserve"> (i) The Subordination Provisions shall fail to be enforceable by the Lenders (which have not effectively waived the benefits thereof) in accordance with the terms thereof; or (ii) the principal or interest on any Loan, any Letter of Credit Obligation or other Loan Obligations shall fail to constitute “designated senior debt” (or any other similar term) under any document, instrument or agreement evidencing such Subordinated Debt; or (iii) any Loan Party or any of its Subsidiaries shall, directly or indirectly, disavow or contest in any manner (A) the effectiveness, validity or enforceability of any of the Subordination Provisions, or (B) that any of such Subordination Provisions exist for the benefit of any Secured Party; or (iv) any Loan Party or any Subsidiary thereof or any other Person fails to observe or perform any of the Subordination Provisions; or</w:t>
      </w:r>
    </w:p>
    <w:p>
      <w:pPr>
        <w:spacing w:after="0" w:line="183" w:lineRule="exact"/>
        <w:rPr>
          <w:rFonts w:ascii="Arial" w:cs="Arial" w:eastAsia="Arial" w:hAnsi="Arial"/>
          <w:sz w:val="19"/>
          <w:szCs w:val="19"/>
          <w:color w:val="auto"/>
        </w:rPr>
      </w:pPr>
    </w:p>
    <w:p>
      <w:pPr>
        <w:ind w:firstLine="634"/>
        <w:spacing w:after="0" w:line="274" w:lineRule="auto"/>
        <w:tabs>
          <w:tab w:leader="none" w:pos="1247" w:val="left"/>
        </w:tabs>
        <w:numPr>
          <w:ilvl w:val="0"/>
          <w:numId w:val="267"/>
        </w:numPr>
        <w:rPr>
          <w:rFonts w:ascii="Arial" w:cs="Arial" w:eastAsia="Arial" w:hAnsi="Arial"/>
          <w:sz w:val="19"/>
          <w:szCs w:val="19"/>
          <w:color w:val="auto"/>
        </w:rPr>
      </w:pPr>
      <w:r>
        <w:rPr>
          <w:rFonts w:ascii="Arial" w:cs="Arial" w:eastAsia="Arial" w:hAnsi="Arial"/>
          <w:sz w:val="19"/>
          <w:szCs w:val="19"/>
          <w:u w:val="single" w:color="auto"/>
          <w:color w:val="auto"/>
        </w:rPr>
        <w:t>Uninsured Loss</w:t>
      </w:r>
      <w:r>
        <w:rPr>
          <w:rFonts w:ascii="Arial" w:cs="Arial" w:eastAsia="Arial" w:hAnsi="Arial"/>
          <w:sz w:val="19"/>
          <w:szCs w:val="19"/>
          <w:color w:val="auto"/>
        </w:rPr>
        <w:t>. A loss, theft, damage or destruction occurs with respect to any Collateral if the amount not covered by insurance exceeds the Threshold Amount; or</w:t>
      </w:r>
    </w:p>
    <w:p>
      <w:pPr>
        <w:spacing w:after="0" w:line="156" w:lineRule="exact"/>
        <w:rPr>
          <w:rFonts w:ascii="Arial" w:cs="Arial" w:eastAsia="Arial" w:hAnsi="Arial"/>
          <w:sz w:val="19"/>
          <w:szCs w:val="19"/>
          <w:color w:val="auto"/>
        </w:rPr>
      </w:pPr>
    </w:p>
    <w:p>
      <w:pPr>
        <w:ind w:left="1260" w:hanging="626"/>
        <w:spacing w:after="0"/>
        <w:tabs>
          <w:tab w:leader="none" w:pos="1260" w:val="left"/>
        </w:tabs>
        <w:numPr>
          <w:ilvl w:val="0"/>
          <w:numId w:val="267"/>
        </w:numPr>
        <w:rPr>
          <w:rFonts w:ascii="Arial" w:cs="Arial" w:eastAsia="Arial" w:hAnsi="Arial"/>
          <w:sz w:val="19"/>
          <w:szCs w:val="19"/>
          <w:color w:val="auto"/>
        </w:rPr>
      </w:pPr>
      <w:r>
        <w:rPr>
          <w:rFonts w:ascii="Arial" w:cs="Arial" w:eastAsia="Arial" w:hAnsi="Arial"/>
          <w:sz w:val="19"/>
          <w:szCs w:val="19"/>
          <w:u w:val="single" w:color="auto"/>
          <w:color w:val="auto"/>
        </w:rPr>
        <w:t>Change of Control</w:t>
      </w:r>
      <w:r>
        <w:rPr>
          <w:rFonts w:ascii="Arial" w:cs="Arial" w:eastAsia="Arial" w:hAnsi="Arial"/>
          <w:sz w:val="19"/>
          <w:szCs w:val="19"/>
          <w:color w:val="auto"/>
        </w:rPr>
        <w:t>. There occurs any Change of Control; or</w:t>
      </w:r>
    </w:p>
    <w:p>
      <w:pPr>
        <w:spacing w:after="0" w:line="214" w:lineRule="exact"/>
        <w:rPr>
          <w:rFonts w:ascii="Arial" w:cs="Arial" w:eastAsia="Arial" w:hAnsi="Arial"/>
          <w:sz w:val="19"/>
          <w:szCs w:val="19"/>
          <w:color w:val="auto"/>
        </w:rPr>
      </w:pPr>
    </w:p>
    <w:p>
      <w:pPr>
        <w:jc w:val="both"/>
        <w:ind w:firstLine="634"/>
        <w:spacing w:after="0" w:line="250" w:lineRule="auto"/>
        <w:tabs>
          <w:tab w:leader="none" w:pos="1247" w:val="left"/>
        </w:tabs>
        <w:numPr>
          <w:ilvl w:val="0"/>
          <w:numId w:val="267"/>
        </w:numPr>
        <w:rPr>
          <w:rFonts w:ascii="Arial" w:cs="Arial" w:eastAsia="Arial" w:hAnsi="Arial"/>
          <w:sz w:val="19"/>
          <w:szCs w:val="19"/>
          <w:color w:val="auto"/>
        </w:rPr>
      </w:pPr>
      <w:r>
        <w:rPr>
          <w:rFonts w:ascii="Arial" w:cs="Arial" w:eastAsia="Arial" w:hAnsi="Arial"/>
          <w:sz w:val="19"/>
          <w:szCs w:val="19"/>
          <w:u w:val="single" w:color="auto"/>
          <w:color w:val="auto"/>
        </w:rPr>
        <w:t>Possession or other Action by Surety</w:t>
      </w:r>
      <w:r>
        <w:rPr>
          <w:rFonts w:ascii="Arial" w:cs="Arial" w:eastAsia="Arial" w:hAnsi="Arial"/>
          <w:sz w:val="19"/>
          <w:szCs w:val="19"/>
          <w:color w:val="auto"/>
        </w:rPr>
        <w:t>. Any event or condition occurs that results in any Surety demanding or taking possession of any Collateral with a book value in excess of the Threshold Amount or exercising any other rights or remedies with respect to any Collateral, or the underlying contract that is the subject of the applicable Bonding Obligation, with a value, a face value of outstanding Accounts or unperformed obligations, or any combination thereof, in excess of the Threshold Amount if such action continues for a period of five (5) Business Days after the earlier of (A) the Administrative Agent’s delivery of written notice thereof to the Company and (B) the date a Responsible Officer of the Company or any Subsidiary first obtains knowledge thereof.</w:t>
      </w:r>
    </w:p>
    <w:p>
      <w:pPr>
        <w:spacing w:after="0" w:line="176" w:lineRule="exact"/>
        <w:rPr>
          <w:sz w:val="20"/>
          <w:szCs w:val="20"/>
          <w:color w:val="auto"/>
        </w:rPr>
      </w:pPr>
    </w:p>
    <w:p>
      <w:pPr>
        <w:ind w:firstLine="629"/>
        <w:spacing w:after="0" w:line="280" w:lineRule="auto"/>
        <w:rPr>
          <w:sz w:val="20"/>
          <w:szCs w:val="20"/>
          <w:color w:val="auto"/>
        </w:rPr>
      </w:pPr>
      <w:r>
        <w:rPr>
          <w:rFonts w:ascii="Arial" w:cs="Arial" w:eastAsia="Arial" w:hAnsi="Arial"/>
          <w:sz w:val="19"/>
          <w:szCs w:val="19"/>
          <w:b w:val="1"/>
          <w:bCs w:val="1"/>
          <w:color w:val="auto"/>
        </w:rPr>
        <w:t>9.2 Remedies upon Event of Default</w:t>
      </w:r>
      <w:r>
        <w:rPr>
          <w:rFonts w:ascii="Arial" w:cs="Arial" w:eastAsia="Arial" w:hAnsi="Arial"/>
          <w:sz w:val="19"/>
          <w:szCs w:val="19"/>
          <w:color w:val="auto"/>
        </w:rPr>
        <w:t>. If any Event of Default occurs and is continuing, the Administrative Agent may, and at the</w:t>
      </w:r>
      <w:r>
        <w:rPr>
          <w:rFonts w:ascii="Arial" w:cs="Arial" w:eastAsia="Arial" w:hAnsi="Arial"/>
          <w:sz w:val="19"/>
          <w:szCs w:val="19"/>
          <w:b w:val="1"/>
          <w:bCs w:val="1"/>
          <w:color w:val="auto"/>
        </w:rPr>
        <w:t xml:space="preserve"> </w:t>
      </w:r>
      <w:r>
        <w:rPr>
          <w:rFonts w:ascii="Arial" w:cs="Arial" w:eastAsia="Arial" w:hAnsi="Arial"/>
          <w:sz w:val="19"/>
          <w:szCs w:val="19"/>
          <w:color w:val="auto"/>
        </w:rPr>
        <w:t>direction of the Required Lenders shall, take any or all of the following actions:</w:t>
      </w:r>
    </w:p>
    <w:p>
      <w:pPr>
        <w:spacing w:after="0" w:line="152" w:lineRule="exact"/>
        <w:rPr>
          <w:sz w:val="20"/>
          <w:szCs w:val="20"/>
          <w:color w:val="auto"/>
        </w:rPr>
      </w:pPr>
    </w:p>
    <w:p>
      <w:pPr>
        <w:ind w:firstLine="634"/>
        <w:spacing w:after="0" w:line="274" w:lineRule="auto"/>
        <w:tabs>
          <w:tab w:leader="none" w:pos="1249" w:val="left"/>
        </w:tabs>
        <w:numPr>
          <w:ilvl w:val="0"/>
          <w:numId w:val="268"/>
        </w:numPr>
        <w:rPr>
          <w:rFonts w:ascii="Arial" w:cs="Arial" w:eastAsia="Arial" w:hAnsi="Arial"/>
          <w:sz w:val="19"/>
          <w:szCs w:val="19"/>
          <w:color w:val="auto"/>
        </w:rPr>
      </w:pPr>
      <w:r>
        <w:rPr>
          <w:rFonts w:ascii="Arial" w:cs="Arial" w:eastAsia="Arial" w:hAnsi="Arial"/>
          <w:sz w:val="19"/>
          <w:szCs w:val="19"/>
          <w:color w:val="auto"/>
        </w:rPr>
        <w:t>declare the commitment of each Lender to make Loans and any obligation of the Letter of Credit Issuer to make Letter of Credit Extensions to be terminated, whereupon such commitments and obligation shall be terminated;</w:t>
      </w:r>
    </w:p>
    <w:p>
      <w:pPr>
        <w:spacing w:after="0" w:line="156" w:lineRule="exact"/>
        <w:rPr>
          <w:rFonts w:ascii="Arial" w:cs="Arial" w:eastAsia="Arial" w:hAnsi="Arial"/>
          <w:sz w:val="19"/>
          <w:szCs w:val="19"/>
          <w:color w:val="auto"/>
        </w:rPr>
      </w:pPr>
    </w:p>
    <w:p>
      <w:pPr>
        <w:jc w:val="both"/>
        <w:ind w:firstLine="634"/>
        <w:spacing w:after="0" w:line="259" w:lineRule="auto"/>
        <w:tabs>
          <w:tab w:leader="none" w:pos="1247" w:val="left"/>
        </w:tabs>
        <w:numPr>
          <w:ilvl w:val="0"/>
          <w:numId w:val="268"/>
        </w:numPr>
        <w:rPr>
          <w:rFonts w:ascii="Arial" w:cs="Arial" w:eastAsia="Arial" w:hAnsi="Arial"/>
          <w:sz w:val="19"/>
          <w:szCs w:val="19"/>
          <w:color w:val="auto"/>
        </w:rPr>
      </w:pPr>
      <w:r>
        <w:rPr>
          <w:rFonts w:ascii="Arial" w:cs="Arial" w:eastAsia="Arial" w:hAnsi="Arial"/>
          <w:sz w:val="19"/>
          <w:szCs w:val="19"/>
          <w:color w:val="auto"/>
        </w:rPr>
        <w:t>declare the unpaid principal amount of all outstanding Loans, all interest accrued and unpaid thereon, and all other Loan Obligations owing or payable hereunder or under any other Loan Document to be immediately due and payable, without presentment, demand, protest or other notice of any kind, all of which are hereby expressly waived by the Borrowers;</w:t>
      </w:r>
    </w:p>
    <w:p>
      <w:pPr>
        <w:spacing w:after="0" w:line="171" w:lineRule="exact"/>
        <w:rPr>
          <w:rFonts w:ascii="Arial" w:cs="Arial" w:eastAsia="Arial" w:hAnsi="Arial"/>
          <w:sz w:val="19"/>
          <w:szCs w:val="19"/>
          <w:color w:val="auto"/>
        </w:rPr>
      </w:pPr>
    </w:p>
    <w:p>
      <w:pPr>
        <w:jc w:val="both"/>
        <w:ind w:firstLine="634"/>
        <w:spacing w:after="0" w:line="259" w:lineRule="auto"/>
        <w:tabs>
          <w:tab w:leader="none" w:pos="1249" w:val="left"/>
        </w:tabs>
        <w:numPr>
          <w:ilvl w:val="0"/>
          <w:numId w:val="268"/>
        </w:numPr>
        <w:rPr>
          <w:rFonts w:ascii="Arial" w:cs="Arial" w:eastAsia="Arial" w:hAnsi="Arial"/>
          <w:sz w:val="19"/>
          <w:szCs w:val="19"/>
          <w:color w:val="auto"/>
        </w:rPr>
      </w:pPr>
      <w:r>
        <w:rPr>
          <w:rFonts w:ascii="Arial" w:cs="Arial" w:eastAsia="Arial" w:hAnsi="Arial"/>
          <w:sz w:val="19"/>
          <w:szCs w:val="19"/>
          <w:color w:val="auto"/>
        </w:rPr>
        <w:t>require that the Borrowers Cash Collateralize the Letter of Credit Obligations (in an amount equal to the then Outstanding Amount thereof) or any other Loan Obligations that are contingent or not yet due and payable in amount determined by the Administrative Agent in accordance with this Agreement; and</w:t>
      </w:r>
    </w:p>
    <w:p>
      <w:pPr>
        <w:spacing w:after="0" w:line="171" w:lineRule="exact"/>
        <w:rPr>
          <w:rFonts w:ascii="Arial" w:cs="Arial" w:eastAsia="Arial" w:hAnsi="Arial"/>
          <w:sz w:val="19"/>
          <w:szCs w:val="19"/>
          <w:color w:val="auto"/>
        </w:rPr>
      </w:pPr>
    </w:p>
    <w:p>
      <w:pPr>
        <w:ind w:left="1260" w:hanging="626"/>
        <w:spacing w:after="0"/>
        <w:tabs>
          <w:tab w:leader="none" w:pos="1260" w:val="left"/>
        </w:tabs>
        <w:numPr>
          <w:ilvl w:val="0"/>
          <w:numId w:val="268"/>
        </w:numPr>
        <w:rPr>
          <w:rFonts w:ascii="Arial" w:cs="Arial" w:eastAsia="Arial" w:hAnsi="Arial"/>
          <w:sz w:val="17"/>
          <w:szCs w:val="17"/>
          <w:color w:val="auto"/>
        </w:rPr>
      </w:pPr>
      <w:r>
        <w:rPr>
          <w:rFonts w:ascii="Arial" w:cs="Arial" w:eastAsia="Arial" w:hAnsi="Arial"/>
          <w:sz w:val="17"/>
          <w:szCs w:val="17"/>
          <w:color w:val="auto"/>
        </w:rPr>
        <w:t>exercise on behalf of itself and the Lenders all rights and remedies available to it and the Lenders under the Loan Documents or</w:t>
      </w:r>
    </w:p>
    <w:p>
      <w:pPr>
        <w:spacing w:after="0" w:line="43"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9"/>
          <w:szCs w:val="19"/>
          <w:color w:val="auto"/>
        </w:rPr>
        <w:t>applicable Law;</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upon the occurrence of an Event of Default under </w:t>
      </w:r>
      <w:r>
        <w:rPr>
          <w:rFonts w:ascii="Arial" w:cs="Arial" w:eastAsia="Arial" w:hAnsi="Arial"/>
          <w:sz w:val="19"/>
          <w:szCs w:val="19"/>
          <w:u w:val="single" w:color="auto"/>
          <w:color w:val="auto"/>
        </w:rPr>
        <w:t>Section 9.01(f)</w:t>
      </w:r>
      <w:r>
        <w:rPr>
          <w:rFonts w:ascii="Arial" w:cs="Arial" w:eastAsia="Arial" w:hAnsi="Arial"/>
          <w:sz w:val="19"/>
          <w:szCs w:val="19"/>
          <w:color w:val="auto"/>
        </w:rPr>
        <w:t>, the obligation of each Lender to make Loans and any obligation of the Letter of Credit Issuer to make Letter of Credit Extensions shall automatically terminate, the unpaid principal amount of all outstanding Loans and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151</w:t>
      </w:r>
    </w:p>
    <w:p>
      <w:pPr>
        <w:sectPr>
          <w:pgSz w:w="11900" w:h="16838" w:orient="portrait"/>
          <w:cols w:equalWidth="0" w:num="1">
            <w:col w:w="11240"/>
          </w:cols>
          <w:pgMar w:left="320" w:top="1381" w:right="339" w:bottom="1440" w:gutter="0" w:footer="0" w:header="0"/>
        </w:sectPr>
      </w:pPr>
    </w:p>
    <w:bookmarkStart w:id="270" w:name="page271"/>
    <w:bookmarkEnd w:id="270"/>
    <w:p>
      <w:pPr>
        <w:jc w:val="both"/>
        <w:spacing w:after="0" w:line="250" w:lineRule="auto"/>
        <w:rPr>
          <w:sz w:val="20"/>
          <w:szCs w:val="20"/>
          <w:color w:val="auto"/>
        </w:rPr>
      </w:pPr>
      <w:r>
        <w:rPr>
          <w:rFonts w:ascii="Arial" w:cs="Arial" w:eastAsia="Arial" w:hAnsi="Arial"/>
          <w:sz w:val="19"/>
          <w:szCs w:val="19"/>
          <w:color w:val="auto"/>
        </w:rPr>
        <w:t xml:space="preserve">interest and other amounts as aforesaid shall automatically become due and payable, and the obligation of the Borrowers to Cash Collateralize the Letter of Credit Obligations as aforesaid shall automatically become effective, in each case without further act of the Administrative Agent or any Lender; and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with respect to any Event of Default resulting solely from failure of Borrowers to comply with the financial covenant set forth in </w:t>
      </w:r>
      <w:r>
        <w:rPr>
          <w:rFonts w:ascii="Arial" w:cs="Arial" w:eastAsia="Arial" w:hAnsi="Arial"/>
          <w:sz w:val="19"/>
          <w:szCs w:val="19"/>
          <w:u w:val="single" w:color="auto"/>
          <w:color w:val="auto"/>
        </w:rPr>
        <w:t>Section 8.12</w:t>
      </w:r>
      <w:r>
        <w:rPr>
          <w:rFonts w:ascii="Arial" w:cs="Arial" w:eastAsia="Arial" w:hAnsi="Arial"/>
          <w:sz w:val="19"/>
          <w:szCs w:val="19"/>
          <w:color w:val="auto"/>
        </w:rPr>
        <w:t xml:space="preserve">, neither Administrative Agent nor the Required Lenders may exercise the foregoing remedies in this </w:t>
      </w:r>
      <w:r>
        <w:rPr>
          <w:rFonts w:ascii="Arial" w:cs="Arial" w:eastAsia="Arial" w:hAnsi="Arial"/>
          <w:sz w:val="19"/>
          <w:szCs w:val="19"/>
          <w:u w:val="single" w:color="auto"/>
          <w:color w:val="auto"/>
        </w:rPr>
        <w:t>Section 9.02</w:t>
      </w:r>
      <w:r>
        <w:rPr>
          <w:rFonts w:ascii="Arial" w:cs="Arial" w:eastAsia="Arial" w:hAnsi="Arial"/>
          <w:sz w:val="19"/>
          <w:szCs w:val="19"/>
          <w:color w:val="auto"/>
        </w:rPr>
        <w:t xml:space="preserve"> until the date that is ten (10) Business Days after the day on which financial statements are required to be delivered for the applicable month;</w:t>
      </w:r>
    </w:p>
    <w:p>
      <w:pPr>
        <w:spacing w:after="0" w:line="182" w:lineRule="exact"/>
        <w:rPr>
          <w:sz w:val="20"/>
          <w:szCs w:val="20"/>
          <w:color w:val="auto"/>
        </w:rPr>
      </w:pPr>
    </w:p>
    <w:p>
      <w:pPr>
        <w:jc w:val="both"/>
        <w:spacing w:after="0" w:line="302" w:lineRule="auto"/>
        <w:rPr>
          <w:sz w:val="20"/>
          <w:szCs w:val="20"/>
          <w:color w:val="auto"/>
        </w:rPr>
      </w:pPr>
      <w:r>
        <w:rPr>
          <w:rFonts w:ascii="Arial" w:cs="Arial" w:eastAsia="Arial" w:hAnsi="Arial"/>
          <w:sz w:val="18"/>
          <w:szCs w:val="18"/>
          <w:color w:val="auto"/>
        </w:rPr>
        <w:t>No remedy herein is intended to be exclusive of any other remedy and each and every remedy shall be cumulative and shall be in addition to every other remedy given hereunder or now or hereafter existing at law or in equity or by statute or any other provision of Law.</w:t>
      </w:r>
    </w:p>
    <w:p>
      <w:pPr>
        <w:spacing w:after="0" w:line="129"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9"/>
          <w:szCs w:val="19"/>
          <w:b w:val="1"/>
          <w:bCs w:val="1"/>
          <w:color w:val="auto"/>
        </w:rPr>
        <w:t>9.3</w:t>
      </w:r>
      <w:r>
        <w:rPr>
          <w:sz w:val="20"/>
          <w:szCs w:val="20"/>
          <w:color w:val="auto"/>
        </w:rPr>
        <w:tab/>
      </w:r>
      <w:r>
        <w:rPr>
          <w:rFonts w:ascii="Arial" w:cs="Arial" w:eastAsia="Arial" w:hAnsi="Arial"/>
          <w:sz w:val="17"/>
          <w:szCs w:val="17"/>
          <w:b w:val="1"/>
          <w:bCs w:val="1"/>
          <w:color w:val="auto"/>
        </w:rPr>
        <w:t>Application of Funds.</w:t>
      </w:r>
    </w:p>
    <w:p>
      <w:pPr>
        <w:spacing w:after="0" w:line="220" w:lineRule="exact"/>
        <w:rPr>
          <w:sz w:val="20"/>
          <w:szCs w:val="20"/>
          <w:color w:val="auto"/>
        </w:rPr>
      </w:pPr>
    </w:p>
    <w:p>
      <w:pPr>
        <w:jc w:val="both"/>
        <w:ind w:firstLine="634"/>
        <w:spacing w:after="0" w:line="259" w:lineRule="auto"/>
        <w:tabs>
          <w:tab w:leader="none" w:pos="1249" w:val="left"/>
        </w:tabs>
        <w:numPr>
          <w:ilvl w:val="0"/>
          <w:numId w:val="269"/>
        </w:numPr>
        <w:rPr>
          <w:rFonts w:ascii="Arial" w:cs="Arial" w:eastAsia="Arial" w:hAnsi="Arial"/>
          <w:sz w:val="19"/>
          <w:szCs w:val="19"/>
          <w:color w:val="auto"/>
        </w:rPr>
      </w:pPr>
      <w:r>
        <w:rPr>
          <w:rFonts w:ascii="Arial" w:cs="Arial" w:eastAsia="Arial" w:hAnsi="Arial"/>
          <w:sz w:val="19"/>
          <w:szCs w:val="19"/>
          <w:color w:val="auto"/>
        </w:rPr>
        <w:t xml:space="preserve">Subject to </w:t>
      </w:r>
      <w:r>
        <w:rPr>
          <w:rFonts w:ascii="Arial" w:cs="Arial" w:eastAsia="Arial" w:hAnsi="Arial"/>
          <w:sz w:val="19"/>
          <w:szCs w:val="19"/>
          <w:u w:val="single" w:color="auto"/>
          <w:color w:val="auto"/>
        </w:rPr>
        <w:t>Section 9.03(b)</w:t>
      </w:r>
      <w:r>
        <w:rPr>
          <w:rFonts w:ascii="Arial" w:cs="Arial" w:eastAsia="Arial" w:hAnsi="Arial"/>
          <w:sz w:val="19"/>
          <w:szCs w:val="19"/>
          <w:color w:val="auto"/>
        </w:rPr>
        <w:t xml:space="preserve"> below, all payments made by Loan Parties in respect of the Loan Obligations shall be applied (a) first, as specifically required in the Loan Documents; (b) second, to Loan Obligations then due and owing; (c) third, to other Loan Obligations specified by Borrower Agent; and (d) fourth, as determined by Administrative Agent in its discretion.</w:t>
      </w:r>
    </w:p>
    <w:p>
      <w:pPr>
        <w:spacing w:after="0" w:line="171" w:lineRule="exact"/>
        <w:rPr>
          <w:rFonts w:ascii="Arial" w:cs="Arial" w:eastAsia="Arial" w:hAnsi="Arial"/>
          <w:sz w:val="19"/>
          <w:szCs w:val="19"/>
          <w:color w:val="auto"/>
        </w:rPr>
      </w:pPr>
    </w:p>
    <w:p>
      <w:pPr>
        <w:jc w:val="both"/>
        <w:ind w:firstLine="634"/>
        <w:spacing w:after="0" w:line="273" w:lineRule="auto"/>
        <w:tabs>
          <w:tab w:leader="none" w:pos="1247" w:val="left"/>
        </w:tabs>
        <w:numPr>
          <w:ilvl w:val="0"/>
          <w:numId w:val="269"/>
        </w:numPr>
        <w:rPr>
          <w:rFonts w:ascii="Arial" w:cs="Arial" w:eastAsia="Arial" w:hAnsi="Arial"/>
          <w:sz w:val="18"/>
          <w:szCs w:val="18"/>
          <w:color w:val="auto"/>
        </w:rPr>
      </w:pPr>
      <w:r>
        <w:rPr>
          <w:rFonts w:ascii="Arial" w:cs="Arial" w:eastAsia="Arial" w:hAnsi="Arial"/>
          <w:sz w:val="18"/>
          <w:szCs w:val="18"/>
          <w:color w:val="auto"/>
        </w:rPr>
        <w:t xml:space="preserve">Notwithstanding any provision to the contrary contained herein, after the exercise of remedies provided for in </w:t>
      </w:r>
      <w:r>
        <w:rPr>
          <w:rFonts w:ascii="Arial" w:cs="Arial" w:eastAsia="Arial" w:hAnsi="Arial"/>
          <w:sz w:val="18"/>
          <w:szCs w:val="18"/>
          <w:u w:val="single" w:color="auto"/>
          <w:color w:val="auto"/>
        </w:rPr>
        <w:t>Section 9.02</w:t>
      </w:r>
      <w:r>
        <w:rPr>
          <w:rFonts w:ascii="Arial" w:cs="Arial" w:eastAsia="Arial" w:hAnsi="Arial"/>
          <w:sz w:val="18"/>
          <w:szCs w:val="18"/>
          <w:color w:val="auto"/>
        </w:rPr>
        <w:t xml:space="preserve"> (or after the Loans have automatically become immediately due and payable and the Letter of Credit Obligations have automatically been required to be Cash Collateralized as set forth in the proviso to </w:t>
      </w:r>
      <w:r>
        <w:rPr>
          <w:rFonts w:ascii="Arial" w:cs="Arial" w:eastAsia="Arial" w:hAnsi="Arial"/>
          <w:sz w:val="18"/>
          <w:szCs w:val="18"/>
          <w:u w:val="single" w:color="auto"/>
          <w:color w:val="auto"/>
        </w:rPr>
        <w:t>Section 9.02</w:t>
      </w:r>
      <w:r>
        <w:rPr>
          <w:rFonts w:ascii="Arial" w:cs="Arial" w:eastAsia="Arial" w:hAnsi="Arial"/>
          <w:sz w:val="18"/>
          <w:szCs w:val="18"/>
          <w:color w:val="auto"/>
        </w:rPr>
        <w:t xml:space="preserve">), any amounts received on account of the Obligations shall, subject to the provisions of </w:t>
      </w:r>
      <w:r>
        <w:rPr>
          <w:rFonts w:ascii="Arial" w:cs="Arial" w:eastAsia="Arial" w:hAnsi="Arial"/>
          <w:sz w:val="18"/>
          <w:szCs w:val="18"/>
          <w:u w:val="single" w:color="auto"/>
          <w:color w:val="auto"/>
        </w:rPr>
        <w:t>Sections 2.16</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2.17</w:t>
      </w:r>
      <w:r>
        <w:rPr>
          <w:rFonts w:ascii="Arial" w:cs="Arial" w:eastAsia="Arial" w:hAnsi="Arial"/>
          <w:sz w:val="18"/>
          <w:szCs w:val="18"/>
          <w:color w:val="auto"/>
        </w:rPr>
        <w:t>, be applied by the Administrative Agent in the following order:</w:t>
      </w:r>
    </w:p>
    <w:p>
      <w:pPr>
        <w:spacing w:after="0" w:line="160" w:lineRule="exact"/>
        <w:rPr>
          <w:sz w:val="20"/>
          <w:szCs w:val="20"/>
          <w:color w:val="auto"/>
        </w:rPr>
      </w:pPr>
    </w:p>
    <w:p>
      <w:pPr>
        <w:jc w:val="both"/>
        <w:ind w:firstLine="1259"/>
        <w:spacing w:after="0" w:line="334" w:lineRule="auto"/>
        <w:rPr>
          <w:sz w:val="20"/>
          <w:szCs w:val="20"/>
          <w:color w:val="auto"/>
        </w:rPr>
      </w:pPr>
      <w:r>
        <w:rPr>
          <w:rFonts w:ascii="Arial" w:cs="Arial" w:eastAsia="Arial" w:hAnsi="Arial"/>
          <w:sz w:val="17"/>
          <w:szCs w:val="17"/>
          <w:u w:val="single" w:color="auto"/>
          <w:color w:val="auto"/>
        </w:rPr>
        <w:t>First</w:t>
      </w:r>
      <w:r>
        <w:rPr>
          <w:rFonts w:ascii="Arial" w:cs="Arial" w:eastAsia="Arial" w:hAnsi="Arial"/>
          <w:sz w:val="17"/>
          <w:szCs w:val="17"/>
          <w:color w:val="auto"/>
        </w:rPr>
        <w:t xml:space="preserve">, to all fees, indemnities, expenses and other amounts (including reasonable fees, charges and disbursements of counsel to the Administrative Agent and amounts payable under </w:t>
      </w:r>
      <w:r>
        <w:rPr>
          <w:rFonts w:ascii="Arial" w:cs="Arial" w:eastAsia="Arial" w:hAnsi="Arial"/>
          <w:sz w:val="17"/>
          <w:szCs w:val="17"/>
          <w:u w:val="single" w:color="auto"/>
          <w:color w:val="auto"/>
        </w:rPr>
        <w:t>Article IV</w:t>
      </w:r>
      <w:r>
        <w:rPr>
          <w:rFonts w:ascii="Arial" w:cs="Arial" w:eastAsia="Arial" w:hAnsi="Arial"/>
          <w:sz w:val="17"/>
          <w:szCs w:val="17"/>
          <w:color w:val="auto"/>
        </w:rPr>
        <w:t>) due to the Administrative Agent in its capacity as such, until paid in full;</w:t>
      </w:r>
    </w:p>
    <w:p>
      <w:pPr>
        <w:spacing w:after="0" w:line="112"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auto"/>
        </w:rPr>
        <w:t>Second</w:t>
      </w:r>
      <w:r>
        <w:rPr>
          <w:rFonts w:ascii="Arial" w:cs="Arial" w:eastAsia="Arial" w:hAnsi="Arial"/>
          <w:sz w:val="18"/>
          <w:szCs w:val="18"/>
          <w:color w:val="auto"/>
        </w:rPr>
        <w:t>, to all Protective Advances and unreimbursed Overadvances payable to the Administrative Agent until paid in full;</w:t>
      </w:r>
    </w:p>
    <w:p>
      <w:pPr>
        <w:spacing w:after="0" w:line="226" w:lineRule="exact"/>
        <w:rPr>
          <w:sz w:val="20"/>
          <w:szCs w:val="20"/>
          <w:color w:val="auto"/>
        </w:rPr>
      </w:pPr>
    </w:p>
    <w:p>
      <w:pPr>
        <w:ind w:left="1260"/>
        <w:spacing w:after="0"/>
        <w:rPr>
          <w:sz w:val="20"/>
          <w:szCs w:val="20"/>
          <w:color w:val="auto"/>
        </w:rPr>
      </w:pPr>
      <w:r>
        <w:rPr>
          <w:rFonts w:ascii="Arial" w:cs="Arial" w:eastAsia="Arial" w:hAnsi="Arial"/>
          <w:sz w:val="19"/>
          <w:szCs w:val="19"/>
          <w:u w:val="single" w:color="auto"/>
          <w:color w:val="auto"/>
        </w:rPr>
        <w:t>Third</w:t>
      </w:r>
      <w:r>
        <w:rPr>
          <w:rFonts w:ascii="Arial" w:cs="Arial" w:eastAsia="Arial" w:hAnsi="Arial"/>
          <w:sz w:val="19"/>
          <w:szCs w:val="19"/>
          <w:color w:val="auto"/>
        </w:rPr>
        <w:t>, to all amounts owing to the Swing Line Lender for outstanding Swing Line Loans until paid in full;</w:t>
      </w:r>
    </w:p>
    <w:p>
      <w:pPr>
        <w:spacing w:after="0" w:line="214" w:lineRule="exact"/>
        <w:rPr>
          <w:sz w:val="20"/>
          <w:szCs w:val="20"/>
          <w:color w:val="auto"/>
        </w:rPr>
      </w:pPr>
    </w:p>
    <w:p>
      <w:pPr>
        <w:jc w:val="both"/>
        <w:ind w:firstLine="1259"/>
        <w:spacing w:after="0" w:line="252" w:lineRule="auto"/>
        <w:rPr>
          <w:sz w:val="20"/>
          <w:szCs w:val="20"/>
          <w:color w:val="auto"/>
        </w:rPr>
      </w:pPr>
      <w:r>
        <w:rPr>
          <w:rFonts w:ascii="Arial" w:cs="Arial" w:eastAsia="Arial" w:hAnsi="Arial"/>
          <w:sz w:val="19"/>
          <w:szCs w:val="19"/>
          <w:u w:val="single" w:color="auto"/>
          <w:color w:val="auto"/>
        </w:rPr>
        <w:t>Fourth</w:t>
      </w:r>
      <w:r>
        <w:rPr>
          <w:rFonts w:ascii="Arial" w:cs="Arial" w:eastAsia="Arial" w:hAnsi="Arial"/>
          <w:sz w:val="19"/>
          <w:szCs w:val="19"/>
          <w:color w:val="auto"/>
        </w:rPr>
        <w:t xml:space="preserve">, to that portion of the Loan Obligations constituting fees, indemnities and other amounts (other than principal, interest, Letter of Credit Fees and other Obligations expressly described in clauses </w:t>
      </w:r>
      <w:r>
        <w:rPr>
          <w:rFonts w:ascii="Arial" w:cs="Arial" w:eastAsia="Arial" w:hAnsi="Arial"/>
          <w:sz w:val="19"/>
          <w:szCs w:val="19"/>
          <w:u w:val="single" w:color="auto"/>
          <w:color w:val="auto"/>
        </w:rPr>
        <w:t>Fifth</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Eighth</w:t>
      </w:r>
      <w:r>
        <w:rPr>
          <w:rFonts w:ascii="Arial" w:cs="Arial" w:eastAsia="Arial" w:hAnsi="Arial"/>
          <w:sz w:val="19"/>
          <w:szCs w:val="19"/>
          <w:color w:val="auto"/>
        </w:rPr>
        <w:t xml:space="preserve"> below) payable to the Lenders and the Letter of Credit Issuer (including reasonable fees, charges and disbursements of counsel to the respective Lenders and the Letter of Credit Issuer and amounts payable under </w:t>
      </w:r>
      <w:r>
        <w:rPr>
          <w:rFonts w:ascii="Arial" w:cs="Arial" w:eastAsia="Arial" w:hAnsi="Arial"/>
          <w:sz w:val="19"/>
          <w:szCs w:val="19"/>
          <w:u w:val="single" w:color="auto"/>
          <w:color w:val="auto"/>
        </w:rPr>
        <w:t>Article III</w:t>
      </w:r>
      <w:r>
        <w:rPr>
          <w:rFonts w:ascii="Arial" w:cs="Arial" w:eastAsia="Arial" w:hAnsi="Arial"/>
          <w:sz w:val="19"/>
          <w:szCs w:val="19"/>
          <w:color w:val="auto"/>
        </w:rPr>
        <w:t xml:space="preserve">), ratably among them in proportion to the respective amounts described in this clause </w:t>
      </w:r>
      <w:r>
        <w:rPr>
          <w:rFonts w:ascii="Arial" w:cs="Arial" w:eastAsia="Arial" w:hAnsi="Arial"/>
          <w:sz w:val="19"/>
          <w:szCs w:val="19"/>
          <w:u w:val="single" w:color="auto"/>
          <w:color w:val="auto"/>
        </w:rPr>
        <w:t>Fourth</w:t>
      </w:r>
      <w:r>
        <w:rPr>
          <w:rFonts w:ascii="Arial" w:cs="Arial" w:eastAsia="Arial" w:hAnsi="Arial"/>
          <w:sz w:val="19"/>
          <w:szCs w:val="19"/>
          <w:color w:val="auto"/>
        </w:rPr>
        <w:t xml:space="preserve"> payable to them until paid in full;</w:t>
      </w:r>
    </w:p>
    <w:p>
      <w:pPr>
        <w:spacing w:after="0" w:line="177" w:lineRule="exact"/>
        <w:rPr>
          <w:sz w:val="20"/>
          <w:szCs w:val="20"/>
          <w:color w:val="auto"/>
        </w:rPr>
      </w:pPr>
    </w:p>
    <w:p>
      <w:pPr>
        <w:jc w:val="both"/>
        <w:ind w:firstLine="1259"/>
        <w:spacing w:after="0" w:line="259" w:lineRule="auto"/>
        <w:rPr>
          <w:sz w:val="20"/>
          <w:szCs w:val="20"/>
          <w:color w:val="auto"/>
        </w:rPr>
      </w:pPr>
      <w:r>
        <w:rPr>
          <w:rFonts w:ascii="Arial" w:cs="Arial" w:eastAsia="Arial" w:hAnsi="Arial"/>
          <w:sz w:val="19"/>
          <w:szCs w:val="19"/>
          <w:u w:val="single" w:color="auto"/>
          <w:color w:val="auto"/>
        </w:rPr>
        <w:t>Fifth</w:t>
      </w:r>
      <w:r>
        <w:rPr>
          <w:rFonts w:ascii="Arial" w:cs="Arial" w:eastAsia="Arial" w:hAnsi="Arial"/>
          <w:sz w:val="19"/>
          <w:szCs w:val="19"/>
          <w:color w:val="auto"/>
        </w:rPr>
        <w:t xml:space="preserve">, to that portion of the Loan Obligations constituting accrued and unpaid Letter of Credit Fees and interest on the Loans, Letter of Credit Borrowings and other Loan Obligations, ratably among the Lenders and the Letter of Credit Issuer in proportion to the respective amounts described in this clause </w:t>
      </w:r>
      <w:r>
        <w:rPr>
          <w:rFonts w:ascii="Arial" w:cs="Arial" w:eastAsia="Arial" w:hAnsi="Arial"/>
          <w:sz w:val="19"/>
          <w:szCs w:val="19"/>
          <w:u w:val="single" w:color="auto"/>
          <w:color w:val="auto"/>
        </w:rPr>
        <w:t>Fifth</w:t>
      </w:r>
      <w:r>
        <w:rPr>
          <w:rFonts w:ascii="Arial" w:cs="Arial" w:eastAsia="Arial" w:hAnsi="Arial"/>
          <w:sz w:val="19"/>
          <w:szCs w:val="19"/>
          <w:color w:val="auto"/>
        </w:rPr>
        <w:t xml:space="preserve"> payable to them until paid in full;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152</w:t>
      </w:r>
    </w:p>
    <w:p>
      <w:pPr>
        <w:sectPr>
          <w:pgSz w:w="11900" w:h="16838" w:orient="portrait"/>
          <w:cols w:equalWidth="0" w:num="1">
            <w:col w:w="11240"/>
          </w:cols>
          <w:pgMar w:left="320" w:top="1381" w:right="339" w:bottom="1440" w:gutter="0" w:footer="0" w:header="0"/>
        </w:sectPr>
      </w:pPr>
    </w:p>
    <w:bookmarkStart w:id="271" w:name="page272"/>
    <w:bookmarkEnd w:id="271"/>
    <w:p>
      <w:pPr>
        <w:jc w:val="both"/>
        <w:ind w:firstLine="1259"/>
        <w:spacing w:after="0" w:line="252" w:lineRule="auto"/>
        <w:rPr>
          <w:sz w:val="20"/>
          <w:szCs w:val="20"/>
          <w:color w:val="auto"/>
        </w:rPr>
      </w:pPr>
      <w:r>
        <w:rPr>
          <w:rFonts w:ascii="Arial" w:cs="Arial" w:eastAsia="Arial" w:hAnsi="Arial"/>
          <w:sz w:val="19"/>
          <w:szCs w:val="19"/>
          <w:u w:val="single" w:color="auto"/>
          <w:color w:val="auto"/>
        </w:rPr>
        <w:t>Sixth</w:t>
      </w:r>
      <w:r>
        <w:rPr>
          <w:rFonts w:ascii="Arial" w:cs="Arial" w:eastAsia="Arial" w:hAnsi="Arial"/>
          <w:sz w:val="19"/>
          <w:szCs w:val="19"/>
          <w:color w:val="auto"/>
        </w:rPr>
        <w:t xml:space="preserve">, to (i) that portion of the Obligations constituting unpaid principal of the Loans and Letter of Credit Borrowings and to Cash Collateralize that portion of Letter of Credit Obligations comprising the aggregate undrawn amount of Letters of Credit to the extent not otherwise Cash Collateralized by the Borrowers and (ii) the payment of Priority Swap Obligations to the extent a Credit Product Reserve has been established therefor, ratably among the Lenders, Letter of Credit Issuer and the applicable Credit Product Providers in proportion to the respective amounts described in this clause </w:t>
      </w:r>
      <w:r>
        <w:rPr>
          <w:rFonts w:ascii="Arial" w:cs="Arial" w:eastAsia="Arial" w:hAnsi="Arial"/>
          <w:sz w:val="19"/>
          <w:szCs w:val="19"/>
          <w:u w:val="single" w:color="auto"/>
          <w:color w:val="auto"/>
        </w:rPr>
        <w:t>Sixth</w:t>
      </w:r>
      <w:r>
        <w:rPr>
          <w:rFonts w:ascii="Arial" w:cs="Arial" w:eastAsia="Arial" w:hAnsi="Arial"/>
          <w:sz w:val="19"/>
          <w:szCs w:val="19"/>
          <w:color w:val="auto"/>
        </w:rPr>
        <w:t xml:space="preserve"> payable to them until paid in full;</w:t>
      </w:r>
    </w:p>
    <w:p>
      <w:pPr>
        <w:spacing w:after="0" w:line="177" w:lineRule="exact"/>
        <w:rPr>
          <w:sz w:val="20"/>
          <w:szCs w:val="20"/>
          <w:color w:val="auto"/>
        </w:rPr>
      </w:pPr>
    </w:p>
    <w:p>
      <w:pPr>
        <w:jc w:val="both"/>
        <w:ind w:firstLine="1259"/>
        <w:spacing w:after="0" w:line="259" w:lineRule="auto"/>
        <w:rPr>
          <w:sz w:val="20"/>
          <w:szCs w:val="20"/>
          <w:color w:val="auto"/>
        </w:rPr>
      </w:pPr>
      <w:r>
        <w:rPr>
          <w:rFonts w:ascii="Arial" w:cs="Arial" w:eastAsia="Arial" w:hAnsi="Arial"/>
          <w:sz w:val="19"/>
          <w:szCs w:val="19"/>
          <w:u w:val="single" w:color="auto"/>
          <w:color w:val="auto"/>
        </w:rPr>
        <w:t>Seventh</w:t>
      </w:r>
      <w:r>
        <w:rPr>
          <w:rFonts w:ascii="Arial" w:cs="Arial" w:eastAsia="Arial" w:hAnsi="Arial"/>
          <w:sz w:val="19"/>
          <w:szCs w:val="19"/>
          <w:color w:val="auto"/>
        </w:rPr>
        <w:t xml:space="preserve">, to payment of Conforming Credit Product Obligations (other than Priority Swap Obligations to the extent paid under clause </w:t>
      </w:r>
      <w:r>
        <w:rPr>
          <w:rFonts w:ascii="Arial" w:cs="Arial" w:eastAsia="Arial" w:hAnsi="Arial"/>
          <w:sz w:val="19"/>
          <w:szCs w:val="19"/>
          <w:u w:val="single" w:color="auto"/>
          <w:color w:val="auto"/>
        </w:rPr>
        <w:t>Sixth</w:t>
      </w:r>
      <w:r>
        <w:rPr>
          <w:rFonts w:ascii="Arial" w:cs="Arial" w:eastAsia="Arial" w:hAnsi="Arial"/>
          <w:sz w:val="19"/>
          <w:szCs w:val="19"/>
          <w:color w:val="auto"/>
        </w:rPr>
        <w:t xml:space="preserve"> above) ratably to the Credit Product Providers in proportion to the respective amounts described in this clause </w:t>
      </w:r>
      <w:r>
        <w:rPr>
          <w:rFonts w:ascii="Arial" w:cs="Arial" w:eastAsia="Arial" w:hAnsi="Arial"/>
          <w:sz w:val="19"/>
          <w:szCs w:val="19"/>
          <w:u w:val="single" w:color="auto"/>
          <w:color w:val="auto"/>
        </w:rPr>
        <w:t>Seventh</w:t>
      </w:r>
      <w:r>
        <w:rPr>
          <w:rFonts w:ascii="Arial" w:cs="Arial" w:eastAsia="Arial" w:hAnsi="Arial"/>
          <w:sz w:val="19"/>
          <w:szCs w:val="19"/>
          <w:color w:val="auto"/>
        </w:rPr>
        <w:t xml:space="preserve"> payable to them until paid in full;</w:t>
      </w:r>
    </w:p>
    <w:p>
      <w:pPr>
        <w:spacing w:after="0" w:line="171" w:lineRule="exact"/>
        <w:rPr>
          <w:sz w:val="20"/>
          <w:szCs w:val="20"/>
          <w:color w:val="auto"/>
        </w:rPr>
      </w:pPr>
    </w:p>
    <w:p>
      <w:pPr>
        <w:jc w:val="both"/>
        <w:ind w:firstLine="1259"/>
        <w:spacing w:after="0" w:line="254" w:lineRule="auto"/>
        <w:rPr>
          <w:sz w:val="20"/>
          <w:szCs w:val="20"/>
          <w:color w:val="auto"/>
        </w:rPr>
      </w:pPr>
      <w:r>
        <w:rPr>
          <w:rFonts w:ascii="Arial" w:cs="Arial" w:eastAsia="Arial" w:hAnsi="Arial"/>
          <w:sz w:val="19"/>
          <w:szCs w:val="19"/>
          <w:u w:val="single" w:color="auto"/>
          <w:color w:val="auto"/>
        </w:rPr>
        <w:t>Eighth</w:t>
      </w:r>
      <w:r>
        <w:rPr>
          <w:rFonts w:ascii="Arial" w:cs="Arial" w:eastAsia="Arial" w:hAnsi="Arial"/>
          <w:sz w:val="19"/>
          <w:szCs w:val="19"/>
          <w:color w:val="auto"/>
        </w:rPr>
        <w:t xml:space="preserve">, to all other Obligations (including Credit Product Obligations to the extent not paid under clauses </w:t>
      </w:r>
      <w:r>
        <w:rPr>
          <w:rFonts w:ascii="Arial" w:cs="Arial" w:eastAsia="Arial" w:hAnsi="Arial"/>
          <w:sz w:val="19"/>
          <w:szCs w:val="19"/>
          <w:u w:val="single" w:color="auto"/>
          <w:color w:val="auto"/>
        </w:rPr>
        <w:t>Sixth</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Seventh</w:t>
      </w:r>
      <w:r>
        <w:rPr>
          <w:rFonts w:ascii="Arial" w:cs="Arial" w:eastAsia="Arial" w:hAnsi="Arial"/>
          <w:sz w:val="19"/>
          <w:szCs w:val="19"/>
          <w:color w:val="auto"/>
        </w:rPr>
        <w:t xml:space="preserve"> above) that are due and payable to the Administrative Agent and the other Secured Parties, or any of them, on such date, ratably based on the respective aggregate amounts of all such Obligations owing to the Administrative Agent and the other Secured Parties on such date until paid in full; and</w:t>
      </w:r>
    </w:p>
    <w:p>
      <w:pPr>
        <w:spacing w:after="0" w:line="177" w:lineRule="exact"/>
        <w:rPr>
          <w:sz w:val="20"/>
          <w:szCs w:val="20"/>
          <w:color w:val="auto"/>
        </w:rPr>
      </w:pPr>
    </w:p>
    <w:p>
      <w:pPr>
        <w:ind w:left="1260"/>
        <w:spacing w:after="0"/>
        <w:rPr>
          <w:sz w:val="20"/>
          <w:szCs w:val="20"/>
          <w:color w:val="auto"/>
        </w:rPr>
      </w:pPr>
      <w:r>
        <w:rPr>
          <w:rFonts w:ascii="Arial" w:cs="Arial" w:eastAsia="Arial" w:hAnsi="Arial"/>
          <w:sz w:val="19"/>
          <w:szCs w:val="19"/>
          <w:u w:val="single" w:color="auto"/>
          <w:color w:val="auto"/>
        </w:rPr>
        <w:t>Last</w:t>
      </w:r>
      <w:r>
        <w:rPr>
          <w:rFonts w:ascii="Arial" w:cs="Arial" w:eastAsia="Arial" w:hAnsi="Arial"/>
          <w:sz w:val="19"/>
          <w:szCs w:val="19"/>
          <w:color w:val="auto"/>
        </w:rPr>
        <w:t>, the balance, if any, after Payment in Full, to the Borrowers or as otherwise required by Law.</w:t>
      </w:r>
    </w:p>
    <w:p>
      <w:pPr>
        <w:spacing w:after="0" w:line="214" w:lineRule="exact"/>
        <w:rPr>
          <w:sz w:val="20"/>
          <w:szCs w:val="20"/>
          <w:color w:val="auto"/>
        </w:rPr>
      </w:pPr>
    </w:p>
    <w:p>
      <w:pPr>
        <w:jc w:val="both"/>
        <w:ind w:firstLine="634"/>
        <w:spacing w:after="0" w:line="280" w:lineRule="auto"/>
        <w:tabs>
          <w:tab w:leader="none" w:pos="1249" w:val="left"/>
        </w:tabs>
        <w:numPr>
          <w:ilvl w:val="1"/>
          <w:numId w:val="270"/>
        </w:numPr>
        <w:rPr>
          <w:rFonts w:ascii="Arial" w:cs="Arial" w:eastAsia="Arial" w:hAnsi="Arial"/>
          <w:sz w:val="17"/>
          <w:szCs w:val="17"/>
          <w:color w:val="auto"/>
        </w:rPr>
      </w:pPr>
      <w:r>
        <w:rPr>
          <w:rFonts w:ascii="Arial" w:cs="Arial" w:eastAsia="Arial" w:hAnsi="Arial"/>
          <w:sz w:val="17"/>
          <w:szCs w:val="17"/>
          <w:color w:val="auto"/>
        </w:rPr>
        <w:t xml:space="preserve">Subject to </w:t>
      </w:r>
      <w:r>
        <w:rPr>
          <w:rFonts w:ascii="Arial" w:cs="Arial" w:eastAsia="Arial" w:hAnsi="Arial"/>
          <w:sz w:val="17"/>
          <w:szCs w:val="17"/>
          <w:u w:val="single" w:color="auto"/>
          <w:color w:val="auto"/>
        </w:rPr>
        <w:t>Sections 2.03(c)</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2.17</w:t>
      </w:r>
      <w:r>
        <w:rPr>
          <w:rFonts w:ascii="Arial" w:cs="Arial" w:eastAsia="Arial" w:hAnsi="Arial"/>
          <w:sz w:val="17"/>
          <w:szCs w:val="17"/>
          <w:color w:val="auto"/>
        </w:rPr>
        <w:t xml:space="preserve">, amounts used to Cash Collateralize the aggregate undrawn amount of Letters of Credit pursuant to clause </w:t>
      </w:r>
      <w:r>
        <w:rPr>
          <w:rFonts w:ascii="Arial" w:cs="Arial" w:eastAsia="Arial" w:hAnsi="Arial"/>
          <w:sz w:val="17"/>
          <w:szCs w:val="17"/>
          <w:u w:val="single" w:color="auto"/>
          <w:color w:val="auto"/>
        </w:rPr>
        <w:t>Sixth</w:t>
      </w:r>
      <w:r>
        <w:rPr>
          <w:rFonts w:ascii="Arial" w:cs="Arial" w:eastAsia="Arial" w:hAnsi="Arial"/>
          <w:sz w:val="17"/>
          <w:szCs w:val="17"/>
          <w:color w:val="auto"/>
        </w:rPr>
        <w:t xml:space="preserve"> above shall be applied to satisfy drawings under such Letters of Credit as they occur. Amounts distributed with respect to any Credit Product Obligations shall be the lesser of (i) the maximum Credit Product Obligations last reported to the Administrative Agent or</w:t>
      </w:r>
    </w:p>
    <w:p>
      <w:pPr>
        <w:jc w:val="both"/>
        <w:ind w:firstLine="5"/>
        <w:spacing w:after="0" w:line="284" w:lineRule="auto"/>
        <w:tabs>
          <w:tab w:leader="none" w:pos="285" w:val="left"/>
        </w:tabs>
        <w:numPr>
          <w:ilvl w:val="0"/>
          <w:numId w:val="271"/>
        </w:numPr>
        <w:rPr>
          <w:rFonts w:ascii="Arial" w:cs="Arial" w:eastAsia="Arial" w:hAnsi="Arial"/>
          <w:sz w:val="17"/>
          <w:szCs w:val="17"/>
          <w:color w:val="auto"/>
        </w:rPr>
      </w:pPr>
      <w:r>
        <w:rPr>
          <w:rFonts w:ascii="Arial" w:cs="Arial" w:eastAsia="Arial" w:hAnsi="Arial"/>
          <w:sz w:val="17"/>
          <w:szCs w:val="17"/>
          <w:color w:val="auto"/>
        </w:rPr>
        <w:t>the actual Credit Product Obligations as calculated by the methodology reported to the Administrative Agent for determining the amount due. The Administrative Agent shall have no obligation to calculate the amount to be distributed with respect to any Credit Product Obligations, and may request a reasonably detailed calculation of such amount from the applicable Credit Product Provider. The allocations set forth in this Section are solely to determine the rights and priorities of Administrative Agent and Secured Parties as among themselves, and may be changed by agreement among them without the consent of any Borrower. This Section is not for the benefit of or enforceable by any Loan Party.</w:t>
      </w:r>
    </w:p>
    <w:p>
      <w:pPr>
        <w:spacing w:after="0" w:line="151" w:lineRule="exact"/>
        <w:rPr>
          <w:rFonts w:ascii="Arial" w:cs="Arial" w:eastAsia="Arial" w:hAnsi="Arial"/>
          <w:sz w:val="17"/>
          <w:szCs w:val="17"/>
          <w:color w:val="auto"/>
        </w:rPr>
      </w:pPr>
    </w:p>
    <w:p>
      <w:pPr>
        <w:jc w:val="both"/>
        <w:ind w:firstLine="634"/>
        <w:spacing w:after="0" w:line="254" w:lineRule="auto"/>
        <w:tabs>
          <w:tab w:leader="none" w:pos="1247" w:val="left"/>
        </w:tabs>
        <w:numPr>
          <w:ilvl w:val="1"/>
          <w:numId w:val="271"/>
        </w:numPr>
        <w:rPr>
          <w:rFonts w:ascii="Arial" w:cs="Arial" w:eastAsia="Arial" w:hAnsi="Arial"/>
          <w:sz w:val="19"/>
          <w:szCs w:val="19"/>
          <w:color w:val="auto"/>
        </w:rPr>
      </w:pPr>
      <w:r>
        <w:rPr>
          <w:rFonts w:ascii="Arial" w:cs="Arial" w:eastAsia="Arial" w:hAnsi="Arial"/>
          <w:sz w:val="19"/>
          <w:szCs w:val="19"/>
          <w:color w:val="auto"/>
        </w:rPr>
        <w:t xml:space="preserve">For purposes of </w:t>
      </w:r>
      <w:r>
        <w:rPr>
          <w:rFonts w:ascii="Arial" w:cs="Arial" w:eastAsia="Arial" w:hAnsi="Arial"/>
          <w:sz w:val="19"/>
          <w:szCs w:val="19"/>
          <w:u w:val="single" w:color="auto"/>
          <w:color w:val="auto"/>
        </w:rPr>
        <w:t>Section 9.03(b)</w:t>
      </w:r>
      <w:r>
        <w:rPr>
          <w:rFonts w:ascii="Arial" w:cs="Arial" w:eastAsia="Arial" w:hAnsi="Arial"/>
          <w:sz w:val="19"/>
          <w:szCs w:val="19"/>
          <w:color w:val="auto"/>
        </w:rPr>
        <w:t>, “paid in full” of a type of Obligation means payment in cash or immediately available funds of all amounts owing on account of such type of Obligation, including interest accrued after the commencement of any Insolvency Event, default interest, interest on interest, and expense reimbursements, irrespective of whether any of the foregoing would be or is allowed or disallowed in whole or in part in any proceeding under Debtor Relief Laws.</w:t>
      </w:r>
    </w:p>
    <w:p>
      <w:pPr>
        <w:spacing w:after="0" w:line="176" w:lineRule="exact"/>
        <w:rPr>
          <w:rFonts w:ascii="Arial" w:cs="Arial" w:eastAsia="Arial" w:hAnsi="Arial"/>
          <w:sz w:val="19"/>
          <w:szCs w:val="19"/>
          <w:color w:val="auto"/>
        </w:rPr>
      </w:pPr>
    </w:p>
    <w:p>
      <w:pPr>
        <w:ind w:firstLine="634"/>
        <w:spacing w:after="0" w:line="274" w:lineRule="auto"/>
        <w:tabs>
          <w:tab w:leader="none" w:pos="1249" w:val="left"/>
        </w:tabs>
        <w:numPr>
          <w:ilvl w:val="1"/>
          <w:numId w:val="271"/>
        </w:numPr>
        <w:rPr>
          <w:rFonts w:ascii="Arial" w:cs="Arial" w:eastAsia="Arial" w:hAnsi="Arial"/>
          <w:sz w:val="19"/>
          <w:szCs w:val="19"/>
          <w:color w:val="auto"/>
        </w:rPr>
      </w:pPr>
      <w:r>
        <w:rPr>
          <w:rFonts w:ascii="Arial" w:cs="Arial" w:eastAsia="Arial" w:hAnsi="Arial"/>
          <w:sz w:val="19"/>
          <w:szCs w:val="19"/>
          <w:color w:val="auto"/>
        </w:rPr>
        <w:t xml:space="preserve">Administrative Agent shall not be liable for any application of amounts made by it in good faith under this </w:t>
      </w:r>
      <w:r>
        <w:rPr>
          <w:rFonts w:ascii="Arial" w:cs="Arial" w:eastAsia="Arial" w:hAnsi="Arial"/>
          <w:sz w:val="19"/>
          <w:szCs w:val="19"/>
          <w:u w:val="single" w:color="auto"/>
          <w:color w:val="auto"/>
        </w:rPr>
        <w:t>Section 9.03</w:t>
      </w:r>
      <w:r>
        <w:rPr>
          <w:rFonts w:ascii="Arial" w:cs="Arial" w:eastAsia="Arial" w:hAnsi="Arial"/>
          <w:sz w:val="19"/>
          <w:szCs w:val="19"/>
          <w:color w:val="auto"/>
        </w:rPr>
        <w:t>, notwithstanding the fact that any such application is subsequently determined to have been made in error.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153</w:t>
      </w:r>
    </w:p>
    <w:p>
      <w:pPr>
        <w:sectPr>
          <w:pgSz w:w="11900" w:h="16838" w:orient="portrait"/>
          <w:cols w:equalWidth="0" w:num="1">
            <w:col w:w="11240"/>
          </w:cols>
          <w:pgMar w:left="320" w:top="1381" w:right="339" w:bottom="1440" w:gutter="0" w:footer="0" w:header="0"/>
        </w:sectPr>
      </w:pPr>
    </w:p>
    <w:bookmarkStart w:id="272" w:name="page273"/>
    <w:bookmarkEnd w:id="272"/>
    <w:p>
      <w:pPr>
        <w:ind w:left="5000"/>
        <w:spacing w:after="0"/>
        <w:rPr>
          <w:sz w:val="20"/>
          <w:szCs w:val="20"/>
          <w:color w:val="auto"/>
        </w:rPr>
      </w:pPr>
      <w:r>
        <w:rPr>
          <w:rFonts w:ascii="Arial" w:cs="Arial" w:eastAsia="Arial" w:hAnsi="Arial"/>
          <w:sz w:val="19"/>
          <w:szCs w:val="19"/>
          <w:b w:val="1"/>
          <w:bCs w:val="1"/>
          <w:color w:val="auto"/>
        </w:rPr>
        <w:t>ARTICLE X</w:t>
      </w:r>
    </w:p>
    <w:p>
      <w:pPr>
        <w:spacing w:after="0" w:line="26" w:lineRule="exact"/>
        <w:rPr>
          <w:sz w:val="20"/>
          <w:szCs w:val="20"/>
          <w:color w:val="auto"/>
        </w:rPr>
      </w:pPr>
    </w:p>
    <w:p>
      <w:pPr>
        <w:ind w:left="4400"/>
        <w:spacing w:after="0"/>
        <w:rPr>
          <w:sz w:val="20"/>
          <w:szCs w:val="20"/>
          <w:color w:val="auto"/>
        </w:rPr>
      </w:pPr>
      <w:r>
        <w:rPr>
          <w:rFonts w:ascii="Arial" w:cs="Arial" w:eastAsia="Arial" w:hAnsi="Arial"/>
          <w:sz w:val="19"/>
          <w:szCs w:val="19"/>
          <w:b w:val="1"/>
          <w:bCs w:val="1"/>
          <w:color w:val="auto"/>
        </w:rPr>
        <w:t>ADMINISTRATIVE AGENT</w:t>
      </w:r>
    </w:p>
    <w:p>
      <w:pPr>
        <w:spacing w:after="0" w:line="192" w:lineRule="exact"/>
        <w:rPr>
          <w:sz w:val="20"/>
          <w:szCs w:val="20"/>
          <w:color w:val="auto"/>
        </w:rPr>
      </w:pPr>
    </w:p>
    <w:p>
      <w:pPr>
        <w:jc w:val="both"/>
        <w:ind w:firstLine="629"/>
        <w:spacing w:after="0" w:line="281" w:lineRule="auto"/>
        <w:rPr>
          <w:sz w:val="20"/>
          <w:szCs w:val="20"/>
          <w:color w:val="auto"/>
        </w:rPr>
      </w:pPr>
      <w:r>
        <w:rPr>
          <w:rFonts w:ascii="Arial" w:cs="Arial" w:eastAsia="Arial" w:hAnsi="Arial"/>
          <w:sz w:val="17"/>
          <w:szCs w:val="17"/>
          <w:b w:val="1"/>
          <w:bCs w:val="1"/>
          <w:color w:val="auto"/>
        </w:rPr>
        <w:t>10.1 Appointment and Authority</w:t>
      </w:r>
      <w:r>
        <w:rPr>
          <w:rFonts w:ascii="Arial" w:cs="Arial" w:eastAsia="Arial" w:hAnsi="Arial"/>
          <w:sz w:val="17"/>
          <w:szCs w:val="17"/>
          <w:color w:val="auto"/>
        </w:rPr>
        <w:t>. Each of the Lenders and the Letter of Credit Issuer hereby irrevocably appoints BMO to act on its</w:t>
      </w:r>
      <w:r>
        <w:rPr>
          <w:rFonts w:ascii="Arial" w:cs="Arial" w:eastAsia="Arial" w:hAnsi="Arial"/>
          <w:sz w:val="17"/>
          <w:szCs w:val="17"/>
          <w:b w:val="1"/>
          <w:bCs w:val="1"/>
          <w:color w:val="auto"/>
        </w:rPr>
        <w:t xml:space="preserve"> </w:t>
      </w:r>
      <w:r>
        <w:rPr>
          <w:rFonts w:ascii="Arial" w:cs="Arial" w:eastAsia="Arial" w:hAnsi="Arial"/>
          <w:sz w:val="17"/>
          <w:szCs w:val="17"/>
          <w:color w:val="auto"/>
        </w:rPr>
        <w:t>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including but not limited to any required powers of attorney to execute any Loan Document governed by the laws of such jurisdiction on such Lender’s behalf. The provisions of this Article are solely for the benefit of the Administrative Agent, the Lenders and the Letter of Credit Issuer, and no Loan Party shall have rights as a third party beneficiary of any of such provisions. The Administrative Agent alone shall be authorized to determine whether any Accounts, Equipment or Inventory constitute Eligible Accounts, Eligible Time and Material Accounts, Eligible Equipment or Eligible Inventory, or whether to impose or release any Reserve, or whether any conditions to funding any Loan or to issuance of a Letter of Credit have been satisfied, which determinations and judgments, if exercised in good faith, shall exonerate Administrative Agent from liability to any Lender or other Person for any error in judgment or mistake.</w:t>
      </w:r>
    </w:p>
    <w:p>
      <w:pPr>
        <w:spacing w:after="0" w:line="150" w:lineRule="exact"/>
        <w:rPr>
          <w:sz w:val="20"/>
          <w:szCs w:val="20"/>
          <w:color w:val="auto"/>
        </w:rPr>
      </w:pPr>
    </w:p>
    <w:p>
      <w:pPr>
        <w:jc w:val="both"/>
        <w:ind w:firstLine="629"/>
        <w:spacing w:after="0" w:line="268" w:lineRule="auto"/>
        <w:rPr>
          <w:sz w:val="20"/>
          <w:szCs w:val="20"/>
          <w:color w:val="auto"/>
        </w:rPr>
      </w:pPr>
      <w:r>
        <w:rPr>
          <w:rFonts w:ascii="Arial" w:cs="Arial" w:eastAsia="Arial" w:hAnsi="Arial"/>
          <w:sz w:val="18"/>
          <w:szCs w:val="18"/>
          <w:b w:val="1"/>
          <w:bCs w:val="1"/>
          <w:color w:val="auto"/>
        </w:rPr>
        <w:t>10.2 Rights as a Lender</w:t>
      </w:r>
      <w:r>
        <w:rPr>
          <w:rFonts w:ascii="Arial" w:cs="Arial" w:eastAsia="Arial" w:hAnsi="Arial"/>
          <w:sz w:val="18"/>
          <w:szCs w:val="18"/>
          <w:color w:val="auto"/>
        </w:rPr>
        <w:t>. The Person serving as the Administrative Agent hereunder shall have the same rights and powers in its</w:t>
      </w:r>
      <w:r>
        <w:rPr>
          <w:rFonts w:ascii="Arial" w:cs="Arial" w:eastAsia="Arial" w:hAnsi="Arial"/>
          <w:sz w:val="18"/>
          <w:szCs w:val="18"/>
          <w:b w:val="1"/>
          <w:bCs w:val="1"/>
          <w:color w:val="auto"/>
        </w:rPr>
        <w:t xml:space="preserve"> </w:t>
      </w:r>
      <w:r>
        <w:rPr>
          <w:rFonts w:ascii="Arial" w:cs="Arial" w:eastAsia="Arial" w:hAnsi="Arial"/>
          <w:sz w:val="18"/>
          <w:szCs w:val="18"/>
          <w:color w:val="auto"/>
        </w:rPr>
        <w:t>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act as the financial advisor or in any other advisory capacity for and generally engage in any kind of business with the Loan Parties or any Subsidiary or other Affiliate thereof as if such Person were not the Administrative Agent hereunder and without any duty to account therefor to the Lenders.</w:t>
      </w:r>
    </w:p>
    <w:p>
      <w:pPr>
        <w:spacing w:after="0" w:line="161" w:lineRule="exact"/>
        <w:rPr>
          <w:sz w:val="20"/>
          <w:szCs w:val="20"/>
          <w:color w:val="auto"/>
        </w:rPr>
      </w:pPr>
    </w:p>
    <w:p>
      <w:pPr>
        <w:jc w:val="both"/>
        <w:ind w:firstLine="629"/>
        <w:spacing w:after="0" w:line="280" w:lineRule="auto"/>
        <w:rPr>
          <w:sz w:val="20"/>
          <w:szCs w:val="20"/>
          <w:color w:val="auto"/>
        </w:rPr>
      </w:pPr>
      <w:r>
        <w:rPr>
          <w:rFonts w:ascii="Arial" w:cs="Arial" w:eastAsia="Arial" w:hAnsi="Arial"/>
          <w:sz w:val="19"/>
          <w:szCs w:val="19"/>
          <w:b w:val="1"/>
          <w:bCs w:val="1"/>
          <w:color w:val="auto"/>
        </w:rPr>
        <w:t>10.3 Exculpatory Provisions</w:t>
      </w:r>
      <w:r>
        <w:rPr>
          <w:rFonts w:ascii="Arial" w:cs="Arial" w:eastAsia="Arial" w:hAnsi="Arial"/>
          <w:sz w:val="19"/>
          <w:szCs w:val="19"/>
          <w:color w:val="auto"/>
        </w:rPr>
        <w:t>. The Administrative Agent shall not have any duties or obligations except those expressly set forth</w:t>
      </w:r>
      <w:r>
        <w:rPr>
          <w:rFonts w:ascii="Arial" w:cs="Arial" w:eastAsia="Arial" w:hAnsi="Arial"/>
          <w:sz w:val="19"/>
          <w:szCs w:val="19"/>
          <w:b w:val="1"/>
          <w:bCs w:val="1"/>
          <w:color w:val="auto"/>
        </w:rPr>
        <w:t xml:space="preserve"> </w:t>
      </w:r>
      <w:r>
        <w:rPr>
          <w:rFonts w:ascii="Arial" w:cs="Arial" w:eastAsia="Arial" w:hAnsi="Arial"/>
          <w:sz w:val="19"/>
          <w:szCs w:val="19"/>
          <w:color w:val="auto"/>
        </w:rPr>
        <w:t>herein and in the other Loan Documents. Without limiting the generality of the foregoing, the Administrative Agent:</w:t>
      </w:r>
    </w:p>
    <w:p>
      <w:pPr>
        <w:spacing w:after="0" w:line="152" w:lineRule="exact"/>
        <w:rPr>
          <w:sz w:val="20"/>
          <w:szCs w:val="20"/>
          <w:color w:val="auto"/>
        </w:rPr>
      </w:pPr>
    </w:p>
    <w:p>
      <w:pPr>
        <w:ind w:left="1260" w:hanging="626"/>
        <w:spacing w:after="0"/>
        <w:tabs>
          <w:tab w:leader="none" w:pos="126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shall not be subject to any fiduciary or other implied duties, regardless of whether a Default has occurred and is continuing;</w:t>
      </w:r>
    </w:p>
    <w:p>
      <w:pPr>
        <w:spacing w:after="0" w:line="225" w:lineRule="exact"/>
        <w:rPr>
          <w:rFonts w:ascii="Arial" w:cs="Arial" w:eastAsia="Arial" w:hAnsi="Arial"/>
          <w:sz w:val="18"/>
          <w:szCs w:val="18"/>
          <w:color w:val="auto"/>
        </w:rPr>
      </w:pPr>
    </w:p>
    <w:p>
      <w:pPr>
        <w:jc w:val="both"/>
        <w:ind w:firstLine="634"/>
        <w:spacing w:after="0" w:line="269" w:lineRule="auto"/>
        <w:tabs>
          <w:tab w:leader="none" w:pos="1247" w:val="left"/>
        </w:tabs>
        <w:numPr>
          <w:ilvl w:val="0"/>
          <w:numId w:val="272"/>
        </w:numPr>
        <w:rPr>
          <w:rFonts w:ascii="Arial" w:cs="Arial" w:eastAsia="Arial" w:hAnsi="Arial"/>
          <w:sz w:val="18"/>
          <w:szCs w:val="18"/>
          <w:color w:val="auto"/>
        </w:rPr>
      </w:pPr>
      <w:r>
        <w:rPr>
          <w:rFonts w:ascii="Arial" w:cs="Arial" w:eastAsia="Arial" w:hAnsi="Arial"/>
          <w:sz w:val="18"/>
          <w:szCs w:val="18"/>
          <w:color w:val="auto"/>
        </w:rPr>
        <w:t xml:space="preserve">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Administrative Agent shall not be required to take any action that, in its opinion or the opinion of its counsel, may expose the Administrative Agent to liability or that is contrary to any Loan Document or applicable Law; and</w:t>
      </w:r>
    </w:p>
    <w:p>
      <w:pPr>
        <w:spacing w:after="0" w:line="164" w:lineRule="exact"/>
        <w:rPr>
          <w:rFonts w:ascii="Arial" w:cs="Arial" w:eastAsia="Arial" w:hAnsi="Arial"/>
          <w:sz w:val="18"/>
          <w:szCs w:val="18"/>
          <w:color w:val="auto"/>
        </w:rPr>
      </w:pPr>
    </w:p>
    <w:p>
      <w:pPr>
        <w:jc w:val="both"/>
        <w:ind w:firstLine="634"/>
        <w:spacing w:after="0" w:line="259" w:lineRule="auto"/>
        <w:tabs>
          <w:tab w:leader="none" w:pos="1249" w:val="left"/>
        </w:tabs>
        <w:numPr>
          <w:ilvl w:val="0"/>
          <w:numId w:val="272"/>
        </w:numPr>
        <w:rPr>
          <w:rFonts w:ascii="Arial" w:cs="Arial" w:eastAsia="Arial" w:hAnsi="Arial"/>
          <w:sz w:val="19"/>
          <w:szCs w:val="19"/>
          <w:color w:val="auto"/>
        </w:rPr>
      </w:pPr>
      <w:r>
        <w:rPr>
          <w:rFonts w:ascii="Arial" w:cs="Arial" w:eastAsia="Arial" w:hAnsi="Arial"/>
          <w:sz w:val="19"/>
          <w:szCs w:val="19"/>
          <w:color w:val="auto"/>
        </w:rPr>
        <w:t>shall not, except as expressly set forth herein and in the other Loan Documents, have any duty to disclose, and shall not be liable for the failure to disclose, any information relating to any Loan Party or any of its Affiliates that is communicated to or obtained by the Person serving as the Administrative Agent or any of its Affiliates in any capacity.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154</w:t>
      </w:r>
    </w:p>
    <w:p>
      <w:pPr>
        <w:sectPr>
          <w:pgSz w:w="11900" w:h="16838" w:orient="portrait"/>
          <w:cols w:equalWidth="0" w:num="1">
            <w:col w:w="11240"/>
          </w:cols>
          <w:pgMar w:left="320" w:top="1376" w:right="339" w:bottom="1440" w:gutter="0" w:footer="0" w:header="0"/>
        </w:sectPr>
      </w:pPr>
    </w:p>
    <w:bookmarkStart w:id="273" w:name="page274"/>
    <w:bookmarkEnd w:id="273"/>
    <w:p>
      <w:pPr>
        <w:jc w:val="both"/>
        <w:ind w:firstLine="629"/>
        <w:spacing w:after="0" w:line="263" w:lineRule="auto"/>
        <w:rPr>
          <w:sz w:val="20"/>
          <w:szCs w:val="20"/>
          <w:color w:val="auto"/>
        </w:rPr>
      </w:pPr>
      <w:r>
        <w:rPr>
          <w:rFonts w:ascii="Arial" w:cs="Arial" w:eastAsia="Arial" w:hAnsi="Arial"/>
          <w:sz w:val="18"/>
          <w:szCs w:val="18"/>
          <w:color w:val="auto"/>
        </w:rPr>
        <w:t>The Administrative Agent shall not be liable to any other Secured Party for any action taken or not taken by it under or in connection with the Loan Documents, except for direct (as opposed to consequential) losses directly and solely caused by the Administrative Agent’s gross negligence or willful misconduct. The Administrative Agent shall not be liable for any action taken or not taken by it with the consent or at the request of the Required Lenders (or such other number or percentage of the Lenders as shall be necessary, or as the Administrative Agent shall believe in good faith shall be necessary, under the Loan Documents). The Administrative Agent shall not be liable for, and shall be fully justified in, failing or refusing to take any action under any Loan Document unless it shall first receive such advice or concurrence of the Required Lenders (or such other number or percentage of the Lenders as shall be necessary, or as the Administrative Agent shall believe in good faith shall be necessary, under the Loan Documents) as it reasonably deems appropriate. The Administrative Agent shall be deemed not to have knowledge of any Default unless and until notice describing such Default is given to the Administrative Agent by the Borrower Agent, a Lender or the Letter of Credit Issuer.</w:t>
      </w:r>
    </w:p>
    <w:p>
      <w:pPr>
        <w:spacing w:after="0" w:line="171" w:lineRule="exact"/>
        <w:rPr>
          <w:sz w:val="20"/>
          <w:szCs w:val="20"/>
          <w:color w:val="auto"/>
        </w:rPr>
      </w:pPr>
    </w:p>
    <w:p>
      <w:pPr>
        <w:jc w:val="both"/>
        <w:ind w:firstLine="629"/>
        <w:spacing w:after="0" w:line="249" w:lineRule="auto"/>
        <w:rPr>
          <w:sz w:val="20"/>
          <w:szCs w:val="20"/>
          <w:color w:val="auto"/>
        </w:rPr>
      </w:pPr>
      <w:r>
        <w:rPr>
          <w:rFonts w:ascii="Arial" w:cs="Arial" w:eastAsia="Arial" w:hAnsi="Arial"/>
          <w:sz w:val="19"/>
          <w:szCs w:val="19"/>
          <w:color w:val="auto"/>
        </w:rPr>
        <w:t xml:space="preserve">The Administrative Agent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(v) the satisfaction of any condition set forth in </w:t>
      </w:r>
      <w:r>
        <w:rPr>
          <w:rFonts w:ascii="Arial" w:cs="Arial" w:eastAsia="Arial" w:hAnsi="Arial"/>
          <w:sz w:val="19"/>
          <w:szCs w:val="19"/>
          <w:u w:val="single" w:color="auto"/>
          <w:color w:val="auto"/>
        </w:rPr>
        <w:t>Article V</w:t>
      </w:r>
      <w:r>
        <w:rPr>
          <w:rFonts w:ascii="Arial" w:cs="Arial" w:eastAsia="Arial" w:hAnsi="Arial"/>
          <w:sz w:val="19"/>
          <w:szCs w:val="19"/>
          <w:color w:val="auto"/>
        </w:rPr>
        <w:t xml:space="preserve"> or elsewhere herein, other than to confirm receipt of items expressly required to be delivered to the Administrative Agent.</w:t>
      </w:r>
    </w:p>
    <w:p>
      <w:pPr>
        <w:spacing w:after="0" w:line="178" w:lineRule="exact"/>
        <w:rPr>
          <w:sz w:val="20"/>
          <w:szCs w:val="20"/>
          <w:color w:val="auto"/>
        </w:rPr>
      </w:pPr>
    </w:p>
    <w:p>
      <w:pPr>
        <w:jc w:val="both"/>
        <w:ind w:firstLine="629"/>
        <w:spacing w:after="0" w:line="263" w:lineRule="auto"/>
        <w:rPr>
          <w:sz w:val="20"/>
          <w:szCs w:val="20"/>
          <w:color w:val="auto"/>
        </w:rPr>
      </w:pPr>
      <w:r>
        <w:rPr>
          <w:rFonts w:ascii="Arial" w:cs="Arial" w:eastAsia="Arial" w:hAnsi="Arial"/>
          <w:sz w:val="18"/>
          <w:szCs w:val="18"/>
          <w:b w:val="1"/>
          <w:bCs w:val="1"/>
          <w:color w:val="auto"/>
        </w:rPr>
        <w:t>10.4 Reliance by the Administrative Agent</w:t>
      </w:r>
      <w:r>
        <w:rPr>
          <w:rFonts w:ascii="Arial" w:cs="Arial" w:eastAsia="Arial" w:hAnsi="Arial"/>
          <w:sz w:val="18"/>
          <w:szCs w:val="18"/>
          <w:color w:val="auto"/>
        </w:rPr>
        <w:t>. The Administrative Agent shall be entitled to rely upon, and shall not incur any liability</w:t>
      </w:r>
      <w:r>
        <w:rPr>
          <w:rFonts w:ascii="Arial" w:cs="Arial" w:eastAsia="Arial" w:hAnsi="Arial"/>
          <w:sz w:val="18"/>
          <w:szCs w:val="18"/>
          <w:b w:val="1"/>
          <w:bCs w:val="1"/>
          <w:color w:val="auto"/>
        </w:rPr>
        <w:t xml:space="preserve"> </w:t>
      </w:r>
      <w:r>
        <w:rPr>
          <w:rFonts w:ascii="Arial" w:cs="Arial" w:eastAsia="Arial" w:hAnsi="Arial"/>
          <w:sz w:val="18"/>
          <w:szCs w:val="18"/>
          <w:color w:val="auto"/>
        </w:rPr>
        <w:t>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of a Letter of Credit that by its terms must be fulfilled to the satisfaction of a Lender or the Letter of Credit Issuer, the Administrative Agent may presume that such condition is satisfactory to such Lender or the Letter of Credit Issuer unless the Administrative Agent shall have received notice to the contrary from such Lender or the Letter of Credit Issuer prior to the making of such Loan or the issuance of such Letter of Credit. The Administrative Agent may consult with legal counsel (who may be counsel for the Borrowers), independent accountants and other experts selected by it, and shall not be liable for any action taken or not taken by it in accordance with the advice of any such counsel, accountants or experts.</w:t>
      </w:r>
    </w:p>
    <w:p>
      <w:pPr>
        <w:spacing w:after="0" w:line="167" w:lineRule="exact"/>
        <w:rPr>
          <w:sz w:val="20"/>
          <w:szCs w:val="20"/>
          <w:color w:val="auto"/>
        </w:rPr>
      </w:pPr>
    </w:p>
    <w:p>
      <w:pPr>
        <w:jc w:val="both"/>
        <w:ind w:firstLine="629"/>
        <w:spacing w:after="0" w:line="252" w:lineRule="auto"/>
        <w:rPr>
          <w:sz w:val="20"/>
          <w:szCs w:val="20"/>
          <w:color w:val="auto"/>
        </w:rPr>
      </w:pPr>
      <w:r>
        <w:rPr>
          <w:rFonts w:ascii="Arial" w:cs="Arial" w:eastAsia="Arial" w:hAnsi="Arial"/>
          <w:sz w:val="19"/>
          <w:szCs w:val="19"/>
          <w:b w:val="1"/>
          <w:bCs w:val="1"/>
          <w:color w:val="auto"/>
        </w:rPr>
        <w:t>10.5 Delegation of Duties</w:t>
      </w:r>
      <w:r>
        <w:rPr>
          <w:rFonts w:ascii="Arial" w:cs="Arial" w:eastAsia="Arial" w:hAnsi="Arial"/>
          <w:sz w:val="19"/>
          <w:szCs w:val="19"/>
          <w:color w:val="auto"/>
        </w:rPr>
        <w:t>. The Administrative Agent may perform any and all of its duties and exercise its rights and powers</w:t>
      </w:r>
      <w:r>
        <w:rPr>
          <w:rFonts w:ascii="Arial" w:cs="Arial" w:eastAsia="Arial" w:hAnsi="Arial"/>
          <w:sz w:val="19"/>
          <w:szCs w:val="19"/>
          <w:b w:val="1"/>
          <w:bCs w:val="1"/>
          <w:color w:val="auto"/>
        </w:rPr>
        <w:t xml:space="preserve"> </w:t>
      </w:r>
      <w:r>
        <w:rPr>
          <w:rFonts w:ascii="Arial" w:cs="Arial" w:eastAsia="Arial" w:hAnsi="Arial"/>
          <w:sz w:val="19"/>
          <w:szCs w:val="19"/>
          <w:color w:val="auto"/>
        </w:rPr>
        <w:t>hereunder or under any 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Article shall apply to any such sub-agent and to the Related Parties of the Administrative Agent and any such sub-agent, and shall apply to their respective activities in connection with the syndication of the credit facilities provided for herein as well as activities as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155</w:t>
      </w:r>
    </w:p>
    <w:p>
      <w:pPr>
        <w:sectPr>
          <w:pgSz w:w="11900" w:h="16838" w:orient="portrait"/>
          <w:cols w:equalWidth="0" w:num="1">
            <w:col w:w="11240"/>
          </w:cols>
          <w:pgMar w:left="320" w:top="1382" w:right="339" w:bottom="1440" w:gutter="0" w:footer="0" w:header="0"/>
        </w:sectPr>
      </w:pPr>
    </w:p>
    <w:bookmarkStart w:id="274" w:name="page275"/>
    <w:bookmarkEnd w:id="274"/>
    <w:p>
      <w:pPr>
        <w:jc w:val="both"/>
        <w:ind w:firstLine="629"/>
        <w:spacing w:after="0" w:line="277" w:lineRule="auto"/>
        <w:rPr>
          <w:sz w:val="20"/>
          <w:szCs w:val="20"/>
          <w:color w:val="auto"/>
        </w:rPr>
      </w:pPr>
      <w:r>
        <w:rPr>
          <w:rFonts w:ascii="Arial" w:cs="Arial" w:eastAsia="Arial" w:hAnsi="Arial"/>
          <w:sz w:val="17"/>
          <w:szCs w:val="17"/>
          <w:b w:val="1"/>
          <w:bCs w:val="1"/>
          <w:color w:val="auto"/>
        </w:rPr>
        <w:t xml:space="preserve">10.6 Resignation of the Administrative Agent. </w:t>
      </w:r>
      <w:r>
        <w:rPr>
          <w:rFonts w:ascii="Arial" w:cs="Arial" w:eastAsia="Arial" w:hAnsi="Arial"/>
          <w:sz w:val="17"/>
          <w:szCs w:val="17"/>
          <w:color w:val="auto"/>
        </w:rPr>
        <w:t>The Administrative Agent may at any time give notice of its resignation to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Lenders, the Letter of Credit Issuer and the Borrower Agent. Upon receipt of any such notice of resignation, the Required Lenders shall have the right, in consultation with the Borrower Agent, to appoint a successor, which shall be a bank with an office in the United States, or an Affiliate of any such bank with an office in the United States. If no such successor shall have been so appointed by the Required Lenders and shall have accepted such appointment within 30 days after the retiring Administrative Agent gives notice of its resignation, then the retiring Administrative Agent may on behalf of the Lenders and the Letter of Credit Issuer, appoint a successor Administrative Agent meeting the qualifications set forth above;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Administrative Agent shall notify the Borrower Agent and the Lenders that no qualifying Person has accepted such appointment, then such resignation shall nonetheless become effective in accordance with such notice and (1) the retiring Administrative Agent shall be discharged from its duties and obligations hereunder and under the other Loan Documents (except that in the case of any Collateral held by the Administrative Agent on behalf of the Lenders or the Letter of Credit Issuer under any of the Loan Documents, the retiring Administrative Agent shall continue to hold such Collateral until such time as a successor Administrative Agent is appointed) and (2) all payments, communications and determinations provided to be made by, to or through the Administrative Agent shall instead be made by or to each Lender and the Letter of Credit Issuer directly, until such time as the Required Lenders appoint a successor Administrative Agent as provided for above in this Section. Upon the acceptance of a successor’s appointment as the Administrative Agent hereunder, such successor shall succeed to and become vested with all of the rights, powers, privileges and duties of the retiring (or retired) Administrative Agent, and the retiring Administrative Agent shall be discharged from all of its duties and obligations hereunder or under the other Loan Documents (if not already discharged therefrom as provided above in this Section). The fees payable by the Borrowers to a successor Administrative Agent shall be the same as those payable to its predecessor unless otherwise agreed between the Borrowers and such successor. After the retiring Administrative Agent’s resignation hereunder and under the other Loan Documents, the provisions of this Article and </w:t>
      </w:r>
      <w:r>
        <w:rPr>
          <w:rFonts w:ascii="Arial" w:cs="Arial" w:eastAsia="Arial" w:hAnsi="Arial"/>
          <w:sz w:val="17"/>
          <w:szCs w:val="17"/>
          <w:u w:val="single" w:color="auto"/>
          <w:color w:val="auto"/>
        </w:rPr>
        <w:t>Section 11.04</w:t>
      </w:r>
      <w:r>
        <w:rPr>
          <w:rFonts w:ascii="Arial" w:cs="Arial" w:eastAsia="Arial" w:hAnsi="Arial"/>
          <w:sz w:val="17"/>
          <w:szCs w:val="17"/>
          <w:color w:val="auto"/>
        </w:rPr>
        <w:t xml:space="preserve"> shall continue in effect for the benefit of such retiring Administrative Agent, its sub-agents and their respective Related Parties in respect of any actions taken or omitted to be taken by any of them while the retiring Administrative Agent was acting as the Administrative Agent.</w:t>
      </w:r>
    </w:p>
    <w:p>
      <w:pPr>
        <w:spacing w:after="0" w:line="160" w:lineRule="exact"/>
        <w:rPr>
          <w:sz w:val="20"/>
          <w:szCs w:val="20"/>
          <w:color w:val="auto"/>
        </w:rPr>
      </w:pPr>
    </w:p>
    <w:p>
      <w:pPr>
        <w:jc w:val="both"/>
        <w:ind w:firstLine="629"/>
        <w:spacing w:after="0" w:line="280" w:lineRule="auto"/>
        <w:rPr>
          <w:sz w:val="20"/>
          <w:szCs w:val="20"/>
          <w:color w:val="auto"/>
        </w:rPr>
      </w:pPr>
      <w:r>
        <w:rPr>
          <w:rFonts w:ascii="Arial" w:cs="Arial" w:eastAsia="Arial" w:hAnsi="Arial"/>
          <w:sz w:val="17"/>
          <w:szCs w:val="17"/>
          <w:color w:val="auto"/>
        </w:rPr>
        <w:t>Any resignation by BMO as the Administrative Agent pursuant to this Section shall also constitute its resignation as Letter of Credit Issuer and Swing Line Lender. Upon the acceptance of a successor’s appointment as the Administrative Agent hereunder, (a) such successor shall succeed to and become vested with all of the rights, powers, privileges and duties of the retiring Letter of Credit Issuer and Swing Line Lender,</w:t>
      </w:r>
    </w:p>
    <w:p>
      <w:pPr>
        <w:spacing w:after="0" w:line="1" w:lineRule="exact"/>
        <w:rPr>
          <w:sz w:val="20"/>
          <w:szCs w:val="20"/>
          <w:color w:val="auto"/>
        </w:rPr>
      </w:pPr>
    </w:p>
    <w:p>
      <w:pPr>
        <w:jc w:val="both"/>
        <w:ind w:firstLine="5"/>
        <w:spacing w:after="0" w:line="248" w:lineRule="auto"/>
        <w:tabs>
          <w:tab w:leader="none" w:pos="278" w:val="left"/>
        </w:tabs>
        <w:numPr>
          <w:ilvl w:val="0"/>
          <w:numId w:val="273"/>
        </w:numPr>
        <w:rPr>
          <w:rFonts w:ascii="Arial" w:cs="Arial" w:eastAsia="Arial" w:hAnsi="Arial"/>
          <w:sz w:val="19"/>
          <w:szCs w:val="19"/>
          <w:color w:val="auto"/>
        </w:rPr>
      </w:pPr>
      <w:r>
        <w:rPr>
          <w:rFonts w:ascii="Arial" w:cs="Arial" w:eastAsia="Arial" w:hAnsi="Arial"/>
          <w:sz w:val="19"/>
          <w:szCs w:val="19"/>
          <w:color w:val="auto"/>
        </w:rPr>
        <w:t>the retiring Letter of Credit Issuer and Swing Line Lender shall be discharged from all of their respective duties and obligations hereunder or under the other Loan Documents, and (c) the successor Letter of Credit Issuer shall issue letters of credit in substitution for the Letters of Credit, if any, outstanding at the time of such succession or make other arrangements satisfactory to the retiring Letter of Credit Issuer to effectively assume the obligations of the retiring Letter of Credit Issuer with respect to such Letters of Credit.</w:t>
      </w:r>
    </w:p>
    <w:p>
      <w:pPr>
        <w:spacing w:after="0" w:line="176" w:lineRule="exact"/>
        <w:rPr>
          <w:sz w:val="20"/>
          <w:szCs w:val="20"/>
          <w:color w:val="auto"/>
        </w:rPr>
      </w:pPr>
    </w:p>
    <w:p>
      <w:pPr>
        <w:jc w:val="both"/>
        <w:ind w:firstLine="629"/>
        <w:spacing w:after="0" w:line="253" w:lineRule="auto"/>
        <w:rPr>
          <w:sz w:val="20"/>
          <w:szCs w:val="20"/>
          <w:color w:val="auto"/>
        </w:rPr>
      </w:pPr>
      <w:r>
        <w:rPr>
          <w:rFonts w:ascii="Arial" w:cs="Arial" w:eastAsia="Arial" w:hAnsi="Arial"/>
          <w:sz w:val="19"/>
          <w:szCs w:val="19"/>
          <w:b w:val="1"/>
          <w:bCs w:val="1"/>
          <w:color w:val="auto"/>
        </w:rPr>
        <w:t xml:space="preserve">10.7 Non-Reliance on the Administrative Agent and Other Lenders. </w:t>
      </w:r>
      <w:r>
        <w:rPr>
          <w:rFonts w:ascii="Arial" w:cs="Arial" w:eastAsia="Arial" w:hAnsi="Arial"/>
          <w:sz w:val="19"/>
          <w:szCs w:val="19"/>
          <w:color w:val="auto"/>
        </w:rPr>
        <w:t>Each Lender and the Letter of Credit Issuer acknowledges</w:t>
      </w:r>
      <w:r>
        <w:rPr>
          <w:rFonts w:ascii="Arial" w:cs="Arial" w:eastAsia="Arial" w:hAnsi="Arial"/>
          <w:sz w:val="19"/>
          <w:szCs w:val="19"/>
          <w:b w:val="1"/>
          <w:bCs w:val="1"/>
          <w:color w:val="auto"/>
        </w:rPr>
        <w:t xml:space="preserve"> </w:t>
      </w:r>
      <w:r>
        <w:rPr>
          <w:rFonts w:ascii="Arial" w:cs="Arial" w:eastAsia="Arial" w:hAnsi="Arial"/>
          <w:sz w:val="19"/>
          <w:szCs w:val="19"/>
          <w:color w:val="auto"/>
        </w:rPr>
        <w:t>that it has, independently and without reliance upon the Administrative Agent or any other Lender or any of their Related Parties and based on such documents and information as it has deemed appropriate, made its own credit analysis and decision to enter into this Agreement. Each Lender and the Letter of Credit Issuer also acknowledges that it will, independently and without reliance upon the Administrative Agent or any other Lender or any of their Related Parties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156</w:t>
      </w:r>
    </w:p>
    <w:p>
      <w:pPr>
        <w:sectPr>
          <w:pgSz w:w="11900" w:h="16838" w:orient="portrait"/>
          <w:cols w:equalWidth="0" w:num="1">
            <w:col w:w="11240"/>
          </w:cols>
          <w:pgMar w:left="320" w:top="1376" w:right="339" w:bottom="1440" w:gutter="0" w:footer="0" w:header="0"/>
        </w:sectPr>
      </w:pPr>
    </w:p>
    <w:bookmarkStart w:id="275" w:name="page276"/>
    <w:bookmarkEnd w:id="275"/>
    <w:p>
      <w:pPr>
        <w:jc w:val="both"/>
        <w:spacing w:after="0" w:line="259" w:lineRule="auto"/>
        <w:rPr>
          <w:sz w:val="20"/>
          <w:szCs w:val="20"/>
          <w:color w:val="auto"/>
        </w:rPr>
      </w:pPr>
      <w:r>
        <w:rPr>
          <w:rFonts w:ascii="Arial" w:cs="Arial" w:eastAsia="Arial" w:hAnsi="Arial"/>
          <w:sz w:val="19"/>
          <w:szCs w:val="19"/>
          <w:color w:val="auto"/>
        </w:rPr>
        <w:t>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165" w:lineRule="exact"/>
        <w:rPr>
          <w:sz w:val="20"/>
          <w:szCs w:val="20"/>
          <w:color w:val="auto"/>
        </w:rPr>
      </w:pPr>
    </w:p>
    <w:p>
      <w:pPr>
        <w:jc w:val="both"/>
        <w:ind w:firstLine="629"/>
        <w:spacing w:after="0" w:line="256" w:lineRule="auto"/>
        <w:rPr>
          <w:sz w:val="20"/>
          <w:szCs w:val="20"/>
          <w:color w:val="auto"/>
        </w:rPr>
      </w:pPr>
      <w:r>
        <w:rPr>
          <w:rFonts w:ascii="Arial" w:cs="Arial" w:eastAsia="Arial" w:hAnsi="Arial"/>
          <w:sz w:val="19"/>
          <w:szCs w:val="19"/>
          <w:b w:val="1"/>
          <w:bCs w:val="1"/>
          <w:color w:val="auto"/>
        </w:rPr>
        <w:t xml:space="preserve">10.8 No Other Duties, Etc. </w:t>
      </w:r>
      <w:r>
        <w:rPr>
          <w:rFonts w:ascii="Arial" w:cs="Arial" w:eastAsia="Arial" w:hAnsi="Arial"/>
          <w:sz w:val="19"/>
          <w:szCs w:val="19"/>
          <w:color w:val="auto"/>
        </w:rPr>
        <w:t>Anything herein to the contrary notwithstanding, none of the Book Runners, Arrangers, Syndication</w:t>
      </w:r>
      <w:r>
        <w:rPr>
          <w:rFonts w:ascii="Arial" w:cs="Arial" w:eastAsia="Arial" w:hAnsi="Arial"/>
          <w:sz w:val="19"/>
          <w:szCs w:val="19"/>
          <w:b w:val="1"/>
          <w:bCs w:val="1"/>
          <w:color w:val="auto"/>
        </w:rPr>
        <w:t xml:space="preserve"> </w:t>
      </w:r>
      <w:r>
        <w:rPr>
          <w:rFonts w:ascii="Arial" w:cs="Arial" w:eastAsia="Arial" w:hAnsi="Arial"/>
          <w:sz w:val="19"/>
          <w:szCs w:val="19"/>
          <w:color w:val="auto"/>
        </w:rPr>
        <w:t>Agents or Documentation Agents listed on the cover page hereof shall have any rights, powers, duties or responsibilities under this Agreement or any of the other Loan Documents, except in its capacity, as applicable, as the Administrative Agent, a Lender or the Letter of Credit Issuer hereunder.</w:t>
      </w:r>
    </w:p>
    <w:p>
      <w:pPr>
        <w:spacing w:after="0" w:line="169" w:lineRule="exact"/>
        <w:rPr>
          <w:sz w:val="20"/>
          <w:szCs w:val="20"/>
          <w:color w:val="auto"/>
        </w:rPr>
      </w:pPr>
    </w:p>
    <w:p>
      <w:pPr>
        <w:jc w:val="both"/>
        <w:ind w:firstLine="629"/>
        <w:spacing w:after="0" w:line="253" w:lineRule="auto"/>
        <w:rPr>
          <w:sz w:val="20"/>
          <w:szCs w:val="20"/>
          <w:color w:val="auto"/>
        </w:rPr>
      </w:pPr>
      <w:r>
        <w:rPr>
          <w:rFonts w:ascii="Arial" w:cs="Arial" w:eastAsia="Arial" w:hAnsi="Arial"/>
          <w:sz w:val="19"/>
          <w:szCs w:val="19"/>
          <w:b w:val="1"/>
          <w:bCs w:val="1"/>
          <w:color w:val="auto"/>
        </w:rPr>
        <w:t>10.9 The Administrative Agent May File Proofs of Claim; Credit Bidding</w:t>
      </w:r>
      <w:r>
        <w:rPr>
          <w:rFonts w:ascii="Arial" w:cs="Arial" w:eastAsia="Arial" w:hAnsi="Arial"/>
          <w:sz w:val="19"/>
          <w:szCs w:val="19"/>
          <w:color w:val="auto"/>
        </w:rPr>
        <w:t>. In case of the pendency of any proceeding under any</w:t>
      </w:r>
      <w:r>
        <w:rPr>
          <w:rFonts w:ascii="Arial" w:cs="Arial" w:eastAsia="Arial" w:hAnsi="Arial"/>
          <w:sz w:val="19"/>
          <w:szCs w:val="19"/>
          <w:b w:val="1"/>
          <w:bCs w:val="1"/>
          <w:color w:val="auto"/>
        </w:rPr>
        <w:t xml:space="preserve"> </w:t>
      </w:r>
      <w:r>
        <w:rPr>
          <w:rFonts w:ascii="Arial" w:cs="Arial" w:eastAsia="Arial" w:hAnsi="Arial"/>
          <w:sz w:val="19"/>
          <w:szCs w:val="19"/>
          <w:color w:val="auto"/>
        </w:rPr>
        <w:t>Debtor Relief Law or any other judicial proceeding relative to any Loan Party, the Administrative Agent (irrespective of whether the principal of any Loan or Letter of Credit Obligation shall then be due and payable as herein expressed or by declaration or otherwise and irrespective of whether the Administrative Agent shall have made any demand on the Borrower) shall be entitled and empowered, by intervention in such proceeding or otherwise</w:t>
      </w:r>
    </w:p>
    <w:p>
      <w:pPr>
        <w:spacing w:after="0" w:line="179" w:lineRule="exact"/>
        <w:rPr>
          <w:sz w:val="20"/>
          <w:szCs w:val="20"/>
          <w:color w:val="auto"/>
        </w:rPr>
      </w:pPr>
    </w:p>
    <w:p>
      <w:pPr>
        <w:jc w:val="both"/>
        <w:ind w:firstLine="634"/>
        <w:spacing w:after="0" w:line="250" w:lineRule="auto"/>
        <w:tabs>
          <w:tab w:leader="none" w:pos="1249" w:val="left"/>
        </w:tabs>
        <w:numPr>
          <w:ilvl w:val="0"/>
          <w:numId w:val="274"/>
        </w:numPr>
        <w:rPr>
          <w:rFonts w:ascii="Arial" w:cs="Arial" w:eastAsia="Arial" w:hAnsi="Arial"/>
          <w:sz w:val="19"/>
          <w:szCs w:val="19"/>
          <w:color w:val="auto"/>
        </w:rPr>
      </w:pPr>
      <w:r>
        <w:rPr>
          <w:rFonts w:ascii="Arial" w:cs="Arial" w:eastAsia="Arial" w:hAnsi="Arial"/>
          <w:sz w:val="19"/>
          <w:szCs w:val="19"/>
          <w:color w:val="auto"/>
        </w:rPr>
        <w:t xml:space="preserve">to file and prove a claim for the whole amount of the principal and interest owing and unpaid in respect of the Loans, Letter of Credit Obligations and all other Obligations that are owing and unpaid and to file such other documents as may be necessary or advisable in order to have the claims of the Lenders, the Letter of Credit Issuer and the Administrative Agent (including any claim for the reasonable compensation, expenses, disbursements and advances of the Lenders, the Letter of Credit Issuer and the Administrative Agent and their respective agents and counsel and all other amounts due the Lenders, the Letter of Credit Issuer and the Administrative Agent under </w:t>
      </w:r>
      <w:r>
        <w:rPr>
          <w:rFonts w:ascii="Arial" w:cs="Arial" w:eastAsia="Arial" w:hAnsi="Arial"/>
          <w:sz w:val="19"/>
          <w:szCs w:val="19"/>
          <w:u w:val="single" w:color="auto"/>
          <w:color w:val="auto"/>
        </w:rPr>
        <w:t>Sections 2.03(h)</w:t>
      </w:r>
      <w:r>
        <w:rPr>
          <w:rFonts w:ascii="Arial" w:cs="Arial" w:eastAsia="Arial" w:hAnsi="Arial"/>
          <w:sz w:val="19"/>
          <w:szCs w:val="19"/>
          <w:color w:val="auto"/>
        </w:rPr>
        <w:t xml:space="preserve">, </w:t>
      </w:r>
      <w:r>
        <w:rPr>
          <w:rFonts w:ascii="Arial" w:cs="Arial" w:eastAsia="Arial" w:hAnsi="Arial"/>
          <w:sz w:val="19"/>
          <w:szCs w:val="19"/>
          <w:u w:val="single" w:color="auto"/>
          <w:color w:val="auto"/>
        </w:rPr>
        <w:t>2.09</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11.04</w:t>
      </w:r>
      <w:r>
        <w:rPr>
          <w:rFonts w:ascii="Arial" w:cs="Arial" w:eastAsia="Arial" w:hAnsi="Arial"/>
          <w:sz w:val="19"/>
          <w:szCs w:val="19"/>
          <w:color w:val="auto"/>
        </w:rPr>
        <w:t>) allowed in such judicial proceeding; and</w:t>
      </w:r>
    </w:p>
    <w:p>
      <w:pPr>
        <w:spacing w:after="0" w:line="181" w:lineRule="exact"/>
        <w:rPr>
          <w:rFonts w:ascii="Arial" w:cs="Arial" w:eastAsia="Arial" w:hAnsi="Arial"/>
          <w:sz w:val="19"/>
          <w:szCs w:val="19"/>
          <w:color w:val="auto"/>
        </w:rPr>
      </w:pPr>
    </w:p>
    <w:p>
      <w:pPr>
        <w:ind w:left="1260" w:hanging="626"/>
        <w:spacing w:after="0"/>
        <w:tabs>
          <w:tab w:leader="none" w:pos="126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to collect and receive any monies or other property payable or deliverable on any such claims and to distribute the same;</w:t>
      </w:r>
    </w:p>
    <w:p>
      <w:pPr>
        <w:spacing w:after="0" w:line="226"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 xml:space="preserve">and any custodian, receiver, assignee, trustee, liquidator, sequestrator or other similar official in any such judicial proceeding is hereby authorized by each Lender and the Letter of Credit Issuer to make such payments to the Administrative Agent and, in the event that the Administrative Agent shall consent to the making of such payments directly to the Lenders and the Letter of Credit Issuer, to pay to the Administrative Agent any amount due for the reasonable compensation, expenses, disbursements and advances of the Administrative Agent and its agents and counsel, and any other amounts due the Administrative Agent under </w:t>
      </w:r>
      <w:r>
        <w:rPr>
          <w:rFonts w:ascii="Arial" w:cs="Arial" w:eastAsia="Arial" w:hAnsi="Arial"/>
          <w:sz w:val="18"/>
          <w:szCs w:val="18"/>
          <w:u w:val="single" w:color="auto"/>
          <w:color w:val="auto"/>
        </w:rPr>
        <w:t>Sections 2.09</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10.04</w:t>
      </w:r>
      <w:r>
        <w:rPr>
          <w:rFonts w:ascii="Arial" w:cs="Arial" w:eastAsia="Arial" w:hAnsi="Arial"/>
          <w:sz w:val="18"/>
          <w:szCs w:val="18"/>
          <w:color w:val="auto"/>
        </w:rPr>
        <w:t>.</w:t>
      </w:r>
    </w:p>
    <w:p>
      <w:pPr>
        <w:spacing w:after="0" w:line="164" w:lineRule="exact"/>
        <w:rPr>
          <w:sz w:val="20"/>
          <w:szCs w:val="20"/>
          <w:color w:val="auto"/>
        </w:rPr>
      </w:pPr>
    </w:p>
    <w:p>
      <w:pPr>
        <w:jc w:val="both"/>
        <w:ind w:firstLine="629"/>
        <w:spacing w:after="0" w:line="254" w:lineRule="auto"/>
        <w:rPr>
          <w:sz w:val="20"/>
          <w:szCs w:val="20"/>
          <w:color w:val="auto"/>
        </w:rPr>
      </w:pPr>
      <w:r>
        <w:rPr>
          <w:rFonts w:ascii="Arial" w:cs="Arial" w:eastAsia="Arial" w:hAnsi="Arial"/>
          <w:sz w:val="19"/>
          <w:szCs w:val="19"/>
          <w:color w:val="auto"/>
        </w:rPr>
        <w:t>Nothing contained herein shall be deemed to authorize the Administrative Agent to authorize or consent to or accept or adopt on behalf of any Lender or the Letter of Credit Issuer any plan of reorganization, arrangement, adjustment or composition affecting the Obligations or the rights of any Lender or the Letter of Credit Issuer to authorize the Administrative Agent to vote in respect of the claim of any Lender or the Letter of Credit Issuer in any such proceeding.</w:t>
      </w:r>
    </w:p>
    <w:p>
      <w:pPr>
        <w:spacing w:after="0" w:line="177" w:lineRule="exact"/>
        <w:rPr>
          <w:sz w:val="20"/>
          <w:szCs w:val="20"/>
          <w:color w:val="auto"/>
        </w:rPr>
      </w:pPr>
    </w:p>
    <w:p>
      <w:pPr>
        <w:jc w:val="both"/>
        <w:ind w:firstLine="629"/>
        <w:spacing w:after="0" w:line="254" w:lineRule="auto"/>
        <w:rPr>
          <w:sz w:val="20"/>
          <w:szCs w:val="20"/>
          <w:color w:val="auto"/>
        </w:rPr>
      </w:pPr>
      <w:r>
        <w:rPr>
          <w:rFonts w:ascii="Arial" w:cs="Arial" w:eastAsia="Arial" w:hAnsi="Arial"/>
          <w:sz w:val="19"/>
          <w:szCs w:val="19"/>
          <w:color w:val="auto"/>
        </w:rPr>
        <w:t>The Loan Parties and the Secured Parties hereby irrevocably authorize the Administrative Agent, based upon the instruction of the Required Lenders, to (a) credit bid and in such manner purchase (either directly or through one or more acquisition vehicles) all or any portion of the Collateral at any sale thereof conducted under the provisions of the Bankruptcy Code of the United States, including under Section 363 of the Bankruptcy Code of the United States or any similar Laws in any other jurisdictions to which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157</w:t>
      </w:r>
    </w:p>
    <w:p>
      <w:pPr>
        <w:sectPr>
          <w:pgSz w:w="11900" w:h="16838" w:orient="portrait"/>
          <w:cols w:equalWidth="0" w:num="1">
            <w:col w:w="11240"/>
          </w:cols>
          <w:pgMar w:left="320" w:top="1381" w:right="339" w:bottom="1440" w:gutter="0" w:footer="0" w:header="0"/>
        </w:sectPr>
      </w:pPr>
    </w:p>
    <w:bookmarkStart w:id="276" w:name="page277"/>
    <w:bookmarkEnd w:id="276"/>
    <w:p>
      <w:pPr>
        <w:jc w:val="both"/>
        <w:spacing w:after="0" w:line="279" w:lineRule="auto"/>
        <w:rPr>
          <w:sz w:val="20"/>
          <w:szCs w:val="20"/>
          <w:color w:val="auto"/>
        </w:rPr>
      </w:pPr>
      <w:r>
        <w:rPr>
          <w:rFonts w:ascii="Arial" w:cs="Arial" w:eastAsia="Arial" w:hAnsi="Arial"/>
          <w:sz w:val="17"/>
          <w:szCs w:val="17"/>
          <w:color w:val="auto"/>
        </w:rPr>
        <w:t xml:space="preserve">Loan Party is subject, or (b) credit bid and in such manner purchase (either directly or through one or more acquisition vehicles) all or any portion of the Collateral at any other sale or foreclosure conducted by (or with the consent or at the direction of) the Administrative Agent (whether by judicial action or otherwise) in accordance with applicable Law. In connection with any such credit bid and purchase, the Obligations owed to the Secured Parties shall be entitled to be, and shall be, credit bid on a ratable basis (with Obligations with respect to contingent or unliquidated claims being estimated for such purpose if the fixing or liquidation thereof would not unduly delay the ability of the Administrative Agent to credit bid and purchase at such sale or other disposition of the Collateral and, if such claims cannot be estimated without unduly delaying the ability of the Administrative Agent to credit bid, then such claims shall be disregarded, not credit bid, and not entitled to any interest in the asset or assets purchased by means of such credit bid) and the Secured Parties whose Obligations are credit bid shall be entitled to receive interests (ratably based upon the proportion of their Obligations credit bid in relation to the aggregate amount of Obligations so credit bid) in the asset or assets so purchased (or in the Equity Interests of the acquisition vehicle or vehicles that are used to consummate such purchase). Upon request by the Administrative Agent or the Borrower Agent at any time, the Secured Parties will confirm in writing the Administrative Agent’s authority to release any such Liens on particular types or items of Collateral pursuant to this </w:t>
      </w:r>
      <w:r>
        <w:rPr>
          <w:rFonts w:ascii="Arial" w:cs="Arial" w:eastAsia="Arial" w:hAnsi="Arial"/>
          <w:sz w:val="17"/>
          <w:szCs w:val="17"/>
          <w:u w:val="single" w:color="auto"/>
          <w:color w:val="auto"/>
        </w:rPr>
        <w:t>Section 10.09</w:t>
      </w:r>
      <w:r>
        <w:rPr>
          <w:rFonts w:ascii="Arial" w:cs="Arial" w:eastAsia="Arial" w:hAnsi="Arial"/>
          <w:sz w:val="17"/>
          <w:szCs w:val="17"/>
          <w:color w:val="auto"/>
        </w:rPr>
        <w:t>.</w:t>
      </w:r>
    </w:p>
    <w:p>
      <w:pPr>
        <w:spacing w:after="0" w:line="152"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9"/>
          <w:szCs w:val="19"/>
          <w:b w:val="1"/>
          <w:bCs w:val="1"/>
          <w:color w:val="auto"/>
        </w:rPr>
        <w:t>10.10</w:t>
      </w:r>
      <w:r>
        <w:rPr>
          <w:sz w:val="20"/>
          <w:szCs w:val="20"/>
          <w:color w:val="auto"/>
        </w:rPr>
        <w:tab/>
      </w:r>
      <w:r>
        <w:rPr>
          <w:rFonts w:ascii="Arial" w:cs="Arial" w:eastAsia="Arial" w:hAnsi="Arial"/>
          <w:sz w:val="17"/>
          <w:szCs w:val="17"/>
          <w:b w:val="1"/>
          <w:bCs w:val="1"/>
          <w:color w:val="auto"/>
        </w:rPr>
        <w:t>Collateral Matters</w:t>
      </w:r>
      <w:r>
        <w:rPr>
          <w:rFonts w:ascii="Arial" w:cs="Arial" w:eastAsia="Arial" w:hAnsi="Arial"/>
          <w:sz w:val="17"/>
          <w:szCs w:val="17"/>
          <w:color w:val="auto"/>
        </w:rPr>
        <w:t>. The Secured Parties irrevocably authorize the Administrative Agent, at its option and in its discretion,</w:t>
      </w:r>
    </w:p>
    <w:p>
      <w:pPr>
        <w:spacing w:after="0" w:line="220" w:lineRule="exact"/>
        <w:rPr>
          <w:sz w:val="20"/>
          <w:szCs w:val="20"/>
          <w:color w:val="auto"/>
        </w:rPr>
      </w:pPr>
    </w:p>
    <w:p>
      <w:pPr>
        <w:jc w:val="both"/>
        <w:ind w:firstLine="634"/>
        <w:spacing w:after="0" w:line="259" w:lineRule="auto"/>
        <w:tabs>
          <w:tab w:leader="none" w:pos="1249" w:val="left"/>
        </w:tabs>
        <w:numPr>
          <w:ilvl w:val="0"/>
          <w:numId w:val="275"/>
        </w:numPr>
        <w:rPr>
          <w:rFonts w:ascii="Arial" w:cs="Arial" w:eastAsia="Arial" w:hAnsi="Arial"/>
          <w:sz w:val="19"/>
          <w:szCs w:val="19"/>
          <w:color w:val="auto"/>
        </w:rPr>
      </w:pPr>
      <w:r>
        <w:rPr>
          <w:rFonts w:ascii="Arial" w:cs="Arial" w:eastAsia="Arial" w:hAnsi="Arial"/>
          <w:sz w:val="19"/>
          <w:szCs w:val="19"/>
          <w:color w:val="auto"/>
        </w:rPr>
        <w:t xml:space="preserve">to release any Lien on any Collateral (i) upon the occurrence of the Facility Termination Date, (ii) that is Disposed or to be Disposed as part of or in connection with any Disposition permitted hereunder or under any other Loan Document, or (iii) subject to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11.01</w:t>
      </w:r>
      <w:r>
        <w:rPr>
          <w:rFonts w:ascii="Arial" w:cs="Arial" w:eastAsia="Arial" w:hAnsi="Arial"/>
          <w:sz w:val="19"/>
          <w:szCs w:val="19"/>
          <w:color w:val="auto"/>
        </w:rPr>
        <w:t>, if approved, authorized or ratified in writing by the Required Lenders;</w:t>
      </w:r>
    </w:p>
    <w:p>
      <w:pPr>
        <w:spacing w:after="0" w:line="171" w:lineRule="exact"/>
        <w:rPr>
          <w:rFonts w:ascii="Arial" w:cs="Arial" w:eastAsia="Arial" w:hAnsi="Arial"/>
          <w:sz w:val="19"/>
          <w:szCs w:val="19"/>
          <w:color w:val="auto"/>
        </w:rPr>
      </w:pPr>
    </w:p>
    <w:p>
      <w:pPr>
        <w:jc w:val="both"/>
        <w:ind w:firstLine="634"/>
        <w:spacing w:after="0" w:line="250" w:lineRule="auto"/>
        <w:tabs>
          <w:tab w:leader="none" w:pos="1247" w:val="left"/>
        </w:tabs>
        <w:numPr>
          <w:ilvl w:val="0"/>
          <w:numId w:val="275"/>
        </w:numPr>
        <w:rPr>
          <w:rFonts w:ascii="Arial" w:cs="Arial" w:eastAsia="Arial" w:hAnsi="Arial"/>
          <w:sz w:val="19"/>
          <w:szCs w:val="19"/>
          <w:color w:val="auto"/>
        </w:rPr>
      </w:pPr>
      <w:r>
        <w:rPr>
          <w:rFonts w:ascii="Arial" w:cs="Arial" w:eastAsia="Arial" w:hAnsi="Arial"/>
          <w:sz w:val="19"/>
          <w:szCs w:val="19"/>
          <w:color w:val="auto"/>
        </w:rPr>
        <w:t xml:space="preserve">to release or subordinate any Lien (and any Indebtedness secured thereby) on any property granted to or held by the Administrative Agent under any Loan Document to the holder of any Lien on such property (i) that is permitted by </w:t>
      </w:r>
      <w:r>
        <w:rPr>
          <w:rFonts w:ascii="Arial" w:cs="Arial" w:eastAsia="Arial" w:hAnsi="Arial"/>
          <w:sz w:val="19"/>
          <w:szCs w:val="19"/>
          <w:u w:val="single" w:color="auto"/>
          <w:color w:val="auto"/>
        </w:rPr>
        <w:t>Section 8.02(i)</w:t>
      </w:r>
      <w:r>
        <w:rPr>
          <w:rFonts w:ascii="Arial" w:cs="Arial" w:eastAsia="Arial" w:hAnsi="Arial"/>
          <w:sz w:val="19"/>
          <w:szCs w:val="19"/>
          <w:color w:val="auto"/>
        </w:rPr>
        <w:t xml:space="preserve">, so long as the Borrower Agent shall have delivered to the Administrative Agent on or prior to the date of release or subordination, as the case may be, a certificate of a Responsible Officer certifying that such Lien (and the Indebtedness secured thereby) is permitted by </w:t>
      </w:r>
      <w:r>
        <w:rPr>
          <w:rFonts w:ascii="Arial" w:cs="Arial" w:eastAsia="Arial" w:hAnsi="Arial"/>
          <w:sz w:val="19"/>
          <w:szCs w:val="19"/>
          <w:u w:val="single" w:color="auto"/>
          <w:color w:val="auto"/>
        </w:rPr>
        <w:t>Section 8.02(i)</w:t>
      </w:r>
      <w:r>
        <w:rPr>
          <w:rFonts w:ascii="Arial" w:cs="Arial" w:eastAsia="Arial" w:hAnsi="Arial"/>
          <w:sz w:val="19"/>
          <w:szCs w:val="19"/>
          <w:color w:val="auto"/>
        </w:rPr>
        <w:t xml:space="preserve"> (and the Administrative Agent may rely conclusively on any such certificate, without further inquiry), or (ii) if such release or subordination is required under the Intercreditor Agreement; and</w:t>
      </w:r>
    </w:p>
    <w:p>
      <w:pPr>
        <w:spacing w:after="0" w:line="181" w:lineRule="exact"/>
        <w:rPr>
          <w:rFonts w:ascii="Arial" w:cs="Arial" w:eastAsia="Arial" w:hAnsi="Arial"/>
          <w:sz w:val="19"/>
          <w:szCs w:val="19"/>
          <w:color w:val="auto"/>
        </w:rPr>
      </w:pPr>
    </w:p>
    <w:p>
      <w:pPr>
        <w:jc w:val="both"/>
        <w:ind w:firstLine="634"/>
        <w:spacing w:after="0" w:line="294" w:lineRule="auto"/>
        <w:tabs>
          <w:tab w:leader="none" w:pos="1249" w:val="left"/>
        </w:tabs>
        <w:numPr>
          <w:ilvl w:val="0"/>
          <w:numId w:val="275"/>
        </w:numPr>
        <w:rPr>
          <w:rFonts w:ascii="Arial" w:cs="Arial" w:eastAsia="Arial" w:hAnsi="Arial"/>
          <w:sz w:val="17"/>
          <w:szCs w:val="17"/>
          <w:color w:val="auto"/>
        </w:rPr>
      </w:pPr>
      <w:r>
        <w:rPr>
          <w:rFonts w:ascii="Arial" w:cs="Arial" w:eastAsia="Arial" w:hAnsi="Arial"/>
          <w:sz w:val="17"/>
          <w:szCs w:val="17"/>
          <w:color w:val="auto"/>
        </w:rPr>
        <w:t>to release any Subsidiary of a Borrower from its obligations under the Loan Documents, and release any Lien granted by such Subsidiary thereunder, if such Person ceases to be a Subsidiary as a result of a transaction permitted hereunder, so long as the Borrower Agent shall have delivered to the Administrative Agent on or prior to the date of release a certificate of a Responsible Officer certifying that such transaction is permitted by this Agreement (and the Administrative Agent may rely conclusively on any such certificate, without further inquiry).</w:t>
      </w:r>
    </w:p>
    <w:p>
      <w:pPr>
        <w:spacing w:after="0" w:line="144" w:lineRule="exact"/>
        <w:rPr>
          <w:sz w:val="20"/>
          <w:szCs w:val="20"/>
          <w:color w:val="auto"/>
        </w:rPr>
      </w:pPr>
    </w:p>
    <w:p>
      <w:pPr>
        <w:jc w:val="both"/>
        <w:ind w:firstLine="629"/>
        <w:spacing w:after="0" w:line="259" w:lineRule="auto"/>
        <w:rPr>
          <w:sz w:val="20"/>
          <w:szCs w:val="20"/>
          <w:color w:val="auto"/>
        </w:rPr>
      </w:pPr>
      <w:r>
        <w:rPr>
          <w:rFonts w:ascii="Arial" w:cs="Arial" w:eastAsia="Arial" w:hAnsi="Arial"/>
          <w:sz w:val="19"/>
          <w:szCs w:val="19"/>
          <w:color w:val="auto"/>
        </w:rPr>
        <w:t xml:space="preserve">Upon request by the Administrative Agent at any time, the Required Lenders will confirm in writing the Administrative Agent’s authority to release or subordinate its interest in particular types or items of property, or to release any Loan Party from its obligations under the Loan Documents pursuant to this </w:t>
      </w:r>
      <w:r>
        <w:rPr>
          <w:rFonts w:ascii="Arial" w:cs="Arial" w:eastAsia="Arial" w:hAnsi="Arial"/>
          <w:sz w:val="19"/>
          <w:szCs w:val="19"/>
          <w:u w:val="single" w:color="auto"/>
          <w:color w:val="auto"/>
        </w:rPr>
        <w:t>Section 10.10</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158</w:t>
      </w:r>
    </w:p>
    <w:p>
      <w:pPr>
        <w:sectPr>
          <w:pgSz w:w="11900" w:h="16838" w:orient="portrait"/>
          <w:cols w:equalWidth="0" w:num="1">
            <w:col w:w="11240"/>
          </w:cols>
          <w:pgMar w:left="320" w:top="1382" w:right="339" w:bottom="1440" w:gutter="0" w:footer="0" w:header="0"/>
        </w:sectPr>
      </w:pPr>
    </w:p>
    <w:bookmarkStart w:id="277" w:name="page278"/>
    <w:bookmarkEnd w:id="277"/>
    <w:p>
      <w:pPr>
        <w:ind w:left="640"/>
        <w:spacing w:after="0"/>
        <w:tabs>
          <w:tab w:leader="none" w:pos="1240" w:val="left"/>
        </w:tabs>
        <w:rPr>
          <w:sz w:val="20"/>
          <w:szCs w:val="20"/>
          <w:color w:val="auto"/>
        </w:rPr>
      </w:pPr>
      <w:r>
        <w:rPr>
          <w:rFonts w:ascii="Arial" w:cs="Arial" w:eastAsia="Arial" w:hAnsi="Arial"/>
          <w:sz w:val="19"/>
          <w:szCs w:val="19"/>
          <w:b w:val="1"/>
          <w:bCs w:val="1"/>
          <w:color w:val="auto"/>
        </w:rPr>
        <w:t>10.11</w:t>
      </w:r>
      <w:r>
        <w:rPr>
          <w:sz w:val="20"/>
          <w:szCs w:val="20"/>
          <w:color w:val="auto"/>
        </w:rPr>
        <w:tab/>
      </w:r>
      <w:r>
        <w:rPr>
          <w:rFonts w:ascii="Arial" w:cs="Arial" w:eastAsia="Arial" w:hAnsi="Arial"/>
          <w:sz w:val="18"/>
          <w:szCs w:val="18"/>
          <w:b w:val="1"/>
          <w:bCs w:val="1"/>
          <w:color w:val="auto"/>
        </w:rPr>
        <w:t>Other Collateral Matters</w:t>
      </w:r>
      <w:r>
        <w:rPr>
          <w:rFonts w:ascii="Arial" w:cs="Arial" w:eastAsia="Arial" w:hAnsi="Arial"/>
          <w:sz w:val="18"/>
          <w:szCs w:val="18"/>
          <w:color w:val="auto"/>
        </w:rPr>
        <w:t>.</w:t>
      </w:r>
    </w:p>
    <w:p>
      <w:pPr>
        <w:spacing w:after="0" w:line="220" w:lineRule="exact"/>
        <w:rPr>
          <w:sz w:val="20"/>
          <w:szCs w:val="20"/>
          <w:color w:val="auto"/>
        </w:rPr>
      </w:pPr>
    </w:p>
    <w:p>
      <w:pPr>
        <w:jc w:val="both"/>
        <w:ind w:firstLine="634"/>
        <w:spacing w:after="0" w:line="259" w:lineRule="auto"/>
        <w:tabs>
          <w:tab w:leader="none" w:pos="1249" w:val="left"/>
        </w:tabs>
        <w:numPr>
          <w:ilvl w:val="0"/>
          <w:numId w:val="276"/>
        </w:numPr>
        <w:rPr>
          <w:rFonts w:ascii="Arial" w:cs="Arial" w:eastAsia="Arial" w:hAnsi="Arial"/>
          <w:sz w:val="19"/>
          <w:szCs w:val="19"/>
          <w:color w:val="auto"/>
        </w:rPr>
      </w:pPr>
      <w:r>
        <w:rPr>
          <w:rFonts w:ascii="Arial" w:cs="Arial" w:eastAsia="Arial" w:hAnsi="Arial"/>
          <w:sz w:val="19"/>
          <w:szCs w:val="19"/>
          <w:u w:val="single" w:color="auto"/>
          <w:color w:val="auto"/>
        </w:rPr>
        <w:t>Care of Collateral</w:t>
      </w:r>
      <w:r>
        <w:rPr>
          <w:rFonts w:ascii="Arial" w:cs="Arial" w:eastAsia="Arial" w:hAnsi="Arial"/>
          <w:sz w:val="19"/>
          <w:szCs w:val="19"/>
          <w:color w:val="auto"/>
        </w:rPr>
        <w:t>. The Administrative Agent shall have no obligation to assure that any Collateral exists or is owned by a Borrower, or is cared for, protected or insured, nor to assure that the Administrative Agent’s Liens have been properly created, perfected or enforced, or are entitled to any particular priority, nor to exercise any duty of care with respect to any Collateral.</w:t>
      </w:r>
    </w:p>
    <w:p>
      <w:pPr>
        <w:spacing w:after="0" w:line="171" w:lineRule="exact"/>
        <w:rPr>
          <w:rFonts w:ascii="Arial" w:cs="Arial" w:eastAsia="Arial" w:hAnsi="Arial"/>
          <w:sz w:val="19"/>
          <w:szCs w:val="19"/>
          <w:color w:val="auto"/>
        </w:rPr>
      </w:pPr>
    </w:p>
    <w:p>
      <w:pPr>
        <w:jc w:val="both"/>
        <w:ind w:firstLine="634"/>
        <w:spacing w:after="0" w:line="252" w:lineRule="auto"/>
        <w:tabs>
          <w:tab w:leader="none" w:pos="1247" w:val="left"/>
        </w:tabs>
        <w:numPr>
          <w:ilvl w:val="0"/>
          <w:numId w:val="276"/>
        </w:numPr>
        <w:rPr>
          <w:rFonts w:ascii="Arial" w:cs="Arial" w:eastAsia="Arial" w:hAnsi="Arial"/>
          <w:sz w:val="19"/>
          <w:szCs w:val="19"/>
          <w:color w:val="auto"/>
        </w:rPr>
      </w:pPr>
      <w:r>
        <w:rPr>
          <w:rFonts w:ascii="Arial" w:cs="Arial" w:eastAsia="Arial" w:hAnsi="Arial"/>
          <w:sz w:val="19"/>
          <w:szCs w:val="19"/>
          <w:u w:val="single" w:color="auto"/>
          <w:color w:val="auto"/>
        </w:rPr>
        <w:t>Lenders as Agent For Perfection by Possession or Control</w:t>
      </w:r>
      <w:r>
        <w:rPr>
          <w:rFonts w:ascii="Arial" w:cs="Arial" w:eastAsia="Arial" w:hAnsi="Arial"/>
          <w:sz w:val="19"/>
          <w:szCs w:val="19"/>
          <w:color w:val="auto"/>
        </w:rPr>
        <w:t>. The Administrative Agent and Secured Parties appoint each Lender as agent (for the benefit of Secured Parties) for the purpose of perfecting Liens in any Collateral held or controlled by such Lender, to the extent such Liens are perfected by possession or control. If any Lender obtains possession or control of any Collateral, it shall notify the Administrative Agent thereof and, promptly upon the Administrative Agent’s request, deliver such Collateral to the Administrative Agent or otherwise deal with it in accordance with the Administrative Agent’s instructions.</w:t>
      </w:r>
    </w:p>
    <w:p>
      <w:pPr>
        <w:spacing w:after="0" w:line="177" w:lineRule="exact"/>
        <w:rPr>
          <w:rFonts w:ascii="Arial" w:cs="Arial" w:eastAsia="Arial" w:hAnsi="Arial"/>
          <w:sz w:val="19"/>
          <w:szCs w:val="19"/>
          <w:color w:val="auto"/>
        </w:rPr>
      </w:pPr>
    </w:p>
    <w:p>
      <w:pPr>
        <w:jc w:val="both"/>
        <w:ind w:firstLine="634"/>
        <w:spacing w:after="0" w:line="279" w:lineRule="auto"/>
        <w:tabs>
          <w:tab w:leader="none" w:pos="1249" w:val="left"/>
        </w:tabs>
        <w:numPr>
          <w:ilvl w:val="0"/>
          <w:numId w:val="276"/>
        </w:numPr>
        <w:rPr>
          <w:rFonts w:ascii="Arial" w:cs="Arial" w:eastAsia="Arial" w:hAnsi="Arial"/>
          <w:sz w:val="17"/>
          <w:szCs w:val="17"/>
          <w:color w:val="auto"/>
        </w:rPr>
      </w:pPr>
      <w:r>
        <w:rPr>
          <w:rFonts w:ascii="Arial" w:cs="Arial" w:eastAsia="Arial" w:hAnsi="Arial"/>
          <w:sz w:val="17"/>
          <w:szCs w:val="17"/>
          <w:u w:val="single" w:color="auto"/>
          <w:color w:val="auto"/>
        </w:rPr>
        <w:t>Reports</w:t>
      </w:r>
      <w:r>
        <w:rPr>
          <w:rFonts w:ascii="Arial" w:cs="Arial" w:eastAsia="Arial" w:hAnsi="Arial"/>
          <w:sz w:val="17"/>
          <w:szCs w:val="17"/>
          <w:color w:val="auto"/>
        </w:rPr>
        <w:t>. The Administrative Agent shall promptly forward to each Lender, when complete, copies of any Field Exam or appraisal report prepared by or for the Administrative Agent with respect to any Borrower or Collateral (“</w:t>
      </w:r>
      <w:r>
        <w:rPr>
          <w:rFonts w:ascii="Arial" w:cs="Arial" w:eastAsia="Arial" w:hAnsi="Arial"/>
          <w:sz w:val="17"/>
          <w:szCs w:val="17"/>
          <w:u w:val="single" w:color="auto"/>
          <w:color w:val="auto"/>
        </w:rPr>
        <w:t>Report</w:t>
      </w:r>
      <w:r>
        <w:rPr>
          <w:rFonts w:ascii="Arial" w:cs="Arial" w:eastAsia="Arial" w:hAnsi="Arial"/>
          <w:sz w:val="17"/>
          <w:szCs w:val="17"/>
          <w:color w:val="auto"/>
        </w:rPr>
        <w:t>”). Each Lender agrees (a) that neither BMO nor the Administrative Agent makes any representation or warranty as to the accuracy or completeness of any Report, and shall not be liable for any information contained in or omitted from any Report; (b) that the Reports are not intended to be comprehensive audits or examinations, and that the Administrative Agent or any other Person performing any audit or examination will inspect only specific information regarding Obligations or the Collateral and will rely significantly upon Borrowers’ books and records as well as upon representations of Borrowers’ officers and employees; and (c) to keep all Reports confidential and strictly for such Lender’s internal use, and not to distribute any Report (or the contents thereof) to any Person (except to such Lender’s Participants, attorneys and accountants) or use any Report in any manner other than administration of the Loans and other Obligations. Each Lender shall indemnify and hold harmless the Administrative Agent and any other Person preparing a Report from any action such Lender may take as a result of or any conclusion it may draw from any Report, as well as from any claims arising as a direct or indirect result of the Administrative Agent furnishing a Report to such Lender.</w:t>
      </w:r>
    </w:p>
    <w:p>
      <w:pPr>
        <w:spacing w:after="0" w:line="156"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9"/>
          <w:szCs w:val="19"/>
          <w:b w:val="1"/>
          <w:bCs w:val="1"/>
          <w:color w:val="auto"/>
        </w:rPr>
        <w:t>10.12</w:t>
      </w:r>
      <w:r>
        <w:rPr>
          <w:sz w:val="20"/>
          <w:szCs w:val="20"/>
          <w:color w:val="auto"/>
        </w:rPr>
        <w:tab/>
      </w:r>
      <w:r>
        <w:rPr>
          <w:rFonts w:ascii="Arial" w:cs="Arial" w:eastAsia="Arial" w:hAnsi="Arial"/>
          <w:sz w:val="17"/>
          <w:szCs w:val="17"/>
          <w:b w:val="1"/>
          <w:bCs w:val="1"/>
          <w:color w:val="auto"/>
        </w:rPr>
        <w:t>Credit Product Arrangement Provisions</w:t>
      </w:r>
      <w:r>
        <w:rPr>
          <w:rFonts w:ascii="Arial" w:cs="Arial" w:eastAsia="Arial" w:hAnsi="Arial"/>
          <w:sz w:val="17"/>
          <w:szCs w:val="17"/>
          <w:color w:val="auto"/>
        </w:rPr>
        <w:t>.</w:t>
      </w:r>
    </w:p>
    <w:p>
      <w:pPr>
        <w:spacing w:after="0" w:line="220" w:lineRule="exact"/>
        <w:rPr>
          <w:sz w:val="20"/>
          <w:szCs w:val="20"/>
          <w:color w:val="auto"/>
        </w:rPr>
      </w:pPr>
    </w:p>
    <w:p>
      <w:pPr>
        <w:jc w:val="both"/>
        <w:ind w:firstLine="634"/>
        <w:spacing w:after="0" w:line="280" w:lineRule="auto"/>
        <w:tabs>
          <w:tab w:leader="none" w:pos="1249" w:val="left"/>
        </w:tabs>
        <w:numPr>
          <w:ilvl w:val="0"/>
          <w:numId w:val="277"/>
        </w:numPr>
        <w:rPr>
          <w:rFonts w:ascii="Arial" w:cs="Arial" w:eastAsia="Arial" w:hAnsi="Arial"/>
          <w:sz w:val="17"/>
          <w:szCs w:val="17"/>
          <w:color w:val="auto"/>
        </w:rPr>
      </w:pPr>
      <w:r>
        <w:rPr>
          <w:rFonts w:ascii="Arial" w:cs="Arial" w:eastAsia="Arial" w:hAnsi="Arial"/>
          <w:sz w:val="17"/>
          <w:szCs w:val="17"/>
          <w:color w:val="auto"/>
        </w:rPr>
        <w:t xml:space="preserve">No Credit Product Provider that is party to any Credit Product Arrangement permitted hereunder that obtains the benefits of </w:t>
      </w:r>
      <w:r>
        <w:rPr>
          <w:rFonts w:ascii="Arial" w:cs="Arial" w:eastAsia="Arial" w:hAnsi="Arial"/>
          <w:sz w:val="17"/>
          <w:szCs w:val="17"/>
          <w:u w:val="single" w:color="auto"/>
          <w:color w:val="auto"/>
        </w:rPr>
        <w:t>Section 9.03</w:t>
      </w:r>
      <w:r>
        <w:rPr>
          <w:rFonts w:ascii="Arial" w:cs="Arial" w:eastAsia="Arial" w:hAnsi="Arial"/>
          <w:sz w:val="17"/>
          <w:szCs w:val="17"/>
          <w:color w:val="auto"/>
        </w:rPr>
        <w:t xml:space="preserve"> or any Collateral by virtue of the provisions hereof or of any Security Instrument shall have (i) any right to notice of any action, (ii) any right to consent to, direct or object to any action or inaction hereunder or under any other Loan Document or otherwise in respect of the Collateral (including the release or impairment of any Collateral), or (iii) any right to require or receive any financial information or Borrowing Base Certificates or reports or similar certificates or information under the Loan Documents, other than in its capacity as a Lender, if applicable, and, in such case, only to the extent expressly provided in the Loan Documents. Notwithstanding any other provision of this </w:t>
      </w:r>
      <w:r>
        <w:rPr>
          <w:rFonts w:ascii="Arial" w:cs="Arial" w:eastAsia="Arial" w:hAnsi="Arial"/>
          <w:sz w:val="17"/>
          <w:szCs w:val="17"/>
          <w:u w:val="single" w:color="auto"/>
          <w:color w:val="auto"/>
        </w:rPr>
        <w:t>Article X</w:t>
      </w:r>
      <w:r>
        <w:rPr>
          <w:rFonts w:ascii="Arial" w:cs="Arial" w:eastAsia="Arial" w:hAnsi="Arial"/>
          <w:sz w:val="17"/>
          <w:szCs w:val="17"/>
          <w:color w:val="auto"/>
        </w:rPr>
        <w:t xml:space="preserve"> to the contrary, the Administrative Agent shall not be required to verify the payment of, or that other satisfactory arrangements have been made with respect to, Credit Product Obligations unless the Administrative Agent has received written notice of such Credit Product Obligations, together with such supporting documentation as the Administrative Agent may reasonably request, from the applicable Credit Product Provider. The Lenders irrevocably authorize the Administrative Agent to secure all Credit Product Obligations with the Collateral to the same extent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159</w:t>
      </w:r>
    </w:p>
    <w:p>
      <w:pPr>
        <w:sectPr>
          <w:pgSz w:w="11900" w:h="16838" w:orient="portrait"/>
          <w:cols w:equalWidth="0" w:num="1">
            <w:col w:w="11240"/>
          </w:cols>
          <w:pgMar w:left="320" w:top="1375" w:right="339" w:bottom="1440" w:gutter="0" w:footer="0" w:header="0"/>
        </w:sectPr>
      </w:pPr>
    </w:p>
    <w:bookmarkStart w:id="278" w:name="page279"/>
    <w:bookmarkEnd w:id="278"/>
    <w:p>
      <w:pPr>
        <w:spacing w:after="0"/>
        <w:rPr>
          <w:sz w:val="20"/>
          <w:szCs w:val="20"/>
          <w:color w:val="auto"/>
        </w:rPr>
      </w:pPr>
      <w:r>
        <w:rPr>
          <w:rFonts w:ascii="Arial" w:cs="Arial" w:eastAsia="Arial" w:hAnsi="Arial"/>
          <w:sz w:val="19"/>
          <w:szCs w:val="19"/>
          <w:color w:val="auto"/>
        </w:rPr>
        <w:t>other Obligations, all to the extent contemplated hereunder as determined by the Administrative Agent in its Credit Judgment.</w:t>
      </w:r>
    </w:p>
    <w:p>
      <w:pPr>
        <w:spacing w:after="0" w:line="214" w:lineRule="exact"/>
        <w:rPr>
          <w:sz w:val="20"/>
          <w:szCs w:val="20"/>
          <w:color w:val="auto"/>
        </w:rPr>
      </w:pPr>
    </w:p>
    <w:p>
      <w:pPr>
        <w:jc w:val="both"/>
        <w:ind w:firstLine="634"/>
        <w:spacing w:after="0" w:line="285" w:lineRule="auto"/>
        <w:tabs>
          <w:tab w:leader="none" w:pos="1247" w:val="left"/>
        </w:tabs>
        <w:numPr>
          <w:ilvl w:val="0"/>
          <w:numId w:val="278"/>
        </w:numPr>
        <w:rPr>
          <w:rFonts w:ascii="Arial" w:cs="Arial" w:eastAsia="Arial" w:hAnsi="Arial"/>
          <w:sz w:val="17"/>
          <w:szCs w:val="17"/>
          <w:color w:val="auto"/>
        </w:rPr>
      </w:pPr>
      <w:r>
        <w:rPr>
          <w:rFonts w:ascii="Arial" w:cs="Arial" w:eastAsia="Arial" w:hAnsi="Arial"/>
          <w:sz w:val="17"/>
          <w:szCs w:val="17"/>
          <w:color w:val="auto"/>
        </w:rPr>
        <w:t>By delivery of a Credit Product Notice, each Credit Product Provider that is not a Lender (a “</w:t>
      </w:r>
      <w:r>
        <w:rPr>
          <w:rFonts w:ascii="Arial" w:cs="Arial" w:eastAsia="Arial" w:hAnsi="Arial"/>
          <w:sz w:val="17"/>
          <w:szCs w:val="17"/>
          <w:u w:val="single" w:color="auto"/>
          <w:color w:val="auto"/>
        </w:rPr>
        <w:t>Non-Lender Credit Product</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Provider</w:t>
      </w:r>
      <w:r>
        <w:rPr>
          <w:rFonts w:ascii="Arial" w:cs="Arial" w:eastAsia="Arial" w:hAnsi="Arial"/>
          <w:sz w:val="17"/>
          <w:szCs w:val="17"/>
          <w:color w:val="auto"/>
        </w:rPr>
        <w:t xml:space="preserve">”) shall be deemed to have joined this Agreement and be bound by </w:t>
      </w:r>
      <w:r>
        <w:rPr>
          <w:rFonts w:ascii="Arial" w:cs="Arial" w:eastAsia="Arial" w:hAnsi="Arial"/>
          <w:sz w:val="17"/>
          <w:szCs w:val="17"/>
          <w:u w:val="single" w:color="auto"/>
          <w:color w:val="auto"/>
        </w:rPr>
        <w:t>Section 9.03</w:t>
      </w:r>
      <w:r>
        <w:rPr>
          <w:rFonts w:ascii="Arial" w:cs="Arial" w:eastAsia="Arial" w:hAnsi="Arial"/>
          <w:sz w:val="17"/>
          <w:szCs w:val="17"/>
          <w:color w:val="auto"/>
        </w:rPr>
        <w:t xml:space="preserve">, this </w:t>
      </w:r>
      <w:r>
        <w:rPr>
          <w:rFonts w:ascii="Arial" w:cs="Arial" w:eastAsia="Arial" w:hAnsi="Arial"/>
          <w:sz w:val="17"/>
          <w:szCs w:val="17"/>
          <w:u w:val="single" w:color="auto"/>
          <w:color w:val="auto"/>
        </w:rPr>
        <w:t>Article X</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11.04(c)</w:t>
      </w:r>
      <w:r>
        <w:rPr>
          <w:rFonts w:ascii="Arial" w:cs="Arial" w:eastAsia="Arial" w:hAnsi="Arial"/>
          <w:sz w:val="17"/>
          <w:szCs w:val="17"/>
          <w:color w:val="auto"/>
        </w:rPr>
        <w:t xml:space="preserve"> as if it were a Lender hereunder holding a “Loan” in the amount of its applicable Credit Product Obligations. No Non-Lender Credit Product Provider shall have any right or claim against any Loan Party under the Loan Documents other than as a Secured Party under the Security Instruments, nor shall any of them be a third party beneficiary of any provisions of this Agreement by which the Loan Parties are bound other than provisions relating to the granting of the Lien of the Administrative Agent on the Collateral and the application of proceeds thereof pursuant to </w:t>
      </w:r>
      <w:r>
        <w:rPr>
          <w:rFonts w:ascii="Arial" w:cs="Arial" w:eastAsia="Arial" w:hAnsi="Arial"/>
          <w:sz w:val="17"/>
          <w:szCs w:val="17"/>
          <w:u w:val="single" w:color="auto"/>
          <w:color w:val="auto"/>
        </w:rPr>
        <w:t>Section 9.03</w:t>
      </w:r>
      <w:r>
        <w:rPr>
          <w:rFonts w:ascii="Arial" w:cs="Arial" w:eastAsia="Arial" w:hAnsi="Arial"/>
          <w:sz w:val="17"/>
          <w:szCs w:val="17"/>
          <w:color w:val="auto"/>
        </w:rPr>
        <w:t>.</w:t>
      </w:r>
    </w:p>
    <w:p>
      <w:pPr>
        <w:spacing w:after="0" w:line="149"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9"/>
          <w:szCs w:val="19"/>
          <w:b w:val="1"/>
          <w:bCs w:val="1"/>
          <w:color w:val="auto"/>
        </w:rPr>
        <w:t>10.13</w:t>
      </w:r>
      <w:r>
        <w:rPr>
          <w:sz w:val="20"/>
          <w:szCs w:val="20"/>
          <w:color w:val="auto"/>
        </w:rPr>
        <w:tab/>
      </w:r>
      <w:r>
        <w:rPr>
          <w:rFonts w:ascii="Arial" w:cs="Arial" w:eastAsia="Arial" w:hAnsi="Arial"/>
          <w:sz w:val="17"/>
          <w:szCs w:val="17"/>
          <w:b w:val="1"/>
          <w:bCs w:val="1"/>
          <w:color w:val="auto"/>
        </w:rPr>
        <w:t>ERISA Related Provisions</w:t>
      </w:r>
      <w:r>
        <w:rPr>
          <w:rFonts w:ascii="Arial" w:cs="Arial" w:eastAsia="Arial" w:hAnsi="Arial"/>
          <w:sz w:val="17"/>
          <w:szCs w:val="17"/>
          <w:color w:val="auto"/>
        </w:rPr>
        <w:t>.</w:t>
      </w:r>
    </w:p>
    <w:p>
      <w:pPr>
        <w:spacing w:after="0" w:line="220" w:lineRule="exact"/>
        <w:rPr>
          <w:sz w:val="20"/>
          <w:szCs w:val="20"/>
          <w:color w:val="auto"/>
        </w:rPr>
      </w:pPr>
    </w:p>
    <w:p>
      <w:pPr>
        <w:jc w:val="both"/>
        <w:ind w:firstLine="634"/>
        <w:spacing w:after="0" w:line="254" w:lineRule="auto"/>
        <w:tabs>
          <w:tab w:leader="none" w:pos="1249" w:val="left"/>
        </w:tabs>
        <w:numPr>
          <w:ilvl w:val="0"/>
          <w:numId w:val="279"/>
        </w:numPr>
        <w:rPr>
          <w:rFonts w:ascii="Arial" w:cs="Arial" w:eastAsia="Arial" w:hAnsi="Arial"/>
          <w:sz w:val="19"/>
          <w:szCs w:val="19"/>
          <w:color w:val="auto"/>
        </w:rPr>
      </w:pPr>
      <w:r>
        <w:rPr>
          <w:rFonts w:ascii="Arial" w:cs="Arial" w:eastAsia="Arial" w:hAnsi="Arial"/>
          <w:sz w:val="19"/>
          <w:szCs w:val="19"/>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their respective Affiliates, and not, for the avoidance of doubt, to or for the benefit of the Borrower or any other Loan Party, that at least one of the following is and will be true:</w:t>
      </w:r>
    </w:p>
    <w:p>
      <w:pPr>
        <w:spacing w:after="0" w:line="176" w:lineRule="exact"/>
        <w:rPr>
          <w:rFonts w:ascii="Arial" w:cs="Arial" w:eastAsia="Arial" w:hAnsi="Arial"/>
          <w:sz w:val="19"/>
          <w:szCs w:val="19"/>
          <w:color w:val="auto"/>
        </w:rPr>
      </w:pPr>
    </w:p>
    <w:p>
      <w:pPr>
        <w:ind w:left="640" w:firstLine="624"/>
        <w:spacing w:after="0" w:line="302" w:lineRule="auto"/>
        <w:tabs>
          <w:tab w:leader="none" w:pos="1897" w:val="left"/>
        </w:tabs>
        <w:numPr>
          <w:ilvl w:val="1"/>
          <w:numId w:val="279"/>
        </w:numPr>
        <w:rPr>
          <w:rFonts w:ascii="Arial" w:cs="Arial" w:eastAsia="Arial" w:hAnsi="Arial"/>
          <w:sz w:val="18"/>
          <w:szCs w:val="18"/>
          <w:color w:val="auto"/>
        </w:rPr>
      </w:pPr>
      <w:r>
        <w:rPr>
          <w:rFonts w:ascii="Arial" w:cs="Arial" w:eastAsia="Arial" w:hAnsi="Arial"/>
          <w:sz w:val="18"/>
          <w:szCs w:val="18"/>
          <w:color w:val="auto"/>
        </w:rPr>
        <w:t>such Lender is not using “plan assets” (within the meaning of 29 CFR § 2510.3-101, as modified by Section 3(42) of ERISA) of one or more Benefit Plans in connection with the Loans, the Letters of Credit or the Revolving Credit Commitments,</w:t>
      </w:r>
    </w:p>
    <w:p>
      <w:pPr>
        <w:spacing w:after="0" w:line="134" w:lineRule="exact"/>
        <w:rPr>
          <w:rFonts w:ascii="Arial" w:cs="Arial" w:eastAsia="Arial" w:hAnsi="Arial"/>
          <w:sz w:val="18"/>
          <w:szCs w:val="18"/>
          <w:color w:val="auto"/>
        </w:rPr>
      </w:pPr>
    </w:p>
    <w:p>
      <w:pPr>
        <w:jc w:val="both"/>
        <w:ind w:left="640" w:firstLine="624"/>
        <w:spacing w:after="0" w:line="249" w:lineRule="auto"/>
        <w:tabs>
          <w:tab w:leader="none" w:pos="1897" w:val="left"/>
        </w:tabs>
        <w:numPr>
          <w:ilvl w:val="1"/>
          <w:numId w:val="279"/>
        </w:numPr>
        <w:rPr>
          <w:rFonts w:ascii="Arial" w:cs="Arial" w:eastAsia="Arial" w:hAnsi="Arial"/>
          <w:sz w:val="19"/>
          <w:szCs w:val="19"/>
          <w:color w:val="auto"/>
        </w:rPr>
      </w:pPr>
      <w:r>
        <w:rPr>
          <w:rFonts w:ascii="Arial" w:cs="Arial" w:eastAsia="Arial" w:hAnsi="Arial"/>
          <w:sz w:val="19"/>
          <w:szCs w:val="19"/>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Revolving Credit Commitments and this Agreement,</w:t>
      </w:r>
    </w:p>
    <w:p>
      <w:pPr>
        <w:spacing w:after="0" w:line="183" w:lineRule="exact"/>
        <w:rPr>
          <w:rFonts w:ascii="Arial" w:cs="Arial" w:eastAsia="Arial" w:hAnsi="Arial"/>
          <w:sz w:val="19"/>
          <w:szCs w:val="19"/>
          <w:color w:val="auto"/>
        </w:rPr>
      </w:pPr>
    </w:p>
    <w:p>
      <w:pPr>
        <w:jc w:val="both"/>
        <w:ind w:left="640" w:firstLine="624"/>
        <w:spacing w:after="0" w:line="249" w:lineRule="auto"/>
        <w:tabs>
          <w:tab w:leader="none" w:pos="1898" w:val="left"/>
        </w:tabs>
        <w:numPr>
          <w:ilvl w:val="1"/>
          <w:numId w:val="279"/>
        </w:numPr>
        <w:rPr>
          <w:rFonts w:ascii="Arial" w:cs="Arial" w:eastAsia="Arial" w:hAnsi="Arial"/>
          <w:sz w:val="19"/>
          <w:szCs w:val="19"/>
          <w:color w:val="auto"/>
        </w:rPr>
      </w:pPr>
      <w:r>
        <w:rPr>
          <w:rFonts w:ascii="Arial" w:cs="Arial" w:eastAsia="Arial" w:hAnsi="Arial"/>
          <w:sz w:val="19"/>
          <w:szCs w:val="19"/>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Revolving Credit Commitments and this Agreement, (C) the entrance into, participation in, administration of and performance of the Loans, the Letters of Credit, the Revolving Credit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Revolving Credit Commitments and this Agreement, or</w:t>
      </w:r>
    </w:p>
    <w:p>
      <w:pPr>
        <w:spacing w:after="0" w:line="179" w:lineRule="exact"/>
        <w:rPr>
          <w:rFonts w:ascii="Arial" w:cs="Arial" w:eastAsia="Arial" w:hAnsi="Arial"/>
          <w:sz w:val="19"/>
          <w:szCs w:val="19"/>
          <w:color w:val="auto"/>
        </w:rPr>
      </w:pPr>
    </w:p>
    <w:p>
      <w:pPr>
        <w:ind w:left="640" w:firstLine="624"/>
        <w:spacing w:after="0" w:line="274" w:lineRule="auto"/>
        <w:tabs>
          <w:tab w:leader="none" w:pos="1888" w:val="left"/>
        </w:tabs>
        <w:numPr>
          <w:ilvl w:val="1"/>
          <w:numId w:val="279"/>
        </w:numPr>
        <w:rPr>
          <w:rFonts w:ascii="Arial" w:cs="Arial" w:eastAsia="Arial" w:hAnsi="Arial"/>
          <w:sz w:val="19"/>
          <w:szCs w:val="19"/>
          <w:color w:val="auto"/>
        </w:rPr>
      </w:pPr>
      <w:r>
        <w:rPr>
          <w:rFonts w:ascii="Arial" w:cs="Arial" w:eastAsia="Arial" w:hAnsi="Arial"/>
          <w:sz w:val="19"/>
          <w:szCs w:val="19"/>
          <w:color w:val="auto"/>
        </w:rPr>
        <w:t>such other representation, warranty and covenant as may be agreed in writing between the Administrative Agent, in its sole discretion, and such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160</w:t>
      </w:r>
    </w:p>
    <w:p>
      <w:pPr>
        <w:sectPr>
          <w:pgSz w:w="11900" w:h="16838" w:orient="portrait"/>
          <w:cols w:equalWidth="0" w:num="1">
            <w:col w:w="11240"/>
          </w:cols>
          <w:pgMar w:left="320" w:top="1382" w:right="339" w:bottom="1440" w:gutter="0" w:footer="0" w:header="0"/>
        </w:sectPr>
      </w:pPr>
    </w:p>
    <w:bookmarkStart w:id="279" w:name="page280"/>
    <w:bookmarkEnd w:id="279"/>
    <w:p>
      <w:pPr>
        <w:jc w:val="both"/>
        <w:ind w:firstLine="634"/>
        <w:spacing w:after="0" w:line="269" w:lineRule="auto"/>
        <w:tabs>
          <w:tab w:leader="none" w:pos="1247" w:val="left"/>
        </w:tabs>
        <w:numPr>
          <w:ilvl w:val="0"/>
          <w:numId w:val="280"/>
        </w:numPr>
        <w:rPr>
          <w:rFonts w:ascii="Arial" w:cs="Arial" w:eastAsia="Arial" w:hAnsi="Arial"/>
          <w:sz w:val="18"/>
          <w:szCs w:val="18"/>
          <w:color w:val="auto"/>
        </w:rPr>
      </w:pPr>
      <w:r>
        <w:rPr>
          <w:rFonts w:ascii="Arial" w:cs="Arial" w:eastAsia="Arial" w:hAnsi="Arial"/>
          <w:sz w:val="18"/>
          <w:szCs w:val="18"/>
          <w:color w:val="auto"/>
        </w:rPr>
        <w:t>In addition, unless sub-clause (i) in the immediately preceding clause (a) is true with respect to a Lender or such Lender has not provided another representation, warranty and covenant as provided in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their respective Affiliates, and not, for the avoidance of doubt, to or for the benefit of the Borrower or any other Loan Party, that:</w:t>
      </w:r>
    </w:p>
    <w:p>
      <w:pPr>
        <w:spacing w:after="0" w:line="164" w:lineRule="exact"/>
        <w:rPr>
          <w:rFonts w:ascii="Arial" w:cs="Arial" w:eastAsia="Arial" w:hAnsi="Arial"/>
          <w:sz w:val="18"/>
          <w:szCs w:val="18"/>
          <w:color w:val="auto"/>
        </w:rPr>
      </w:pPr>
    </w:p>
    <w:p>
      <w:pPr>
        <w:jc w:val="both"/>
        <w:ind w:left="640" w:firstLine="624"/>
        <w:spacing w:after="0" w:line="259" w:lineRule="auto"/>
        <w:tabs>
          <w:tab w:leader="none" w:pos="1897" w:val="left"/>
        </w:tabs>
        <w:numPr>
          <w:ilvl w:val="1"/>
          <w:numId w:val="280"/>
        </w:numPr>
        <w:rPr>
          <w:rFonts w:ascii="Arial" w:cs="Arial" w:eastAsia="Arial" w:hAnsi="Arial"/>
          <w:sz w:val="19"/>
          <w:szCs w:val="19"/>
          <w:color w:val="auto"/>
        </w:rPr>
      </w:pPr>
      <w:r>
        <w:rPr>
          <w:rFonts w:ascii="Arial" w:cs="Arial" w:eastAsia="Arial" w:hAnsi="Arial"/>
          <w:sz w:val="19"/>
          <w:szCs w:val="19"/>
          <w:color w:val="auto"/>
        </w:rPr>
        <w:t>none of the Administrative Agent or any of their respective Affiliates is a fiduciary with respect to the assets of such Lender (including in connection with the reservation or exercise of any rights by the Administrative Agent under this Agreement, any Loan Document or any documents related to hereto or thereto),</w:t>
      </w:r>
    </w:p>
    <w:p>
      <w:pPr>
        <w:spacing w:after="0" w:line="171" w:lineRule="exact"/>
        <w:rPr>
          <w:rFonts w:ascii="Arial" w:cs="Arial" w:eastAsia="Arial" w:hAnsi="Arial"/>
          <w:sz w:val="19"/>
          <w:szCs w:val="19"/>
          <w:color w:val="auto"/>
        </w:rPr>
      </w:pPr>
    </w:p>
    <w:p>
      <w:pPr>
        <w:jc w:val="both"/>
        <w:ind w:left="640" w:firstLine="624"/>
        <w:spacing w:after="0" w:line="252" w:lineRule="auto"/>
        <w:tabs>
          <w:tab w:leader="none" w:pos="1897" w:val="left"/>
        </w:tabs>
        <w:numPr>
          <w:ilvl w:val="1"/>
          <w:numId w:val="280"/>
        </w:numPr>
        <w:rPr>
          <w:rFonts w:ascii="Arial" w:cs="Arial" w:eastAsia="Arial" w:hAnsi="Arial"/>
          <w:sz w:val="19"/>
          <w:szCs w:val="19"/>
          <w:color w:val="auto"/>
        </w:rPr>
      </w:pPr>
      <w:r>
        <w:rPr>
          <w:rFonts w:ascii="Arial" w:cs="Arial" w:eastAsia="Arial" w:hAnsi="Arial"/>
          <w:sz w:val="19"/>
          <w:szCs w:val="19"/>
          <w:color w:val="auto"/>
        </w:rPr>
        <w:t>the Person making the investment decision on behalf of such Lender with respect to the entrance into, participation in, administration of and performance of the Loans, the Letters of Credit, the Revolving Credit Commitments and this Agreement is independent (within the meaning of 29 CFR § 2510.3-21) and is a bank, an insurance carrier, an investment adviser, a broker-dealer or other person that holds, or has under management or control, total assets of at least $50 million, in each case as described in 29 CFR § 2510.3-21(c)(1)(i)(A)-(E),</w:t>
      </w:r>
    </w:p>
    <w:p>
      <w:pPr>
        <w:spacing w:after="0" w:line="177" w:lineRule="exact"/>
        <w:rPr>
          <w:rFonts w:ascii="Arial" w:cs="Arial" w:eastAsia="Arial" w:hAnsi="Arial"/>
          <w:sz w:val="19"/>
          <w:szCs w:val="19"/>
          <w:color w:val="auto"/>
        </w:rPr>
      </w:pPr>
    </w:p>
    <w:p>
      <w:pPr>
        <w:jc w:val="both"/>
        <w:ind w:left="640" w:firstLine="624"/>
        <w:spacing w:after="0" w:line="254" w:lineRule="auto"/>
        <w:tabs>
          <w:tab w:leader="none" w:pos="1898" w:val="left"/>
        </w:tabs>
        <w:numPr>
          <w:ilvl w:val="1"/>
          <w:numId w:val="280"/>
        </w:numPr>
        <w:rPr>
          <w:rFonts w:ascii="Arial" w:cs="Arial" w:eastAsia="Arial" w:hAnsi="Arial"/>
          <w:sz w:val="19"/>
          <w:szCs w:val="19"/>
          <w:color w:val="auto"/>
        </w:rPr>
      </w:pPr>
      <w:r>
        <w:rPr>
          <w:rFonts w:ascii="Arial" w:cs="Arial" w:eastAsia="Arial" w:hAnsi="Arial"/>
          <w:sz w:val="19"/>
          <w:szCs w:val="19"/>
          <w:color w:val="auto"/>
        </w:rPr>
        <w:t>the Person making the investment decision on behalf of such Lender with respect to the entrance into, participation in, administration of and performance of the Loans, the Letters of Credit, the Revolving Credit Commitments and this Agreement is capable of evaluating investment risks independently, both in general and with regard to particular transactions and investment strategies (including in respect of the Obligations),</w:t>
      </w:r>
    </w:p>
    <w:p>
      <w:pPr>
        <w:spacing w:after="0" w:line="176" w:lineRule="exact"/>
        <w:rPr>
          <w:rFonts w:ascii="Arial" w:cs="Arial" w:eastAsia="Arial" w:hAnsi="Arial"/>
          <w:sz w:val="19"/>
          <w:szCs w:val="19"/>
          <w:color w:val="auto"/>
        </w:rPr>
      </w:pPr>
    </w:p>
    <w:p>
      <w:pPr>
        <w:jc w:val="both"/>
        <w:ind w:left="640" w:firstLine="624"/>
        <w:spacing w:after="0" w:line="273" w:lineRule="auto"/>
        <w:tabs>
          <w:tab w:leader="none" w:pos="1888" w:val="left"/>
        </w:tabs>
        <w:numPr>
          <w:ilvl w:val="1"/>
          <w:numId w:val="280"/>
        </w:numPr>
        <w:rPr>
          <w:rFonts w:ascii="Arial" w:cs="Arial" w:eastAsia="Arial" w:hAnsi="Arial"/>
          <w:sz w:val="18"/>
          <w:szCs w:val="18"/>
          <w:color w:val="auto"/>
        </w:rPr>
      </w:pPr>
      <w:r>
        <w:rPr>
          <w:rFonts w:ascii="Arial" w:cs="Arial" w:eastAsia="Arial" w:hAnsi="Arial"/>
          <w:sz w:val="18"/>
          <w:szCs w:val="18"/>
          <w:color w:val="auto"/>
        </w:rPr>
        <w:t>the Person making the investment decision on behalf of such Lender with respect to the entrance into, participation in, administration of and performance of the Loans, the Letters of Credit, the Revolving Credit Commitments and this Agreement is a fiduciary under ERISA or the Code, or both, with respect to the Loans, the Letters of Credit, the Revolving Credit Commitments and this Agreement and is responsible for exercising independent judgment in evaluating the transactions hereunder, and</w:t>
      </w:r>
    </w:p>
    <w:p>
      <w:pPr>
        <w:spacing w:after="0" w:line="159" w:lineRule="exact"/>
        <w:rPr>
          <w:rFonts w:ascii="Arial" w:cs="Arial" w:eastAsia="Arial" w:hAnsi="Arial"/>
          <w:sz w:val="18"/>
          <w:szCs w:val="18"/>
          <w:color w:val="auto"/>
        </w:rPr>
      </w:pPr>
    </w:p>
    <w:p>
      <w:pPr>
        <w:jc w:val="both"/>
        <w:ind w:left="640" w:firstLine="624"/>
        <w:spacing w:after="0" w:line="259" w:lineRule="auto"/>
        <w:tabs>
          <w:tab w:leader="none" w:pos="1887" w:val="left"/>
        </w:tabs>
        <w:numPr>
          <w:ilvl w:val="1"/>
          <w:numId w:val="280"/>
        </w:numPr>
        <w:rPr>
          <w:rFonts w:ascii="Arial" w:cs="Arial" w:eastAsia="Arial" w:hAnsi="Arial"/>
          <w:sz w:val="19"/>
          <w:szCs w:val="19"/>
          <w:color w:val="auto"/>
        </w:rPr>
      </w:pPr>
      <w:r>
        <w:rPr>
          <w:rFonts w:ascii="Arial" w:cs="Arial" w:eastAsia="Arial" w:hAnsi="Arial"/>
          <w:sz w:val="19"/>
          <w:szCs w:val="19"/>
          <w:color w:val="auto"/>
        </w:rPr>
        <w:t>no fee or other compensation is being paid directly to the Administrative Agent or any their respective Affiliates for investment advice (as opposed to other services) in connection with the Loans, the Letters of Credit, the Revolving Credit Commitments or this Agreement.</w:t>
      </w:r>
    </w:p>
    <w:p>
      <w:pPr>
        <w:spacing w:after="0" w:line="171" w:lineRule="exact"/>
        <w:rPr>
          <w:rFonts w:ascii="Arial" w:cs="Arial" w:eastAsia="Arial" w:hAnsi="Arial"/>
          <w:sz w:val="19"/>
          <w:szCs w:val="19"/>
          <w:color w:val="auto"/>
        </w:rPr>
      </w:pPr>
    </w:p>
    <w:p>
      <w:pPr>
        <w:jc w:val="both"/>
        <w:ind w:firstLine="634"/>
        <w:spacing w:after="0" w:line="249" w:lineRule="auto"/>
        <w:tabs>
          <w:tab w:leader="none" w:pos="1249" w:val="left"/>
        </w:tabs>
        <w:numPr>
          <w:ilvl w:val="0"/>
          <w:numId w:val="280"/>
        </w:numPr>
        <w:rPr>
          <w:rFonts w:ascii="Arial" w:cs="Arial" w:eastAsia="Arial" w:hAnsi="Arial"/>
          <w:sz w:val="19"/>
          <w:szCs w:val="19"/>
          <w:color w:val="auto"/>
        </w:rPr>
      </w:pPr>
      <w:r>
        <w:rPr>
          <w:rFonts w:ascii="Arial" w:cs="Arial" w:eastAsia="Arial" w:hAnsi="Arial"/>
          <w:sz w:val="19"/>
          <w:szCs w:val="19"/>
          <w:color w:val="auto"/>
        </w:rPr>
        <w:t>The Administrative Agent hereby informs the Lenders that each such Person is not undertaking to provide impartial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Loans, the Letters of Credit, the Revolving Credit Commitments and this Agreement, (ii) may recognize a gain if it extended the Loans, the Letters of Credit or the Revolving Credit Commitments for an amount less than the amount being paid for an interest in the Loans, the Letters of Credit or the Revolving Credit Commitments by such Lender or (iii) may receive fees or other payments in connection with the transactions contemplated hereby, the Loan Documents or otherwise, including structuring fees, commitment fees, arrangement fees, facility fees, upfront fees, underwriting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161</w:t>
      </w:r>
    </w:p>
    <w:p>
      <w:pPr>
        <w:sectPr>
          <w:pgSz w:w="11900" w:h="16838" w:orient="portrait"/>
          <w:cols w:equalWidth="0" w:num="1">
            <w:col w:w="11240"/>
          </w:cols>
          <w:pgMar w:left="320" w:top="1382" w:right="339" w:bottom="1440" w:gutter="0" w:footer="0" w:header="0"/>
        </w:sectPr>
      </w:pPr>
    </w:p>
    <w:bookmarkStart w:id="280" w:name="page281"/>
    <w:bookmarkEnd w:id="280"/>
    <w:p>
      <w:pPr>
        <w:jc w:val="both"/>
        <w:spacing w:after="0" w:line="259" w:lineRule="auto"/>
        <w:rPr>
          <w:sz w:val="20"/>
          <w:szCs w:val="20"/>
          <w:color w:val="auto"/>
        </w:rPr>
      </w:pPr>
      <w:r>
        <w:rPr>
          <w:rFonts w:ascii="Arial" w:cs="Arial" w:eastAsia="Arial" w:hAnsi="Arial"/>
          <w:sz w:val="19"/>
          <w:szCs w:val="19"/>
          <w:color w:val="auto"/>
        </w:rPr>
        <w:t>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spacing w:after="0" w:line="165" w:lineRule="exact"/>
        <w:rPr>
          <w:sz w:val="20"/>
          <w:szCs w:val="20"/>
          <w:color w:val="auto"/>
        </w:rPr>
      </w:pPr>
    </w:p>
    <w:p>
      <w:pPr>
        <w:jc w:val="both"/>
        <w:ind w:firstLine="629"/>
        <w:spacing w:after="0" w:line="261" w:lineRule="auto"/>
        <w:rPr>
          <w:sz w:val="20"/>
          <w:szCs w:val="20"/>
          <w:color w:val="auto"/>
        </w:rPr>
      </w:pPr>
      <w:r>
        <w:rPr>
          <w:rFonts w:ascii="Arial" w:cs="Arial" w:eastAsia="Arial" w:hAnsi="Arial"/>
          <w:sz w:val="18"/>
          <w:szCs w:val="18"/>
          <w:b w:val="1"/>
          <w:bCs w:val="1"/>
          <w:color w:val="auto"/>
        </w:rPr>
        <w:t xml:space="preserve">10.14 Recovery of Erroneous Payments. </w:t>
      </w:r>
      <w:r>
        <w:rPr>
          <w:rFonts w:ascii="Arial" w:cs="Arial" w:eastAsia="Arial" w:hAnsi="Arial"/>
          <w:sz w:val="18"/>
          <w:szCs w:val="18"/>
          <w:color w:val="auto"/>
        </w:rPr>
        <w:t>Notwithstanding anything to the contrary in this Agreement, if at any time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Administrative Agent determines (in its sole and absolute discretion) that it has made a payment hereunder in error to any Lender, the Letter of Credit Issuer, the Swing Line Lender or any other Secured Party, whether or not in respect of an Obligation due and owing by any Borrower at such time, where such payment is a Rescindable Amount, then in any such event, each such Person receiving a Rescindable Amount severally agrees to repay to the Administrative Agent forthwith on demand the Rescindable Amount received by such Person in immediately available funds in the currency so received, with interest thereon, for each day from and including the date such Rescindable Amount is received by it to but excluding the date of payment to the Administrative Agent, at the Overnight Rate. Each Lender, the Letter of Credit Issuer, the Swing Line Lender and each other Secured Party irrevocably waives any and all defenses, including any “discharge for value” (under which a creditor might otherwise claim a right to retain funds mistakenly paid by a third party in respect of a debt owed by another), “good consideration”, “change of position” or similar defenses (whether at law or in equity) to its obligation to return any Rescindable Amount. The Administrative Agent shall inform each Lender, the Letter of Credit Issuer the Swing Line Lender and each other Secured Party that received a Rescindable Amount promptly upon determining that any payment made to such Person comprised, in whole or in part, a Rescindable Amount. Each Person’s obligations, agreements and waivers under this </w:t>
      </w:r>
      <w:r>
        <w:rPr>
          <w:rFonts w:ascii="Arial" w:cs="Arial" w:eastAsia="Arial" w:hAnsi="Arial"/>
          <w:sz w:val="18"/>
          <w:szCs w:val="18"/>
          <w:u w:val="single" w:color="auto"/>
          <w:color w:val="auto"/>
        </w:rPr>
        <w:t>Section 10.14</w:t>
      </w:r>
      <w:r>
        <w:rPr>
          <w:rFonts w:ascii="Arial" w:cs="Arial" w:eastAsia="Arial" w:hAnsi="Arial"/>
          <w:sz w:val="18"/>
          <w:szCs w:val="18"/>
          <w:color w:val="auto"/>
        </w:rPr>
        <w:t xml:space="preserve"> shall survive the resignation or replacement of the Administrative Agent, any transfer of rights or obligations by, or the replacement of, a Lender, the Letter of Credit Issuer or the Swing Line Lender, the termination of the Revolving Credit Commitments and/or the repayment, satisfaction or discharge of all Obligations (or any portion thereof) under any Loan Document.</w:t>
      </w:r>
    </w:p>
    <w:p>
      <w:pPr>
        <w:spacing w:after="0" w:line="175" w:lineRule="exact"/>
        <w:rPr>
          <w:sz w:val="20"/>
          <w:szCs w:val="20"/>
          <w:color w:val="auto"/>
        </w:rPr>
      </w:pPr>
    </w:p>
    <w:p>
      <w:pPr>
        <w:ind w:left="5000"/>
        <w:spacing w:after="0"/>
        <w:rPr>
          <w:sz w:val="20"/>
          <w:szCs w:val="20"/>
          <w:color w:val="auto"/>
        </w:rPr>
      </w:pPr>
      <w:r>
        <w:rPr>
          <w:rFonts w:ascii="Arial" w:cs="Arial" w:eastAsia="Arial" w:hAnsi="Arial"/>
          <w:sz w:val="19"/>
          <w:szCs w:val="19"/>
          <w:b w:val="1"/>
          <w:bCs w:val="1"/>
          <w:color w:val="auto"/>
        </w:rPr>
        <w:t>ARTICLE XI</w:t>
      </w:r>
    </w:p>
    <w:p>
      <w:pPr>
        <w:spacing w:after="0" w:line="26" w:lineRule="exact"/>
        <w:rPr>
          <w:sz w:val="20"/>
          <w:szCs w:val="20"/>
          <w:color w:val="auto"/>
        </w:rPr>
      </w:pPr>
    </w:p>
    <w:p>
      <w:pPr>
        <w:ind w:left="4780"/>
        <w:spacing w:after="0"/>
        <w:rPr>
          <w:sz w:val="20"/>
          <w:szCs w:val="20"/>
          <w:color w:val="auto"/>
        </w:rPr>
      </w:pPr>
      <w:r>
        <w:rPr>
          <w:rFonts w:ascii="Arial" w:cs="Arial" w:eastAsia="Arial" w:hAnsi="Arial"/>
          <w:sz w:val="19"/>
          <w:szCs w:val="19"/>
          <w:b w:val="1"/>
          <w:bCs w:val="1"/>
          <w:color w:val="auto"/>
        </w:rPr>
        <w:t>MISCELLANEOUS</w:t>
      </w:r>
    </w:p>
    <w:p>
      <w:pPr>
        <w:spacing w:after="0" w:line="192" w:lineRule="exact"/>
        <w:rPr>
          <w:sz w:val="20"/>
          <w:szCs w:val="20"/>
          <w:color w:val="auto"/>
        </w:rPr>
      </w:pPr>
    </w:p>
    <w:p>
      <w:pPr>
        <w:ind w:left="640"/>
        <w:spacing w:after="0"/>
        <w:tabs>
          <w:tab w:leader="none" w:pos="1220" w:val="left"/>
        </w:tabs>
        <w:rPr>
          <w:sz w:val="20"/>
          <w:szCs w:val="20"/>
          <w:color w:val="auto"/>
        </w:rPr>
      </w:pPr>
      <w:r>
        <w:rPr>
          <w:rFonts w:ascii="Arial" w:cs="Arial" w:eastAsia="Arial" w:hAnsi="Arial"/>
          <w:sz w:val="19"/>
          <w:szCs w:val="19"/>
          <w:b w:val="1"/>
          <w:bCs w:val="1"/>
          <w:color w:val="auto"/>
        </w:rPr>
        <w:t>11.1</w:t>
      </w:r>
      <w:r>
        <w:rPr>
          <w:sz w:val="20"/>
          <w:szCs w:val="20"/>
          <w:color w:val="auto"/>
        </w:rPr>
        <w:tab/>
      </w:r>
      <w:r>
        <w:rPr>
          <w:rFonts w:ascii="Arial" w:cs="Arial" w:eastAsia="Arial" w:hAnsi="Arial"/>
          <w:sz w:val="17"/>
          <w:szCs w:val="17"/>
          <w:b w:val="1"/>
          <w:bCs w:val="1"/>
          <w:color w:val="auto"/>
        </w:rPr>
        <w:t>Amendments, Etc.</w:t>
      </w:r>
    </w:p>
    <w:p>
      <w:pPr>
        <w:spacing w:after="0" w:line="220" w:lineRule="exact"/>
        <w:rPr>
          <w:sz w:val="20"/>
          <w:szCs w:val="20"/>
          <w:color w:val="auto"/>
        </w:rPr>
      </w:pPr>
    </w:p>
    <w:p>
      <w:pPr>
        <w:jc w:val="both"/>
        <w:ind w:firstLine="634"/>
        <w:spacing w:after="0" w:line="250" w:lineRule="auto"/>
        <w:tabs>
          <w:tab w:leader="none" w:pos="1249" w:val="left"/>
        </w:tabs>
        <w:numPr>
          <w:ilvl w:val="0"/>
          <w:numId w:val="281"/>
        </w:numPr>
        <w:rPr>
          <w:rFonts w:ascii="Arial" w:cs="Arial" w:eastAsia="Arial" w:hAnsi="Arial"/>
          <w:sz w:val="19"/>
          <w:szCs w:val="19"/>
          <w:color w:val="auto"/>
        </w:rPr>
      </w:pPr>
      <w:r>
        <w:rPr>
          <w:rFonts w:ascii="Arial" w:cs="Arial" w:eastAsia="Arial" w:hAnsi="Arial"/>
          <w:sz w:val="19"/>
          <w:szCs w:val="19"/>
          <w:color w:val="auto"/>
        </w:rPr>
        <w:t xml:space="preserve">Subject to </w:t>
      </w:r>
      <w:r>
        <w:rPr>
          <w:rFonts w:ascii="Arial" w:cs="Arial" w:eastAsia="Arial" w:hAnsi="Arial"/>
          <w:sz w:val="19"/>
          <w:szCs w:val="19"/>
          <w:u w:val="single" w:color="auto"/>
          <w:color w:val="auto"/>
        </w:rPr>
        <w:t>Section 3.03(b)</w:t>
      </w:r>
      <w:r>
        <w:rPr>
          <w:rFonts w:ascii="Arial" w:cs="Arial" w:eastAsia="Arial" w:hAnsi="Arial"/>
          <w:sz w:val="19"/>
          <w:szCs w:val="19"/>
          <w:color w:val="auto"/>
        </w:rPr>
        <w:t xml:space="preserve"> above, no amendment or waiver of any provision of this Agreement or any other Loan Document (other than the Fee Letter, any Control Agreement or any intercreditor or subordination agreement, each of which may be amended in accordance with its terms), and no consent to any departure by the Borrowers or any other Borrower therefrom, shall be effective unless in writing signed by the Required Lenders and the Borrowers or the applicable Borrower, as the case may be, and acknowledged by the Administrative Agent, and each such waiver or consent shall be effective only in the specific instance and for the specific purpose for which given;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 such amendment, waiver or consent shall:</w:t>
      </w:r>
    </w:p>
    <w:p>
      <w:pPr>
        <w:spacing w:after="0" w:line="181" w:lineRule="exact"/>
        <w:rPr>
          <w:rFonts w:ascii="Arial" w:cs="Arial" w:eastAsia="Arial" w:hAnsi="Arial"/>
          <w:sz w:val="19"/>
          <w:szCs w:val="19"/>
          <w:color w:val="auto"/>
        </w:rPr>
      </w:pPr>
    </w:p>
    <w:p>
      <w:pPr>
        <w:ind w:left="640" w:firstLine="624"/>
        <w:spacing w:after="0" w:line="274" w:lineRule="auto"/>
        <w:tabs>
          <w:tab w:leader="none" w:pos="1897" w:val="left"/>
        </w:tabs>
        <w:numPr>
          <w:ilvl w:val="1"/>
          <w:numId w:val="281"/>
        </w:numPr>
        <w:rPr>
          <w:rFonts w:ascii="Arial" w:cs="Arial" w:eastAsia="Arial" w:hAnsi="Arial"/>
          <w:sz w:val="19"/>
          <w:szCs w:val="19"/>
          <w:color w:val="auto"/>
        </w:rPr>
      </w:pPr>
      <w:r>
        <w:rPr>
          <w:rFonts w:ascii="Arial" w:cs="Arial" w:eastAsia="Arial" w:hAnsi="Arial"/>
          <w:sz w:val="19"/>
          <w:szCs w:val="19"/>
          <w:color w:val="auto"/>
        </w:rPr>
        <w:t xml:space="preserve">extend, reinstate or increase the Revolving Credit Commitment of any Lender (or reinstate any Revolving Credit Commitment terminated pursuant to </w:t>
      </w:r>
      <w:r>
        <w:rPr>
          <w:rFonts w:ascii="Arial" w:cs="Arial" w:eastAsia="Arial" w:hAnsi="Arial"/>
          <w:sz w:val="19"/>
          <w:szCs w:val="19"/>
          <w:u w:val="single" w:color="auto"/>
          <w:color w:val="auto"/>
        </w:rPr>
        <w:t>Section 9.02</w:t>
      </w:r>
      <w:r>
        <w:rPr>
          <w:rFonts w:ascii="Arial" w:cs="Arial" w:eastAsia="Arial" w:hAnsi="Arial"/>
          <w:sz w:val="19"/>
          <w:szCs w:val="19"/>
          <w:color w:val="auto"/>
        </w:rPr>
        <w:t>) without the written consent of such Lender;</w:t>
      </w:r>
    </w:p>
    <w:p>
      <w:pPr>
        <w:spacing w:after="0" w:line="156" w:lineRule="exact"/>
        <w:rPr>
          <w:rFonts w:ascii="Arial" w:cs="Arial" w:eastAsia="Arial" w:hAnsi="Arial"/>
          <w:sz w:val="19"/>
          <w:szCs w:val="19"/>
          <w:color w:val="auto"/>
        </w:rPr>
      </w:pPr>
    </w:p>
    <w:p>
      <w:pPr>
        <w:jc w:val="both"/>
        <w:ind w:left="640" w:firstLine="624"/>
        <w:spacing w:after="0" w:line="259" w:lineRule="auto"/>
        <w:tabs>
          <w:tab w:leader="none" w:pos="1897" w:val="left"/>
        </w:tabs>
        <w:numPr>
          <w:ilvl w:val="1"/>
          <w:numId w:val="281"/>
        </w:numPr>
        <w:rPr>
          <w:rFonts w:ascii="Arial" w:cs="Arial" w:eastAsia="Arial" w:hAnsi="Arial"/>
          <w:sz w:val="19"/>
          <w:szCs w:val="19"/>
          <w:color w:val="auto"/>
        </w:rPr>
      </w:pPr>
      <w:r>
        <w:rPr>
          <w:rFonts w:ascii="Arial" w:cs="Arial" w:eastAsia="Arial" w:hAnsi="Arial"/>
          <w:sz w:val="19"/>
          <w:szCs w:val="19"/>
          <w:color w:val="auto"/>
        </w:rPr>
        <w:t>postpone any date fixed by this Agreement or any other Loan Document for any payment (but excluding the delay or waiver of any mandatory prepayment) of principal, interest, fees or other amounts due to the Lenders (or any of them), including the Maturity Date, 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162</w:t>
      </w:r>
    </w:p>
    <w:p>
      <w:pPr>
        <w:sectPr>
          <w:pgSz w:w="11900" w:h="16838" w:orient="portrait"/>
          <w:cols w:equalWidth="0" w:num="1">
            <w:col w:w="11240"/>
          </w:cols>
          <w:pgMar w:left="320" w:top="1382" w:right="339" w:bottom="1440" w:gutter="0" w:footer="0" w:header="0"/>
        </w:sectPr>
      </w:pPr>
    </w:p>
    <w:bookmarkStart w:id="281" w:name="page282"/>
    <w:bookmarkEnd w:id="281"/>
    <w:p>
      <w:pPr>
        <w:ind w:left="640"/>
        <w:spacing w:after="0" w:line="274" w:lineRule="auto"/>
        <w:rPr>
          <w:sz w:val="20"/>
          <w:szCs w:val="20"/>
          <w:color w:val="auto"/>
        </w:rPr>
      </w:pPr>
      <w:r>
        <w:rPr>
          <w:rFonts w:ascii="Arial" w:cs="Arial" w:eastAsia="Arial" w:hAnsi="Arial"/>
          <w:sz w:val="19"/>
          <w:szCs w:val="19"/>
          <w:color w:val="auto"/>
        </w:rPr>
        <w:t>scheduled reduction of the Revolving Credit Commitments hereunder or under any other Loan Document, in each case without the written consent of each Lender directly affected thereby;</w:t>
      </w:r>
    </w:p>
    <w:p>
      <w:pPr>
        <w:spacing w:after="0" w:line="157" w:lineRule="exact"/>
        <w:rPr>
          <w:sz w:val="20"/>
          <w:szCs w:val="20"/>
          <w:color w:val="auto"/>
        </w:rPr>
      </w:pPr>
    </w:p>
    <w:p>
      <w:pPr>
        <w:jc w:val="both"/>
        <w:ind w:left="640" w:firstLine="624"/>
        <w:spacing w:after="0" w:line="285" w:lineRule="auto"/>
        <w:tabs>
          <w:tab w:leader="none" w:pos="1898" w:val="left"/>
        </w:tabs>
        <w:numPr>
          <w:ilvl w:val="1"/>
          <w:numId w:val="282"/>
        </w:numPr>
        <w:rPr>
          <w:rFonts w:ascii="Arial" w:cs="Arial" w:eastAsia="Arial" w:hAnsi="Arial"/>
          <w:sz w:val="17"/>
          <w:szCs w:val="17"/>
          <w:color w:val="auto"/>
        </w:rPr>
      </w:pPr>
      <w:r>
        <w:rPr>
          <w:rFonts w:ascii="Arial" w:cs="Arial" w:eastAsia="Arial" w:hAnsi="Arial"/>
          <w:sz w:val="17"/>
          <w:szCs w:val="17"/>
          <w:color w:val="auto"/>
        </w:rPr>
        <w:t xml:space="preserve">reduce the principal of, or the rate of interest specified herein on, any Loan or Letter of Credit Borrowing, or reduce any fees or other amounts payable hereunder or under any other Loan Document, without the written consent of each Lender directly affected thereby;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only the consent of the Required Lenders shall be necessary (A) to amend the definition of “Default Rate” (so long as such amendment does not result in the Default Rate being lower than the interest rate then applicable to Base Rate Loans, Canadian Prime Rate Loans or Eurocurrency Rate Loans, as applicable) or to waive any obligation of the Borrowers to pay interest or Letter of Credit Fees at the Default Rate or (B) to amend any financial covenant hereunder (or any defined term used therein);</w:t>
      </w:r>
    </w:p>
    <w:p>
      <w:pPr>
        <w:spacing w:after="0" w:line="154" w:lineRule="exact"/>
        <w:rPr>
          <w:rFonts w:ascii="Arial" w:cs="Arial" w:eastAsia="Arial" w:hAnsi="Arial"/>
          <w:sz w:val="17"/>
          <w:szCs w:val="17"/>
          <w:color w:val="auto"/>
        </w:rPr>
      </w:pPr>
    </w:p>
    <w:p>
      <w:pPr>
        <w:ind w:left="640" w:firstLine="624"/>
        <w:spacing w:after="0" w:line="274" w:lineRule="auto"/>
        <w:tabs>
          <w:tab w:leader="none" w:pos="1888" w:val="left"/>
        </w:tabs>
        <w:numPr>
          <w:ilvl w:val="1"/>
          <w:numId w:val="282"/>
        </w:numPr>
        <w:rPr>
          <w:rFonts w:ascii="Arial" w:cs="Arial" w:eastAsia="Arial" w:hAnsi="Arial"/>
          <w:sz w:val="19"/>
          <w:szCs w:val="19"/>
          <w:color w:val="auto"/>
        </w:rPr>
      </w:pPr>
      <w:r>
        <w:rPr>
          <w:rFonts w:ascii="Arial" w:cs="Arial" w:eastAsia="Arial" w:hAnsi="Arial"/>
          <w:sz w:val="19"/>
          <w:szCs w:val="19"/>
          <w:color w:val="auto"/>
        </w:rPr>
        <w:t xml:space="preserve">change (i) </w:t>
      </w:r>
      <w:r>
        <w:rPr>
          <w:rFonts w:ascii="Arial" w:cs="Arial" w:eastAsia="Arial" w:hAnsi="Arial"/>
          <w:sz w:val="19"/>
          <w:szCs w:val="19"/>
          <w:u w:val="single" w:color="auto"/>
          <w:color w:val="auto"/>
        </w:rPr>
        <w:t>Section 2.13</w:t>
      </w:r>
      <w:r>
        <w:rPr>
          <w:rFonts w:ascii="Arial" w:cs="Arial" w:eastAsia="Arial" w:hAnsi="Arial"/>
          <w:sz w:val="19"/>
          <w:szCs w:val="19"/>
          <w:color w:val="auto"/>
        </w:rPr>
        <w:t xml:space="preserve"> in a manner that would alter the pro rata sharing of payments required thereby or (ii)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9.03</w:t>
      </w:r>
      <w:r>
        <w:rPr>
          <w:rFonts w:ascii="Arial" w:cs="Arial" w:eastAsia="Arial" w:hAnsi="Arial"/>
          <w:sz w:val="19"/>
          <w:szCs w:val="19"/>
          <w:color w:val="auto"/>
        </w:rPr>
        <w:t>, in each case without the written consent of each Lender directly affected thereby;</w:t>
      </w:r>
    </w:p>
    <w:p>
      <w:pPr>
        <w:spacing w:after="0" w:line="156" w:lineRule="exact"/>
        <w:rPr>
          <w:rFonts w:ascii="Arial" w:cs="Arial" w:eastAsia="Arial" w:hAnsi="Arial"/>
          <w:sz w:val="19"/>
          <w:szCs w:val="19"/>
          <w:color w:val="auto"/>
        </w:rPr>
      </w:pPr>
    </w:p>
    <w:p>
      <w:pPr>
        <w:jc w:val="both"/>
        <w:ind w:left="640" w:firstLine="624"/>
        <w:spacing w:after="0" w:line="254" w:lineRule="auto"/>
        <w:tabs>
          <w:tab w:leader="none" w:pos="1887" w:val="left"/>
        </w:tabs>
        <w:numPr>
          <w:ilvl w:val="1"/>
          <w:numId w:val="282"/>
        </w:numPr>
        <w:rPr>
          <w:rFonts w:ascii="Arial" w:cs="Arial" w:eastAsia="Arial" w:hAnsi="Arial"/>
          <w:sz w:val="19"/>
          <w:szCs w:val="19"/>
          <w:color w:val="auto"/>
        </w:rPr>
      </w:pPr>
      <w:r>
        <w:rPr>
          <w:rFonts w:ascii="Arial" w:cs="Arial" w:eastAsia="Arial" w:hAnsi="Arial"/>
          <w:sz w:val="19"/>
          <w:szCs w:val="19"/>
          <w:color w:val="auto"/>
        </w:rPr>
        <w:t>change (i) any provision of this Section or the definition of “Required Lenders” or any other provision hereof specifying the number or percentage of Lenders required to amend, waive or otherwise modify any rights hereunder or make any determination or grant any consent hereunder, without the written consent of each Lender or (ii) the definition of “Required Lenders” without the written consent of each Lender;</w:t>
      </w:r>
    </w:p>
    <w:p>
      <w:pPr>
        <w:spacing w:after="0" w:line="176" w:lineRule="exact"/>
        <w:rPr>
          <w:rFonts w:ascii="Arial" w:cs="Arial" w:eastAsia="Arial" w:hAnsi="Arial"/>
          <w:sz w:val="19"/>
          <w:szCs w:val="19"/>
          <w:color w:val="auto"/>
        </w:rPr>
      </w:pPr>
    </w:p>
    <w:p>
      <w:pPr>
        <w:ind w:left="640" w:firstLine="624"/>
        <w:spacing w:after="0" w:line="274" w:lineRule="auto"/>
        <w:tabs>
          <w:tab w:leader="none" w:pos="1888" w:val="left"/>
        </w:tabs>
        <w:numPr>
          <w:ilvl w:val="1"/>
          <w:numId w:val="282"/>
        </w:numPr>
        <w:rPr>
          <w:rFonts w:ascii="Arial" w:cs="Arial" w:eastAsia="Arial" w:hAnsi="Arial"/>
          <w:sz w:val="19"/>
          <w:szCs w:val="19"/>
          <w:color w:val="auto"/>
        </w:rPr>
      </w:pPr>
      <w:r>
        <w:rPr>
          <w:rFonts w:ascii="Arial" w:cs="Arial" w:eastAsia="Arial" w:hAnsi="Arial"/>
          <w:sz w:val="19"/>
          <w:szCs w:val="19"/>
          <w:color w:val="auto"/>
        </w:rPr>
        <w:t xml:space="preserve">except as provided in </w:t>
      </w:r>
      <w:r>
        <w:rPr>
          <w:rFonts w:ascii="Arial" w:cs="Arial" w:eastAsia="Arial" w:hAnsi="Arial"/>
          <w:sz w:val="19"/>
          <w:szCs w:val="19"/>
          <w:u w:val="single" w:color="auto"/>
          <w:color w:val="auto"/>
        </w:rPr>
        <w:t>Section 2.18</w:t>
      </w:r>
      <w:r>
        <w:rPr>
          <w:rFonts w:ascii="Arial" w:cs="Arial" w:eastAsia="Arial" w:hAnsi="Arial"/>
          <w:sz w:val="19"/>
          <w:szCs w:val="19"/>
          <w:color w:val="auto"/>
        </w:rPr>
        <w:t>, increase the Aggregate Revolving Credit Commitments without the written consent of each Revolving Credit Lender;</w:t>
      </w:r>
    </w:p>
    <w:p>
      <w:pPr>
        <w:spacing w:after="0" w:line="156" w:lineRule="exact"/>
        <w:rPr>
          <w:rFonts w:ascii="Arial" w:cs="Arial" w:eastAsia="Arial" w:hAnsi="Arial"/>
          <w:sz w:val="19"/>
          <w:szCs w:val="19"/>
          <w:color w:val="auto"/>
        </w:rPr>
      </w:pPr>
    </w:p>
    <w:p>
      <w:pPr>
        <w:jc w:val="both"/>
        <w:ind w:left="640" w:firstLine="624"/>
        <w:spacing w:after="0" w:line="259" w:lineRule="auto"/>
        <w:tabs>
          <w:tab w:leader="none" w:pos="1889" w:val="left"/>
        </w:tabs>
        <w:numPr>
          <w:ilvl w:val="1"/>
          <w:numId w:val="282"/>
        </w:numPr>
        <w:rPr>
          <w:rFonts w:ascii="Arial" w:cs="Arial" w:eastAsia="Arial" w:hAnsi="Arial"/>
          <w:sz w:val="19"/>
          <w:szCs w:val="19"/>
          <w:color w:val="auto"/>
        </w:rPr>
      </w:pPr>
      <w:r>
        <w:rPr>
          <w:rFonts w:ascii="Arial" w:cs="Arial" w:eastAsia="Arial" w:hAnsi="Arial"/>
          <w:sz w:val="19"/>
          <w:szCs w:val="19"/>
          <w:color w:val="auto"/>
        </w:rPr>
        <w:t xml:space="preserve">release any material Borrower from the this Agreement or any material Security Instrument to which it is a party without the written consent of each Lender, except to the extent such Borrower is the subject of a Disposition permitted by </w:t>
      </w:r>
      <w:r>
        <w:rPr>
          <w:rFonts w:ascii="Arial" w:cs="Arial" w:eastAsia="Arial" w:hAnsi="Arial"/>
          <w:sz w:val="19"/>
          <w:szCs w:val="19"/>
          <w:u w:val="single" w:color="auto"/>
          <w:color w:val="auto"/>
        </w:rPr>
        <w:t>Section 8.05</w:t>
      </w:r>
      <w:r>
        <w:rPr>
          <w:rFonts w:ascii="Arial" w:cs="Arial" w:eastAsia="Arial" w:hAnsi="Arial"/>
          <w:sz w:val="19"/>
          <w:szCs w:val="19"/>
          <w:color w:val="auto"/>
        </w:rPr>
        <w:t xml:space="preserve"> (in which case such release may be made by the Administrative Agent acting alone);</w:t>
      </w:r>
    </w:p>
    <w:p>
      <w:pPr>
        <w:spacing w:after="0" w:line="171" w:lineRule="exact"/>
        <w:rPr>
          <w:rFonts w:ascii="Arial" w:cs="Arial" w:eastAsia="Arial" w:hAnsi="Arial"/>
          <w:sz w:val="19"/>
          <w:szCs w:val="19"/>
          <w:color w:val="auto"/>
        </w:rPr>
      </w:pPr>
    </w:p>
    <w:p>
      <w:pPr>
        <w:ind w:left="640" w:firstLine="624"/>
        <w:spacing w:after="0" w:line="302" w:lineRule="auto"/>
        <w:tabs>
          <w:tab w:leader="none" w:pos="1890" w:val="left"/>
        </w:tabs>
        <w:numPr>
          <w:ilvl w:val="1"/>
          <w:numId w:val="282"/>
        </w:numPr>
        <w:rPr>
          <w:rFonts w:ascii="Arial" w:cs="Arial" w:eastAsia="Arial" w:hAnsi="Arial"/>
          <w:sz w:val="18"/>
          <w:szCs w:val="18"/>
          <w:color w:val="auto"/>
        </w:rPr>
      </w:pPr>
      <w:r>
        <w:rPr>
          <w:rFonts w:ascii="Arial" w:cs="Arial" w:eastAsia="Arial" w:hAnsi="Arial"/>
          <w:sz w:val="18"/>
          <w:szCs w:val="18"/>
          <w:color w:val="auto"/>
        </w:rPr>
        <w:t>release, or except as a result of any financing provided in a proceeding related to an Insolvency Event, subordinate the Administrative Agent’s Lien on, all or substantially all of the Collateral without the written consent of each Lender;</w:t>
      </w:r>
    </w:p>
    <w:p>
      <w:pPr>
        <w:spacing w:after="0" w:line="134" w:lineRule="exact"/>
        <w:rPr>
          <w:rFonts w:ascii="Arial" w:cs="Arial" w:eastAsia="Arial" w:hAnsi="Arial"/>
          <w:sz w:val="18"/>
          <w:szCs w:val="18"/>
          <w:color w:val="auto"/>
        </w:rPr>
      </w:pPr>
    </w:p>
    <w:p>
      <w:pPr>
        <w:jc w:val="both"/>
        <w:ind w:left="640" w:firstLine="624"/>
        <w:spacing w:after="0" w:line="273" w:lineRule="auto"/>
        <w:tabs>
          <w:tab w:leader="none" w:pos="1888" w:val="left"/>
        </w:tabs>
        <w:numPr>
          <w:ilvl w:val="1"/>
          <w:numId w:val="282"/>
        </w:numPr>
        <w:rPr>
          <w:rFonts w:ascii="Arial" w:cs="Arial" w:eastAsia="Arial" w:hAnsi="Arial"/>
          <w:sz w:val="18"/>
          <w:szCs w:val="18"/>
          <w:color w:val="auto"/>
        </w:rPr>
      </w:pPr>
      <w:r>
        <w:rPr>
          <w:rFonts w:ascii="Arial" w:cs="Arial" w:eastAsia="Arial" w:hAnsi="Arial"/>
          <w:sz w:val="18"/>
          <w:szCs w:val="18"/>
          <w:color w:val="auto"/>
        </w:rPr>
        <w:t xml:space="preserve">without the prior written consent of the Required Supermajority Lenders, amend the definition of “Borrowing Base” or any defined term used therein in a manner that would increase availability; </w:t>
      </w:r>
      <w:r>
        <w:rPr>
          <w:rFonts w:ascii="Arial" w:cs="Arial" w:eastAsia="Arial" w:hAnsi="Arial"/>
          <w:sz w:val="18"/>
          <w:szCs w:val="18"/>
          <w:u w:val="single" w:color="auto"/>
          <w:color w:val="auto"/>
        </w:rPr>
        <w:t>provided</w:t>
      </w:r>
      <w:r>
        <w:rPr>
          <w:rFonts w:ascii="Arial" w:cs="Arial" w:eastAsia="Arial" w:hAnsi="Arial"/>
          <w:sz w:val="18"/>
          <w:szCs w:val="18"/>
          <w:color w:val="auto"/>
        </w:rPr>
        <w:t>, that the foregoing shall not limit the discretion of the Administrative Agent from time to time to change, establish or eliminate any Reserves or to determine eligibility of Accounts or Inventory or other assets of the type available to be included in the Borrowing Base in accordance with such terms; or</w:t>
      </w:r>
    </w:p>
    <w:p>
      <w:pPr>
        <w:spacing w:after="0" w:line="159" w:lineRule="exact"/>
        <w:rPr>
          <w:rFonts w:ascii="Arial" w:cs="Arial" w:eastAsia="Arial" w:hAnsi="Arial"/>
          <w:sz w:val="18"/>
          <w:szCs w:val="18"/>
          <w:color w:val="auto"/>
        </w:rPr>
      </w:pPr>
    </w:p>
    <w:p>
      <w:pPr>
        <w:ind w:left="640" w:firstLine="624"/>
        <w:spacing w:after="0" w:line="274" w:lineRule="auto"/>
        <w:tabs>
          <w:tab w:leader="none" w:pos="1887" w:val="left"/>
        </w:tabs>
        <w:numPr>
          <w:ilvl w:val="1"/>
          <w:numId w:val="282"/>
        </w:numPr>
        <w:rPr>
          <w:rFonts w:ascii="Arial" w:cs="Arial" w:eastAsia="Arial" w:hAnsi="Arial"/>
          <w:sz w:val="19"/>
          <w:szCs w:val="19"/>
          <w:color w:val="auto"/>
        </w:rPr>
      </w:pPr>
      <w:r>
        <w:rPr>
          <w:rFonts w:ascii="Arial" w:cs="Arial" w:eastAsia="Arial" w:hAnsi="Arial"/>
          <w:sz w:val="19"/>
          <w:szCs w:val="19"/>
          <w:color w:val="auto"/>
        </w:rPr>
        <w:t>without the prior written consent of each Lender, impose any materially greater restriction on the ability of any Lender to assign any of its rights or obligations hereunder.</w:t>
      </w:r>
    </w:p>
    <w:p>
      <w:pPr>
        <w:spacing w:after="0" w:line="156" w:lineRule="exact"/>
        <w:rPr>
          <w:rFonts w:ascii="Arial" w:cs="Arial" w:eastAsia="Arial" w:hAnsi="Arial"/>
          <w:sz w:val="19"/>
          <w:szCs w:val="19"/>
          <w:color w:val="auto"/>
        </w:rPr>
      </w:pPr>
    </w:p>
    <w:p>
      <w:pPr>
        <w:jc w:val="both"/>
        <w:ind w:firstLine="634"/>
        <w:spacing w:after="0" w:line="259" w:lineRule="auto"/>
        <w:tabs>
          <w:tab w:leader="none" w:pos="1247" w:val="left"/>
        </w:tabs>
        <w:numPr>
          <w:ilvl w:val="0"/>
          <w:numId w:val="283"/>
        </w:numPr>
        <w:rPr>
          <w:rFonts w:ascii="Arial" w:cs="Arial" w:eastAsia="Arial" w:hAnsi="Arial"/>
          <w:sz w:val="19"/>
          <w:szCs w:val="19"/>
          <w:color w:val="auto"/>
        </w:rPr>
      </w:pPr>
      <w:r>
        <w:rPr>
          <w:rFonts w:ascii="Arial" w:cs="Arial" w:eastAsia="Arial" w:hAnsi="Arial"/>
          <w:sz w:val="19"/>
          <w:szCs w:val="19"/>
          <w:color w:val="auto"/>
        </w:rPr>
        <w:t>In addition to the foregoing, (i) no amendment, waiver or consent shall, unless in writing and signed by the Letter of Credit Issuer in addition to the Lenders required above, affect the rights or duties of the Letter of Credit Issuer under this Agreement or any Issuer Document relating to any Letter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163</w:t>
      </w:r>
    </w:p>
    <w:p>
      <w:pPr>
        <w:sectPr>
          <w:pgSz w:w="11900" w:h="16838" w:orient="portrait"/>
          <w:cols w:equalWidth="0" w:num="1">
            <w:col w:w="11240"/>
          </w:cols>
          <w:pgMar w:left="320" w:top="1382" w:right="339" w:bottom="1440" w:gutter="0" w:footer="0" w:header="0"/>
        </w:sectPr>
      </w:pPr>
    </w:p>
    <w:bookmarkStart w:id="282" w:name="page283"/>
    <w:bookmarkEnd w:id="282"/>
    <w:p>
      <w:pPr>
        <w:jc w:val="both"/>
        <w:spacing w:after="0" w:line="277" w:lineRule="auto"/>
        <w:rPr>
          <w:sz w:val="20"/>
          <w:szCs w:val="20"/>
          <w:color w:val="auto"/>
        </w:rPr>
      </w:pPr>
      <w:r>
        <w:rPr>
          <w:rFonts w:ascii="Arial" w:cs="Arial" w:eastAsia="Arial" w:hAnsi="Arial"/>
          <w:sz w:val="17"/>
          <w:szCs w:val="17"/>
          <w:color w:val="auto"/>
        </w:rPr>
        <w:t xml:space="preserve">Credit issued or to be issued by it; (ii) no amendment, waiver or consent shall, unless in writing and signed by the Swing Line Lender in addition to the Lenders required above, affect the rights or duties of the Swing Line Lender under this Agreement; (iii) no amendment, waiver or consent shall, unless in writing and signed by the Administrative Agent in addition to the Lenders required above, affect the rights or duties of the Administrative Agent under this Agreement or any other Loan Document; (iv) the Fee Letter may be amended, or rights or privileges thereunder waived, in a writing executed only by the respective parties thereto; (v) no amendment, waiver or consent which has the effect of enabling the Borrowers to satisfy any condition to a Borrowing contained in </w:t>
      </w:r>
      <w:r>
        <w:rPr>
          <w:rFonts w:ascii="Arial" w:cs="Arial" w:eastAsia="Arial" w:hAnsi="Arial"/>
          <w:sz w:val="17"/>
          <w:szCs w:val="17"/>
          <w:u w:val="single" w:color="auto"/>
          <w:color w:val="auto"/>
        </w:rPr>
        <w:t>Section 5.02</w:t>
      </w:r>
      <w:r>
        <w:rPr>
          <w:rFonts w:ascii="Arial" w:cs="Arial" w:eastAsia="Arial" w:hAnsi="Arial"/>
          <w:sz w:val="17"/>
          <w:szCs w:val="17"/>
          <w:color w:val="auto"/>
        </w:rPr>
        <w:t xml:space="preserve"> hereof which, but for such amendment, waiver or consent would not be satisfied, shall be effective to require the Revolving Credit Lenders, the Swing Line Lender or the Letter of Credit Issuer to make any additional Revolving Credit Loan or Swing Line Loan, or to issue any additional or renew any existing Letter of Credit, unless and until the Required Lenders (or, if applicable, all Revolving Credit Lenders) shall have approved such amendment, waiver or consent and (vi) the Administrative Agent and the Borrowers shall be permitted to amend any provision of the Loan Documents (and such amendment shall become effective without any further action or consent of any other party to any Loan Document) to obtain any additional Collateral or any credit support from a new Loan Party, or if the Administrative Agent and the Borrower shall have jointly identified an obvious error or any error or omission of a technical or immaterial nature in any such provision. Notwithstanding anything to the contrary herein, no Defaulting Lender shall have any right to approve or disapprove any amendment, waiver or consent hereunder (and any amendment, waiver or consent which by its terms requires the consent of all Lenders or each affected Lender may be effected with the consent of the applicable Lenders other than Defaulting Lenders), except that (x) the Revolving Credit Commitment of any Defaulting Lender may not be increased or extended without the consent of such Lender and (y) any waiver, amendment or modification requiring the consent of all Lenders or each affected Lender that by its terms affects any Defaulting Lender more adversely than other affected Lenders shall require the consent of such Defaulting Lender.</w:t>
      </w:r>
    </w:p>
    <w:p>
      <w:pPr>
        <w:spacing w:after="0" w:line="162" w:lineRule="exact"/>
        <w:rPr>
          <w:sz w:val="20"/>
          <w:szCs w:val="20"/>
          <w:color w:val="auto"/>
        </w:rPr>
      </w:pPr>
    </w:p>
    <w:p>
      <w:pPr>
        <w:jc w:val="both"/>
        <w:ind w:firstLine="634"/>
        <w:spacing w:after="0" w:line="248" w:lineRule="auto"/>
        <w:tabs>
          <w:tab w:leader="none" w:pos="1249" w:val="left"/>
        </w:tabs>
        <w:numPr>
          <w:ilvl w:val="0"/>
          <w:numId w:val="284"/>
        </w:numPr>
        <w:rPr>
          <w:rFonts w:ascii="Arial" w:cs="Arial" w:eastAsia="Arial" w:hAnsi="Arial"/>
          <w:sz w:val="19"/>
          <w:szCs w:val="19"/>
          <w:color w:val="auto"/>
        </w:rPr>
      </w:pPr>
      <w:r>
        <w:rPr>
          <w:rFonts w:ascii="Arial" w:cs="Arial" w:eastAsia="Arial" w:hAnsi="Arial"/>
          <w:sz w:val="19"/>
          <w:szCs w:val="19"/>
          <w:color w:val="auto"/>
        </w:rPr>
        <w:t>Notwithstanding any provision herein to the contrary, this Agreement may be amended with the written consent of the Required Lenders, the Administrative Agent and the Borrowers (i) to add one or more additional pari passu or subordinated revolving credit facilities (each a “</w:t>
      </w:r>
      <w:r>
        <w:rPr>
          <w:rFonts w:ascii="Arial" w:cs="Arial" w:eastAsia="Arial" w:hAnsi="Arial"/>
          <w:sz w:val="19"/>
          <w:szCs w:val="19"/>
          <w:u w:val="single" w:color="auto"/>
          <w:color w:val="auto"/>
        </w:rPr>
        <w:t>Supplemental Facility</w:t>
      </w:r>
      <w:r>
        <w:rPr>
          <w:rFonts w:ascii="Arial" w:cs="Arial" w:eastAsia="Arial" w:hAnsi="Arial"/>
          <w:sz w:val="19"/>
          <w:szCs w:val="19"/>
          <w:color w:val="auto"/>
        </w:rPr>
        <w:t xml:space="preserve">”) to this Agreement, in each case subject to the limitations in </w:t>
      </w:r>
      <w:r>
        <w:rPr>
          <w:rFonts w:ascii="Arial" w:cs="Arial" w:eastAsia="Arial" w:hAnsi="Arial"/>
          <w:sz w:val="19"/>
          <w:szCs w:val="19"/>
          <w:u w:val="single" w:color="auto"/>
          <w:color w:val="auto"/>
        </w:rPr>
        <w:t>Section 2.18</w:t>
      </w:r>
      <w:r>
        <w:rPr>
          <w:rFonts w:ascii="Arial" w:cs="Arial" w:eastAsia="Arial" w:hAnsi="Arial"/>
          <w:sz w:val="19"/>
          <w:szCs w:val="19"/>
          <w:color w:val="auto"/>
        </w:rPr>
        <w:t>, and to permit the extensions of credit and all related obligations and liabilities arising in connection therewith from time to time outstanding to share ratably on a pari passu basis (or on a basis subordinated to the existing facilities hereunder) in the benefits of this Agreement and the other Loan Documents with the obligations and liabilities from time to time outstanding in respect of the existing facilities hereunder, and (ii) in connection with the foregoing, to permit, as deemed appropriate by the Administrative Agent and approved by the Required Lenders, the Lenders providing such Supplemental Facilities to participate in any required vote or action required to be approved by the Required Lenders or by any other number, percentage or class of Lenders hereunder.</w:t>
      </w:r>
    </w:p>
    <w:p>
      <w:pPr>
        <w:spacing w:after="0" w:line="184" w:lineRule="exact"/>
        <w:rPr>
          <w:rFonts w:ascii="Arial" w:cs="Arial" w:eastAsia="Arial" w:hAnsi="Arial"/>
          <w:sz w:val="19"/>
          <w:szCs w:val="19"/>
          <w:color w:val="auto"/>
        </w:rPr>
      </w:pPr>
    </w:p>
    <w:p>
      <w:pPr>
        <w:jc w:val="both"/>
        <w:ind w:firstLine="634"/>
        <w:spacing w:after="0" w:line="252" w:lineRule="auto"/>
        <w:tabs>
          <w:tab w:leader="none" w:pos="1247" w:val="left"/>
        </w:tabs>
        <w:numPr>
          <w:ilvl w:val="0"/>
          <w:numId w:val="284"/>
        </w:numPr>
        <w:rPr>
          <w:rFonts w:ascii="Arial" w:cs="Arial" w:eastAsia="Arial" w:hAnsi="Arial"/>
          <w:sz w:val="19"/>
          <w:szCs w:val="19"/>
          <w:color w:val="auto"/>
        </w:rPr>
      </w:pPr>
      <w:r>
        <w:rPr>
          <w:rFonts w:ascii="Arial" w:cs="Arial" w:eastAsia="Arial" w:hAnsi="Arial"/>
          <w:sz w:val="19"/>
          <w:szCs w:val="19"/>
          <w:color w:val="auto"/>
        </w:rPr>
        <w:t>If any Lender does not consent (a “</w:t>
      </w:r>
      <w:r>
        <w:rPr>
          <w:rFonts w:ascii="Arial" w:cs="Arial" w:eastAsia="Arial" w:hAnsi="Arial"/>
          <w:sz w:val="19"/>
          <w:szCs w:val="19"/>
          <w:u w:val="single" w:color="auto"/>
          <w:color w:val="auto"/>
        </w:rPr>
        <w:t>Non-Consenting Lender</w:t>
      </w:r>
      <w:r>
        <w:rPr>
          <w:rFonts w:ascii="Arial" w:cs="Arial" w:eastAsia="Arial" w:hAnsi="Arial"/>
          <w:sz w:val="19"/>
          <w:szCs w:val="19"/>
          <w:color w:val="auto"/>
        </w:rPr>
        <w:t xml:space="preserve">”) to a proposed amendment, waiver, consent or release with respect to any Loan Document that requires the consent of each Lender and that has been approved by the Required Lenders, the Borrower may replace such Non-Consenting Lender in accordance with </w:t>
      </w:r>
      <w:r>
        <w:rPr>
          <w:rFonts w:ascii="Arial" w:cs="Arial" w:eastAsia="Arial" w:hAnsi="Arial"/>
          <w:sz w:val="19"/>
          <w:szCs w:val="19"/>
          <w:u w:val="single" w:color="auto"/>
          <w:color w:val="auto"/>
        </w:rPr>
        <w:t>Section 11.13</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amendment, waiver, consent or release can be effected as a result of the assignment contemplated by such Section (together with all other such assignments required by the Borrower to be made pursuant to this paragraph).</w:t>
      </w:r>
    </w:p>
    <w:p>
      <w:pPr>
        <w:spacing w:after="0" w:line="177" w:lineRule="exact"/>
        <w:rPr>
          <w:rFonts w:ascii="Arial" w:cs="Arial" w:eastAsia="Arial" w:hAnsi="Arial"/>
          <w:sz w:val="19"/>
          <w:szCs w:val="19"/>
          <w:color w:val="auto"/>
        </w:rPr>
      </w:pPr>
    </w:p>
    <w:p>
      <w:pPr>
        <w:ind w:firstLine="634"/>
        <w:spacing w:after="0" w:line="274" w:lineRule="auto"/>
        <w:tabs>
          <w:tab w:leader="none" w:pos="1249" w:val="left"/>
        </w:tabs>
        <w:numPr>
          <w:ilvl w:val="0"/>
          <w:numId w:val="284"/>
        </w:numPr>
        <w:rPr>
          <w:rFonts w:ascii="Arial" w:cs="Arial" w:eastAsia="Arial" w:hAnsi="Arial"/>
          <w:sz w:val="19"/>
          <w:szCs w:val="19"/>
          <w:color w:val="auto"/>
        </w:rPr>
      </w:pPr>
      <w:r>
        <w:rPr>
          <w:rFonts w:ascii="Arial" w:cs="Arial" w:eastAsia="Arial" w:hAnsi="Arial"/>
          <w:sz w:val="19"/>
          <w:szCs w:val="19"/>
          <w:color w:val="auto"/>
        </w:rPr>
        <w:t>No Loan Party will, directly or indirectly, pay any remuneration or other thing of value, whether by way of additional interest, fee or otherwise, to any Lender or its Affiliates as consideration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164</w:t>
      </w:r>
    </w:p>
    <w:p>
      <w:pPr>
        <w:sectPr>
          <w:pgSz w:w="11900" w:h="16838" w:orient="portrait"/>
          <w:cols w:equalWidth="0" w:num="1">
            <w:col w:w="11240"/>
          </w:cols>
          <w:pgMar w:left="320" w:top="1381" w:right="339" w:bottom="1440" w:gutter="0" w:footer="0" w:header="0"/>
        </w:sectPr>
      </w:pPr>
    </w:p>
    <w:bookmarkStart w:id="283" w:name="page284"/>
    <w:bookmarkEnd w:id="283"/>
    <w:p>
      <w:pPr>
        <w:jc w:val="both"/>
        <w:spacing w:after="0" w:line="252" w:lineRule="auto"/>
        <w:rPr>
          <w:sz w:val="20"/>
          <w:szCs w:val="20"/>
          <w:color w:val="auto"/>
        </w:rPr>
      </w:pPr>
      <w:r>
        <w:rPr>
          <w:rFonts w:ascii="Arial" w:cs="Arial" w:eastAsia="Arial" w:hAnsi="Arial"/>
          <w:sz w:val="19"/>
          <w:szCs w:val="19"/>
          <w:color w:val="auto"/>
        </w:rPr>
        <w:t>agreement by such Lender to any amendment, waiver, consent or release with respect to any Loan Document, unless such remuneration or value is concurrently paid, on the same terms, on a ratable basis to all Lenders providing their agreement. Notwithstanding the terms of this Agreement or any amendment, waiver, consent or release with respect to any Loan Document, Non-Consenting Lenders shall not be entitled to receive any fees or other compensation paid to the Lenders in connection with any amendment, waiver, consent or release approved in accordance with the terms of this Agreement by the Required Lenders.</w:t>
      </w:r>
    </w:p>
    <w:p>
      <w:pPr>
        <w:spacing w:after="0" w:line="177" w:lineRule="exact"/>
        <w:rPr>
          <w:sz w:val="20"/>
          <w:szCs w:val="20"/>
          <w:color w:val="auto"/>
        </w:rPr>
      </w:pPr>
    </w:p>
    <w:p>
      <w:pPr>
        <w:jc w:val="both"/>
        <w:ind w:firstLine="634"/>
        <w:spacing w:after="0" w:line="246" w:lineRule="auto"/>
        <w:tabs>
          <w:tab w:leader="none" w:pos="1254" w:val="left"/>
        </w:tabs>
        <w:numPr>
          <w:ilvl w:val="0"/>
          <w:numId w:val="285"/>
        </w:numPr>
        <w:rPr>
          <w:rFonts w:ascii="Arial" w:cs="Arial" w:eastAsia="Arial" w:hAnsi="Arial"/>
          <w:sz w:val="19"/>
          <w:szCs w:val="19"/>
          <w:color w:val="auto"/>
        </w:rPr>
      </w:pPr>
      <w:r>
        <w:rPr>
          <w:rFonts w:ascii="Arial" w:cs="Arial" w:eastAsia="Arial" w:hAnsi="Arial"/>
          <w:sz w:val="19"/>
          <w:szCs w:val="19"/>
          <w:color w:val="auto"/>
        </w:rPr>
        <w:t>IN NO EVENT SHALL THE REQUIRED LENDERS, WITHOUT THE PRIOR WRITTEN CONSENT OF EACH LENDER, DIRECT THE ADMINISTRATIVE AGENT TO ACCELERATE AND DEMAND PAYMENT OF THE LOANS HELD BY ONE LENDER WITHOUT ACCELERATING AND DEMANDING PAYMENT OF ALL OTHER LOANS OR TO TERMINATE THE REVOLVING CREDIT COMMITMENTS OF ONE OR MORE LENDERS WITHOUT TERMINATING THE REVOLVING CREDIT COMMITMENTS OF ALL LENDERS. EACH LENDER AGREES THAT, EXCEPT AS OTHERWISE PROVIDED IN ANY OF THE LOAN DOCUMENTS AND WITHOUT THE PRIOR WRITTEN CONSENT OF THE REQUIRED LENDERS, IT WILL NOT TAKE ANY LEGAL ACTION OR INSTITUTE ANY ACTION OR PROCEEDING AGAINST ANY LOAN PARTY WITH RESPECT TO ANY OF THE OBLIGATIONS OR COLLATERAL, OR ACCELERATE OR OTHERWISE ENFORCE ITS PORTION OF THE OBLIGATIONS. WITHOUT LIMITING THE GENERALITY OF THE FOREGOING, NO LENDER MAY EXERCISE ANY RIGHT THAT IT MIGHT OTHERWISE HAVE UNDER APPLICABLE LAW TO CREDIT BID AT FORECLOSURE SALES, UNIFORM COMMERCIAL CODE SALES OR OTHER SIMILAR SALES OR DISPOSITIONS OF ANY OF THE COLLATERAL EXCEPT AS AUTHORIZED BY THE REQUIRED LENDERS. NOTWITHSTANDING ANYTHING TO THE CONTRARY SET FORTH IN THIS SECTION OR ELSEWHERE HEREIN, EACH LENDER SHALL BE AUTHORIZED TO TAKE SUCH ACTION TO PRESERVE OR ENFORCE ITS RIGHTS AGAINST ANY LOAN PARTY WHERE A DEADLINE OR LIMITATION PERIOD IS OTHERWISE APPLICABLE AND WOULD, ABSENT THE TAKING OF SPECIFIED ACTION, BAR THE ENFORCEMENT OF OBLIGATIONS HELD BY SUCH LENDER AGAINST SUCH LOAN PARTY, INCLUDING THE FILING OF PROOFS OF CLAIM IN ANY INSOLVENCY PROCEEDING.</w:t>
      </w:r>
    </w:p>
    <w:p>
      <w:pPr>
        <w:spacing w:after="0" w:line="187" w:lineRule="exact"/>
        <w:rPr>
          <w:sz w:val="20"/>
          <w:szCs w:val="20"/>
          <w:color w:val="auto"/>
        </w:rPr>
      </w:pPr>
    </w:p>
    <w:p>
      <w:pPr>
        <w:ind w:left="640"/>
        <w:spacing w:after="0"/>
        <w:tabs>
          <w:tab w:leader="none" w:pos="1220" w:val="left"/>
        </w:tabs>
        <w:rPr>
          <w:sz w:val="20"/>
          <w:szCs w:val="20"/>
          <w:color w:val="auto"/>
        </w:rPr>
      </w:pPr>
      <w:r>
        <w:rPr>
          <w:rFonts w:ascii="Arial" w:cs="Arial" w:eastAsia="Arial" w:hAnsi="Arial"/>
          <w:sz w:val="19"/>
          <w:szCs w:val="19"/>
          <w:b w:val="1"/>
          <w:bCs w:val="1"/>
          <w:color w:val="auto"/>
        </w:rPr>
        <w:t>11.2</w:t>
      </w:r>
      <w:r>
        <w:rPr>
          <w:sz w:val="20"/>
          <w:szCs w:val="20"/>
          <w:color w:val="auto"/>
        </w:rPr>
        <w:tab/>
      </w:r>
      <w:r>
        <w:rPr>
          <w:rFonts w:ascii="Arial" w:cs="Arial" w:eastAsia="Arial" w:hAnsi="Arial"/>
          <w:sz w:val="17"/>
          <w:szCs w:val="17"/>
          <w:b w:val="1"/>
          <w:bCs w:val="1"/>
          <w:color w:val="auto"/>
        </w:rPr>
        <w:t>Notices; Effectiveness; Electronic Communication</w:t>
      </w:r>
      <w:r>
        <w:rPr>
          <w:rFonts w:ascii="Arial" w:cs="Arial" w:eastAsia="Arial" w:hAnsi="Arial"/>
          <w:sz w:val="17"/>
          <w:szCs w:val="17"/>
          <w:color w:val="auto"/>
        </w:rPr>
        <w:t>.</w:t>
      </w:r>
    </w:p>
    <w:p>
      <w:pPr>
        <w:spacing w:after="0" w:line="220" w:lineRule="exact"/>
        <w:rPr>
          <w:sz w:val="20"/>
          <w:szCs w:val="20"/>
          <w:color w:val="auto"/>
        </w:rPr>
      </w:pPr>
    </w:p>
    <w:p>
      <w:pPr>
        <w:jc w:val="both"/>
        <w:ind w:firstLine="634"/>
        <w:spacing w:after="0" w:line="252" w:lineRule="auto"/>
        <w:tabs>
          <w:tab w:leader="none" w:pos="1249" w:val="left"/>
        </w:tabs>
        <w:numPr>
          <w:ilvl w:val="0"/>
          <w:numId w:val="286"/>
        </w:numPr>
        <w:rPr>
          <w:rFonts w:ascii="Arial" w:cs="Arial" w:eastAsia="Arial" w:hAnsi="Arial"/>
          <w:sz w:val="19"/>
          <w:szCs w:val="19"/>
          <w:color w:val="auto"/>
        </w:rPr>
      </w:pPr>
      <w:r>
        <w:rPr>
          <w:rFonts w:ascii="Arial" w:cs="Arial" w:eastAsia="Arial" w:hAnsi="Arial"/>
          <w:sz w:val="19"/>
          <w:szCs w:val="19"/>
          <w:u w:val="single" w:color="auto"/>
          <w:color w:val="auto"/>
        </w:rPr>
        <w:t>Notices Generally</w:t>
      </w:r>
      <w:r>
        <w:rPr>
          <w:rFonts w:ascii="Arial" w:cs="Arial" w:eastAsia="Arial" w:hAnsi="Arial"/>
          <w:sz w:val="19"/>
          <w:szCs w:val="19"/>
          <w:color w:val="auto"/>
        </w:rPr>
        <w:t>. Except in the case of notices and other communications expressly permitted to be given by telephone or in the case of notices otherwise expressly provided herein (and except as provided in subsection (b) below), all notices and other communications provided for herein shall be in writing and shall be delivered by hand or overnight courier service, mailed by certified or registered mail or sent by telecopier as follows, and all notices and other communications expressly permitted hereunder to be given by telephone shall be made to the applicable telephone number, as follows:</w:t>
      </w:r>
    </w:p>
    <w:p>
      <w:pPr>
        <w:spacing w:after="0" w:line="177" w:lineRule="exact"/>
        <w:rPr>
          <w:rFonts w:ascii="Arial" w:cs="Arial" w:eastAsia="Arial" w:hAnsi="Arial"/>
          <w:sz w:val="19"/>
          <w:szCs w:val="19"/>
          <w:color w:val="auto"/>
        </w:rPr>
      </w:pPr>
    </w:p>
    <w:p>
      <w:pPr>
        <w:jc w:val="both"/>
        <w:ind w:left="640" w:firstLine="624"/>
        <w:spacing w:after="0" w:line="259" w:lineRule="auto"/>
        <w:tabs>
          <w:tab w:leader="none" w:pos="1897" w:val="left"/>
        </w:tabs>
        <w:numPr>
          <w:ilvl w:val="1"/>
          <w:numId w:val="286"/>
        </w:numPr>
        <w:rPr>
          <w:rFonts w:ascii="Arial" w:cs="Arial" w:eastAsia="Arial" w:hAnsi="Arial"/>
          <w:sz w:val="19"/>
          <w:szCs w:val="19"/>
          <w:color w:val="auto"/>
        </w:rPr>
      </w:pPr>
      <w:r>
        <w:rPr>
          <w:rFonts w:ascii="Arial" w:cs="Arial" w:eastAsia="Arial" w:hAnsi="Arial"/>
          <w:sz w:val="19"/>
          <w:szCs w:val="19"/>
          <w:color w:val="auto"/>
        </w:rPr>
        <w:t xml:space="preserve">if to a Loan Party, the Administrative Agent, the Letter of Credit Issuer or the Swing Line Lender, to the address, telecopier number, electronic mail address or telephone number specified for such Person on </w:t>
      </w:r>
      <w:r>
        <w:rPr>
          <w:rFonts w:ascii="Arial" w:cs="Arial" w:eastAsia="Arial" w:hAnsi="Arial"/>
          <w:sz w:val="19"/>
          <w:szCs w:val="19"/>
          <w:u w:val="single" w:color="auto"/>
          <w:color w:val="auto"/>
        </w:rPr>
        <w:t>Schedule 11.02</w:t>
      </w:r>
      <w:r>
        <w:rPr>
          <w:rFonts w:ascii="Arial" w:cs="Arial" w:eastAsia="Arial" w:hAnsi="Arial"/>
          <w:sz w:val="19"/>
          <w:szCs w:val="19"/>
          <w:color w:val="auto"/>
        </w:rPr>
        <w:t>, as changed pursuant to subsection (d) below; and</w:t>
      </w:r>
    </w:p>
    <w:p>
      <w:pPr>
        <w:spacing w:after="0" w:line="171" w:lineRule="exact"/>
        <w:rPr>
          <w:rFonts w:ascii="Arial" w:cs="Arial" w:eastAsia="Arial" w:hAnsi="Arial"/>
          <w:sz w:val="19"/>
          <w:szCs w:val="19"/>
          <w:color w:val="auto"/>
        </w:rPr>
      </w:pPr>
    </w:p>
    <w:p>
      <w:pPr>
        <w:ind w:left="640" w:firstLine="624"/>
        <w:spacing w:after="0" w:line="274" w:lineRule="auto"/>
        <w:tabs>
          <w:tab w:leader="none" w:pos="1897" w:val="left"/>
        </w:tabs>
        <w:numPr>
          <w:ilvl w:val="1"/>
          <w:numId w:val="286"/>
        </w:numPr>
        <w:rPr>
          <w:rFonts w:ascii="Arial" w:cs="Arial" w:eastAsia="Arial" w:hAnsi="Arial"/>
          <w:sz w:val="19"/>
          <w:szCs w:val="19"/>
          <w:color w:val="auto"/>
        </w:rPr>
      </w:pPr>
      <w:r>
        <w:rPr>
          <w:rFonts w:ascii="Arial" w:cs="Arial" w:eastAsia="Arial" w:hAnsi="Arial"/>
          <w:sz w:val="19"/>
          <w:szCs w:val="19"/>
          <w:color w:val="auto"/>
        </w:rPr>
        <w:t>if to any other Lender, to the address, telecopier number, electronic mail address or telephone number specified in its Administrative Questionnaire, as changed pursuant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165</w:t>
      </w:r>
    </w:p>
    <w:p>
      <w:pPr>
        <w:sectPr>
          <w:pgSz w:w="11900" w:h="16838" w:orient="portrait"/>
          <w:cols w:equalWidth="0" w:num="1">
            <w:col w:w="11240"/>
          </w:cols>
          <w:pgMar w:left="320" w:top="1382" w:right="339" w:bottom="1440" w:gutter="0" w:footer="0" w:header="0"/>
        </w:sectPr>
      </w:pPr>
    </w:p>
    <w:bookmarkStart w:id="284" w:name="page285"/>
    <w:bookmarkEnd w:id="284"/>
    <w:p>
      <w:pPr>
        <w:ind w:left="640"/>
        <w:spacing w:after="0" w:line="302" w:lineRule="auto"/>
        <w:rPr>
          <w:sz w:val="20"/>
          <w:szCs w:val="20"/>
          <w:color w:val="auto"/>
        </w:rPr>
      </w:pPr>
      <w:r>
        <w:rPr>
          <w:rFonts w:ascii="Arial" w:cs="Arial" w:eastAsia="Arial" w:hAnsi="Arial"/>
          <w:sz w:val="18"/>
          <w:szCs w:val="18"/>
          <w:color w:val="auto"/>
        </w:rPr>
        <w:t>subsection (d) below (including, as appropriate, notices delivered solely to the Person designated by a Lender on its Administrative Questionnaire then in effect for the delivery of notices that may contain material non-public information relating to the Borrowers).</w:t>
      </w:r>
    </w:p>
    <w:p>
      <w:pPr>
        <w:spacing w:after="0" w:line="135" w:lineRule="exact"/>
        <w:rPr>
          <w:sz w:val="20"/>
          <w:szCs w:val="20"/>
          <w:color w:val="auto"/>
        </w:rPr>
      </w:pPr>
    </w:p>
    <w:p>
      <w:pPr>
        <w:jc w:val="both"/>
        <w:ind w:firstLine="629"/>
        <w:spacing w:after="0" w:line="294" w:lineRule="auto"/>
        <w:rPr>
          <w:sz w:val="20"/>
          <w:szCs w:val="20"/>
          <w:color w:val="auto"/>
        </w:rPr>
      </w:pPr>
      <w:r>
        <w:rPr>
          <w:rFonts w:ascii="Arial" w:cs="Arial" w:eastAsia="Arial" w:hAnsi="Arial"/>
          <w:sz w:val="17"/>
          <w:szCs w:val="17"/>
          <w:color w:val="auto"/>
        </w:rPr>
        <w:t>Notices sent by hand or overnight courier service, or mailed by certified or registered mail, shall be deemed to have been given when received; notices sent by telecopier shall be deemed to have been given when sent (except that, if not given during normal business hours for the recipient, shall be deemed to have been given at the opening of business on the next business day for the recipient). Notices delivered through electronic communications to the extent provided in subsection (b) below, shall be effective as provided in such subsection (b).</w:t>
      </w:r>
    </w:p>
    <w:p>
      <w:pPr>
        <w:spacing w:after="0" w:line="144" w:lineRule="exact"/>
        <w:rPr>
          <w:sz w:val="20"/>
          <w:szCs w:val="20"/>
          <w:color w:val="auto"/>
        </w:rPr>
      </w:pPr>
    </w:p>
    <w:p>
      <w:pPr>
        <w:jc w:val="both"/>
        <w:ind w:firstLine="634"/>
        <w:spacing w:after="0" w:line="249" w:lineRule="auto"/>
        <w:tabs>
          <w:tab w:leader="none" w:pos="1247" w:val="left"/>
        </w:tabs>
        <w:numPr>
          <w:ilvl w:val="0"/>
          <w:numId w:val="287"/>
        </w:numPr>
        <w:rPr>
          <w:rFonts w:ascii="Arial" w:cs="Arial" w:eastAsia="Arial" w:hAnsi="Arial"/>
          <w:sz w:val="19"/>
          <w:szCs w:val="19"/>
          <w:color w:val="auto"/>
        </w:rPr>
      </w:pPr>
      <w:r>
        <w:rPr>
          <w:rFonts w:ascii="Arial" w:cs="Arial" w:eastAsia="Arial" w:hAnsi="Arial"/>
          <w:sz w:val="19"/>
          <w:szCs w:val="19"/>
          <w:u w:val="single" w:color="auto"/>
          <w:color w:val="auto"/>
        </w:rPr>
        <w:t>Electronic Communications</w:t>
      </w:r>
      <w:r>
        <w:rPr>
          <w:rFonts w:ascii="Arial" w:cs="Arial" w:eastAsia="Arial" w:hAnsi="Arial"/>
          <w:sz w:val="19"/>
          <w:szCs w:val="19"/>
          <w:color w:val="auto"/>
        </w:rPr>
        <w:t xml:space="preserve">. Notices and other communications to the Lenders and the Letter of Credit Issuer hereunder may be delivered or furnished by electronic communication (including email and Internet or intranet websites) pursuant to procedures approved by the Administrative Agent,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foregoing shall not apply to notices to any Lender or the Letter of Credit Issuer pursuant to </w:t>
      </w:r>
      <w:r>
        <w:rPr>
          <w:rFonts w:ascii="Arial" w:cs="Arial" w:eastAsia="Arial" w:hAnsi="Arial"/>
          <w:sz w:val="19"/>
          <w:szCs w:val="19"/>
          <w:u w:val="single" w:color="auto"/>
          <w:color w:val="auto"/>
        </w:rPr>
        <w:t>Article II</w:t>
      </w:r>
      <w:r>
        <w:rPr>
          <w:rFonts w:ascii="Arial" w:cs="Arial" w:eastAsia="Arial" w:hAnsi="Arial"/>
          <w:sz w:val="19"/>
          <w:szCs w:val="19"/>
          <w:color w:val="auto"/>
        </w:rPr>
        <w:t xml:space="preserve"> if such Lender or the Letter of Credit Issuer, as applicable, has notified the Administrative Agent that it is incapable of receiving notices under such Article by electronic communication. The Administrative Agent or the Borrowers may, in its discretion, agree to accept notices and other communications to it hereunder by electronic communications pursuant to procedures approved by 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approval of such procedures may be limited to particular notices or communications.</w:t>
      </w:r>
    </w:p>
    <w:p>
      <w:pPr>
        <w:spacing w:after="0" w:line="184" w:lineRule="exact"/>
        <w:rPr>
          <w:sz w:val="20"/>
          <w:szCs w:val="20"/>
          <w:color w:val="auto"/>
        </w:rPr>
      </w:pPr>
    </w:p>
    <w:p>
      <w:pPr>
        <w:jc w:val="both"/>
        <w:ind w:firstLine="629"/>
        <w:spacing w:after="0" w:line="265" w:lineRule="auto"/>
        <w:rPr>
          <w:sz w:val="20"/>
          <w:szCs w:val="20"/>
          <w:color w:val="auto"/>
        </w:rPr>
      </w:pPr>
      <w:r>
        <w:rPr>
          <w:rFonts w:ascii="Arial" w:cs="Arial" w:eastAsia="Arial" w:hAnsi="Arial"/>
          <w:sz w:val="18"/>
          <w:szCs w:val="18"/>
          <w:color w:val="auto"/>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w:t>
      </w:r>
    </w:p>
    <w:p>
      <w:pPr>
        <w:spacing w:after="0" w:line="170" w:lineRule="exact"/>
        <w:rPr>
          <w:sz w:val="20"/>
          <w:szCs w:val="20"/>
          <w:color w:val="auto"/>
        </w:rPr>
      </w:pPr>
    </w:p>
    <w:p>
      <w:pPr>
        <w:jc w:val="both"/>
        <w:ind w:firstLine="634"/>
        <w:spacing w:after="0" w:line="247" w:lineRule="auto"/>
        <w:tabs>
          <w:tab w:leader="none" w:pos="1249" w:val="left"/>
        </w:tabs>
        <w:numPr>
          <w:ilvl w:val="0"/>
          <w:numId w:val="288"/>
        </w:numPr>
        <w:rPr>
          <w:rFonts w:ascii="Arial" w:cs="Arial" w:eastAsia="Arial" w:hAnsi="Arial"/>
          <w:sz w:val="19"/>
          <w:szCs w:val="19"/>
          <w:color w:val="auto"/>
        </w:rPr>
      </w:pPr>
      <w:r>
        <w:rPr>
          <w:rFonts w:ascii="Arial" w:cs="Arial" w:eastAsia="Arial" w:hAnsi="Arial"/>
          <w:sz w:val="19"/>
          <w:szCs w:val="19"/>
          <w:u w:val="single" w:color="auto"/>
          <w:color w:val="auto"/>
        </w:rPr>
        <w:t>The Platform</w:t>
      </w:r>
      <w:r>
        <w:rPr>
          <w:rFonts w:ascii="Arial" w:cs="Arial" w:eastAsia="Arial" w:hAnsi="Arial"/>
          <w:sz w:val="19"/>
          <w:szCs w:val="19"/>
          <w:color w:val="auto"/>
        </w:rPr>
        <w:t>. THE PLATFORM IS PROVIDED “AS IS” AND “AS AVAILABLE.” THE AGENT PARTIES (AS 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Related Parties (collectively, the “</w:t>
      </w:r>
      <w:r>
        <w:rPr>
          <w:rFonts w:ascii="Arial" w:cs="Arial" w:eastAsia="Arial" w:hAnsi="Arial"/>
          <w:sz w:val="19"/>
          <w:szCs w:val="19"/>
          <w:u w:val="single" w:color="auto"/>
          <w:color w:val="auto"/>
        </w:rPr>
        <w:t>Agent Parties</w:t>
      </w:r>
      <w:r>
        <w:rPr>
          <w:rFonts w:ascii="Arial" w:cs="Arial" w:eastAsia="Arial" w:hAnsi="Arial"/>
          <w:sz w:val="19"/>
          <w:szCs w:val="19"/>
          <w:color w:val="auto"/>
        </w:rPr>
        <w:t xml:space="preserve">”) have any liability to any Borrower, any Lender, the Letter of Credit Issuer or any other Person for losses, claims, damages, liabilities or expenses of any kind (whether in tort, contract or otherwise) arising out of a Borrower’s or the Administrative Agent’s transmission of Borrower Materials through the Internet, except to the extent that such losses, claims, damages, liabilities or expenses are determined by a court of competent jurisdiction by a final and nonappealable judgment to have resulted from the gross negligence or willful misconduct of such Agent Party;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in no event shall any Agent Party have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166</w:t>
      </w:r>
    </w:p>
    <w:p>
      <w:pPr>
        <w:sectPr>
          <w:pgSz w:w="11900" w:h="16838" w:orient="portrait"/>
          <w:cols w:equalWidth="0" w:num="1">
            <w:col w:w="11240"/>
          </w:cols>
          <w:pgMar w:left="320" w:top="1381" w:right="339" w:bottom="1440" w:gutter="0" w:footer="0" w:header="0"/>
        </w:sectPr>
      </w:pPr>
    </w:p>
    <w:bookmarkStart w:id="285" w:name="page286"/>
    <w:bookmarkEnd w:id="285"/>
    <w:p>
      <w:pPr>
        <w:spacing w:after="0" w:line="274" w:lineRule="auto"/>
        <w:rPr>
          <w:sz w:val="20"/>
          <w:szCs w:val="20"/>
          <w:color w:val="auto"/>
        </w:rPr>
      </w:pPr>
      <w:r>
        <w:rPr>
          <w:rFonts w:ascii="Arial" w:cs="Arial" w:eastAsia="Arial" w:hAnsi="Arial"/>
          <w:sz w:val="19"/>
          <w:szCs w:val="19"/>
          <w:color w:val="auto"/>
        </w:rPr>
        <w:t>liability to any Borrower, any Lender, the Letter of Credit Issuer or any other Person for indirect, special, incidental, consequential or punitive damages (as opposed to direct or actual damages).</w:t>
      </w:r>
    </w:p>
    <w:p>
      <w:pPr>
        <w:spacing w:after="0" w:line="157" w:lineRule="exact"/>
        <w:rPr>
          <w:sz w:val="20"/>
          <w:szCs w:val="20"/>
          <w:color w:val="auto"/>
        </w:rPr>
      </w:pPr>
    </w:p>
    <w:p>
      <w:pPr>
        <w:jc w:val="both"/>
        <w:ind w:firstLine="634"/>
        <w:spacing w:after="0" w:line="249" w:lineRule="auto"/>
        <w:tabs>
          <w:tab w:leader="none" w:pos="1247" w:val="left"/>
        </w:tabs>
        <w:numPr>
          <w:ilvl w:val="0"/>
          <w:numId w:val="289"/>
        </w:numPr>
        <w:rPr>
          <w:rFonts w:ascii="Arial" w:cs="Arial" w:eastAsia="Arial" w:hAnsi="Arial"/>
          <w:sz w:val="19"/>
          <w:szCs w:val="19"/>
          <w:color w:val="auto"/>
        </w:rPr>
      </w:pPr>
      <w:r>
        <w:rPr>
          <w:rFonts w:ascii="Arial" w:cs="Arial" w:eastAsia="Arial" w:hAnsi="Arial"/>
          <w:sz w:val="19"/>
          <w:szCs w:val="19"/>
          <w:u w:val="single" w:color="auto"/>
          <w:color w:val="auto"/>
        </w:rPr>
        <w:t>Change of Address, Etc</w:t>
      </w:r>
      <w:r>
        <w:rPr>
          <w:rFonts w:ascii="Arial" w:cs="Arial" w:eastAsia="Arial" w:hAnsi="Arial"/>
          <w:sz w:val="19"/>
          <w:szCs w:val="19"/>
          <w:color w:val="auto"/>
        </w:rPr>
        <w:t>. Each of the Borrowers, the Administrative Agent, the Letter of Credit Issuer and the Swing Line Lender may change its address, telecopier or telephone number for notices and other communications hereunder by notice to the other parties hereto. Each other Lender may change its address, telecopier or telephone number for notices and other communications hereunder by notice to the Borrower Agent, the Administrative Agent, the Letter of Credit Issuer and the Swing Line Lender. In addition, each Lender agrees to notify the Administrative Agent from time to time to ensure that the Administrative Agent has on record (i) an effective address, contact name, telephone number, telecopier number and electronic mail address to which notices and other communications may be sent and (ii) accurate wire instructions for such Lender.</w:t>
      </w:r>
    </w:p>
    <w:p>
      <w:pPr>
        <w:spacing w:after="0" w:line="183" w:lineRule="exact"/>
        <w:rPr>
          <w:rFonts w:ascii="Arial" w:cs="Arial" w:eastAsia="Arial" w:hAnsi="Arial"/>
          <w:sz w:val="19"/>
          <w:szCs w:val="19"/>
          <w:color w:val="auto"/>
        </w:rPr>
      </w:pPr>
    </w:p>
    <w:p>
      <w:pPr>
        <w:jc w:val="both"/>
        <w:ind w:firstLine="634"/>
        <w:spacing w:after="0" w:line="264" w:lineRule="auto"/>
        <w:tabs>
          <w:tab w:leader="none" w:pos="1249" w:val="left"/>
        </w:tabs>
        <w:numPr>
          <w:ilvl w:val="0"/>
          <w:numId w:val="289"/>
        </w:numPr>
        <w:rPr>
          <w:rFonts w:ascii="Arial" w:cs="Arial" w:eastAsia="Arial" w:hAnsi="Arial"/>
          <w:sz w:val="18"/>
          <w:szCs w:val="18"/>
          <w:color w:val="auto"/>
        </w:rPr>
      </w:pPr>
      <w:r>
        <w:rPr>
          <w:rFonts w:ascii="Arial" w:cs="Arial" w:eastAsia="Arial" w:hAnsi="Arial"/>
          <w:sz w:val="18"/>
          <w:szCs w:val="18"/>
          <w:u w:val="single" w:color="auto"/>
          <w:color w:val="auto"/>
        </w:rPr>
        <w:t>Reliance by Administrative Agent, Letter of Credit Issuer and Lenders</w:t>
      </w:r>
      <w:r>
        <w:rPr>
          <w:rFonts w:ascii="Arial" w:cs="Arial" w:eastAsia="Arial" w:hAnsi="Arial"/>
          <w:sz w:val="18"/>
          <w:szCs w:val="18"/>
          <w:color w:val="auto"/>
        </w:rPr>
        <w:t>. The Administrative Agent, the Letter of Credit Issuer and the Lenders shall be entitled to rely and act upon any notices (including telephonic Committed Loan Notices and Swing Line Loan Notices) purportedly given by or on behalf of the Borrowers even if (i) such notices were not made in a manner specified herein, were incomplete or were not preceded or followed by any other form of notice specified herein, or (ii) the terms thereof, as understood by the recipient, varied from any confirmation thereof. The Borrowers shall indemnify the Administrative Agent, the Letter of Credit Issuer, each Lender and the Related Parties of each of them from all losses, costs, expenses and liabilities resulting from the reliance by such Person on each notice purportedly given by or on behalf of the Borrowers. All telephonic notices to and other telephonic communications with the Administrative Agent may be recorded by the Administrative Agent, and each of the parties hereto hereby consents to such recording.</w:t>
      </w:r>
    </w:p>
    <w:p>
      <w:pPr>
        <w:spacing w:after="0" w:line="166" w:lineRule="exact"/>
        <w:rPr>
          <w:sz w:val="20"/>
          <w:szCs w:val="20"/>
          <w:color w:val="auto"/>
        </w:rPr>
      </w:pPr>
    </w:p>
    <w:p>
      <w:pPr>
        <w:jc w:val="both"/>
        <w:ind w:firstLine="629"/>
        <w:spacing w:after="0" w:line="253" w:lineRule="auto"/>
        <w:rPr>
          <w:sz w:val="20"/>
          <w:szCs w:val="20"/>
          <w:color w:val="auto"/>
        </w:rPr>
      </w:pPr>
      <w:r>
        <w:rPr>
          <w:rFonts w:ascii="Arial" w:cs="Arial" w:eastAsia="Arial" w:hAnsi="Arial"/>
          <w:sz w:val="19"/>
          <w:szCs w:val="19"/>
          <w:b w:val="1"/>
          <w:bCs w:val="1"/>
          <w:color w:val="auto"/>
        </w:rPr>
        <w:t xml:space="preserve">11.3 No Waiver; Cumulative Remedies. </w:t>
      </w:r>
      <w:r>
        <w:rPr>
          <w:rFonts w:ascii="Arial" w:cs="Arial" w:eastAsia="Arial" w:hAnsi="Arial"/>
          <w:sz w:val="19"/>
          <w:szCs w:val="19"/>
          <w:color w:val="auto"/>
        </w:rPr>
        <w:t>No failure by any Lender, the Letter of Credit Issuer or the Administrative Agent to</w:t>
      </w:r>
      <w:r>
        <w:rPr>
          <w:rFonts w:ascii="Arial" w:cs="Arial" w:eastAsia="Arial" w:hAnsi="Arial"/>
          <w:sz w:val="19"/>
          <w:szCs w:val="19"/>
          <w:b w:val="1"/>
          <w:bCs w:val="1"/>
          <w:color w:val="auto"/>
        </w:rPr>
        <w:t xml:space="preserve"> </w:t>
      </w:r>
      <w:r>
        <w:rPr>
          <w:rFonts w:ascii="Arial" w:cs="Arial" w:eastAsia="Arial" w:hAnsi="Arial"/>
          <w:sz w:val="19"/>
          <w:szCs w:val="19"/>
          <w:color w:val="auto"/>
        </w:rPr>
        <w:t>exercise, and no delay by any such Person in exercising, any right, remedy, power or privilege hereunder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are cumulative and not exclusive of any rights, remedies, powers and privileges provided by law.</w:t>
      </w:r>
    </w:p>
    <w:p>
      <w:pPr>
        <w:spacing w:after="0" w:line="1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Notwithstanding anything to the contrary contained herein or in any other Loan Document, the authority to enforce rights and remedies hereunder and under the other Loan Documents against the Borrowers or any other Loan Party or any of them (including enforcement action with respect to any Collateral) shall be vested exclusively in, and all actions and proceedings at law in connection with such enforcement shall be instituted and maintained exclusively by, the Administrative Agent in accordance with </w:t>
      </w:r>
      <w:r>
        <w:rPr>
          <w:rFonts w:ascii="Arial" w:cs="Arial" w:eastAsia="Arial" w:hAnsi="Arial"/>
          <w:sz w:val="17"/>
          <w:szCs w:val="17"/>
          <w:u w:val="single" w:color="auto"/>
          <w:color w:val="auto"/>
        </w:rPr>
        <w:t>Section 9.02</w:t>
      </w:r>
      <w:r>
        <w:rPr>
          <w:rFonts w:ascii="Arial" w:cs="Arial" w:eastAsia="Arial" w:hAnsi="Arial"/>
          <w:sz w:val="17"/>
          <w:szCs w:val="17"/>
          <w:color w:val="auto"/>
        </w:rPr>
        <w:t xml:space="preserve"> for the benefit of all the Secured Parties;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foregoing shall not prohibit (a) the Administrative Agent from exercising on its own behalf the rights and remedies that inure to its benefit (solely in its capacity as Administrative Agent) hereunder and under the other Loan Documents, (b) the Letter of Credit Issuer from exercising the rights and remedies that inure to its benefit (solely in its capacity as Letter of Credit Issuer) hereunder and under the other Loan Documents, (c) any Lender from exercising setoff rights in accordance with </w:t>
      </w:r>
      <w:r>
        <w:rPr>
          <w:rFonts w:ascii="Arial" w:cs="Arial" w:eastAsia="Arial" w:hAnsi="Arial"/>
          <w:sz w:val="17"/>
          <w:szCs w:val="17"/>
          <w:u w:val="single" w:color="auto"/>
          <w:color w:val="auto"/>
        </w:rPr>
        <w:t>Section 11.08</w:t>
      </w:r>
      <w:r>
        <w:rPr>
          <w:rFonts w:ascii="Arial" w:cs="Arial" w:eastAsia="Arial" w:hAnsi="Arial"/>
          <w:sz w:val="17"/>
          <w:szCs w:val="17"/>
          <w:color w:val="auto"/>
        </w:rPr>
        <w:t xml:space="preserve"> (subject to the terms of </w:t>
      </w:r>
      <w:r>
        <w:rPr>
          <w:rFonts w:ascii="Arial" w:cs="Arial" w:eastAsia="Arial" w:hAnsi="Arial"/>
          <w:sz w:val="17"/>
          <w:szCs w:val="17"/>
          <w:u w:val="single" w:color="auto"/>
          <w:color w:val="auto"/>
        </w:rPr>
        <w:t>Section 2.14</w:t>
      </w:r>
      <w:r>
        <w:rPr>
          <w:rFonts w:ascii="Arial" w:cs="Arial" w:eastAsia="Arial" w:hAnsi="Arial"/>
          <w:sz w:val="17"/>
          <w:szCs w:val="17"/>
          <w:color w:val="auto"/>
        </w:rPr>
        <w:t xml:space="preserve">), or (d) any Lender from filing proofs of claim or appearing and filing pleadings on its own behalf during the pendency of a proceeding relative to any Borrower under any Debtor Relief Law but only to the extent the Administrative Agent shall have failed to do so within a reasonable time after notice;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that if at any time there is no Person acting as Administrative Agent hereunder and under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167</w:t>
      </w:r>
    </w:p>
    <w:p>
      <w:pPr>
        <w:sectPr>
          <w:pgSz w:w="11900" w:h="16838" w:orient="portrait"/>
          <w:cols w:equalWidth="0" w:num="1">
            <w:col w:w="11240"/>
          </w:cols>
          <w:pgMar w:left="320" w:top="1381" w:right="339" w:bottom="1440" w:gutter="0" w:footer="0" w:header="0"/>
        </w:sectPr>
      </w:pPr>
    </w:p>
    <w:bookmarkStart w:id="286" w:name="page287"/>
    <w:bookmarkEnd w:id="286"/>
    <w:p>
      <w:pPr>
        <w:jc w:val="both"/>
        <w:spacing w:after="0" w:line="304" w:lineRule="auto"/>
        <w:rPr>
          <w:sz w:val="20"/>
          <w:szCs w:val="20"/>
          <w:color w:val="auto"/>
        </w:rPr>
      </w:pPr>
      <w:r>
        <w:rPr>
          <w:rFonts w:ascii="Arial" w:cs="Arial" w:eastAsia="Arial" w:hAnsi="Arial"/>
          <w:sz w:val="17"/>
          <w:szCs w:val="17"/>
          <w:color w:val="auto"/>
        </w:rPr>
        <w:t xml:space="preserve">other Loan Documents, then (i) the Required Lenders shall have the rights otherwise ascribed to the Administrative Agent pursuant to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9.02</w:t>
      </w:r>
      <w:r>
        <w:rPr>
          <w:rFonts w:ascii="Arial" w:cs="Arial" w:eastAsia="Arial" w:hAnsi="Arial"/>
          <w:sz w:val="17"/>
          <w:szCs w:val="17"/>
          <w:color w:val="auto"/>
        </w:rPr>
        <w:t xml:space="preserve"> and (ii) in addition to the matters set forth in </w:t>
      </w:r>
      <w:r>
        <w:rPr>
          <w:rFonts w:ascii="Arial" w:cs="Arial" w:eastAsia="Arial" w:hAnsi="Arial"/>
          <w:sz w:val="17"/>
          <w:szCs w:val="17"/>
          <w:u w:val="single" w:color="auto"/>
          <w:color w:val="auto"/>
        </w:rPr>
        <w:t>clauses (b)</w:t>
      </w:r>
      <w:r>
        <w:rPr>
          <w:rFonts w:ascii="Arial" w:cs="Arial" w:eastAsia="Arial" w:hAnsi="Arial"/>
          <w:sz w:val="17"/>
          <w:szCs w:val="17"/>
          <w:color w:val="auto"/>
        </w:rPr>
        <w:t xml:space="preserve">, </w:t>
      </w:r>
      <w:r>
        <w:rPr>
          <w:rFonts w:ascii="Arial" w:cs="Arial" w:eastAsia="Arial" w:hAnsi="Arial"/>
          <w:sz w:val="17"/>
          <w:szCs w:val="17"/>
          <w:u w:val="single" w:color="auto"/>
          <w:color w:val="auto"/>
        </w:rPr>
        <w:t>(c)</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(d)</w:t>
      </w:r>
      <w:r>
        <w:rPr>
          <w:rFonts w:ascii="Arial" w:cs="Arial" w:eastAsia="Arial" w:hAnsi="Arial"/>
          <w:sz w:val="17"/>
          <w:szCs w:val="17"/>
          <w:color w:val="auto"/>
        </w:rPr>
        <w:t xml:space="preserve"> of the preceding proviso and subject to </w:t>
      </w:r>
      <w:r>
        <w:rPr>
          <w:rFonts w:ascii="Arial" w:cs="Arial" w:eastAsia="Arial" w:hAnsi="Arial"/>
          <w:sz w:val="17"/>
          <w:szCs w:val="17"/>
          <w:u w:val="single" w:color="auto"/>
          <w:color w:val="auto"/>
        </w:rPr>
        <w:t>Section 2.14</w:t>
      </w:r>
      <w:r>
        <w:rPr>
          <w:rFonts w:ascii="Arial" w:cs="Arial" w:eastAsia="Arial" w:hAnsi="Arial"/>
          <w:sz w:val="17"/>
          <w:szCs w:val="17"/>
          <w:color w:val="auto"/>
        </w:rPr>
        <w:t>, any Lender may, with the consent of the Required Lenders, enforce any rights and remedies available to it and as authorized by the Required Lenders.</w:t>
      </w:r>
    </w:p>
    <w:p>
      <w:pPr>
        <w:spacing w:after="0" w:line="130" w:lineRule="exact"/>
        <w:rPr>
          <w:sz w:val="20"/>
          <w:szCs w:val="20"/>
          <w:color w:val="auto"/>
        </w:rPr>
      </w:pPr>
    </w:p>
    <w:p>
      <w:pPr>
        <w:ind w:left="640"/>
        <w:spacing w:after="0"/>
        <w:tabs>
          <w:tab w:leader="none" w:pos="1220" w:val="left"/>
        </w:tabs>
        <w:rPr>
          <w:sz w:val="20"/>
          <w:szCs w:val="20"/>
          <w:color w:val="auto"/>
        </w:rPr>
      </w:pPr>
      <w:r>
        <w:rPr>
          <w:rFonts w:ascii="Arial" w:cs="Arial" w:eastAsia="Arial" w:hAnsi="Arial"/>
          <w:sz w:val="19"/>
          <w:szCs w:val="19"/>
          <w:b w:val="1"/>
          <w:bCs w:val="1"/>
          <w:color w:val="auto"/>
        </w:rPr>
        <w:t>11.4</w:t>
      </w:r>
      <w:r>
        <w:rPr>
          <w:sz w:val="20"/>
          <w:szCs w:val="20"/>
          <w:color w:val="auto"/>
        </w:rPr>
        <w:tab/>
      </w:r>
      <w:r>
        <w:rPr>
          <w:rFonts w:ascii="Arial" w:cs="Arial" w:eastAsia="Arial" w:hAnsi="Arial"/>
          <w:sz w:val="17"/>
          <w:szCs w:val="17"/>
          <w:b w:val="1"/>
          <w:bCs w:val="1"/>
          <w:color w:val="auto"/>
        </w:rPr>
        <w:t>Expenses; Indemnity; Damage Waiver</w:t>
      </w:r>
      <w:r>
        <w:rPr>
          <w:rFonts w:ascii="Arial" w:cs="Arial" w:eastAsia="Arial" w:hAnsi="Arial"/>
          <w:sz w:val="17"/>
          <w:szCs w:val="17"/>
          <w:color w:val="auto"/>
        </w:rPr>
        <w:t>.</w:t>
      </w:r>
    </w:p>
    <w:p>
      <w:pPr>
        <w:spacing w:after="0" w:line="220" w:lineRule="exact"/>
        <w:rPr>
          <w:sz w:val="20"/>
          <w:szCs w:val="20"/>
          <w:color w:val="auto"/>
        </w:rPr>
      </w:pPr>
    </w:p>
    <w:p>
      <w:pPr>
        <w:jc w:val="both"/>
        <w:ind w:firstLine="634"/>
        <w:spacing w:after="0" w:line="261" w:lineRule="auto"/>
        <w:tabs>
          <w:tab w:leader="none" w:pos="1249" w:val="left"/>
        </w:tabs>
        <w:numPr>
          <w:ilvl w:val="0"/>
          <w:numId w:val="290"/>
        </w:numPr>
        <w:rPr>
          <w:rFonts w:ascii="Arial" w:cs="Arial" w:eastAsia="Arial" w:hAnsi="Arial"/>
          <w:sz w:val="18"/>
          <w:szCs w:val="18"/>
          <w:color w:val="auto"/>
        </w:rPr>
      </w:pPr>
      <w:r>
        <w:rPr>
          <w:rFonts w:ascii="Arial" w:cs="Arial" w:eastAsia="Arial" w:hAnsi="Arial"/>
          <w:sz w:val="18"/>
          <w:szCs w:val="18"/>
          <w:u w:val="single" w:color="auto"/>
          <w:color w:val="auto"/>
        </w:rPr>
        <w:t>Costs and Expenses</w:t>
      </w:r>
      <w:r>
        <w:rPr>
          <w:rFonts w:ascii="Arial" w:cs="Arial" w:eastAsia="Arial" w:hAnsi="Arial"/>
          <w:sz w:val="18"/>
          <w:szCs w:val="18"/>
          <w:color w:val="auto"/>
        </w:rPr>
        <w:t>. The Borrowers shall pay (i) all reasonable out-of-pocket expenses (including any Extraordinary Expenses) incurred by the Administrative Agent and its Affiliates, (A) in connection with this Agreement and the other Loan Documents, including without limitation the reasonable fees, charges and disbursements of (1) counsel for the Administrative Agent, (2) outside consultants for the Administrative Agent, (3) appraisers, (4) Field Exams, (5) all such out-of-pocket expenses incurred during any workout, restructuring or negotiations in respect of the Obligations, and (6) environmental site assessments, (B) in connection with (1) the syndication of the credit facilities provided for herein, (2) the preparation, negotiation, administration, management, execution and delivery of this Agreement and the other Loan Documents or any amendments, modifications or waivers of the provisions thereof (whether or not the transactions contemplated hereby or thereby shall be consummated), (3) the enforcement or protection of their rights in connection with this Agreement or the Loan Documents or efforts to preserve, protect, collect, or enforce the Collateral, or (4) any workout, restructuring or negotiations in respect of any Obligations, and (ii) with respect to the Letter of Credit Issuer, and its Affiliates, all reasonable out-of-pocket expenses incurred in connection with the issuance, amendment, renewal or extension of any Letter of Credit or any demand for payment thereunder; and (iii) all reasonable out-of-pocket expenses incurred by the Secured Parties who are not the Administrative Agent, the Arranger, the Letter of Credit Issuer or any Affiliate of any of them, after the occurrence and during the continuance of an Event of Default (the foregoing, collectively being referred to as “</w:t>
      </w:r>
      <w:r>
        <w:rPr>
          <w:rFonts w:ascii="Arial" w:cs="Arial" w:eastAsia="Arial" w:hAnsi="Arial"/>
          <w:sz w:val="18"/>
          <w:szCs w:val="18"/>
          <w:u w:val="single" w:color="auto"/>
          <w:color w:val="auto"/>
        </w:rPr>
        <w:t>Secured Party Expenses</w:t>
      </w:r>
      <w:r>
        <w:rPr>
          <w:rFonts w:ascii="Arial" w:cs="Arial" w:eastAsia="Arial" w:hAnsi="Arial"/>
          <w:sz w:val="18"/>
          <w:szCs w:val="18"/>
          <w:color w:val="auto"/>
        </w:rPr>
        <w:t>”).</w:t>
      </w:r>
    </w:p>
    <w:p>
      <w:pPr>
        <w:spacing w:after="0" w:line="179" w:lineRule="exact"/>
        <w:rPr>
          <w:rFonts w:ascii="Arial" w:cs="Arial" w:eastAsia="Arial" w:hAnsi="Arial"/>
          <w:sz w:val="18"/>
          <w:szCs w:val="18"/>
          <w:color w:val="auto"/>
        </w:rPr>
      </w:pPr>
    </w:p>
    <w:p>
      <w:pPr>
        <w:jc w:val="both"/>
        <w:ind w:firstLine="634"/>
        <w:spacing w:after="0" w:line="261" w:lineRule="auto"/>
        <w:tabs>
          <w:tab w:leader="none" w:pos="1247" w:val="left"/>
        </w:tabs>
        <w:numPr>
          <w:ilvl w:val="0"/>
          <w:numId w:val="290"/>
        </w:numPr>
        <w:rPr>
          <w:rFonts w:ascii="Arial" w:cs="Arial" w:eastAsia="Arial" w:hAnsi="Arial"/>
          <w:sz w:val="18"/>
          <w:szCs w:val="18"/>
          <w:color w:val="auto"/>
        </w:rPr>
      </w:pPr>
      <w:r>
        <w:rPr>
          <w:rFonts w:ascii="Arial" w:cs="Arial" w:eastAsia="Arial" w:hAnsi="Arial"/>
          <w:sz w:val="18"/>
          <w:szCs w:val="18"/>
          <w:u w:val="single" w:color="auto"/>
          <w:color w:val="auto"/>
        </w:rPr>
        <w:t>Indemnification by the Borrowers</w:t>
      </w:r>
      <w:r>
        <w:rPr>
          <w:rFonts w:ascii="Arial" w:cs="Arial" w:eastAsia="Arial" w:hAnsi="Arial"/>
          <w:sz w:val="18"/>
          <w:szCs w:val="18"/>
          <w:color w:val="auto"/>
        </w:rPr>
        <w:t>. Each Loan Party shall indemnify the Administrative Agent (and any sub-agent thereof), each other Secured Party and each Related Party of any of the foregoing Persons (each such Person being called an “</w:t>
      </w:r>
      <w:r>
        <w:rPr>
          <w:rFonts w:ascii="Arial" w:cs="Arial" w:eastAsia="Arial" w:hAnsi="Arial"/>
          <w:sz w:val="18"/>
          <w:szCs w:val="18"/>
          <w:u w:val="single" w:color="auto"/>
          <w:color w:val="auto"/>
        </w:rPr>
        <w:t>Indemnitee</w:t>
      </w:r>
      <w:r>
        <w:rPr>
          <w:rFonts w:ascii="Arial" w:cs="Arial" w:eastAsia="Arial" w:hAnsi="Arial"/>
          <w:sz w:val="18"/>
          <w:szCs w:val="18"/>
          <w:color w:val="auto"/>
        </w:rPr>
        <w:t xml:space="preserve">”) against, and hold harmless each Indemnitee from, any and all losses, claims, damages, liabilities and related expenses (including the reasonable fees, charges and disbursements of any counsel for any Indemnitee), incurred by any Indemnitee or asserted against any Indemnitee by any third party or by the Borrowers or any other Loan Party arising out of, in connection with, or as a result of (i) the execution or delivery of this Agreement, any other Loan Document or any agreement or instrument contemplated hereby or thereby, the performance by the parties hereto of their respective obligations hereunder or thereunder, the consummation of the transactions contemplated hereby or thereby or, in the case of the Administrative Agent (and any sub-agent thereof) and its Related Parties only, the administration of this Agreement and the other Loan Documents (including in respect of any matters addressed in </w:t>
      </w:r>
      <w:r>
        <w:rPr>
          <w:rFonts w:ascii="Arial" w:cs="Arial" w:eastAsia="Arial" w:hAnsi="Arial"/>
          <w:sz w:val="18"/>
          <w:szCs w:val="18"/>
          <w:u w:val="single" w:color="auto"/>
          <w:color w:val="auto"/>
        </w:rPr>
        <w:t>Section 4.01</w:t>
      </w:r>
      <w:r>
        <w:rPr>
          <w:rFonts w:ascii="Arial" w:cs="Arial" w:eastAsia="Arial" w:hAnsi="Arial"/>
          <w:sz w:val="18"/>
          <w:szCs w:val="18"/>
          <w:color w:val="auto"/>
        </w:rPr>
        <w:t>), (ii) any Loan or Letter of Credit or the use or proposed use of the proceeds therefrom (including any refusal by the Letter of Credit Issuer to honor a demand for payment under a Letter of Credit if the documents presented in connection with such demand do not strictly comply with the terms of such Letter of Credit), (iii) any actual or alleged presence or release of Hazardous Materials on or from any property owned or operated by any Loan Party or any of its Subsidiaries, or any Environmental Liability related in any way to any Loan Party or any of its Subsidiaries, (iv) any claims of, or amounts paid by any Secured Party to, a Controlled Account Bank or other Person which has entered into a control agreement with any Secured Party hereunder or (v) any actual or prospective claim, litigation, investigation or proceeding relating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168</w:t>
      </w:r>
    </w:p>
    <w:p>
      <w:pPr>
        <w:sectPr>
          <w:pgSz w:w="11900" w:h="16838" w:orient="portrait"/>
          <w:cols w:equalWidth="0" w:num="1">
            <w:col w:w="11240"/>
          </w:cols>
          <w:pgMar w:left="320" w:top="1382" w:right="339" w:bottom="1440" w:gutter="0" w:footer="0" w:header="0"/>
        </w:sectPr>
      </w:pPr>
    </w:p>
    <w:bookmarkStart w:id="287" w:name="page288"/>
    <w:bookmarkEnd w:id="287"/>
    <w:p>
      <w:pPr>
        <w:jc w:val="both"/>
        <w:spacing w:after="0" w:line="273" w:lineRule="auto"/>
        <w:rPr>
          <w:sz w:val="20"/>
          <w:szCs w:val="20"/>
          <w:color w:val="auto"/>
        </w:rPr>
      </w:pPr>
      <w:r>
        <w:rPr>
          <w:rFonts w:ascii="Arial" w:cs="Arial" w:eastAsia="Arial" w:hAnsi="Arial"/>
          <w:sz w:val="18"/>
          <w:szCs w:val="18"/>
          <w:color w:val="auto"/>
        </w:rPr>
        <w:t xml:space="preserve">any of the foregoing, whether based on contract, tort or any other theory, whether brought by a third party or by the Borrowers or any other Loan Party, and regardless of whether any Indemnitee is a party thereto;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indemnity shall not, as to any Indemnitee, be available to the extent that such losses, claims, damages, liabilities or related expenses are determined by a court of competent jurisdiction by final and nonappealable judgment to have resulted from the gross negligence or willful misconduct of such Indemnitee.</w:t>
      </w:r>
    </w:p>
    <w:p>
      <w:pPr>
        <w:spacing w:after="0" w:line="160" w:lineRule="exact"/>
        <w:rPr>
          <w:sz w:val="20"/>
          <w:szCs w:val="20"/>
          <w:color w:val="auto"/>
        </w:rPr>
      </w:pPr>
    </w:p>
    <w:p>
      <w:pPr>
        <w:jc w:val="both"/>
        <w:ind w:firstLine="634"/>
        <w:spacing w:after="0" w:line="260" w:lineRule="auto"/>
        <w:tabs>
          <w:tab w:leader="none" w:pos="1249" w:val="left"/>
        </w:tabs>
        <w:numPr>
          <w:ilvl w:val="0"/>
          <w:numId w:val="291"/>
        </w:numPr>
        <w:rPr>
          <w:rFonts w:ascii="Arial" w:cs="Arial" w:eastAsia="Arial" w:hAnsi="Arial"/>
          <w:sz w:val="18"/>
          <w:szCs w:val="18"/>
          <w:color w:val="auto"/>
        </w:rPr>
      </w:pPr>
      <w:r>
        <w:rPr>
          <w:rFonts w:ascii="Arial" w:cs="Arial" w:eastAsia="Arial" w:hAnsi="Arial"/>
          <w:sz w:val="18"/>
          <w:szCs w:val="18"/>
          <w:u w:val="single" w:color="auto"/>
          <w:color w:val="auto"/>
        </w:rPr>
        <w:t>Indemnification of Administrative Agent by Lenders</w:t>
      </w:r>
      <w:r>
        <w:rPr>
          <w:rFonts w:ascii="Arial" w:cs="Arial" w:eastAsia="Arial" w:hAnsi="Arial"/>
          <w:sz w:val="18"/>
          <w:szCs w:val="18"/>
          <w:color w:val="auto"/>
        </w:rPr>
        <w:t>. To the extent that (i) the Loan Parties for any reason fail to indefeasibly pay any amount required under subsection (a) or (b) of this Section to be paid by it, or (ii) any liabilities, losses, damages, penalties, actions, judgments, suits, costs, expenses or disbursements of any kind or nature whatsoever are be imposed on, incurred by, or asserted against, any Administrative Agent, the Letter of Credit Issuer or a Related Party (an “</w:t>
      </w:r>
      <w:r>
        <w:rPr>
          <w:rFonts w:ascii="Arial" w:cs="Arial" w:eastAsia="Arial" w:hAnsi="Arial"/>
          <w:sz w:val="18"/>
          <w:szCs w:val="18"/>
          <w:u w:val="single" w:color="auto"/>
          <w:color w:val="auto"/>
        </w:rPr>
        <w:t>Agent Indemnitee</w:t>
      </w:r>
      <w:r>
        <w:rPr>
          <w:rFonts w:ascii="Arial" w:cs="Arial" w:eastAsia="Arial" w:hAnsi="Arial"/>
          <w:sz w:val="18"/>
          <w:szCs w:val="18"/>
          <w:color w:val="auto"/>
        </w:rPr>
        <w:t>”) in any way relating to or arising out of this Agreement or any other Loan Document or any action taken or omitted to be taken by any Agent Indemnitee in connection therewith (collectively, “</w:t>
      </w:r>
      <w:r>
        <w:rPr>
          <w:rFonts w:ascii="Arial" w:cs="Arial" w:eastAsia="Arial" w:hAnsi="Arial"/>
          <w:sz w:val="18"/>
          <w:szCs w:val="18"/>
          <w:u w:val="single" w:color="auto"/>
          <w:color w:val="auto"/>
        </w:rPr>
        <w:t>Agent Indemnitee Liabilities</w:t>
      </w:r>
      <w:r>
        <w:rPr>
          <w:rFonts w:ascii="Arial" w:cs="Arial" w:eastAsia="Arial" w:hAnsi="Arial"/>
          <w:sz w:val="18"/>
          <w:szCs w:val="18"/>
          <w:color w:val="auto"/>
        </w:rPr>
        <w:t xml:space="preserve">”), then each Lender severally agrees to pay to the Administrative Agent for the benefit of such Agent Indemnitee, such Lender’s Ratable Share (determined as of the time that the applicable unreimbursed expense or indemnity payment is sought) of such Agent Indemnitee Liabilities, so long as the Agent Indemnitee Liabilities were incurred by or asserted against the Administrative Agent (or any such sub-agent) or the Letter of Credit Issuer in its capacity as such, or against any Related Party of any of the foregoing acting for the Administrative Agent (or any such sub-agent) or Letter of Credit Issuer in connection with such capacity. The obligations of the Lenders under this subsection (c) are subject to the provisions of </w:t>
      </w:r>
      <w:r>
        <w:rPr>
          <w:rFonts w:ascii="Arial" w:cs="Arial" w:eastAsia="Arial" w:hAnsi="Arial"/>
          <w:sz w:val="18"/>
          <w:szCs w:val="18"/>
          <w:u w:val="single" w:color="auto"/>
          <w:color w:val="auto"/>
        </w:rPr>
        <w:t>Section 2.12(d)</w:t>
      </w:r>
      <w:r>
        <w:rPr>
          <w:rFonts w:ascii="Arial" w:cs="Arial" w:eastAsia="Arial" w:hAnsi="Arial"/>
          <w:sz w:val="18"/>
          <w:szCs w:val="18"/>
          <w:color w:val="auto"/>
        </w:rPr>
        <w:t>.In no event shall any Lender have any obligation hereunder to indemnify or hold harmless an Agent Indemnitee with respect to any Agent Indemnitee Liabilities that are determined in a final, non-appealable judgment by a court of competent jurisdiction to result from the gross negligence or willful misconduct of such Agent Indemnitee. In the Administrative Agent’s discretion, it may reserve for any Agent Indemnitee Liabilities of an Agent Indemnitee, and may satisfy any judgment, order or settlement relating thereto, from proceeds of Collateral prior to making any distribution of Collateral proceeds to the Secured Parties. If the Administrative Agent is sued by any creditor representative, debtor-in-possession or other Person for any alleged preference or fraudulent transfer, then any monies paid by the Administrative Agent in settlement or satisfaction of such proceeding, together with all interest, costs and expenses (including attorneys’ fees) incurred in the defense of same, shall be promptly reimbursed to the Administrative Agent by each Lender to the extent of its Ratable Share thereof.</w:t>
      </w:r>
    </w:p>
    <w:p>
      <w:pPr>
        <w:spacing w:after="0" w:line="185" w:lineRule="exact"/>
        <w:rPr>
          <w:rFonts w:ascii="Arial" w:cs="Arial" w:eastAsia="Arial" w:hAnsi="Arial"/>
          <w:sz w:val="18"/>
          <w:szCs w:val="18"/>
          <w:color w:val="auto"/>
        </w:rPr>
      </w:pPr>
    </w:p>
    <w:p>
      <w:pPr>
        <w:jc w:val="both"/>
        <w:ind w:firstLine="634"/>
        <w:spacing w:after="0" w:line="265" w:lineRule="auto"/>
        <w:tabs>
          <w:tab w:leader="none" w:pos="1247" w:val="left"/>
        </w:tabs>
        <w:numPr>
          <w:ilvl w:val="0"/>
          <w:numId w:val="291"/>
        </w:numPr>
        <w:rPr>
          <w:rFonts w:ascii="Arial" w:cs="Arial" w:eastAsia="Arial" w:hAnsi="Arial"/>
          <w:sz w:val="18"/>
          <w:szCs w:val="18"/>
          <w:color w:val="auto"/>
        </w:rPr>
      </w:pPr>
      <w:r>
        <w:rPr>
          <w:rFonts w:ascii="Arial" w:cs="Arial" w:eastAsia="Arial" w:hAnsi="Arial"/>
          <w:sz w:val="18"/>
          <w:szCs w:val="18"/>
          <w:u w:val="single" w:color="auto"/>
          <w:color w:val="auto"/>
        </w:rPr>
        <w:t>Waiver of Consequential Damages, Etc.</w:t>
      </w:r>
      <w:r>
        <w:rPr>
          <w:rFonts w:ascii="Arial" w:cs="Arial" w:eastAsia="Arial" w:hAnsi="Arial"/>
          <w:sz w:val="18"/>
          <w:szCs w:val="18"/>
          <w:color w:val="auto"/>
        </w:rPr>
        <w:t xml:space="preserve"> To the fullest extent permitted by applicable Law, the Loan Parties shall not assert, and hereby waives,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Letter of Credit or the use of the proceeds thereof. No Indemnitee referred to in subsection (b) above 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w:t>
      </w:r>
    </w:p>
    <w:p>
      <w:pPr>
        <w:spacing w:after="0" w:line="170" w:lineRule="exact"/>
        <w:rPr>
          <w:rFonts w:ascii="Arial" w:cs="Arial" w:eastAsia="Arial" w:hAnsi="Arial"/>
          <w:sz w:val="18"/>
          <w:szCs w:val="18"/>
          <w:color w:val="auto"/>
        </w:rPr>
      </w:pPr>
    </w:p>
    <w:p>
      <w:pPr>
        <w:ind w:left="1260" w:hanging="626"/>
        <w:spacing w:after="0"/>
        <w:tabs>
          <w:tab w:leader="none" w:pos="1260" w:val="left"/>
        </w:tabs>
        <w:numPr>
          <w:ilvl w:val="0"/>
          <w:numId w:val="291"/>
        </w:numPr>
        <w:rPr>
          <w:rFonts w:ascii="Arial" w:cs="Arial" w:eastAsia="Arial" w:hAnsi="Arial"/>
          <w:sz w:val="18"/>
          <w:szCs w:val="18"/>
          <w:color w:val="auto"/>
        </w:rPr>
      </w:pPr>
      <w:r>
        <w:rPr>
          <w:rFonts w:ascii="Arial" w:cs="Arial" w:eastAsia="Arial" w:hAnsi="Arial"/>
          <w:sz w:val="18"/>
          <w:szCs w:val="18"/>
          <w:u w:val="single" w:color="auto"/>
          <w:color w:val="auto"/>
        </w:rPr>
        <w:t>Payments</w:t>
      </w:r>
      <w:r>
        <w:rPr>
          <w:rFonts w:ascii="Arial" w:cs="Arial" w:eastAsia="Arial" w:hAnsi="Arial"/>
          <w:sz w:val="18"/>
          <w:szCs w:val="18"/>
          <w:color w:val="auto"/>
        </w:rPr>
        <w:t>. All amounts due under this Section shall be payable not later than ten Business Days after demand therefor.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169</w:t>
      </w:r>
    </w:p>
    <w:p>
      <w:pPr>
        <w:sectPr>
          <w:pgSz w:w="11900" w:h="16838" w:orient="portrait"/>
          <w:cols w:equalWidth="0" w:num="1">
            <w:col w:w="11240"/>
          </w:cols>
          <w:pgMar w:left="320" w:top="1382" w:right="339" w:bottom="1440" w:gutter="0" w:footer="0" w:header="0"/>
        </w:sectPr>
      </w:pPr>
    </w:p>
    <w:bookmarkStart w:id="288" w:name="page289"/>
    <w:bookmarkEnd w:id="288"/>
    <w:p>
      <w:pPr>
        <w:ind w:firstLine="634"/>
        <w:spacing w:after="0" w:line="274" w:lineRule="auto"/>
        <w:tabs>
          <w:tab w:leader="none" w:pos="1254" w:val="left"/>
        </w:tabs>
        <w:numPr>
          <w:ilvl w:val="0"/>
          <w:numId w:val="292"/>
        </w:numPr>
        <w:rPr>
          <w:rFonts w:ascii="Arial" w:cs="Arial" w:eastAsia="Arial" w:hAnsi="Arial"/>
          <w:sz w:val="19"/>
          <w:szCs w:val="19"/>
          <w:color w:val="auto"/>
        </w:rPr>
      </w:pPr>
      <w:r>
        <w:rPr>
          <w:rFonts w:ascii="Arial" w:cs="Arial" w:eastAsia="Arial" w:hAnsi="Arial"/>
          <w:sz w:val="19"/>
          <w:szCs w:val="19"/>
          <w:u w:val="single" w:color="auto"/>
          <w:color w:val="auto"/>
        </w:rPr>
        <w:t>Survival</w:t>
      </w:r>
      <w:r>
        <w:rPr>
          <w:rFonts w:ascii="Arial" w:cs="Arial" w:eastAsia="Arial" w:hAnsi="Arial"/>
          <w:sz w:val="19"/>
          <w:szCs w:val="19"/>
          <w:color w:val="auto"/>
        </w:rPr>
        <w:t>. The agreements in this Section shall survive the resignation of the Administrative Agent, the Letter of Credit Issuer and the Swing Line Lender, the replacement of any Lender and the occurrence of the Facility Termination Date.</w:t>
      </w:r>
    </w:p>
    <w:p>
      <w:pPr>
        <w:spacing w:after="0" w:line="151" w:lineRule="exact"/>
        <w:rPr>
          <w:sz w:val="20"/>
          <w:szCs w:val="20"/>
          <w:color w:val="auto"/>
        </w:rPr>
      </w:pPr>
    </w:p>
    <w:p>
      <w:pPr>
        <w:jc w:val="both"/>
        <w:ind w:firstLine="629"/>
        <w:spacing w:after="0" w:line="276" w:lineRule="auto"/>
        <w:rPr>
          <w:sz w:val="20"/>
          <w:szCs w:val="20"/>
          <w:color w:val="auto"/>
        </w:rPr>
      </w:pPr>
      <w:r>
        <w:rPr>
          <w:rFonts w:ascii="Arial" w:cs="Arial" w:eastAsia="Arial" w:hAnsi="Arial"/>
          <w:sz w:val="17"/>
          <w:szCs w:val="17"/>
          <w:b w:val="1"/>
          <w:bCs w:val="1"/>
          <w:color w:val="auto"/>
        </w:rPr>
        <w:t>11.5 Marshalling; Payments Set Aside</w:t>
      </w:r>
      <w:r>
        <w:rPr>
          <w:rFonts w:ascii="Arial" w:cs="Arial" w:eastAsia="Arial" w:hAnsi="Arial"/>
          <w:sz w:val="17"/>
          <w:szCs w:val="17"/>
          <w:color w:val="auto"/>
        </w:rPr>
        <w:t>. None of the Administrative Agent or Lenders shall be under any obligation to marshal any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assets in favor of any Loan Party or against any Obligations. To the extent that any payment by or on behalf of any Loan Party is made to a Secured Party, or a Secured Party exercises its right of setoff, and such payment or the proceeds of such setoff or any part thereof is subsequently invalidated, declared to be fraudulent or preferential, set aside or required (including pursuant to any settlement entered into by such Secured Party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and the Letter of Credit Issuer severally agrees to pay to the Administrative Agent upon demand its applicable share (without duplication) of any amount so recovered from or repaid by the Administrative Agent,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interest thereon from the date of such demand to the date such payment is made at a rate per annum equal to the applicable Overnight Rate, in the applicable currency of such recovery or payment. The obligations of the Loan Parties under </w:t>
      </w:r>
      <w:r>
        <w:rPr>
          <w:rFonts w:ascii="Arial" w:cs="Arial" w:eastAsia="Arial" w:hAnsi="Arial"/>
          <w:sz w:val="17"/>
          <w:szCs w:val="17"/>
          <w:u w:val="single" w:color="auto"/>
          <w:color w:val="auto"/>
        </w:rPr>
        <w:t>clause</w:t>
      </w:r>
    </w:p>
    <w:p>
      <w:pPr>
        <w:spacing w:after="0" w:line="3" w:lineRule="exact"/>
        <w:rPr>
          <w:sz w:val="20"/>
          <w:szCs w:val="20"/>
          <w:color w:val="auto"/>
        </w:rPr>
      </w:pPr>
    </w:p>
    <w:p>
      <w:pPr>
        <w:ind w:firstLine="5"/>
        <w:spacing w:after="0" w:line="256" w:lineRule="auto"/>
        <w:tabs>
          <w:tab w:leader="none" w:pos="282" w:val="left"/>
        </w:tabs>
        <w:numPr>
          <w:ilvl w:val="0"/>
          <w:numId w:val="293"/>
        </w:numPr>
        <w:rPr>
          <w:rFonts w:ascii="Arial" w:cs="Arial" w:eastAsia="Arial" w:hAnsi="Arial"/>
          <w:sz w:val="19"/>
          <w:szCs w:val="19"/>
          <w:u w:val="single" w:color="auto"/>
          <w:color w:val="auto"/>
        </w:rPr>
      </w:pPr>
      <w:r>
        <w:rPr>
          <w:rFonts w:ascii="Arial" w:cs="Arial" w:eastAsia="Arial" w:hAnsi="Arial"/>
          <w:sz w:val="19"/>
          <w:szCs w:val="19"/>
          <w:color w:val="auto"/>
        </w:rPr>
        <w:t xml:space="preserve">of this section and the Lenders and the Letter of Credit Issuer under </w:t>
      </w:r>
      <w:r>
        <w:rPr>
          <w:rFonts w:ascii="Arial" w:cs="Arial" w:eastAsia="Arial" w:hAnsi="Arial"/>
          <w:sz w:val="19"/>
          <w:szCs w:val="19"/>
          <w:u w:val="single" w:color="auto"/>
          <w:color w:val="auto"/>
        </w:rPr>
        <w:t>clause (b)</w:t>
      </w:r>
      <w:r>
        <w:rPr>
          <w:rFonts w:ascii="Arial" w:cs="Arial" w:eastAsia="Arial" w:hAnsi="Arial"/>
          <w:sz w:val="19"/>
          <w:szCs w:val="19"/>
          <w:color w:val="auto"/>
        </w:rPr>
        <w:t xml:space="preserve"> of this section shall survive the occurrence of the Facility Termination Date.</w:t>
      </w:r>
    </w:p>
    <w:p>
      <w:pPr>
        <w:spacing w:after="0" w:line="168" w:lineRule="exact"/>
        <w:rPr>
          <w:sz w:val="20"/>
          <w:szCs w:val="20"/>
          <w:color w:val="auto"/>
        </w:rPr>
      </w:pPr>
    </w:p>
    <w:p>
      <w:pPr>
        <w:ind w:left="640"/>
        <w:spacing w:after="0"/>
        <w:tabs>
          <w:tab w:leader="none" w:pos="1220" w:val="left"/>
        </w:tabs>
        <w:rPr>
          <w:sz w:val="20"/>
          <w:szCs w:val="20"/>
          <w:color w:val="auto"/>
        </w:rPr>
      </w:pPr>
      <w:r>
        <w:rPr>
          <w:rFonts w:ascii="Arial" w:cs="Arial" w:eastAsia="Arial" w:hAnsi="Arial"/>
          <w:sz w:val="19"/>
          <w:szCs w:val="19"/>
          <w:b w:val="1"/>
          <w:bCs w:val="1"/>
          <w:color w:val="auto"/>
        </w:rPr>
        <w:t>11.6</w:t>
      </w:r>
      <w:r>
        <w:rPr>
          <w:sz w:val="20"/>
          <w:szCs w:val="20"/>
          <w:color w:val="auto"/>
        </w:rPr>
        <w:tab/>
      </w:r>
      <w:r>
        <w:rPr>
          <w:rFonts w:ascii="Arial" w:cs="Arial" w:eastAsia="Arial" w:hAnsi="Arial"/>
          <w:sz w:val="16"/>
          <w:szCs w:val="16"/>
          <w:b w:val="1"/>
          <w:bCs w:val="1"/>
          <w:color w:val="auto"/>
        </w:rPr>
        <w:t>Successors and Assigns.</w:t>
      </w:r>
    </w:p>
    <w:p>
      <w:pPr>
        <w:spacing w:after="0" w:line="220" w:lineRule="exact"/>
        <w:rPr>
          <w:sz w:val="20"/>
          <w:szCs w:val="20"/>
          <w:color w:val="auto"/>
        </w:rPr>
      </w:pPr>
    </w:p>
    <w:p>
      <w:pPr>
        <w:jc w:val="both"/>
        <w:ind w:firstLine="634"/>
        <w:spacing w:after="0" w:line="276" w:lineRule="auto"/>
        <w:tabs>
          <w:tab w:leader="none" w:pos="1249" w:val="left"/>
        </w:tabs>
        <w:numPr>
          <w:ilvl w:val="1"/>
          <w:numId w:val="294"/>
        </w:numPr>
        <w:rPr>
          <w:rFonts w:ascii="Arial" w:cs="Arial" w:eastAsia="Arial" w:hAnsi="Arial"/>
          <w:sz w:val="17"/>
          <w:szCs w:val="17"/>
          <w:color w:val="auto"/>
        </w:rPr>
      </w:pPr>
      <w:r>
        <w:rPr>
          <w:rFonts w:ascii="Arial" w:cs="Arial" w:eastAsia="Arial" w:hAnsi="Arial"/>
          <w:sz w:val="17"/>
          <w:szCs w:val="17"/>
          <w:u w:val="single" w:color="auto"/>
          <w:color w:val="auto"/>
        </w:rPr>
        <w:t>Successors and Assigns Generally</w:t>
      </w:r>
      <w:r>
        <w:rPr>
          <w:rFonts w:ascii="Arial" w:cs="Arial" w:eastAsia="Arial" w:hAnsi="Arial"/>
          <w:sz w:val="17"/>
          <w:szCs w:val="17"/>
          <w:color w:val="auto"/>
        </w:rPr>
        <w:t xml:space="preserve">. The provisions of this Agreement shall be binding upon and inure to the benefit of the parties hereto and their respective successors and assigns permitted hereby, except that no Loan Party may assign or otherwise transfer any of its rights or obligations hereunder (except in connection with the joinder of a Loan Party in accordance with </w:t>
      </w:r>
      <w:r>
        <w:rPr>
          <w:rFonts w:ascii="Arial" w:cs="Arial" w:eastAsia="Arial" w:hAnsi="Arial"/>
          <w:sz w:val="17"/>
          <w:szCs w:val="17"/>
          <w:u w:val="single" w:color="auto"/>
          <w:color w:val="auto"/>
        </w:rPr>
        <w:t>Section 7.12</w:t>
      </w:r>
      <w:r>
        <w:rPr>
          <w:rFonts w:ascii="Arial" w:cs="Arial" w:eastAsia="Arial" w:hAnsi="Arial"/>
          <w:sz w:val="17"/>
          <w:szCs w:val="17"/>
          <w:color w:val="auto"/>
        </w:rPr>
        <w:t>) without the prior written consent of the Administrative Agent and each Lender and no Lender may assign or otherwise transfer any of its rights or obligations hereunder except (i) to an Eligible Assignee in accordance with the provisions of subsection (b) of this Section, (ii) by way of participation in accordance with the provisions of subsection (d) of this Section, or (iii) by way of pledge or assignment of a security interest subject to the restrictions of subsection</w:t>
      </w:r>
    </w:p>
    <w:p>
      <w:pPr>
        <w:spacing w:after="0" w:line="4" w:lineRule="exact"/>
        <w:rPr>
          <w:rFonts w:ascii="Arial" w:cs="Arial" w:eastAsia="Arial" w:hAnsi="Arial"/>
          <w:sz w:val="17"/>
          <w:szCs w:val="17"/>
          <w:color w:val="auto"/>
        </w:rPr>
      </w:pPr>
    </w:p>
    <w:p>
      <w:pPr>
        <w:jc w:val="both"/>
        <w:ind w:firstLine="5"/>
        <w:spacing w:after="0" w:line="267" w:lineRule="auto"/>
        <w:tabs>
          <w:tab w:leader="none" w:pos="269" w:val="left"/>
        </w:tabs>
        <w:numPr>
          <w:ilvl w:val="0"/>
          <w:numId w:val="295"/>
        </w:numPr>
        <w:rPr>
          <w:rFonts w:ascii="Arial" w:cs="Arial" w:eastAsia="Arial" w:hAnsi="Arial"/>
          <w:sz w:val="18"/>
          <w:szCs w:val="18"/>
          <w:color w:val="auto"/>
        </w:rPr>
      </w:pPr>
      <w:r>
        <w:rPr>
          <w:rFonts w:ascii="Arial" w:cs="Arial" w:eastAsia="Arial" w:hAnsi="Arial"/>
          <w:sz w:val="18"/>
          <w:szCs w:val="18"/>
          <w:color w:val="auto"/>
        </w:rPr>
        <w:t>of this Section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subsection (d) of this Section and, to the extent expressly contemplated hereby, the Related Parties of each of the Secured Parties) any legal or equitable right, remedy or claim under or by reason of this Agreement.</w:t>
      </w:r>
    </w:p>
    <w:p>
      <w:pPr>
        <w:spacing w:after="0" w:line="164" w:lineRule="exact"/>
        <w:rPr>
          <w:rFonts w:ascii="Arial" w:cs="Arial" w:eastAsia="Arial" w:hAnsi="Arial"/>
          <w:sz w:val="18"/>
          <w:szCs w:val="18"/>
          <w:color w:val="auto"/>
        </w:rPr>
      </w:pPr>
    </w:p>
    <w:p>
      <w:pPr>
        <w:jc w:val="both"/>
        <w:ind w:firstLine="634"/>
        <w:spacing w:after="0" w:line="254" w:lineRule="auto"/>
        <w:tabs>
          <w:tab w:leader="none" w:pos="1247" w:val="left"/>
        </w:tabs>
        <w:numPr>
          <w:ilvl w:val="1"/>
          <w:numId w:val="295"/>
        </w:numPr>
        <w:rPr>
          <w:rFonts w:ascii="Arial" w:cs="Arial" w:eastAsia="Arial" w:hAnsi="Arial"/>
          <w:sz w:val="19"/>
          <w:szCs w:val="19"/>
          <w:color w:val="auto"/>
        </w:rPr>
      </w:pPr>
      <w:r>
        <w:rPr>
          <w:rFonts w:ascii="Arial" w:cs="Arial" w:eastAsia="Arial" w:hAnsi="Arial"/>
          <w:sz w:val="19"/>
          <w:szCs w:val="19"/>
          <w:u w:val="single" w:color="auto"/>
          <w:color w:val="auto"/>
        </w:rPr>
        <w:t>Assignments by Lenders</w:t>
      </w:r>
      <w:r>
        <w:rPr>
          <w:rFonts w:ascii="Arial" w:cs="Arial" w:eastAsia="Arial" w:hAnsi="Arial"/>
          <w:sz w:val="19"/>
          <w:szCs w:val="19"/>
          <w:color w:val="auto"/>
        </w:rPr>
        <w:t xml:space="preserve">. Any Lender may at any time assign to one or more assignees all or a portion of its rights and obligations under this Agreement (including all or a portion of its Revolving Credit Commitment(s) and the Loans (including for purposes of this </w:t>
      </w:r>
      <w:r>
        <w:rPr>
          <w:rFonts w:ascii="Arial" w:cs="Arial" w:eastAsia="Arial" w:hAnsi="Arial"/>
          <w:sz w:val="19"/>
          <w:szCs w:val="19"/>
          <w:u w:val="single" w:color="auto"/>
          <w:color w:val="auto"/>
        </w:rPr>
        <w:t>Section 11.06(b)</w:t>
      </w:r>
      <w:r>
        <w:rPr>
          <w:rFonts w:ascii="Arial" w:cs="Arial" w:eastAsia="Arial" w:hAnsi="Arial"/>
          <w:sz w:val="19"/>
          <w:szCs w:val="19"/>
          <w:color w:val="auto"/>
        </w:rPr>
        <w:t xml:space="preserve">, participations in Letter of Credit Obligations and in Swing Line Loans) at the time owing to 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such assignment shall be subject to the following conditions:</w:t>
      </w:r>
    </w:p>
    <w:p>
      <w:pPr>
        <w:spacing w:after="0" w:line="176" w:lineRule="exact"/>
        <w:rPr>
          <w:rFonts w:ascii="Arial" w:cs="Arial" w:eastAsia="Arial" w:hAnsi="Arial"/>
          <w:sz w:val="19"/>
          <w:szCs w:val="19"/>
          <w:color w:val="auto"/>
        </w:rPr>
      </w:pPr>
    </w:p>
    <w:p>
      <w:pPr>
        <w:jc w:val="both"/>
        <w:ind w:firstLine="634"/>
        <w:spacing w:after="0" w:line="280" w:lineRule="auto"/>
        <w:tabs>
          <w:tab w:leader="none" w:pos="1249" w:val="left"/>
        </w:tabs>
        <w:numPr>
          <w:ilvl w:val="1"/>
          <w:numId w:val="295"/>
        </w:numPr>
        <w:rPr>
          <w:rFonts w:ascii="Arial" w:cs="Arial" w:eastAsia="Arial" w:hAnsi="Arial"/>
          <w:sz w:val="18"/>
          <w:szCs w:val="18"/>
          <w:color w:val="auto"/>
        </w:rPr>
      </w:pPr>
      <w:r>
        <w:rPr>
          <w:rFonts w:ascii="Arial" w:cs="Arial" w:eastAsia="Arial" w:hAnsi="Arial"/>
          <w:sz w:val="18"/>
          <w:szCs w:val="18"/>
          <w:u w:val="single" w:color="auto"/>
          <w:color w:val="auto"/>
        </w:rPr>
        <w:t>Minimum Amounts</w:t>
      </w:r>
      <w:r>
        <w:rPr>
          <w:rFonts w:ascii="Arial" w:cs="Arial" w:eastAsia="Arial" w:hAnsi="Arial"/>
          <w:sz w:val="18"/>
          <w:szCs w:val="18"/>
          <w:color w:val="auto"/>
        </w:rPr>
        <w:t>. Except in the case of (A) an assignment of the entire remaining amount of the assigning Lender’s Revolving Credit Commitment under the Revolving Credit Facility and the Loans at the time owing to it under the Revolving Credit Facility or (B) an assignment to a Lender, an Affiliate of a Lender or an Approved Fund, the aggregate amount of the Revolving Credit Commitment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170</w:t>
      </w:r>
    </w:p>
    <w:p>
      <w:pPr>
        <w:sectPr>
          <w:pgSz w:w="11900" w:h="16838" w:orient="portrait"/>
          <w:cols w:equalWidth="0" w:num="1">
            <w:col w:w="11240"/>
          </w:cols>
          <w:pgMar w:left="320" w:top="1382" w:right="339" w:bottom="1440" w:gutter="0" w:footer="0" w:header="0"/>
        </w:sectPr>
      </w:pPr>
    </w:p>
    <w:bookmarkStart w:id="289" w:name="page290"/>
    <w:bookmarkEnd w:id="289"/>
    <w:p>
      <w:pPr>
        <w:jc w:val="both"/>
        <w:spacing w:after="0" w:line="282" w:lineRule="auto"/>
        <w:rPr>
          <w:sz w:val="20"/>
          <w:szCs w:val="20"/>
          <w:color w:val="auto"/>
        </w:rPr>
      </w:pPr>
      <w:r>
        <w:rPr>
          <w:rFonts w:ascii="Arial" w:cs="Arial" w:eastAsia="Arial" w:hAnsi="Arial"/>
          <w:sz w:val="17"/>
          <w:szCs w:val="17"/>
          <w:color w:val="auto"/>
        </w:rPr>
        <w:t xml:space="preserve">(which for this purpose includes Loans outstanding thereunder) or, if the Revolving Credit Commitment is not then in effect, the principal outstanding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$5,000,000, in the case of any assignment in respect of the Revolving Credit Facility, unless each of the Administrative Agent and, so long as no Event of Default has occurred and is continuing, the Borrower Agent otherwise consents (each such consent not to be unreasonably withheld or delayed);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concurrent assignments to members of an assignee group and concurrent assignments from members of an assignee group to a single Eligible Assignee (or to an Eligible Assignee and members of its assignee group) will be treated as a single assignment for purposes of determining whether such minimum amount has been met.</w:t>
      </w:r>
    </w:p>
    <w:p>
      <w:pPr>
        <w:spacing w:after="0" w:line="156" w:lineRule="exact"/>
        <w:rPr>
          <w:sz w:val="20"/>
          <w:szCs w:val="20"/>
          <w:color w:val="auto"/>
        </w:rPr>
      </w:pPr>
    </w:p>
    <w:p>
      <w:pPr>
        <w:jc w:val="both"/>
        <w:ind w:left="640" w:firstLine="624"/>
        <w:spacing w:after="0" w:line="280" w:lineRule="auto"/>
        <w:tabs>
          <w:tab w:leader="none" w:pos="1897" w:val="left"/>
        </w:tabs>
        <w:numPr>
          <w:ilvl w:val="0"/>
          <w:numId w:val="296"/>
        </w:numPr>
        <w:rPr>
          <w:rFonts w:ascii="Arial" w:cs="Arial" w:eastAsia="Arial" w:hAnsi="Arial"/>
          <w:sz w:val="18"/>
          <w:szCs w:val="18"/>
          <w:color w:val="auto"/>
        </w:rPr>
      </w:pPr>
      <w:r>
        <w:rPr>
          <w:rFonts w:ascii="Arial" w:cs="Arial" w:eastAsia="Arial" w:hAnsi="Arial"/>
          <w:sz w:val="18"/>
          <w:szCs w:val="18"/>
          <w:u w:val="single" w:color="auto"/>
          <w:color w:val="auto"/>
        </w:rPr>
        <w:t>Proportionate Amounts</w:t>
      </w:r>
      <w:r>
        <w:rPr>
          <w:rFonts w:ascii="Arial" w:cs="Arial" w:eastAsia="Arial" w:hAnsi="Arial"/>
          <w:sz w:val="18"/>
          <w:szCs w:val="18"/>
          <w:color w:val="auto"/>
        </w:rPr>
        <w:t>. Each partial assignment shall be made as an assignment of a proportionate part of all the assigning Lender’s rights and obligations under this Agreement with respect to the Loans or the Revolving Credit Commitment assigned, except that this clause shall not apply to the Swing Line Lender’s rights and obligations in respect of Swing Line Loans.</w:t>
      </w:r>
    </w:p>
    <w:p>
      <w:pPr>
        <w:spacing w:after="0" w:line="154" w:lineRule="exact"/>
        <w:rPr>
          <w:rFonts w:ascii="Arial" w:cs="Arial" w:eastAsia="Arial" w:hAnsi="Arial"/>
          <w:sz w:val="18"/>
          <w:szCs w:val="18"/>
          <w:color w:val="auto"/>
        </w:rPr>
      </w:pPr>
    </w:p>
    <w:p>
      <w:pPr>
        <w:jc w:val="both"/>
        <w:ind w:left="640" w:firstLine="624"/>
        <w:spacing w:after="0" w:line="254" w:lineRule="auto"/>
        <w:tabs>
          <w:tab w:leader="none" w:pos="1897" w:val="left"/>
        </w:tabs>
        <w:numPr>
          <w:ilvl w:val="0"/>
          <w:numId w:val="296"/>
        </w:numPr>
        <w:rPr>
          <w:rFonts w:ascii="Arial" w:cs="Arial" w:eastAsia="Arial" w:hAnsi="Arial"/>
          <w:sz w:val="19"/>
          <w:szCs w:val="19"/>
          <w:color w:val="auto"/>
        </w:rPr>
      </w:pPr>
      <w:r>
        <w:rPr>
          <w:rFonts w:ascii="Arial" w:cs="Arial" w:eastAsia="Arial" w:hAnsi="Arial"/>
          <w:sz w:val="19"/>
          <w:szCs w:val="19"/>
          <w:u w:val="single" w:color="auto"/>
          <w:color w:val="auto"/>
        </w:rPr>
        <w:t>Required Consents</w:t>
      </w:r>
      <w:r>
        <w:rPr>
          <w:rFonts w:ascii="Arial" w:cs="Arial" w:eastAsia="Arial" w:hAnsi="Arial"/>
          <w:sz w:val="19"/>
          <w:szCs w:val="19"/>
          <w:color w:val="auto"/>
        </w:rPr>
        <w:t xml:space="preserve">. No consent shall be required for any assignment to an Eligible Assignee except to the extent required by subsection (b)(i)(B) of this Section;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Borrower Agent shall be deemed to have given the consent required in the definition of “Eligible Assignee” to such assignment if Borrower Agent has not, on behalf of all Borrowers, responded in writing within ten (10) Business Days of a request for consent.</w:t>
      </w:r>
    </w:p>
    <w:p>
      <w:pPr>
        <w:spacing w:after="0" w:line="176" w:lineRule="exact"/>
        <w:rPr>
          <w:rFonts w:ascii="Arial" w:cs="Arial" w:eastAsia="Arial" w:hAnsi="Arial"/>
          <w:sz w:val="19"/>
          <w:szCs w:val="19"/>
          <w:color w:val="auto"/>
        </w:rPr>
      </w:pPr>
    </w:p>
    <w:p>
      <w:pPr>
        <w:jc w:val="both"/>
        <w:ind w:left="640" w:firstLine="624"/>
        <w:spacing w:after="0" w:line="273" w:lineRule="auto"/>
        <w:tabs>
          <w:tab w:leader="none" w:pos="1898" w:val="left"/>
        </w:tabs>
        <w:numPr>
          <w:ilvl w:val="0"/>
          <w:numId w:val="296"/>
        </w:numPr>
        <w:rPr>
          <w:rFonts w:ascii="Arial" w:cs="Arial" w:eastAsia="Arial" w:hAnsi="Arial"/>
          <w:sz w:val="18"/>
          <w:szCs w:val="18"/>
          <w:color w:val="auto"/>
        </w:rPr>
      </w:pP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xml:space="preserve">. The parties to each assignment shall execute and deliver to the Administrative Agent an Assignment and Assumption, together with a processing and recordation fee in the amount of $3,500;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Administrative Agent may, in its sole discretion, elect to waive such processing and recordation fee in the case of any assignment. The assignee, if it is not a Lender, shall deliver to the Administrative Agent an Administrative Questionnaire.</w:t>
      </w:r>
    </w:p>
    <w:p>
      <w:pPr>
        <w:spacing w:after="0" w:line="159" w:lineRule="exact"/>
        <w:rPr>
          <w:rFonts w:ascii="Arial" w:cs="Arial" w:eastAsia="Arial" w:hAnsi="Arial"/>
          <w:sz w:val="18"/>
          <w:szCs w:val="18"/>
          <w:color w:val="auto"/>
        </w:rPr>
      </w:pPr>
    </w:p>
    <w:p>
      <w:pPr>
        <w:jc w:val="both"/>
        <w:ind w:left="640" w:firstLine="624"/>
        <w:spacing w:after="0" w:line="280" w:lineRule="auto"/>
        <w:tabs>
          <w:tab w:leader="none" w:pos="1888" w:val="left"/>
        </w:tabs>
        <w:numPr>
          <w:ilvl w:val="0"/>
          <w:numId w:val="296"/>
        </w:numPr>
        <w:rPr>
          <w:rFonts w:ascii="Arial" w:cs="Arial" w:eastAsia="Arial" w:hAnsi="Arial"/>
          <w:sz w:val="18"/>
          <w:szCs w:val="18"/>
          <w:color w:val="auto"/>
        </w:rPr>
      </w:pPr>
      <w:r>
        <w:rPr>
          <w:rFonts w:ascii="Arial" w:cs="Arial" w:eastAsia="Arial" w:hAnsi="Arial"/>
          <w:sz w:val="18"/>
          <w:szCs w:val="18"/>
          <w:u w:val="single" w:color="auto"/>
          <w:color w:val="auto"/>
        </w:rPr>
        <w:t>No Assignment to Certain Persons</w:t>
      </w:r>
      <w:r>
        <w:rPr>
          <w:rFonts w:ascii="Arial" w:cs="Arial" w:eastAsia="Arial" w:hAnsi="Arial"/>
          <w:sz w:val="18"/>
          <w:szCs w:val="18"/>
          <w:color w:val="auto"/>
        </w:rPr>
        <w:t>. No such assignment shall be made (A) to the Borrowers or any of a Borrower’s Affiliates or Subsidiaries, (B) to any Defaulting Lender or any of its Subsidiaries, or any Person who, upon becoming a Lender hereunder, would constitute any of the foregoing Persons described in this clause (B), or (C) to a natural person.</w:t>
      </w:r>
    </w:p>
    <w:p>
      <w:pPr>
        <w:spacing w:after="0" w:line="154" w:lineRule="exact"/>
        <w:rPr>
          <w:rFonts w:ascii="Arial" w:cs="Arial" w:eastAsia="Arial" w:hAnsi="Arial"/>
          <w:sz w:val="18"/>
          <w:szCs w:val="18"/>
          <w:color w:val="auto"/>
        </w:rPr>
      </w:pPr>
    </w:p>
    <w:p>
      <w:pPr>
        <w:jc w:val="both"/>
        <w:ind w:left="640" w:firstLine="624"/>
        <w:spacing w:after="0" w:line="248" w:lineRule="auto"/>
        <w:tabs>
          <w:tab w:leader="none" w:pos="1887" w:val="left"/>
        </w:tabs>
        <w:numPr>
          <w:ilvl w:val="0"/>
          <w:numId w:val="296"/>
        </w:numPr>
        <w:rPr>
          <w:rFonts w:ascii="Arial" w:cs="Arial" w:eastAsia="Arial" w:hAnsi="Arial"/>
          <w:sz w:val="19"/>
          <w:szCs w:val="19"/>
          <w:color w:val="auto"/>
        </w:rPr>
      </w:pPr>
      <w:r>
        <w:rPr>
          <w:rFonts w:ascii="Arial" w:cs="Arial" w:eastAsia="Arial" w:hAnsi="Arial"/>
          <w:sz w:val="19"/>
          <w:szCs w:val="19"/>
          <w:u w:val="single" w:color="auto"/>
          <w:color w:val="auto"/>
        </w:rPr>
        <w:t>Certain Additional Payments</w:t>
      </w:r>
      <w:r>
        <w:rPr>
          <w:rFonts w:ascii="Arial" w:cs="Arial" w:eastAsia="Arial" w:hAnsi="Arial"/>
          <w:sz w:val="19"/>
          <w:szCs w:val="19"/>
          <w:color w:val="auto"/>
        </w:rPr>
        <w:t>.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Administrative Agent or any Lender hereunder (and interest accrued thereon) and (y) acquire (and fund as appropriate) its full pro rata share of all Loans and participations in Letters of Credit and Swing Line Loans in accordance with its Applicable Percentage. Notwithstanding the foregoing, in the event that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171</w:t>
      </w:r>
    </w:p>
    <w:p>
      <w:pPr>
        <w:sectPr>
          <w:pgSz w:w="11900" w:h="16838" w:orient="portrait"/>
          <w:cols w:equalWidth="0" w:num="1">
            <w:col w:w="11240"/>
          </w:cols>
          <w:pgMar w:left="320" w:top="1381" w:right="339" w:bottom="1440" w:gutter="0" w:footer="0" w:header="0"/>
        </w:sectPr>
      </w:pPr>
    </w:p>
    <w:bookmarkStart w:id="290" w:name="page291"/>
    <w:bookmarkEnd w:id="290"/>
    <w:p>
      <w:pPr>
        <w:jc w:val="both"/>
        <w:ind w:left="640"/>
        <w:spacing w:after="0" w:line="259" w:lineRule="auto"/>
        <w:rPr>
          <w:sz w:val="20"/>
          <w:szCs w:val="20"/>
          <w:color w:val="auto"/>
        </w:rPr>
      </w:pPr>
      <w:r>
        <w:rPr>
          <w:rFonts w:ascii="Arial" w:cs="Arial" w:eastAsia="Arial" w:hAnsi="Arial"/>
          <w:sz w:val="19"/>
          <w:szCs w:val="19"/>
          <w:color w:val="auto"/>
        </w:rPr>
        <w:t>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171" w:lineRule="exact"/>
        <w:rPr>
          <w:sz w:val="20"/>
          <w:szCs w:val="20"/>
          <w:color w:val="auto"/>
        </w:rPr>
      </w:pPr>
    </w:p>
    <w:p>
      <w:pPr>
        <w:jc w:val="both"/>
        <w:ind w:left="640" w:firstLine="624"/>
        <w:spacing w:after="0" w:line="247" w:lineRule="auto"/>
        <w:tabs>
          <w:tab w:leader="none" w:pos="1888" w:val="left"/>
        </w:tabs>
        <w:numPr>
          <w:ilvl w:val="1"/>
          <w:numId w:val="297"/>
        </w:numPr>
        <w:rPr>
          <w:rFonts w:ascii="Arial" w:cs="Arial" w:eastAsia="Arial" w:hAnsi="Arial"/>
          <w:sz w:val="19"/>
          <w:szCs w:val="19"/>
          <w:color w:val="auto"/>
        </w:rPr>
      </w:pPr>
      <w:r>
        <w:rPr>
          <w:rFonts w:ascii="Arial" w:cs="Arial" w:eastAsia="Arial" w:hAnsi="Arial"/>
          <w:sz w:val="19"/>
          <w:szCs w:val="19"/>
          <w:color w:val="auto"/>
        </w:rPr>
        <w:t xml:space="preserve">Subject to acceptance and recording thereof by the Administrative Agent pursuant to subsection (c) of this Section,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Arial" w:cs="Arial" w:eastAsia="Arial" w:hAnsi="Arial"/>
          <w:sz w:val="19"/>
          <w:szCs w:val="19"/>
          <w:u w:val="single" w:color="auto"/>
          <w:color w:val="auto"/>
        </w:rPr>
        <w:t>Sections 3.01</w:t>
      </w:r>
      <w:r>
        <w:rPr>
          <w:rFonts w:ascii="Arial" w:cs="Arial" w:eastAsia="Arial" w:hAnsi="Arial"/>
          <w:sz w:val="19"/>
          <w:szCs w:val="19"/>
          <w:color w:val="auto"/>
        </w:rPr>
        <w:t xml:space="preserve">, </w:t>
      </w:r>
      <w:r>
        <w:rPr>
          <w:rFonts w:ascii="Arial" w:cs="Arial" w:eastAsia="Arial" w:hAnsi="Arial"/>
          <w:sz w:val="19"/>
          <w:szCs w:val="19"/>
          <w:u w:val="single" w:color="auto"/>
          <w:color w:val="auto"/>
        </w:rPr>
        <w:t>3.04</w:t>
      </w:r>
      <w:r>
        <w:rPr>
          <w:rFonts w:ascii="Arial" w:cs="Arial" w:eastAsia="Arial" w:hAnsi="Arial"/>
          <w:sz w:val="19"/>
          <w:szCs w:val="19"/>
          <w:color w:val="auto"/>
        </w:rPr>
        <w:t xml:space="preserve">, </w:t>
      </w:r>
      <w:r>
        <w:rPr>
          <w:rFonts w:ascii="Arial" w:cs="Arial" w:eastAsia="Arial" w:hAnsi="Arial"/>
          <w:sz w:val="19"/>
          <w:szCs w:val="19"/>
          <w:u w:val="single" w:color="auto"/>
          <w:color w:val="auto"/>
        </w:rPr>
        <w:t>3.05</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11.04</w:t>
      </w:r>
      <w:r>
        <w:rPr>
          <w:rFonts w:ascii="Arial" w:cs="Arial" w:eastAsia="Arial" w:hAnsi="Arial"/>
          <w:sz w:val="19"/>
          <w:szCs w:val="19"/>
          <w:color w:val="auto"/>
        </w:rPr>
        <w:t xml:space="preserve"> with respect to facts and circumstances occurring prior to the effective date of such assignment). Upon request, the Borrower (at its expense) shall execute and deliver a Revolving Credit Loan Note to the assignee Lender. Any assignment or transfer by a Lender of rights or obligations under this Agreement that does not comply with this subsection shall be treated for purposes of this Agreement as a sale by such Lender of a participation in such rights and obligations in accordance with </w:t>
      </w:r>
      <w:r>
        <w:rPr>
          <w:rFonts w:ascii="Arial" w:cs="Arial" w:eastAsia="Arial" w:hAnsi="Arial"/>
          <w:sz w:val="19"/>
          <w:szCs w:val="19"/>
          <w:u w:val="single" w:color="auto"/>
          <w:color w:val="auto"/>
        </w:rPr>
        <w:t>Section 11.06(d)</w:t>
      </w:r>
      <w:r>
        <w:rPr>
          <w:rFonts w:ascii="Arial" w:cs="Arial" w:eastAsia="Arial" w:hAnsi="Arial"/>
          <w:sz w:val="19"/>
          <w:szCs w:val="19"/>
          <w:color w:val="auto"/>
        </w:rPr>
        <w:t>.</w:t>
      </w:r>
    </w:p>
    <w:p>
      <w:pPr>
        <w:spacing w:after="0" w:line="188" w:lineRule="exact"/>
        <w:rPr>
          <w:rFonts w:ascii="Arial" w:cs="Arial" w:eastAsia="Arial" w:hAnsi="Arial"/>
          <w:sz w:val="19"/>
          <w:szCs w:val="19"/>
          <w:color w:val="auto"/>
        </w:rPr>
      </w:pPr>
    </w:p>
    <w:p>
      <w:pPr>
        <w:jc w:val="both"/>
        <w:ind w:firstLine="634"/>
        <w:spacing w:after="0" w:line="247" w:lineRule="auto"/>
        <w:tabs>
          <w:tab w:leader="none" w:pos="1247" w:val="left"/>
        </w:tabs>
        <w:numPr>
          <w:ilvl w:val="0"/>
          <w:numId w:val="298"/>
        </w:numPr>
        <w:rPr>
          <w:rFonts w:ascii="Arial" w:cs="Arial" w:eastAsia="Arial" w:hAnsi="Arial"/>
          <w:sz w:val="19"/>
          <w:szCs w:val="19"/>
          <w:color w:val="auto"/>
        </w:rPr>
      </w:pPr>
      <w:r>
        <w:rPr>
          <w:rFonts w:ascii="Arial" w:cs="Arial" w:eastAsia="Arial" w:hAnsi="Arial"/>
          <w:sz w:val="19"/>
          <w:szCs w:val="19"/>
          <w:u w:val="single" w:color="auto"/>
          <w:color w:val="auto"/>
        </w:rPr>
        <w:t>Register</w:t>
      </w:r>
      <w:r>
        <w:rPr>
          <w:rFonts w:ascii="Arial" w:cs="Arial" w:eastAsia="Arial" w:hAnsi="Arial"/>
          <w:sz w:val="19"/>
          <w:szCs w:val="19"/>
          <w:color w:val="auto"/>
        </w:rPr>
        <w:t xml:space="preserve">. The Administrative Agent, acting solely for this purpose as a non-fiduciary agent of the Borrowers (and such agency being solely for tax purposes) (in such capacity, subject to </w:t>
      </w:r>
      <w:r>
        <w:rPr>
          <w:rFonts w:ascii="Arial" w:cs="Arial" w:eastAsia="Arial" w:hAnsi="Arial"/>
          <w:sz w:val="19"/>
          <w:szCs w:val="19"/>
          <w:u w:val="single" w:color="auto"/>
          <w:color w:val="auto"/>
        </w:rPr>
        <w:t>Section 11.17</w:t>
      </w:r>
      <w:r>
        <w:rPr>
          <w:rFonts w:ascii="Arial" w:cs="Arial" w:eastAsia="Arial" w:hAnsi="Arial"/>
          <w:sz w:val="19"/>
          <w:szCs w:val="19"/>
          <w:color w:val="auto"/>
        </w:rPr>
        <w:t>), shall maintain at the Administrative Agent’s Office a copy of each Assignment and Assumption delivered to it and a register for the recordation of the names and addresses of the Lenders, and the Revolving Credit Commitments of, and principal amounts of the Loans and Loan Obligations owing to, each Lender pursuant to the terms hereof from time to time (the “</w:t>
      </w:r>
      <w:r>
        <w:rPr>
          <w:rFonts w:ascii="Arial" w:cs="Arial" w:eastAsia="Arial" w:hAnsi="Arial"/>
          <w:sz w:val="19"/>
          <w:szCs w:val="19"/>
          <w:u w:val="single" w:color="auto"/>
          <w:color w:val="auto"/>
        </w:rPr>
        <w:t>Register</w:t>
      </w:r>
      <w:r>
        <w:rPr>
          <w:rFonts w:ascii="Arial" w:cs="Arial" w:eastAsia="Arial" w:hAnsi="Arial"/>
          <w:sz w:val="19"/>
          <w:szCs w:val="19"/>
          <w:color w:val="auto"/>
        </w:rPr>
        <w:t>”). The entries in the Register shall be conclusive, and the Borrowers, the Administrative Agent and the Lenders may treat each Person whose name is recorded in the Register pursuant to the terms hereof as a Lender hereunder for all purposes of this Agreement, notwithstanding notice to the contrary. In addition, the Administrative Agent shall maintain on the Register information regarding the designation, and revocation of designation, of any Lender as a Defaulting Lender. The Register shall be available for inspection by the Borrower Agent and any Lender at any reasonable time and from time to time upon reasonable prior notice. In addition, at any time that a request for a consent for a material or substantive change to the Loan Documents is pending, any Lender may request and receive from the Administrative Agent a copy of the Register.</w:t>
      </w:r>
    </w:p>
    <w:p>
      <w:pPr>
        <w:spacing w:after="0" w:line="188" w:lineRule="exact"/>
        <w:rPr>
          <w:rFonts w:ascii="Arial" w:cs="Arial" w:eastAsia="Arial" w:hAnsi="Arial"/>
          <w:sz w:val="19"/>
          <w:szCs w:val="19"/>
          <w:color w:val="auto"/>
        </w:rPr>
      </w:pPr>
    </w:p>
    <w:p>
      <w:pPr>
        <w:jc w:val="both"/>
        <w:ind w:firstLine="634"/>
        <w:spacing w:after="0" w:line="264" w:lineRule="auto"/>
        <w:tabs>
          <w:tab w:leader="none" w:pos="1249" w:val="left"/>
        </w:tabs>
        <w:numPr>
          <w:ilvl w:val="0"/>
          <w:numId w:val="298"/>
        </w:numPr>
        <w:rPr>
          <w:rFonts w:ascii="Arial" w:cs="Arial" w:eastAsia="Arial" w:hAnsi="Arial"/>
          <w:sz w:val="18"/>
          <w:szCs w:val="18"/>
          <w:color w:val="auto"/>
        </w:rPr>
      </w:pPr>
      <w:r>
        <w:rPr>
          <w:rFonts w:ascii="Arial" w:cs="Arial" w:eastAsia="Arial" w:hAnsi="Arial"/>
          <w:sz w:val="18"/>
          <w:szCs w:val="18"/>
          <w:u w:val="single" w:color="auto"/>
          <w:color w:val="auto"/>
        </w:rPr>
        <w:t>Participations</w:t>
      </w:r>
      <w:r>
        <w:rPr>
          <w:rFonts w:ascii="Arial" w:cs="Arial" w:eastAsia="Arial" w:hAnsi="Arial"/>
          <w:sz w:val="18"/>
          <w:szCs w:val="18"/>
          <w:color w:val="auto"/>
        </w:rPr>
        <w:t>. Any Lender may at any time, without the consent of, or notice to, any Borrower or the Administrative Agent, sell participations to any Person (other than a natural person, a Defaulting Lender, a Borrower or any of the Borrowers’ Affiliates or Subsidiaries or any counterparty to any Subordination Provisions or such counterparty’s Affiliates) (each, a “</w:t>
      </w:r>
      <w:r>
        <w:rPr>
          <w:rFonts w:ascii="Arial" w:cs="Arial" w:eastAsia="Arial" w:hAnsi="Arial"/>
          <w:sz w:val="18"/>
          <w:szCs w:val="18"/>
          <w:u w:val="single" w:color="auto"/>
          <w:color w:val="auto"/>
        </w:rPr>
        <w:t>Participant</w:t>
      </w:r>
      <w:r>
        <w:rPr>
          <w:rFonts w:ascii="Arial" w:cs="Arial" w:eastAsia="Arial" w:hAnsi="Arial"/>
          <w:sz w:val="18"/>
          <w:szCs w:val="18"/>
          <w:color w:val="auto"/>
        </w:rPr>
        <w:t xml:space="preserve">”) in all or a portion of such Lender’s rights and/or obligations under this Agreement (including all or a portion of its Revolving Credit Commitment and/or the Loans (including such Lender’s participations in Letter of Credit Obligations and/or Swing Line Loans) owing to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such Lender’s obligations under this Agreement shall remain unchanged, (ii) such Lender shall remain solely responsible to the other parties hereto for the performance of such obligations and (iii) the Borrowers, the Administrative Agent, the Lenders and the Letter of Credit Issuer shall continue to deal solely and directly with such Lender in connection with such Lender’s rights and obligations under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172</w:t>
      </w:r>
    </w:p>
    <w:p>
      <w:pPr>
        <w:sectPr>
          <w:pgSz w:w="11900" w:h="16838" w:orient="portrait"/>
          <w:cols w:equalWidth="0" w:num="1">
            <w:col w:w="11240"/>
          </w:cols>
          <w:pgMar w:left="320" w:top="1382" w:right="339" w:bottom="1440" w:gutter="0" w:footer="0" w:header="0"/>
        </w:sectPr>
      </w:pPr>
    </w:p>
    <w:bookmarkStart w:id="291" w:name="page292"/>
    <w:bookmarkEnd w:id="291"/>
    <w:p>
      <w:pPr>
        <w:jc w:val="both"/>
        <w:ind w:firstLine="629"/>
        <w:spacing w:after="0" w:line="249" w:lineRule="auto"/>
        <w:rPr>
          <w:sz w:val="20"/>
          <w:szCs w:val="20"/>
          <w:color w:val="auto"/>
        </w:rPr>
      </w:pPr>
      <w:r>
        <w:rPr>
          <w:rFonts w:ascii="Arial" w:cs="Arial" w:eastAsia="Arial" w:hAnsi="Arial"/>
          <w:sz w:val="19"/>
          <w:szCs w:val="19"/>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agreement or instrument may provide that such Lender will not, without the consent of the Participant, agree to any amendment, waiver or other modification described in the first proviso to </w:t>
      </w:r>
      <w:r>
        <w:rPr>
          <w:rFonts w:ascii="Arial" w:cs="Arial" w:eastAsia="Arial" w:hAnsi="Arial"/>
          <w:sz w:val="19"/>
          <w:szCs w:val="19"/>
          <w:u w:val="single" w:color="auto"/>
          <w:color w:val="auto"/>
        </w:rPr>
        <w:t>Section 11.01</w:t>
      </w:r>
      <w:r>
        <w:rPr>
          <w:rFonts w:ascii="Arial" w:cs="Arial" w:eastAsia="Arial" w:hAnsi="Arial"/>
          <w:sz w:val="19"/>
          <w:szCs w:val="19"/>
          <w:color w:val="auto"/>
        </w:rPr>
        <w:t xml:space="preserve"> that affects such Participant. Subject to subsection (e) of this Section, the Borrowers agree that each Participant shall be entitled to the benefits of </w:t>
      </w:r>
      <w:r>
        <w:rPr>
          <w:rFonts w:ascii="Arial" w:cs="Arial" w:eastAsia="Arial" w:hAnsi="Arial"/>
          <w:sz w:val="19"/>
          <w:szCs w:val="19"/>
          <w:u w:val="single" w:color="auto"/>
          <w:color w:val="auto"/>
        </w:rPr>
        <w:t>Sections 3.01</w:t>
      </w:r>
      <w:r>
        <w:rPr>
          <w:rFonts w:ascii="Arial" w:cs="Arial" w:eastAsia="Arial" w:hAnsi="Arial"/>
          <w:sz w:val="19"/>
          <w:szCs w:val="19"/>
          <w:color w:val="auto"/>
        </w:rPr>
        <w:t xml:space="preserve">, </w:t>
      </w:r>
      <w:r>
        <w:rPr>
          <w:rFonts w:ascii="Arial" w:cs="Arial" w:eastAsia="Arial" w:hAnsi="Arial"/>
          <w:sz w:val="19"/>
          <w:szCs w:val="19"/>
          <w:u w:val="single" w:color="auto"/>
          <w:color w:val="auto"/>
        </w:rPr>
        <w:t>3.04</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3.05</w:t>
      </w:r>
      <w:r>
        <w:rPr>
          <w:rFonts w:ascii="Arial" w:cs="Arial" w:eastAsia="Arial" w:hAnsi="Arial"/>
          <w:sz w:val="19"/>
          <w:szCs w:val="19"/>
          <w:color w:val="auto"/>
        </w:rPr>
        <w:t xml:space="preserve"> to the same extent as if it were a Lender and had acquired its interest by assignment pursuant to subsection (b) of this Section. To the extent permitted by law, each Participant also shall be entitled to the benefits of </w:t>
      </w:r>
      <w:r>
        <w:rPr>
          <w:rFonts w:ascii="Arial" w:cs="Arial" w:eastAsia="Arial" w:hAnsi="Arial"/>
          <w:sz w:val="19"/>
          <w:szCs w:val="19"/>
          <w:u w:val="single" w:color="auto"/>
          <w:color w:val="auto"/>
        </w:rPr>
        <w:t>Section 11.08</w:t>
      </w:r>
      <w:r>
        <w:rPr>
          <w:rFonts w:ascii="Arial" w:cs="Arial" w:eastAsia="Arial" w:hAnsi="Arial"/>
          <w:sz w:val="19"/>
          <w:szCs w:val="19"/>
          <w:color w:val="auto"/>
        </w:rPr>
        <w:t xml:space="preserve"> as though it were a Lender, provided such Participant agrees to be subject to </w:t>
      </w:r>
      <w:r>
        <w:rPr>
          <w:rFonts w:ascii="Arial" w:cs="Arial" w:eastAsia="Arial" w:hAnsi="Arial"/>
          <w:sz w:val="19"/>
          <w:szCs w:val="19"/>
          <w:u w:val="single" w:color="auto"/>
          <w:color w:val="auto"/>
        </w:rPr>
        <w:t>Section 2.13</w:t>
      </w:r>
      <w:r>
        <w:rPr>
          <w:rFonts w:ascii="Arial" w:cs="Arial" w:eastAsia="Arial" w:hAnsi="Arial"/>
          <w:sz w:val="19"/>
          <w:szCs w:val="19"/>
          <w:color w:val="auto"/>
        </w:rPr>
        <w:t xml:space="preserve"> as though it were a Lender.</w:t>
      </w:r>
    </w:p>
    <w:p>
      <w:pPr>
        <w:spacing w:after="0" w:line="180" w:lineRule="exact"/>
        <w:rPr>
          <w:sz w:val="20"/>
          <w:szCs w:val="20"/>
          <w:color w:val="auto"/>
        </w:rPr>
      </w:pPr>
    </w:p>
    <w:p>
      <w:pPr>
        <w:jc w:val="both"/>
        <w:ind w:firstLine="629"/>
        <w:spacing w:after="0" w:line="247" w:lineRule="auto"/>
        <w:rPr>
          <w:sz w:val="20"/>
          <w:szCs w:val="20"/>
          <w:color w:val="auto"/>
        </w:rPr>
      </w:pPr>
      <w:r>
        <w:rPr>
          <w:rFonts w:ascii="Arial" w:cs="Arial" w:eastAsia="Arial" w:hAnsi="Arial"/>
          <w:sz w:val="19"/>
          <w:szCs w:val="19"/>
          <w:color w:val="auto"/>
        </w:rPr>
        <w:t>If any Lender (or any assignee thereof) sells a participation, such Lender (or such assignee) shall, acting solely for this purpose as a non-fiduciary agent of the Borrowers, maintain a register on which it enters the name and address of each Participant and the principal amounts (and stated interest) of each Participant’s interest in the Loans or other obligations under the Loan Documents (the “</w:t>
      </w:r>
      <w:r>
        <w:rPr>
          <w:rFonts w:ascii="Arial" w:cs="Arial" w:eastAsia="Arial" w:hAnsi="Arial"/>
          <w:sz w:val="19"/>
          <w:szCs w:val="19"/>
          <w:u w:val="single" w:color="auto"/>
          <w:color w:val="auto"/>
        </w:rPr>
        <w:t>Participant Register</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Lender (nor any assignee thereof)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(or such assignee)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89" w:lineRule="exact"/>
        <w:rPr>
          <w:sz w:val="20"/>
          <w:szCs w:val="20"/>
          <w:color w:val="auto"/>
        </w:rPr>
      </w:pPr>
    </w:p>
    <w:p>
      <w:pPr>
        <w:jc w:val="both"/>
        <w:ind w:firstLine="634"/>
        <w:spacing w:after="0" w:line="269" w:lineRule="auto"/>
        <w:tabs>
          <w:tab w:leader="none" w:pos="1254" w:val="left"/>
        </w:tabs>
        <w:numPr>
          <w:ilvl w:val="0"/>
          <w:numId w:val="299"/>
        </w:numPr>
        <w:rPr>
          <w:rFonts w:ascii="Arial" w:cs="Arial" w:eastAsia="Arial" w:hAnsi="Arial"/>
          <w:sz w:val="18"/>
          <w:szCs w:val="18"/>
          <w:color w:val="auto"/>
        </w:rPr>
      </w:pPr>
      <w:r>
        <w:rPr>
          <w:rFonts w:ascii="Arial" w:cs="Arial" w:eastAsia="Arial" w:hAnsi="Arial"/>
          <w:sz w:val="18"/>
          <w:szCs w:val="18"/>
          <w:u w:val="single" w:color="auto"/>
          <w:color w:val="auto"/>
        </w:rPr>
        <w:t>Limitations upon Participant Rights</w:t>
      </w:r>
      <w:r>
        <w:rPr>
          <w:rFonts w:ascii="Arial" w:cs="Arial" w:eastAsia="Arial" w:hAnsi="Arial"/>
          <w:sz w:val="18"/>
          <w:szCs w:val="18"/>
          <w:color w:val="auto"/>
        </w:rPr>
        <w:t xml:space="preserve">. A Participant shall not be entitled to receive any greater payment under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3.04</w:t>
      </w:r>
      <w:r>
        <w:rPr>
          <w:rFonts w:ascii="Arial" w:cs="Arial" w:eastAsia="Arial" w:hAnsi="Arial"/>
          <w:sz w:val="18"/>
          <w:szCs w:val="18"/>
          <w:color w:val="auto"/>
        </w:rPr>
        <w:t xml:space="preserve"> than the applicable Lender would have been entitled to receive with respect to the participation sold to such Participant, unless the sale of the participation to such Participant is made with the Borrower Agent’s prior written consent. A Participant that would be a Foreign Lender if it were a Lender shall not be entitled to the benefits of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unless the Borrower Agent is notified of the participation sold to such Participant and such Participant agrees, for the benefit of the Borrowers, to comply with </w:t>
      </w:r>
      <w:r>
        <w:rPr>
          <w:rFonts w:ascii="Arial" w:cs="Arial" w:eastAsia="Arial" w:hAnsi="Arial"/>
          <w:sz w:val="18"/>
          <w:szCs w:val="18"/>
          <w:u w:val="single" w:color="auto"/>
          <w:color w:val="auto"/>
        </w:rPr>
        <w:t>Section 3.01(e)</w:t>
      </w:r>
      <w:r>
        <w:rPr>
          <w:rFonts w:ascii="Arial" w:cs="Arial" w:eastAsia="Arial" w:hAnsi="Arial"/>
          <w:sz w:val="18"/>
          <w:szCs w:val="18"/>
          <w:color w:val="auto"/>
        </w:rPr>
        <w:t xml:space="preserve"> as though it were a Lender.</w:t>
      </w:r>
    </w:p>
    <w:p>
      <w:pPr>
        <w:spacing w:after="0" w:line="164" w:lineRule="exact"/>
        <w:rPr>
          <w:rFonts w:ascii="Arial" w:cs="Arial" w:eastAsia="Arial" w:hAnsi="Arial"/>
          <w:sz w:val="18"/>
          <w:szCs w:val="18"/>
          <w:color w:val="auto"/>
        </w:rPr>
      </w:pPr>
    </w:p>
    <w:p>
      <w:pPr>
        <w:jc w:val="both"/>
        <w:ind w:firstLine="634"/>
        <w:spacing w:after="0" w:line="254" w:lineRule="auto"/>
        <w:tabs>
          <w:tab w:leader="none" w:pos="1247" w:val="left"/>
        </w:tabs>
        <w:numPr>
          <w:ilvl w:val="0"/>
          <w:numId w:val="299"/>
        </w:numPr>
        <w:rPr>
          <w:rFonts w:ascii="Arial" w:cs="Arial" w:eastAsia="Arial" w:hAnsi="Arial"/>
          <w:sz w:val="19"/>
          <w:szCs w:val="19"/>
          <w:color w:val="auto"/>
        </w:rPr>
      </w:pPr>
      <w:r>
        <w:rPr>
          <w:rFonts w:ascii="Arial" w:cs="Arial" w:eastAsia="Arial" w:hAnsi="Arial"/>
          <w:sz w:val="19"/>
          <w:szCs w:val="19"/>
          <w:u w:val="single" w:color="auto"/>
          <w:color w:val="auto"/>
        </w:rPr>
        <w:t>Certain Pledges</w:t>
      </w:r>
      <w:r>
        <w:rPr>
          <w:rFonts w:ascii="Arial" w:cs="Arial" w:eastAsia="Arial" w:hAnsi="Arial"/>
          <w:sz w:val="19"/>
          <w:szCs w:val="19"/>
          <w:color w:val="auto"/>
        </w:rPr>
        <w:t xml:space="preserve">. Any Lender may at any time pledge or assign a security interest in all or any portion of its rights under this Agreement (including under its Revolving Credit Loan Note, if any) to secure obligations of such Lender, including any pledge or assignment to secure obligations to a Federal Reserve Bank;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such pledge or assignment shall release such Lender from any of its obligations hereunder or substitute any such pledgee or assignee for such Lender as a party hereto.</w:t>
      </w:r>
    </w:p>
    <w:p>
      <w:pPr>
        <w:spacing w:after="0" w:line="176" w:lineRule="exact"/>
        <w:rPr>
          <w:rFonts w:ascii="Arial" w:cs="Arial" w:eastAsia="Arial" w:hAnsi="Arial"/>
          <w:sz w:val="19"/>
          <w:szCs w:val="19"/>
          <w:color w:val="auto"/>
        </w:rPr>
      </w:pPr>
    </w:p>
    <w:p>
      <w:pPr>
        <w:jc w:val="both"/>
        <w:ind w:firstLine="634"/>
        <w:spacing w:after="0" w:line="250" w:lineRule="auto"/>
        <w:tabs>
          <w:tab w:leader="none" w:pos="1247" w:val="left"/>
        </w:tabs>
        <w:numPr>
          <w:ilvl w:val="0"/>
          <w:numId w:val="299"/>
        </w:numPr>
        <w:rPr>
          <w:rFonts w:ascii="Arial" w:cs="Arial" w:eastAsia="Arial" w:hAnsi="Arial"/>
          <w:sz w:val="19"/>
          <w:szCs w:val="19"/>
          <w:color w:val="auto"/>
        </w:rPr>
      </w:pPr>
      <w:r>
        <w:rPr>
          <w:rFonts w:ascii="Arial" w:cs="Arial" w:eastAsia="Arial" w:hAnsi="Arial"/>
          <w:sz w:val="19"/>
          <w:szCs w:val="19"/>
          <w:u w:val="single" w:color="auto"/>
          <w:color w:val="auto"/>
        </w:rPr>
        <w:t>Electronic Execution of Assignments</w:t>
      </w:r>
      <w:r>
        <w:rPr>
          <w:rFonts w:ascii="Arial" w:cs="Arial" w:eastAsia="Arial" w:hAnsi="Arial"/>
          <w:sz w:val="19"/>
          <w:szCs w:val="19"/>
          <w:color w:val="auto"/>
        </w:rPr>
        <w:t>. The words “execution,” “signed,” “signature,” and words of like import in any Assignment and Assumption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and including Parts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173</w:t>
      </w:r>
    </w:p>
    <w:p>
      <w:pPr>
        <w:sectPr>
          <w:pgSz w:w="11900" w:h="16838" w:orient="portrait"/>
          <w:cols w:equalWidth="0" w:num="1">
            <w:col w:w="11240"/>
          </w:cols>
          <w:pgMar w:left="320" w:top="1382" w:right="339" w:bottom="1440" w:gutter="0" w:footer="0" w:header="0"/>
        </w:sectPr>
      </w:pPr>
    </w:p>
    <w:bookmarkStart w:id="292" w:name="page293"/>
    <w:bookmarkEnd w:id="292"/>
    <w:p>
      <w:pPr>
        <w:jc w:val="both"/>
        <w:spacing w:after="0" w:line="259" w:lineRule="auto"/>
        <w:rPr>
          <w:sz w:val="20"/>
          <w:szCs w:val="20"/>
          <w:color w:val="auto"/>
        </w:rPr>
      </w:pPr>
      <w:r>
        <w:rPr>
          <w:rFonts w:ascii="Arial" w:cs="Arial" w:eastAsia="Arial" w:hAnsi="Arial"/>
          <w:sz w:val="19"/>
          <w:szCs w:val="19"/>
          <w:color w:val="auto"/>
        </w:rPr>
        <w:t>2 and 3 of the Personal Information Protection and Electronic Documents Act (Canada), the Electronic Commerce Act, 2000 (Ontario) and other similar federal or provincial laws based on the Uniform Electronic Commerce Act of the Uniform Law Conference of Canada or its Uniform Electronic Evidence Act, as the case may be.</w:t>
      </w:r>
    </w:p>
    <w:p>
      <w:pPr>
        <w:spacing w:after="0" w:line="171" w:lineRule="exact"/>
        <w:rPr>
          <w:sz w:val="20"/>
          <w:szCs w:val="20"/>
          <w:color w:val="auto"/>
        </w:rPr>
      </w:pPr>
    </w:p>
    <w:p>
      <w:pPr>
        <w:jc w:val="both"/>
        <w:ind w:firstLine="634"/>
        <w:spacing w:after="0" w:line="261" w:lineRule="auto"/>
        <w:tabs>
          <w:tab w:leader="none" w:pos="1257" w:val="left"/>
        </w:tabs>
        <w:numPr>
          <w:ilvl w:val="0"/>
          <w:numId w:val="300"/>
        </w:numPr>
        <w:rPr>
          <w:rFonts w:ascii="Arial" w:cs="Arial" w:eastAsia="Arial" w:hAnsi="Arial"/>
          <w:sz w:val="18"/>
          <w:szCs w:val="18"/>
          <w:color w:val="auto"/>
        </w:rPr>
      </w:pPr>
      <w:r>
        <w:rPr>
          <w:rFonts w:ascii="Arial" w:cs="Arial" w:eastAsia="Arial" w:hAnsi="Arial"/>
          <w:sz w:val="18"/>
          <w:szCs w:val="18"/>
          <w:u w:val="single" w:color="auto"/>
          <w:color w:val="auto"/>
        </w:rPr>
        <w:t>Resignation as Letter of Credit Issuer and/or Swing Line Lender after Assignment</w:t>
      </w:r>
      <w:r>
        <w:rPr>
          <w:rFonts w:ascii="Arial" w:cs="Arial" w:eastAsia="Arial" w:hAnsi="Arial"/>
          <w:sz w:val="18"/>
          <w:szCs w:val="18"/>
          <w:color w:val="auto"/>
        </w:rPr>
        <w:t xml:space="preserve">. Notwithstanding anything to the contrary contained herein, if at any time BMO assigns all of its Revolving Credit Commitment, Revolving Credit Loans, pursuant to subsection (b) above, such Person may, (i) upon 30 days’ notice to the Borrower Agent and the Lenders, resign as Letter of Credit Issuer and/or (ii) in the case of BMO, upon 30 days’ notice to the Borrower Agent, resign as Swing Line Lender. In the event of any such resignation as Letter of Credit Issuer, or Swing Line Lender, the Borrower Agent shall be entitled to appoint from among the Lenders willing to serve in such capacity a successor Letter of Credit Issuer or Swing Line Lender hereunder, as the case may be;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no failure by the Borrower Agent to appoint any such successor shall affect the resignation of such Person as Letter of Credit Issuer or Swing Line Lender, as the case may be. If BMO resigns as Letter of Credit Issuer, such Person shall retain all the rights, powers, privileges and duties of the Letter of Credit Issuer hereunder with respect to all Letters of Credit outstanding as of the effective date of its resignation as Letter of Credit Issuer and all Letter of Credit Obligations with respect thereto (including the right to require the Lenders to make Base Rate Loans or fund risk participations in Unreimbursed Amounts pursuant to </w:t>
      </w:r>
      <w:r>
        <w:rPr>
          <w:rFonts w:ascii="Arial" w:cs="Arial" w:eastAsia="Arial" w:hAnsi="Arial"/>
          <w:sz w:val="18"/>
          <w:szCs w:val="18"/>
          <w:u w:val="single" w:color="auto"/>
          <w:color w:val="auto"/>
        </w:rPr>
        <w:t>Section 2.03(c)</w:t>
      </w:r>
      <w:r>
        <w:rPr>
          <w:rFonts w:ascii="Arial" w:cs="Arial" w:eastAsia="Arial" w:hAnsi="Arial"/>
          <w:sz w:val="18"/>
          <w:szCs w:val="18"/>
          <w:color w:val="auto"/>
        </w:rPr>
        <w:t xml:space="preserve">). If BMO resigns as Swing Line Lender, it shall retain all the rights of the Swing Line Lender provided for hereunder with respect to Swing Line Loans made by it and outstanding as of the effective date of such resignation, including the right to require the Lenders to make Base Rate Loans or fund risk participations in outstanding Swing Line Loans pursuant to </w:t>
      </w:r>
      <w:r>
        <w:rPr>
          <w:rFonts w:ascii="Arial" w:cs="Arial" w:eastAsia="Arial" w:hAnsi="Arial"/>
          <w:sz w:val="18"/>
          <w:szCs w:val="18"/>
          <w:u w:val="single" w:color="auto"/>
          <w:color w:val="auto"/>
        </w:rPr>
        <w:t>Section 2.04(c)</w:t>
      </w:r>
      <w:r>
        <w:rPr>
          <w:rFonts w:ascii="Arial" w:cs="Arial" w:eastAsia="Arial" w:hAnsi="Arial"/>
          <w:sz w:val="18"/>
          <w:szCs w:val="18"/>
          <w:color w:val="auto"/>
        </w:rPr>
        <w:t>. Upon the appointment of a successor Letter of Credit Issuer and/or Swing Line Lender, (a) such successor shall succeed to and become vested with all of the rights, powers, privileges and duties of the retiring Letter of Credit Issuer or Swing Line Lender, as the case may be, and (b) the successor Letter of Credit Issuer shall issue letters of credit in substitution for the Letters of Credit, if any, outstanding at the time of such successor or make other arrangements satisfactory to the retiring Letter of Credit Issuer to effectively assume the obligations of such Letter of Credit Issuer with respect to such Letters of Credit.</w:t>
      </w:r>
    </w:p>
    <w:p>
      <w:pPr>
        <w:spacing w:after="0" w:line="165" w:lineRule="exact"/>
        <w:rPr>
          <w:sz w:val="20"/>
          <w:szCs w:val="20"/>
          <w:color w:val="auto"/>
        </w:rPr>
      </w:pPr>
    </w:p>
    <w:p>
      <w:pPr>
        <w:jc w:val="both"/>
        <w:ind w:firstLine="629"/>
        <w:spacing w:after="0" w:line="263" w:lineRule="auto"/>
        <w:rPr>
          <w:sz w:val="20"/>
          <w:szCs w:val="20"/>
          <w:color w:val="auto"/>
        </w:rPr>
      </w:pPr>
      <w:r>
        <w:rPr>
          <w:rFonts w:ascii="Arial" w:cs="Arial" w:eastAsia="Arial" w:hAnsi="Arial"/>
          <w:sz w:val="18"/>
          <w:szCs w:val="18"/>
          <w:b w:val="1"/>
          <w:bCs w:val="1"/>
          <w:color w:val="auto"/>
        </w:rPr>
        <w:t>11.7 Treatment of Certain Information; Confidentiality</w:t>
      </w:r>
      <w:r>
        <w:rPr>
          <w:rFonts w:ascii="Arial" w:cs="Arial" w:eastAsia="Arial" w:hAnsi="Arial"/>
          <w:sz w:val="18"/>
          <w:szCs w:val="18"/>
          <w:color w:val="auto"/>
        </w:rPr>
        <w:t>. Each of the Secured Parties agrees to maintain the confidentiality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Information (as defined below), except that Information may be disclosed (a) to its Affiliates and to its and its Affiliates’ respective partners, directors, trustees, officers, employees, agents, advisors and representatives (it being understood that the Persons to whom such disclosure is made will be informed of the confidential nature of such Information and instructed to keep such Information confidential), (b) to the extent requested by any regulatory authority purporting to have jurisdiction over it (including any self-regulatory authority, such as the National Association of Insurance Commissioners), (c) to the extent required by applicable Laws or regulations or by any subpoena or similar legal process, (d) 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the same as those of this Section, to (i) any assignee of or Participant in, or any prospective assignee of or Participant in, any of its rights or obligations under this Agreement or (ii) any actual or prospective counterparty (or its advisors) to any swap or derivative transaction relating to the Borrowers and their obligations, (g) with the consent of the Borrower Agent or (h) to the extent such Information (x) becomes publicly available other than as a result of a breach of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174</w:t>
      </w:r>
    </w:p>
    <w:p>
      <w:pPr>
        <w:sectPr>
          <w:pgSz w:w="11900" w:h="16838" w:orient="portrait"/>
          <w:cols w:equalWidth="0" w:num="1">
            <w:col w:w="11240"/>
          </w:cols>
          <w:pgMar w:left="320" w:top="1381" w:right="339" w:bottom="1440" w:gutter="0" w:footer="0" w:header="0"/>
        </w:sectPr>
      </w:pPr>
    </w:p>
    <w:bookmarkStart w:id="293" w:name="page294"/>
    <w:bookmarkEnd w:id="293"/>
    <w:p>
      <w:pPr>
        <w:jc w:val="both"/>
        <w:spacing w:after="0" w:line="274" w:lineRule="auto"/>
        <w:rPr>
          <w:sz w:val="20"/>
          <w:szCs w:val="20"/>
          <w:color w:val="auto"/>
        </w:rPr>
      </w:pPr>
      <w:r>
        <w:rPr>
          <w:rFonts w:ascii="Arial" w:cs="Arial" w:eastAsia="Arial" w:hAnsi="Arial"/>
          <w:sz w:val="19"/>
          <w:szCs w:val="19"/>
          <w:color w:val="auto"/>
        </w:rPr>
        <w:t>Section or (y) becomes available to the Secured Parties or any of their respective Affiliates on a nonconfidential basis from a source other than the Loan Parties.</w:t>
      </w:r>
    </w:p>
    <w:p>
      <w:pPr>
        <w:spacing w:after="0" w:line="157" w:lineRule="exact"/>
        <w:rPr>
          <w:sz w:val="20"/>
          <w:szCs w:val="20"/>
          <w:color w:val="auto"/>
        </w:rPr>
      </w:pPr>
    </w:p>
    <w:p>
      <w:pPr>
        <w:jc w:val="both"/>
        <w:ind w:firstLine="629"/>
        <w:spacing w:after="0" w:line="265" w:lineRule="auto"/>
        <w:rPr>
          <w:sz w:val="20"/>
          <w:szCs w:val="20"/>
          <w:color w:val="auto"/>
        </w:rPr>
      </w:pPr>
      <w:r>
        <w:rPr>
          <w:rFonts w:ascii="Arial" w:cs="Arial" w:eastAsia="Arial" w:hAnsi="Arial"/>
          <w:sz w:val="18"/>
          <w:szCs w:val="18"/>
          <w:color w:val="auto"/>
        </w:rPr>
        <w:t>For purposes of this Section, “</w:t>
      </w:r>
      <w:r>
        <w:rPr>
          <w:rFonts w:ascii="Arial" w:cs="Arial" w:eastAsia="Arial" w:hAnsi="Arial"/>
          <w:sz w:val="18"/>
          <w:szCs w:val="18"/>
          <w:u w:val="single" w:color="auto"/>
          <w:color w:val="auto"/>
        </w:rPr>
        <w:t>Information</w:t>
      </w:r>
      <w:r>
        <w:rPr>
          <w:rFonts w:ascii="Arial" w:cs="Arial" w:eastAsia="Arial" w:hAnsi="Arial"/>
          <w:sz w:val="18"/>
          <w:szCs w:val="18"/>
          <w:color w:val="auto"/>
        </w:rPr>
        <w:t xml:space="preserve">” means all information received from any Loan Party or any Subsidiary relating to a Loan Party or any Subsidiary or any of their respective businesses, other than any such information that is available to any Secured Party on a nonconfidential basis prior to disclosure by a Loan Party or any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information received from a Loan Party or any Subsidiary after the date hereof, any information not marked “PUBLIC” at the time of delivery will be deemed to be confidential;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information marked “PUBLIC” may also be marked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70" w:lineRule="exact"/>
        <w:rPr>
          <w:sz w:val="20"/>
          <w:szCs w:val="20"/>
          <w:color w:val="auto"/>
        </w:rPr>
      </w:pPr>
    </w:p>
    <w:p>
      <w:pPr>
        <w:jc w:val="both"/>
        <w:ind w:firstLine="629"/>
        <w:spacing w:after="0" w:line="280" w:lineRule="auto"/>
        <w:rPr>
          <w:sz w:val="20"/>
          <w:szCs w:val="20"/>
          <w:color w:val="auto"/>
        </w:rPr>
      </w:pPr>
      <w:r>
        <w:rPr>
          <w:rFonts w:ascii="Arial" w:cs="Arial" w:eastAsia="Arial" w:hAnsi="Arial"/>
          <w:sz w:val="18"/>
          <w:szCs w:val="18"/>
          <w:color w:val="auto"/>
        </w:rPr>
        <w:t>Each of the Secured Parties acknowledges that (a) the Information may include material non-public information concerning a Loan Party or a Subsidiary, as the case may be, (b) it has developed compliance procedures regarding the use of material non-public information and (c) it will handle such material non-public information in accordance with applicable Law, including federal and state securities Laws.</w:t>
      </w:r>
    </w:p>
    <w:p>
      <w:pPr>
        <w:spacing w:after="0" w:line="154" w:lineRule="exact"/>
        <w:rPr>
          <w:sz w:val="20"/>
          <w:szCs w:val="20"/>
          <w:color w:val="auto"/>
        </w:rPr>
      </w:pPr>
    </w:p>
    <w:p>
      <w:pPr>
        <w:jc w:val="both"/>
        <w:ind w:firstLine="629"/>
        <w:spacing w:after="0" w:line="254" w:lineRule="auto"/>
        <w:rPr>
          <w:sz w:val="20"/>
          <w:szCs w:val="20"/>
          <w:color w:val="auto"/>
        </w:rPr>
      </w:pPr>
      <w:r>
        <w:rPr>
          <w:rFonts w:ascii="Arial" w:cs="Arial" w:eastAsia="Arial" w:hAnsi="Arial"/>
          <w:sz w:val="19"/>
          <w:szCs w:val="19"/>
          <w:color w:val="auto"/>
        </w:rPr>
        <w:t>Each of the Loan Parties hereby authorizes the Administrative Agent to publish the name of any Loan Party and the amount of the credit facility provided hereunder in any “tombstone” or comparable advertisement which the Administrative Agent elects to publish. The Administrative Agent reserves the right to provide to industry trade organizations information necessary and customary for inclusion in league table measurements.</w:t>
      </w:r>
    </w:p>
    <w:p>
      <w:pPr>
        <w:spacing w:after="0" w:line="171" w:lineRule="exact"/>
        <w:rPr>
          <w:sz w:val="20"/>
          <w:szCs w:val="20"/>
          <w:color w:val="auto"/>
        </w:rPr>
      </w:pPr>
    </w:p>
    <w:p>
      <w:pPr>
        <w:jc w:val="both"/>
        <w:ind w:firstLine="629"/>
        <w:spacing w:after="0" w:line="278" w:lineRule="auto"/>
        <w:rPr>
          <w:sz w:val="20"/>
          <w:szCs w:val="20"/>
          <w:color w:val="auto"/>
        </w:rPr>
      </w:pPr>
      <w:r>
        <w:rPr>
          <w:rFonts w:ascii="Arial" w:cs="Arial" w:eastAsia="Arial" w:hAnsi="Arial"/>
          <w:sz w:val="17"/>
          <w:szCs w:val="17"/>
          <w:b w:val="1"/>
          <w:bCs w:val="1"/>
          <w:color w:val="auto"/>
        </w:rPr>
        <w:t>11.8 Right of Setoff</w:t>
      </w:r>
      <w:r>
        <w:rPr>
          <w:rFonts w:ascii="Arial" w:cs="Arial" w:eastAsia="Arial" w:hAnsi="Arial"/>
          <w:sz w:val="17"/>
          <w:szCs w:val="17"/>
          <w:color w:val="auto"/>
        </w:rPr>
        <w:t>. If an Event of Default shall have occurred and be continuing, each Lender, the Letter of Credit Issuer and each</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of their respective Affiliates is hereby authorized at any time and from time to time, only after obtaining the prior written consent of the Administrative Agent, to the fullest extent permitted by applicable Law, to set off and apply any and all deposits (general or special, time or demand, provisional or final, in whatever currency) at any time held and other obligations (in whatever currency) at any time owing by such Lender, the Letter of Credit Issuer or any such Affiliate to or for the credit or the account of the Borrowers against any and all of the obligations of the Borrowers now or hereafter existing under this Agreement or any other Loan Document to such Lender or the Letter of Credit Issuer, irrespective of whether or not such Lender or the Letter of Credit Issuer shall have made any demand under this Agreement or any other Loan Document and although such obligations of the Borrowers may be contingent or unmatured or are owed to a branch or office of such Lender or the Letter of Credit Issuer different from the branch or office holding such deposit or obligated on such indebtedness;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event that any Defaulting Lender or any Affiliate thereof shall exercise any such right of setoff, (x) all amounts so set off shall be paid over immediately to the Administrative Agent for further application in accordance with the provisions of </w:t>
      </w:r>
      <w:r>
        <w:rPr>
          <w:rFonts w:ascii="Arial" w:cs="Arial" w:eastAsia="Arial" w:hAnsi="Arial"/>
          <w:sz w:val="17"/>
          <w:szCs w:val="17"/>
          <w:u w:val="single" w:color="auto"/>
          <w:color w:val="auto"/>
        </w:rPr>
        <w:t>Section 2.17</w:t>
      </w:r>
      <w:r>
        <w:rPr>
          <w:rFonts w:ascii="Arial" w:cs="Arial" w:eastAsia="Arial" w:hAnsi="Arial"/>
          <w:sz w:val="17"/>
          <w:szCs w:val="17"/>
          <w:color w:val="auto"/>
        </w:rPr>
        <w:t xml:space="preserve"> and, pending such payment, shall be segregated by such Defaulting Lender or its Affiliate (as applicable) from its other funds and deemed held in trust for the benefit of the Administrative Agent and the Lenders, and (y) the Defaulting Lender or its Affiliate shall provide promptly to the Administrative Agent a statement describing in reasonable detail the Obligations owing to such Defaulting Lender or its Affiliates as to which such right of setoff was exercised. The rights of each Lender, the Letter of Credit Issuer and their respective Affiliates under this Section are in addition to other rights and remedies (including other rights of setoff) that such Lender, the Letter of Credit Issuer or their respective Affiliates may have.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175</w:t>
      </w:r>
    </w:p>
    <w:p>
      <w:pPr>
        <w:sectPr>
          <w:pgSz w:w="11900" w:h="16838" w:orient="portrait"/>
          <w:cols w:equalWidth="0" w:num="1">
            <w:col w:w="11240"/>
          </w:cols>
          <w:pgMar w:left="320" w:top="1381" w:right="339" w:bottom="1440" w:gutter="0" w:footer="0" w:header="0"/>
        </w:sectPr>
      </w:pPr>
    </w:p>
    <w:bookmarkStart w:id="294" w:name="page295"/>
    <w:bookmarkEnd w:id="294"/>
    <w:p>
      <w:pPr>
        <w:jc w:val="both"/>
        <w:spacing w:after="0" w:line="274" w:lineRule="auto"/>
        <w:rPr>
          <w:sz w:val="20"/>
          <w:szCs w:val="20"/>
          <w:color w:val="auto"/>
        </w:rPr>
      </w:pPr>
      <w:r>
        <w:rPr>
          <w:rFonts w:ascii="Arial" w:cs="Arial" w:eastAsia="Arial" w:hAnsi="Arial"/>
          <w:sz w:val="19"/>
          <w:szCs w:val="19"/>
          <w:color w:val="auto"/>
        </w:rPr>
        <w:t xml:space="preserve">Lender and the Letter of Credit Issuer agrees to notify the Borrower Agent and the Administrative Agent promptly after any such setoff and application,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failure to give such notice shall not affect the validity of such setoff and application.</w:t>
      </w:r>
    </w:p>
    <w:p>
      <w:pPr>
        <w:spacing w:after="0" w:line="151" w:lineRule="exact"/>
        <w:rPr>
          <w:sz w:val="20"/>
          <w:szCs w:val="20"/>
          <w:color w:val="auto"/>
        </w:rPr>
      </w:pPr>
    </w:p>
    <w:p>
      <w:pPr>
        <w:jc w:val="both"/>
        <w:ind w:firstLine="629"/>
        <w:spacing w:after="0" w:line="265" w:lineRule="auto"/>
        <w:rPr>
          <w:sz w:val="20"/>
          <w:szCs w:val="20"/>
          <w:color w:val="auto"/>
        </w:rPr>
      </w:pPr>
      <w:r>
        <w:rPr>
          <w:rFonts w:ascii="Arial" w:cs="Arial" w:eastAsia="Arial" w:hAnsi="Arial"/>
          <w:sz w:val="18"/>
          <w:szCs w:val="18"/>
          <w:b w:val="1"/>
          <w:bCs w:val="1"/>
          <w:color w:val="auto"/>
        </w:rPr>
        <w:t>11.9 Interest Rate Limitation</w:t>
      </w:r>
      <w:r>
        <w:rPr>
          <w:rFonts w:ascii="Arial" w:cs="Arial" w:eastAsia="Arial" w:hAnsi="Arial"/>
          <w:sz w:val="18"/>
          <w:szCs w:val="18"/>
          <w:color w:val="auto"/>
        </w:rPr>
        <w:t>. Notwithstanding anything to the contrary contained in any Loan Document, the interest paid or agreed</w:t>
      </w:r>
      <w:r>
        <w:rPr>
          <w:rFonts w:ascii="Arial" w:cs="Arial" w:eastAsia="Arial" w:hAnsi="Arial"/>
          <w:sz w:val="18"/>
          <w:szCs w:val="18"/>
          <w:b w:val="1"/>
          <w:bCs w:val="1"/>
          <w:color w:val="auto"/>
        </w:rPr>
        <w:t xml:space="preserve"> </w:t>
      </w:r>
      <w:r>
        <w:rPr>
          <w:rFonts w:ascii="Arial" w:cs="Arial" w:eastAsia="Arial" w:hAnsi="Arial"/>
          <w:sz w:val="18"/>
          <w:szCs w:val="18"/>
          <w:color w:val="auto"/>
        </w:rPr>
        <w:t>to be paid under the Loan Documents shall not exceed the maximum rate of non-usurious interest permitted by applicable Law (the “</w:t>
      </w:r>
      <w:r>
        <w:rPr>
          <w:rFonts w:ascii="Arial" w:cs="Arial" w:eastAsia="Arial" w:hAnsi="Arial"/>
          <w:sz w:val="18"/>
          <w:szCs w:val="18"/>
          <w:u w:val="single" w:color="auto"/>
          <w:color w:val="auto"/>
        </w:rPr>
        <w:t>Maximum</w:t>
      </w:r>
      <w:r>
        <w:rPr>
          <w:rFonts w:ascii="Arial" w:cs="Arial" w:eastAsia="Arial" w:hAnsi="Arial"/>
          <w:sz w:val="18"/>
          <w:szCs w:val="18"/>
          <w:color w:val="auto"/>
        </w:rPr>
        <w:t xml:space="preserve"> </w:t>
      </w:r>
      <w:r>
        <w:rPr>
          <w:rFonts w:ascii="Arial" w:cs="Arial" w:eastAsia="Arial" w:hAnsi="Arial"/>
          <w:sz w:val="18"/>
          <w:szCs w:val="18"/>
          <w:u w:val="single" w:color="auto"/>
          <w:color w:val="auto"/>
        </w:rPr>
        <w:t>Rate</w:t>
      </w:r>
      <w:r>
        <w:rPr>
          <w:rFonts w:ascii="Arial" w:cs="Arial" w:eastAsia="Arial" w:hAnsi="Arial"/>
          <w:sz w:val="18"/>
          <w:szCs w:val="18"/>
          <w:color w:val="auto"/>
        </w:rPr>
        <w:t>”). If the Administrative Agent or any Lender shall receive interest in an amount that exceeds the Maximum Rate, the excess interest shall be applied to the principal of the Loans or, if it exceeds such unpaid principal, refunded to the Borrowers. In determining whether the interest contracted for, charged, or received by the Administrative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Loan Obligations hereunder.</w:t>
      </w:r>
    </w:p>
    <w:p>
      <w:pPr>
        <w:spacing w:after="0" w:line="165" w:lineRule="exact"/>
        <w:rPr>
          <w:sz w:val="20"/>
          <w:szCs w:val="20"/>
          <w:color w:val="auto"/>
        </w:rPr>
      </w:pPr>
    </w:p>
    <w:p>
      <w:pPr>
        <w:jc w:val="both"/>
        <w:ind w:firstLine="629"/>
        <w:spacing w:after="0" w:line="285" w:lineRule="auto"/>
        <w:rPr>
          <w:sz w:val="20"/>
          <w:szCs w:val="20"/>
          <w:color w:val="auto"/>
        </w:rPr>
      </w:pPr>
      <w:r>
        <w:rPr>
          <w:rFonts w:ascii="Arial" w:cs="Arial" w:eastAsia="Arial" w:hAnsi="Arial"/>
          <w:sz w:val="17"/>
          <w:szCs w:val="17"/>
          <w:b w:val="1"/>
          <w:bCs w:val="1"/>
          <w:color w:val="auto"/>
        </w:rPr>
        <w:t>11.10 Counterparts; Integration; Effectiveness</w:t>
      </w:r>
      <w:r>
        <w:rPr>
          <w:rFonts w:ascii="Arial" w:cs="Arial" w:eastAsia="Arial" w:hAnsi="Arial"/>
          <w:sz w:val="17"/>
          <w:szCs w:val="17"/>
          <w:color w:val="auto"/>
        </w:rPr>
        <w:t>. This Agreement may be executed in counterparts (and by different parties hereto in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different counterparts), each of which shall constitute an original, but all of which when taken together shall constitute a single contract. This Agreement and the other Loan Documents constitute the entire contract among the parties relating to the subject matter hereof and supersede any and all previous agreements and understandings, oral or written, relating to the subject matter hereof. Except as provided in </w:t>
      </w:r>
      <w:r>
        <w:rPr>
          <w:rFonts w:ascii="Arial" w:cs="Arial" w:eastAsia="Arial" w:hAnsi="Arial"/>
          <w:sz w:val="17"/>
          <w:szCs w:val="17"/>
          <w:u w:val="single" w:color="auto"/>
          <w:color w:val="auto"/>
        </w:rPr>
        <w:t>Section 5.01</w:t>
      </w:r>
      <w:r>
        <w:rPr>
          <w:rFonts w:ascii="Arial" w:cs="Arial" w:eastAsia="Arial" w:hAnsi="Arial"/>
          <w:sz w:val="17"/>
          <w:szCs w:val="17"/>
          <w:color w:val="auto"/>
        </w:rPr>
        <w:t>, this Agreement shall become effective when it shall have been executed by the Administrative Agent and when the Administrative Agent shall have received counterparts hereof that, when taken together, bear the signatures of each of the other parties hereto. Delivery of an executed counterpart of a signature page of this Agreement by telecopy shall be effective as delivery of a manually executed counterpart of this Agreement.</w:t>
      </w:r>
    </w:p>
    <w:p>
      <w:pPr>
        <w:spacing w:after="0" w:line="145" w:lineRule="exact"/>
        <w:rPr>
          <w:sz w:val="20"/>
          <w:szCs w:val="20"/>
          <w:color w:val="auto"/>
        </w:rPr>
      </w:pPr>
    </w:p>
    <w:p>
      <w:pPr>
        <w:jc w:val="both"/>
        <w:ind w:firstLine="629"/>
        <w:spacing w:after="0" w:line="252" w:lineRule="auto"/>
        <w:rPr>
          <w:sz w:val="20"/>
          <w:szCs w:val="20"/>
          <w:color w:val="auto"/>
        </w:rPr>
      </w:pPr>
      <w:r>
        <w:rPr>
          <w:rFonts w:ascii="Arial" w:cs="Arial" w:eastAsia="Arial" w:hAnsi="Arial"/>
          <w:sz w:val="19"/>
          <w:szCs w:val="19"/>
          <w:b w:val="1"/>
          <w:bCs w:val="1"/>
          <w:color w:val="auto"/>
        </w:rPr>
        <w:t xml:space="preserve">11.11 Survival. </w:t>
      </w:r>
      <w:r>
        <w:rPr>
          <w:rFonts w:ascii="Arial" w:cs="Arial" w:eastAsia="Arial" w:hAnsi="Arial"/>
          <w:sz w:val="19"/>
          <w:szCs w:val="19"/>
          <w:color w:val="auto"/>
        </w:rPr>
        <w:t>All representations and warranties made hereunder and in any other Loan Document or other document delivered</w:t>
      </w:r>
      <w:r>
        <w:rPr>
          <w:rFonts w:ascii="Arial" w:cs="Arial" w:eastAsia="Arial" w:hAnsi="Arial"/>
          <w:sz w:val="19"/>
          <w:szCs w:val="19"/>
          <w:b w:val="1"/>
          <w:bCs w:val="1"/>
          <w:color w:val="auto"/>
        </w:rPr>
        <w:t xml:space="preserve"> </w:t>
      </w:r>
      <w:r>
        <w:rPr>
          <w:rFonts w:ascii="Arial" w:cs="Arial" w:eastAsia="Arial" w:hAnsi="Arial"/>
          <w:sz w:val="19"/>
          <w:szCs w:val="19"/>
          <w:color w:val="auto"/>
        </w:rPr>
        <w:t>pursuant hereto or thereto or in connection herewith or therewith shall survive the execution and delivery hereof and thereof. Such representations and warranties have been or will be relied upon by the Secured Parties, regardless of any investigation made by any Secured Party or on their behalf and notwithstanding that any Secured Party may have had notice or knowledge of any Default at the time of any Credit Extension, and shall continue in full force and effect as long as any Loan or any other Loan Obligation hereunder shall remain unpaid or unsatisfied or any Letter of Credit shall remain outstanding.</w:t>
      </w:r>
    </w:p>
    <w:p>
      <w:pPr>
        <w:spacing w:after="0" w:line="177" w:lineRule="exact"/>
        <w:rPr>
          <w:sz w:val="20"/>
          <w:szCs w:val="20"/>
          <w:color w:val="auto"/>
        </w:rPr>
      </w:pPr>
    </w:p>
    <w:p>
      <w:pPr>
        <w:jc w:val="both"/>
        <w:ind w:firstLine="629"/>
        <w:spacing w:after="0" w:line="285" w:lineRule="auto"/>
        <w:rPr>
          <w:sz w:val="20"/>
          <w:szCs w:val="20"/>
          <w:color w:val="auto"/>
        </w:rPr>
      </w:pPr>
      <w:r>
        <w:rPr>
          <w:rFonts w:ascii="Arial" w:cs="Arial" w:eastAsia="Arial" w:hAnsi="Arial"/>
          <w:sz w:val="17"/>
          <w:szCs w:val="17"/>
          <w:color w:val="auto"/>
        </w:rPr>
        <w:t xml:space="preserve">Further, the provisions of </w:t>
      </w:r>
      <w:r>
        <w:rPr>
          <w:rFonts w:ascii="Arial" w:cs="Arial" w:eastAsia="Arial" w:hAnsi="Arial"/>
          <w:sz w:val="17"/>
          <w:szCs w:val="17"/>
          <w:u w:val="single" w:color="auto"/>
          <w:color w:val="auto"/>
        </w:rPr>
        <w:t>Sections 3.01</w:t>
      </w:r>
      <w:r>
        <w:rPr>
          <w:rFonts w:ascii="Arial" w:cs="Arial" w:eastAsia="Arial" w:hAnsi="Arial"/>
          <w:sz w:val="17"/>
          <w:szCs w:val="17"/>
          <w:color w:val="auto"/>
        </w:rPr>
        <w:t xml:space="preserve">, </w:t>
      </w:r>
      <w:r>
        <w:rPr>
          <w:rFonts w:ascii="Arial" w:cs="Arial" w:eastAsia="Arial" w:hAnsi="Arial"/>
          <w:sz w:val="17"/>
          <w:szCs w:val="17"/>
          <w:u w:val="single" w:color="auto"/>
          <w:color w:val="auto"/>
        </w:rPr>
        <w:t>3.04</w:t>
      </w:r>
      <w:r>
        <w:rPr>
          <w:rFonts w:ascii="Arial" w:cs="Arial" w:eastAsia="Arial" w:hAnsi="Arial"/>
          <w:sz w:val="17"/>
          <w:szCs w:val="17"/>
          <w:color w:val="auto"/>
        </w:rPr>
        <w:t xml:space="preserve">, </w:t>
      </w:r>
      <w:r>
        <w:rPr>
          <w:rFonts w:ascii="Arial" w:cs="Arial" w:eastAsia="Arial" w:hAnsi="Arial"/>
          <w:sz w:val="17"/>
          <w:szCs w:val="17"/>
          <w:u w:val="single" w:color="auto"/>
          <w:color w:val="auto"/>
        </w:rPr>
        <w:t>3.05</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11.04</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Article X</w:t>
      </w:r>
      <w:r>
        <w:rPr>
          <w:rFonts w:ascii="Arial" w:cs="Arial" w:eastAsia="Arial" w:hAnsi="Arial"/>
          <w:sz w:val="17"/>
          <w:szCs w:val="17"/>
          <w:color w:val="auto"/>
        </w:rPr>
        <w:t xml:space="preserve"> shall survive and remain in full force and effect regardless of the repayment of the Obligations, the expiration or termination of the Letters of Credit and the Revolving Credit Commitments or the termination of this Agreement or any provision hereof. In connection with the termination of this Agreement and the release and termination of the security interests in the Collateral, the Administrative Agent may require such indemnities and collateral security as they shall reasonably deem necessary or appropriate to protect the Secured Parties against (x) loss on account of credits previously applied to the Obligations that may subsequently be reversed or revoked, and (y) any obligations that may thereafter arise with respect to Credit Product Obligations.</w:t>
      </w:r>
    </w:p>
    <w:p>
      <w:pPr>
        <w:spacing w:after="0" w:line="149" w:lineRule="exact"/>
        <w:rPr>
          <w:sz w:val="20"/>
          <w:szCs w:val="20"/>
          <w:color w:val="auto"/>
        </w:rPr>
      </w:pPr>
    </w:p>
    <w:p>
      <w:pPr>
        <w:jc w:val="both"/>
        <w:ind w:firstLine="629"/>
        <w:spacing w:after="0" w:line="280" w:lineRule="auto"/>
        <w:rPr>
          <w:sz w:val="20"/>
          <w:szCs w:val="20"/>
          <w:color w:val="auto"/>
        </w:rPr>
      </w:pPr>
      <w:r>
        <w:rPr>
          <w:rFonts w:ascii="Arial" w:cs="Arial" w:eastAsia="Arial" w:hAnsi="Arial"/>
          <w:sz w:val="19"/>
          <w:szCs w:val="19"/>
          <w:b w:val="1"/>
          <w:bCs w:val="1"/>
          <w:color w:val="auto"/>
        </w:rPr>
        <w:t>11.12 Severability</w:t>
      </w:r>
      <w:r>
        <w:rPr>
          <w:rFonts w:ascii="Arial" w:cs="Arial" w:eastAsia="Arial" w:hAnsi="Arial"/>
          <w:sz w:val="19"/>
          <w:szCs w:val="19"/>
          <w:color w:val="auto"/>
        </w:rPr>
        <w:t>. If any provision of this Agreement or the other Loan Documents is held to be illegal, invalid or unenforceable, (a)</w:t>
      </w:r>
      <w:r>
        <w:rPr>
          <w:rFonts w:ascii="Arial" w:cs="Arial" w:eastAsia="Arial" w:hAnsi="Arial"/>
          <w:sz w:val="19"/>
          <w:szCs w:val="19"/>
          <w:b w:val="1"/>
          <w:bCs w:val="1"/>
          <w:color w:val="auto"/>
        </w:rPr>
        <w:t xml:space="preserve"> </w:t>
      </w:r>
      <w:r>
        <w:rPr>
          <w:rFonts w:ascii="Arial" w:cs="Arial" w:eastAsia="Arial" w:hAnsi="Arial"/>
          <w:sz w:val="19"/>
          <w:szCs w:val="19"/>
          <w:color w:val="auto"/>
        </w:rPr>
        <w:t>the legality, validity and enforceability of the remaining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176</w:t>
      </w:r>
    </w:p>
    <w:p>
      <w:pPr>
        <w:sectPr>
          <w:pgSz w:w="11900" w:h="16838" w:orient="portrait"/>
          <w:cols w:equalWidth="0" w:num="1">
            <w:col w:w="11240"/>
          </w:cols>
          <w:pgMar w:left="320" w:top="1381" w:right="339" w:bottom="1440" w:gutter="0" w:footer="0" w:header="0"/>
        </w:sectPr>
      </w:pPr>
    </w:p>
    <w:bookmarkStart w:id="295" w:name="page296"/>
    <w:bookmarkEnd w:id="295"/>
    <w:p>
      <w:pPr>
        <w:jc w:val="both"/>
        <w:spacing w:after="0" w:line="265" w:lineRule="auto"/>
        <w:rPr>
          <w:sz w:val="20"/>
          <w:szCs w:val="20"/>
          <w:color w:val="auto"/>
        </w:rPr>
      </w:pPr>
      <w:r>
        <w:rPr>
          <w:rFonts w:ascii="Arial" w:cs="Arial" w:eastAsia="Arial" w:hAnsi="Arial"/>
          <w:sz w:val="18"/>
          <w:szCs w:val="18"/>
          <w:color w:val="auto"/>
        </w:rPr>
        <w:t xml:space="preserve">provisions of this Agreement and the other Loan Documents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 Without limiting the foregoing provisions of this </w:t>
      </w:r>
      <w:r>
        <w:rPr>
          <w:rFonts w:ascii="Arial" w:cs="Arial" w:eastAsia="Arial" w:hAnsi="Arial"/>
          <w:sz w:val="18"/>
          <w:szCs w:val="18"/>
          <w:u w:val="single" w:color="auto"/>
          <w:color w:val="auto"/>
        </w:rPr>
        <w:t>Section 11.12</w:t>
      </w:r>
      <w:r>
        <w:rPr>
          <w:rFonts w:ascii="Arial" w:cs="Arial" w:eastAsia="Arial" w:hAnsi="Arial"/>
          <w:sz w:val="18"/>
          <w:szCs w:val="18"/>
          <w:color w:val="auto"/>
        </w:rPr>
        <w:t>, if and to the extent that the enforceability of any provisions in this Agreement relating to Defaulting Lenders shall be limited by Debtor Relief Laws, as determined in good faith by the Administrative Agent, the Letter of Credit Issuer or the Swing Line Lender, as applicable, then such provisions shall be deemed to be in effect only to the extent not so limited.</w:t>
      </w:r>
    </w:p>
    <w:p>
      <w:pPr>
        <w:spacing w:after="0" w:line="164" w:lineRule="exact"/>
        <w:rPr>
          <w:sz w:val="20"/>
          <w:szCs w:val="20"/>
          <w:color w:val="auto"/>
        </w:rPr>
      </w:pPr>
    </w:p>
    <w:p>
      <w:pPr>
        <w:jc w:val="both"/>
        <w:ind w:firstLine="629"/>
        <w:spacing w:after="0" w:line="265" w:lineRule="auto"/>
        <w:rPr>
          <w:sz w:val="20"/>
          <w:szCs w:val="20"/>
          <w:color w:val="auto"/>
        </w:rPr>
      </w:pPr>
      <w:r>
        <w:rPr>
          <w:rFonts w:ascii="Arial" w:cs="Arial" w:eastAsia="Arial" w:hAnsi="Arial"/>
          <w:sz w:val="18"/>
          <w:szCs w:val="18"/>
          <w:b w:val="1"/>
          <w:bCs w:val="1"/>
          <w:color w:val="auto"/>
        </w:rPr>
        <w:t>11.13 Replacement of Lenders</w:t>
      </w:r>
      <w:r>
        <w:rPr>
          <w:rFonts w:ascii="Arial" w:cs="Arial" w:eastAsia="Arial" w:hAnsi="Arial"/>
          <w:sz w:val="18"/>
          <w:szCs w:val="18"/>
          <w:color w:val="auto"/>
        </w:rPr>
        <w:t>. If any Lender requests compensation under</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3.04</w:t>
      </w:r>
      <w:r>
        <w:rPr>
          <w:rFonts w:ascii="Arial" w:cs="Arial" w:eastAsia="Arial" w:hAnsi="Arial"/>
          <w:sz w:val="18"/>
          <w:szCs w:val="18"/>
          <w:color w:val="auto"/>
        </w:rPr>
        <w:t>, if the Borrowers are required to pay any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additional amount to any Lender or any Governmental Authority for the account of any Lender pursuant to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if any Lender is a Defaulting Lender, or if any Lender fails to approve any amendment, waiver or consent requested by Borrower Agent pursuant to </w:t>
      </w:r>
      <w:r>
        <w:rPr>
          <w:rFonts w:ascii="Arial" w:cs="Arial" w:eastAsia="Arial" w:hAnsi="Arial"/>
          <w:sz w:val="18"/>
          <w:szCs w:val="18"/>
          <w:u w:val="single" w:color="auto"/>
          <w:color w:val="auto"/>
        </w:rPr>
        <w:t>Section 11.01</w:t>
      </w:r>
      <w:r>
        <w:rPr>
          <w:rFonts w:ascii="Arial" w:cs="Arial" w:eastAsia="Arial" w:hAnsi="Arial"/>
          <w:sz w:val="18"/>
          <w:szCs w:val="18"/>
          <w:color w:val="auto"/>
        </w:rPr>
        <w:t xml:space="preserve"> that has received the written approval of not less than the Required Lenders but also requires the approval of such Lender, then in each such case the Borrower Agent may, at its sole expense and effort, upon notice to such Lender and the Administrative Agent, require such Lender to assign and delegate, without recourse (in accordance with and subject to the restrictions contained in, and consents required by, </w:t>
      </w:r>
      <w:r>
        <w:rPr>
          <w:rFonts w:ascii="Arial" w:cs="Arial" w:eastAsia="Arial" w:hAnsi="Arial"/>
          <w:sz w:val="18"/>
          <w:szCs w:val="18"/>
          <w:u w:val="single" w:color="auto"/>
          <w:color w:val="auto"/>
        </w:rPr>
        <w:t>Section 11.06</w:t>
      </w:r>
      <w:r>
        <w:rPr>
          <w:rFonts w:ascii="Arial" w:cs="Arial" w:eastAsia="Arial" w:hAnsi="Arial"/>
          <w:sz w:val="18"/>
          <w:szCs w:val="18"/>
          <w:color w:val="auto"/>
        </w:rPr>
        <w:t xml:space="preserve">), all of its interests, rights and obligations under this Agreement and the related Loan Documents to an assignee that shall assume such obligations (which assignee may be another Lender, if a Lender accepts such assignment),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171" w:lineRule="exact"/>
        <w:rPr>
          <w:sz w:val="20"/>
          <w:szCs w:val="20"/>
          <w:color w:val="auto"/>
        </w:rPr>
      </w:pPr>
    </w:p>
    <w:p>
      <w:pPr>
        <w:ind w:left="1260" w:hanging="626"/>
        <w:spacing w:after="0"/>
        <w:tabs>
          <w:tab w:leader="none" w:pos="1260" w:val="left"/>
        </w:tabs>
        <w:numPr>
          <w:ilvl w:val="0"/>
          <w:numId w:val="301"/>
        </w:numPr>
        <w:rPr>
          <w:rFonts w:ascii="Arial" w:cs="Arial" w:eastAsia="Arial" w:hAnsi="Arial"/>
          <w:sz w:val="19"/>
          <w:szCs w:val="19"/>
          <w:color w:val="auto"/>
        </w:rPr>
      </w:pPr>
      <w:r>
        <w:rPr>
          <w:rFonts w:ascii="Arial" w:cs="Arial" w:eastAsia="Arial" w:hAnsi="Arial"/>
          <w:sz w:val="19"/>
          <w:szCs w:val="19"/>
          <w:color w:val="auto"/>
        </w:rPr>
        <w:t xml:space="preserve">the Borrower Agent shall have paid to the Administrative Agent the assignment fee specified in </w:t>
      </w:r>
      <w:r>
        <w:rPr>
          <w:rFonts w:ascii="Arial" w:cs="Arial" w:eastAsia="Arial" w:hAnsi="Arial"/>
          <w:sz w:val="19"/>
          <w:szCs w:val="19"/>
          <w:u w:val="single" w:color="auto"/>
          <w:color w:val="auto"/>
        </w:rPr>
        <w:t>Section 11.06(b)</w:t>
      </w:r>
      <w:r>
        <w:rPr>
          <w:rFonts w:ascii="Arial" w:cs="Arial" w:eastAsia="Arial" w:hAnsi="Arial"/>
          <w:sz w:val="19"/>
          <w:szCs w:val="19"/>
          <w:color w:val="auto"/>
        </w:rPr>
        <w:t>;</w:t>
      </w:r>
    </w:p>
    <w:p>
      <w:pPr>
        <w:spacing w:after="0" w:line="214" w:lineRule="exact"/>
        <w:rPr>
          <w:rFonts w:ascii="Arial" w:cs="Arial" w:eastAsia="Arial" w:hAnsi="Arial"/>
          <w:sz w:val="19"/>
          <w:szCs w:val="19"/>
          <w:color w:val="auto"/>
        </w:rPr>
      </w:pPr>
    </w:p>
    <w:p>
      <w:pPr>
        <w:ind w:left="1260" w:hanging="626"/>
        <w:spacing w:after="0"/>
        <w:tabs>
          <w:tab w:leader="none" w:pos="1260" w:val="left"/>
        </w:tabs>
        <w:numPr>
          <w:ilvl w:val="0"/>
          <w:numId w:val="301"/>
        </w:numPr>
        <w:rPr>
          <w:rFonts w:ascii="Arial" w:cs="Arial" w:eastAsia="Arial" w:hAnsi="Arial"/>
          <w:sz w:val="19"/>
          <w:szCs w:val="19"/>
          <w:color w:val="auto"/>
        </w:rPr>
      </w:pPr>
      <w:r>
        <w:rPr>
          <w:rFonts w:ascii="Arial" w:cs="Arial" w:eastAsia="Arial" w:hAnsi="Arial"/>
          <w:sz w:val="19"/>
          <w:szCs w:val="19"/>
          <w:color w:val="auto"/>
        </w:rPr>
        <w:t>such Lender shall have received the following, as applicable:</w:t>
      </w:r>
    </w:p>
    <w:p>
      <w:pPr>
        <w:spacing w:after="0" w:line="214" w:lineRule="exact"/>
        <w:rPr>
          <w:rFonts w:ascii="Arial" w:cs="Arial" w:eastAsia="Arial" w:hAnsi="Arial"/>
          <w:sz w:val="19"/>
          <w:szCs w:val="19"/>
          <w:color w:val="auto"/>
        </w:rPr>
      </w:pPr>
    </w:p>
    <w:p>
      <w:pPr>
        <w:jc w:val="both"/>
        <w:ind w:left="640" w:firstLine="624"/>
        <w:spacing w:after="0" w:line="249" w:lineRule="auto"/>
        <w:tabs>
          <w:tab w:leader="none" w:pos="1897" w:val="left"/>
        </w:tabs>
        <w:numPr>
          <w:ilvl w:val="1"/>
          <w:numId w:val="301"/>
        </w:numPr>
        <w:rPr>
          <w:rFonts w:ascii="Arial" w:cs="Arial" w:eastAsia="Arial" w:hAnsi="Arial"/>
          <w:sz w:val="19"/>
          <w:szCs w:val="19"/>
          <w:color w:val="auto"/>
        </w:rPr>
      </w:pPr>
      <w:r>
        <w:rPr>
          <w:rFonts w:ascii="Arial" w:cs="Arial" w:eastAsia="Arial" w:hAnsi="Arial"/>
          <w:sz w:val="19"/>
          <w:szCs w:val="19"/>
          <w:color w:val="auto"/>
        </w:rPr>
        <w:t xml:space="preserve">if such Lender is not a Defaulting Lender, both (A) payment of an amount equal to the outstanding principal of its Loans and Letter of Credit Advances, accrued interest thereon, accrued fees and all other amounts payable to it hereunder and under the other Loan Documents (including any amounts under </w:t>
      </w:r>
      <w:r>
        <w:rPr>
          <w:rFonts w:ascii="Arial" w:cs="Arial" w:eastAsia="Arial" w:hAnsi="Arial"/>
          <w:sz w:val="19"/>
          <w:szCs w:val="19"/>
          <w:u w:val="single" w:color="auto"/>
          <w:color w:val="auto"/>
        </w:rPr>
        <w:t>Section 3.05</w:t>
      </w:r>
      <w:r>
        <w:rPr>
          <w:rFonts w:ascii="Arial" w:cs="Arial" w:eastAsia="Arial" w:hAnsi="Arial"/>
          <w:sz w:val="19"/>
          <w:szCs w:val="19"/>
          <w:color w:val="auto"/>
        </w:rPr>
        <w:t>) from the assignee (to the extent of such outstanding principal and accrued interest and fees) or the Borrower Agent (in the case of all other amounts) and (B) evidence that the obligations and liabilities of each Loan Party or their Affiliates under all Credit Product Arrangements shall have been fully, finally and irrevocably paid and satisfied in full and the Credit Product Arrangements shall have expired or been terminated, or other arrangements satisfactory to the counterparties shall have been made with respect thereto; or</w:t>
      </w:r>
    </w:p>
    <w:p>
      <w:pPr>
        <w:spacing w:after="0" w:line="183" w:lineRule="exact"/>
        <w:rPr>
          <w:rFonts w:ascii="Arial" w:cs="Arial" w:eastAsia="Arial" w:hAnsi="Arial"/>
          <w:sz w:val="19"/>
          <w:szCs w:val="19"/>
          <w:color w:val="auto"/>
        </w:rPr>
      </w:pPr>
    </w:p>
    <w:p>
      <w:pPr>
        <w:jc w:val="both"/>
        <w:ind w:left="640" w:firstLine="624"/>
        <w:spacing w:after="0" w:line="254" w:lineRule="auto"/>
        <w:tabs>
          <w:tab w:leader="none" w:pos="1897" w:val="left"/>
        </w:tabs>
        <w:numPr>
          <w:ilvl w:val="1"/>
          <w:numId w:val="301"/>
        </w:numPr>
        <w:rPr>
          <w:rFonts w:ascii="Arial" w:cs="Arial" w:eastAsia="Arial" w:hAnsi="Arial"/>
          <w:sz w:val="19"/>
          <w:szCs w:val="19"/>
          <w:color w:val="auto"/>
        </w:rPr>
      </w:pPr>
      <w:r>
        <w:rPr>
          <w:rFonts w:ascii="Arial" w:cs="Arial" w:eastAsia="Arial" w:hAnsi="Arial"/>
          <w:sz w:val="19"/>
          <w:szCs w:val="19"/>
          <w:color w:val="auto"/>
        </w:rPr>
        <w:t xml:space="preserve">if such Lender is a Defaulting Lender, payment of an amount equal to the outstanding principal of its Loans and Letter of Credit Advances, accrued interest thereon, accrued fees and all other amounts payable to it hereunder and under the other Loan Documents (including any amounts under </w:t>
      </w:r>
      <w:r>
        <w:rPr>
          <w:rFonts w:ascii="Arial" w:cs="Arial" w:eastAsia="Arial" w:hAnsi="Arial"/>
          <w:sz w:val="19"/>
          <w:szCs w:val="19"/>
          <w:u w:val="single" w:color="auto"/>
          <w:color w:val="auto"/>
        </w:rPr>
        <w:t>Section 3.05</w:t>
      </w:r>
      <w:r>
        <w:rPr>
          <w:rFonts w:ascii="Arial" w:cs="Arial" w:eastAsia="Arial" w:hAnsi="Arial"/>
          <w:sz w:val="19"/>
          <w:szCs w:val="19"/>
          <w:color w:val="auto"/>
        </w:rPr>
        <w:t>) from the assignee (to the extent of such outstanding principal and accrued interest and fees) or the Borrower Agent (in the case of all other amounts).</w:t>
      </w:r>
    </w:p>
    <w:p>
      <w:pPr>
        <w:spacing w:after="0" w:line="176" w:lineRule="exact"/>
        <w:rPr>
          <w:rFonts w:ascii="Arial" w:cs="Arial" w:eastAsia="Arial" w:hAnsi="Arial"/>
          <w:sz w:val="19"/>
          <w:szCs w:val="19"/>
          <w:color w:val="auto"/>
        </w:rPr>
      </w:pPr>
    </w:p>
    <w:p>
      <w:pPr>
        <w:ind w:firstLine="634"/>
        <w:spacing w:after="0" w:line="274" w:lineRule="auto"/>
        <w:tabs>
          <w:tab w:leader="none" w:pos="1249" w:val="left"/>
        </w:tabs>
        <w:numPr>
          <w:ilvl w:val="0"/>
          <w:numId w:val="301"/>
        </w:numPr>
        <w:rPr>
          <w:rFonts w:ascii="Arial" w:cs="Arial" w:eastAsia="Arial" w:hAnsi="Arial"/>
          <w:sz w:val="19"/>
          <w:szCs w:val="19"/>
          <w:color w:val="auto"/>
        </w:rPr>
      </w:pPr>
      <w:r>
        <w:rPr>
          <w:rFonts w:ascii="Arial" w:cs="Arial" w:eastAsia="Arial" w:hAnsi="Arial"/>
          <w:sz w:val="19"/>
          <w:szCs w:val="19"/>
          <w:color w:val="auto"/>
        </w:rPr>
        <w:t xml:space="preserve">in the case of any such assignment resulting from a claim for compensation under </w:t>
      </w:r>
      <w:r>
        <w:rPr>
          <w:rFonts w:ascii="Arial" w:cs="Arial" w:eastAsia="Arial" w:hAnsi="Arial"/>
          <w:sz w:val="19"/>
          <w:szCs w:val="19"/>
          <w:u w:val="single" w:color="auto"/>
          <w:color w:val="auto"/>
        </w:rPr>
        <w:t>Section 3.04</w:t>
      </w:r>
      <w:r>
        <w:rPr>
          <w:rFonts w:ascii="Arial" w:cs="Arial" w:eastAsia="Arial" w:hAnsi="Arial"/>
          <w:sz w:val="19"/>
          <w:szCs w:val="19"/>
          <w:color w:val="auto"/>
        </w:rPr>
        <w:t xml:space="preserve"> or payments required to be made pursuant to </w:t>
      </w:r>
      <w:r>
        <w:rPr>
          <w:rFonts w:ascii="Arial" w:cs="Arial" w:eastAsia="Arial" w:hAnsi="Arial"/>
          <w:sz w:val="19"/>
          <w:szCs w:val="19"/>
          <w:u w:val="single" w:color="auto"/>
          <w:color w:val="auto"/>
        </w:rPr>
        <w:t>Section 3.01</w:t>
      </w:r>
      <w:r>
        <w:rPr>
          <w:rFonts w:ascii="Arial" w:cs="Arial" w:eastAsia="Arial" w:hAnsi="Arial"/>
          <w:sz w:val="19"/>
          <w:szCs w:val="19"/>
          <w:color w:val="auto"/>
        </w:rPr>
        <w:t>, such assignment will result in a reduction in such compensation or payments thereafter;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177</w:t>
      </w:r>
    </w:p>
    <w:p>
      <w:pPr>
        <w:sectPr>
          <w:pgSz w:w="11900" w:h="16838" w:orient="portrait"/>
          <w:cols w:equalWidth="0" w:num="1">
            <w:col w:w="11240"/>
          </w:cols>
          <w:pgMar w:left="320" w:top="1382" w:right="339" w:bottom="1440" w:gutter="0" w:footer="0" w:header="0"/>
        </w:sectPr>
      </w:pPr>
    </w:p>
    <w:bookmarkStart w:id="296" w:name="page297"/>
    <w:bookmarkEnd w:id="296"/>
    <w:p>
      <w:pPr>
        <w:ind w:firstLine="634"/>
        <w:spacing w:after="0" w:line="302" w:lineRule="auto"/>
        <w:tabs>
          <w:tab w:leader="none" w:pos="1247" w:val="left"/>
        </w:tabs>
        <w:numPr>
          <w:ilvl w:val="0"/>
          <w:numId w:val="302"/>
        </w:numPr>
        <w:rPr>
          <w:rFonts w:ascii="Arial" w:cs="Arial" w:eastAsia="Arial" w:hAnsi="Arial"/>
          <w:sz w:val="18"/>
          <w:szCs w:val="18"/>
          <w:color w:val="auto"/>
        </w:rPr>
      </w:pPr>
      <w:r>
        <w:rPr>
          <w:rFonts w:ascii="Arial" w:cs="Arial" w:eastAsia="Arial" w:hAnsi="Arial"/>
          <w:sz w:val="18"/>
          <w:szCs w:val="18"/>
          <w:color w:val="auto"/>
        </w:rPr>
        <w:t>in the case of any such assignment resulting from the refusal of a Lender to approve a requested amendment, waiver or consent, the Person to whom such assignment is being made has agreed to approve such requested amendment, waiver or consent; and</w:t>
      </w:r>
    </w:p>
    <w:p>
      <w:pPr>
        <w:spacing w:after="0" w:line="134" w:lineRule="exact"/>
        <w:rPr>
          <w:rFonts w:ascii="Arial" w:cs="Arial" w:eastAsia="Arial" w:hAnsi="Arial"/>
          <w:sz w:val="18"/>
          <w:szCs w:val="18"/>
          <w:color w:val="auto"/>
        </w:rPr>
      </w:pPr>
    </w:p>
    <w:p>
      <w:pPr>
        <w:ind w:left="1260" w:hanging="626"/>
        <w:spacing w:after="0"/>
        <w:tabs>
          <w:tab w:leader="none" w:pos="1260" w:val="left"/>
        </w:tabs>
        <w:numPr>
          <w:ilvl w:val="0"/>
          <w:numId w:val="302"/>
        </w:numPr>
        <w:rPr>
          <w:rFonts w:ascii="Arial" w:cs="Arial" w:eastAsia="Arial" w:hAnsi="Arial"/>
          <w:sz w:val="19"/>
          <w:szCs w:val="19"/>
          <w:color w:val="auto"/>
        </w:rPr>
      </w:pPr>
      <w:r>
        <w:rPr>
          <w:rFonts w:ascii="Arial" w:cs="Arial" w:eastAsia="Arial" w:hAnsi="Arial"/>
          <w:sz w:val="19"/>
          <w:szCs w:val="19"/>
          <w:color w:val="auto"/>
        </w:rPr>
        <w:t>such assignment does not conflict with applicable Laws.</w:t>
      </w:r>
    </w:p>
    <w:p>
      <w:pPr>
        <w:spacing w:after="0" w:line="214" w:lineRule="exact"/>
        <w:rPr>
          <w:sz w:val="20"/>
          <w:szCs w:val="20"/>
          <w:color w:val="auto"/>
        </w:rPr>
      </w:pPr>
    </w:p>
    <w:p>
      <w:pPr>
        <w:spacing w:after="0" w:line="274" w:lineRule="auto"/>
        <w:rPr>
          <w:sz w:val="20"/>
          <w:szCs w:val="20"/>
          <w:color w:val="auto"/>
        </w:rPr>
      </w:pPr>
      <w:r>
        <w:rPr>
          <w:rFonts w:ascii="Arial" w:cs="Arial" w:eastAsia="Arial" w:hAnsi="Arial"/>
          <w:sz w:val="19"/>
          <w:szCs w:val="19"/>
          <w:color w:val="auto"/>
        </w:rPr>
        <w:t>A Lender shall not be required to make any such assignment or delegation if, prior thereto, as a result of a waiver by such Lender or otherwise, the circumstances entitling the Borrowers to require such assignment and delegation cease to apply.</w:t>
      </w:r>
    </w:p>
    <w:p>
      <w:pPr>
        <w:spacing w:after="0" w:line="151"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9"/>
          <w:szCs w:val="19"/>
          <w:b w:val="1"/>
          <w:bCs w:val="1"/>
          <w:color w:val="auto"/>
        </w:rPr>
        <w:t>11.14</w:t>
      </w:r>
      <w:r>
        <w:rPr>
          <w:sz w:val="20"/>
          <w:szCs w:val="20"/>
          <w:color w:val="auto"/>
        </w:rPr>
        <w:tab/>
      </w:r>
      <w:r>
        <w:rPr>
          <w:rFonts w:ascii="Arial" w:cs="Arial" w:eastAsia="Arial" w:hAnsi="Arial"/>
          <w:sz w:val="17"/>
          <w:szCs w:val="17"/>
          <w:b w:val="1"/>
          <w:bCs w:val="1"/>
          <w:color w:val="auto"/>
        </w:rPr>
        <w:t>Governing Law; Jurisdiction; Etc.</w:t>
      </w:r>
    </w:p>
    <w:p>
      <w:pPr>
        <w:spacing w:after="0" w:line="214" w:lineRule="exact"/>
        <w:rPr>
          <w:sz w:val="20"/>
          <w:szCs w:val="20"/>
          <w:color w:val="auto"/>
        </w:rPr>
      </w:pPr>
    </w:p>
    <w:p>
      <w:pPr>
        <w:ind w:firstLine="634"/>
        <w:spacing w:after="0" w:line="280" w:lineRule="auto"/>
        <w:tabs>
          <w:tab w:leader="none" w:pos="1249" w:val="left"/>
        </w:tabs>
        <w:numPr>
          <w:ilvl w:val="0"/>
          <w:numId w:val="303"/>
        </w:numPr>
        <w:rPr>
          <w:rFonts w:ascii="Arial" w:cs="Arial" w:eastAsia="Arial" w:hAnsi="Arial"/>
          <w:sz w:val="19"/>
          <w:szCs w:val="19"/>
          <w:color w:val="auto"/>
        </w:rPr>
      </w:pPr>
      <w:r>
        <w:rPr>
          <w:rFonts w:ascii="Arial" w:cs="Arial" w:eastAsia="Arial" w:hAnsi="Arial"/>
          <w:sz w:val="19"/>
          <w:szCs w:val="19"/>
          <w:b w:val="1"/>
          <w:bCs w:val="1"/>
          <w:color w:val="auto"/>
        </w:rPr>
        <w:t>THIS AGREEMENT SHALL BE GOVERNED BY, AND CONSTRUED IN ACCORDANCE WITH, THE LAW OF THE STATE OF NEW YORK.</w:t>
      </w:r>
    </w:p>
    <w:p>
      <w:pPr>
        <w:spacing w:after="0" w:line="145" w:lineRule="exact"/>
        <w:rPr>
          <w:rFonts w:ascii="Arial" w:cs="Arial" w:eastAsia="Arial" w:hAnsi="Arial"/>
          <w:sz w:val="19"/>
          <w:szCs w:val="19"/>
          <w:color w:val="auto"/>
        </w:rPr>
      </w:pPr>
    </w:p>
    <w:p>
      <w:pPr>
        <w:jc w:val="both"/>
        <w:ind w:firstLine="634"/>
        <w:spacing w:after="0" w:line="247" w:lineRule="auto"/>
        <w:tabs>
          <w:tab w:leader="none" w:pos="1247" w:val="left"/>
        </w:tabs>
        <w:numPr>
          <w:ilvl w:val="0"/>
          <w:numId w:val="303"/>
        </w:numPr>
        <w:rPr>
          <w:rFonts w:ascii="Arial" w:cs="Arial" w:eastAsia="Arial" w:hAnsi="Arial"/>
          <w:sz w:val="19"/>
          <w:szCs w:val="19"/>
          <w:color w:val="auto"/>
        </w:rPr>
      </w:pPr>
      <w:r>
        <w:rPr>
          <w:rFonts w:ascii="Arial" w:cs="Arial" w:eastAsia="Arial" w:hAnsi="Arial"/>
          <w:sz w:val="19"/>
          <w:szCs w:val="19"/>
          <w:b w:val="1"/>
          <w:bCs w:val="1"/>
          <w:color w:val="auto"/>
        </w:rPr>
        <w:t>EACH LOAN PARTY IRREVOCABLY AND UNCONDITIONALLY SUBMITS, FOR ITSELF AND ITS PROPERTY, TO THE EXCLUSIVE JURISDICTION OF THE COURTS OF THE STATE OF NEW YORK SITTING IN NEW YORK COUNTY AND OF THE UNITED STATES DISTRICT COURT OF THE SOUTHERN DISTRICT OF NEW YORK, AND ANY APPELLATE COURT FROM ANY THEREOF, IN ANY ACTION OR PROCEEDING ARISING OUT OF OR RELATING TO THIS AGREEMENT OR ANY OTHER LOAN DOCUMENT, OR FOR RECOGNITION OR ENFORCEMENT OF ANY JUDGMENT, AND EACH OF THE PARTIES HERETO IRREVOCABLY AND UNCONDITIONALLY AGREES THAT ALL CLAIMS IN RESPECT OF ANY SUCH ACTION OR PROCEEDING MAY BE HEARD AND DETERMINED IN SUCH NEW YORK STATE COURT OR, TO THE FULLEST EXTENT PERMITTED BY APPLICABLE LAW, IN SUCH FEDERAL COURT. EACH OF THE PARTIES HERETO AGREES THAT A FINAL JUDGMENT IN ANY SUCH ACTION OR PROCEEDING SHALL BE CONCLUSIVE AND MAY BE ENFORCED IN OTHER JURISDICTIONS BY SUIT ON THE JUDGMENT OR IN ANY OTHER MANNER PROVIDED BY LAW. NOTHING IN THIS AGREEMENT OR IN ANY OTHER LOAN DOCUMENT SHALL AFFECT ANY RIGHT THAT THE ADMINISTRATIVE AGENT, ANY LENDER OR THE LETTER OF CREDIT ISSUER MAY OTHERWISE HAVE TO BRING ANY ACTION OR PROCEEDING RELATING TO THIS AGREEMENT OR ANY OTHER LOAN DOCUMENT AGAINST THE BORROWERS OR THEIR PROPERTIES IN THE COURTS OF ANY JURISDICTION.</w:t>
      </w:r>
    </w:p>
    <w:p>
      <w:pPr>
        <w:spacing w:after="0" w:line="182" w:lineRule="exact"/>
        <w:rPr>
          <w:rFonts w:ascii="Arial" w:cs="Arial" w:eastAsia="Arial" w:hAnsi="Arial"/>
          <w:sz w:val="19"/>
          <w:szCs w:val="19"/>
          <w:color w:val="auto"/>
        </w:rPr>
      </w:pPr>
    </w:p>
    <w:p>
      <w:pPr>
        <w:jc w:val="both"/>
        <w:ind w:firstLine="634"/>
        <w:spacing w:after="0" w:line="250" w:lineRule="auto"/>
        <w:tabs>
          <w:tab w:leader="none" w:pos="1249" w:val="left"/>
        </w:tabs>
        <w:numPr>
          <w:ilvl w:val="0"/>
          <w:numId w:val="303"/>
        </w:numPr>
        <w:rPr>
          <w:rFonts w:ascii="Arial" w:cs="Arial" w:eastAsia="Arial" w:hAnsi="Arial"/>
          <w:sz w:val="19"/>
          <w:szCs w:val="19"/>
          <w:color w:val="auto"/>
        </w:rPr>
      </w:pPr>
      <w:r>
        <w:rPr>
          <w:rFonts w:ascii="Arial" w:cs="Arial" w:eastAsia="Arial" w:hAnsi="Arial"/>
          <w:sz w:val="19"/>
          <w:szCs w:val="19"/>
          <w:b w:val="1"/>
          <w:bCs w:val="1"/>
          <w:color w:val="auto"/>
        </w:rPr>
        <w:t>EACH LOAN PARTY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PARAGRAPH (B) OF THIS SECTION. EACH OF THE PARTIES HERETO HEREBY IRREVOCABLY WAIVES, TO THE FULLEST EXTENT PERMITTED BY APPLICABLE LAW, THE DEFENSE OF AN INCONVENIENT FORUM TO THE MAINTENANCE OF SUCH ACTION OR PROCEEDING IN ANY SUCH COURT. EACH PARTY HERETO HEREBY WAIVES, TO THE MAXIMUM EXTENT NOT PROHIBITED BY LAW, ANY RIGHT THAT IT MAY HAVE TO CLAIM OR RECOVER IN ANY LEGAL ACTION OR PROCEEDING REFERRED TO IN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178</w:t>
      </w:r>
    </w:p>
    <w:p>
      <w:pPr>
        <w:sectPr>
          <w:pgSz w:w="11900" w:h="16838" w:orient="portrait"/>
          <w:cols w:equalWidth="0" w:num="1">
            <w:col w:w="11240"/>
          </w:cols>
          <w:pgMar w:left="320" w:top="1381" w:right="339" w:bottom="1440" w:gutter="0" w:footer="0" w:header="0"/>
        </w:sectPr>
      </w:pPr>
    </w:p>
    <w:bookmarkStart w:id="297" w:name="page298"/>
    <w:bookmarkEnd w:id="297"/>
    <w:p>
      <w:pPr>
        <w:spacing w:after="0"/>
        <w:rPr>
          <w:sz w:val="20"/>
          <w:szCs w:val="20"/>
          <w:color w:val="auto"/>
        </w:rPr>
      </w:pPr>
      <w:r>
        <w:rPr>
          <w:rFonts w:ascii="Arial" w:cs="Arial" w:eastAsia="Arial" w:hAnsi="Arial"/>
          <w:sz w:val="19"/>
          <w:szCs w:val="19"/>
          <w:b w:val="1"/>
          <w:bCs w:val="1"/>
          <w:u w:val="single" w:color="auto"/>
          <w:color w:val="auto"/>
        </w:rPr>
        <w:t>SECTION 11.14</w:t>
      </w:r>
      <w:r>
        <w:rPr>
          <w:rFonts w:ascii="Arial" w:cs="Arial" w:eastAsia="Arial" w:hAnsi="Arial"/>
          <w:sz w:val="19"/>
          <w:szCs w:val="19"/>
          <w:b w:val="1"/>
          <w:bCs w:val="1"/>
          <w:color w:val="auto"/>
        </w:rPr>
        <w:t xml:space="preserve"> ANY SPECIAL, EXEMPLARY, PUNITIVE OR CONSEQUENTIAL DAMAGES.</w:t>
      </w:r>
    </w:p>
    <w:p>
      <w:pPr>
        <w:spacing w:after="0" w:line="214" w:lineRule="exact"/>
        <w:rPr>
          <w:sz w:val="20"/>
          <w:szCs w:val="20"/>
          <w:color w:val="auto"/>
        </w:rPr>
      </w:pPr>
    </w:p>
    <w:p>
      <w:pPr>
        <w:jc w:val="both"/>
        <w:ind w:firstLine="634"/>
        <w:spacing w:after="0" w:line="262" w:lineRule="auto"/>
        <w:tabs>
          <w:tab w:leader="none" w:pos="1247" w:val="left"/>
        </w:tabs>
        <w:numPr>
          <w:ilvl w:val="0"/>
          <w:numId w:val="304"/>
        </w:numPr>
        <w:rPr>
          <w:rFonts w:ascii="Arial" w:cs="Arial" w:eastAsia="Arial" w:hAnsi="Arial"/>
          <w:sz w:val="19"/>
          <w:szCs w:val="19"/>
          <w:color w:val="auto"/>
        </w:rPr>
      </w:pPr>
      <w:r>
        <w:rPr>
          <w:rFonts w:ascii="Arial" w:cs="Arial" w:eastAsia="Arial" w:hAnsi="Arial"/>
          <w:sz w:val="19"/>
          <w:szCs w:val="19"/>
          <w:b w:val="1"/>
          <w:bCs w:val="1"/>
          <w:color w:val="auto"/>
        </w:rPr>
        <w:t xml:space="preserve">EACH PARTY HERETO IRREVOCABLY CONSENTS TO SERVICE OF PROCESS IN THE MANNER PROVIDED FOR NOTICES IN </w:t>
      </w:r>
      <w:r>
        <w:rPr>
          <w:rFonts w:ascii="Arial" w:cs="Arial" w:eastAsia="Arial" w:hAnsi="Arial"/>
          <w:sz w:val="19"/>
          <w:szCs w:val="19"/>
          <w:b w:val="1"/>
          <w:bCs w:val="1"/>
          <w:u w:val="single" w:color="auto"/>
          <w:color w:val="auto"/>
        </w:rPr>
        <w:t>SECTION 11.02</w:t>
      </w:r>
      <w:r>
        <w:rPr>
          <w:rFonts w:ascii="Arial" w:cs="Arial" w:eastAsia="Arial" w:hAnsi="Arial"/>
          <w:sz w:val="19"/>
          <w:szCs w:val="19"/>
          <w:b w:val="1"/>
          <w:bCs w:val="1"/>
          <w:color w:val="auto"/>
        </w:rPr>
        <w:t>. NOTHING IN THIS AGREEMENT WILL AFFECT THE RIGHT OF ANY PARTY HERETO TO SERVE PROCESS IN ANY OTHER MANNER PERMITTED BY APPLICABLE LAW.</w:t>
      </w:r>
    </w:p>
    <w:p>
      <w:pPr>
        <w:spacing w:after="0" w:line="163" w:lineRule="exact"/>
        <w:rPr>
          <w:sz w:val="20"/>
          <w:szCs w:val="20"/>
          <w:color w:val="auto"/>
        </w:rPr>
      </w:pPr>
    </w:p>
    <w:p>
      <w:pPr>
        <w:jc w:val="both"/>
        <w:ind w:firstLine="629"/>
        <w:spacing w:after="0" w:line="249" w:lineRule="auto"/>
        <w:rPr>
          <w:sz w:val="20"/>
          <w:szCs w:val="20"/>
          <w:color w:val="auto"/>
        </w:rPr>
      </w:pPr>
      <w:r>
        <w:rPr>
          <w:rFonts w:ascii="Arial" w:cs="Arial" w:eastAsia="Arial" w:hAnsi="Arial"/>
          <w:sz w:val="19"/>
          <w:szCs w:val="19"/>
          <w:b w:val="1"/>
          <w:bCs w:val="1"/>
          <w:color w:val="auto"/>
        </w:rPr>
        <w:t>11.15 Waiver of Jury Trial. EACH PARTY HERETO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spacing w:after="0" w:line="176" w:lineRule="exact"/>
        <w:rPr>
          <w:sz w:val="20"/>
          <w:szCs w:val="20"/>
          <w:color w:val="auto"/>
        </w:rPr>
      </w:pPr>
    </w:p>
    <w:p>
      <w:pPr>
        <w:jc w:val="both"/>
        <w:ind w:firstLine="629"/>
        <w:spacing w:after="0" w:line="249" w:lineRule="auto"/>
        <w:rPr>
          <w:sz w:val="20"/>
          <w:szCs w:val="20"/>
          <w:color w:val="auto"/>
        </w:rPr>
      </w:pPr>
      <w:r>
        <w:rPr>
          <w:rFonts w:ascii="Arial" w:cs="Arial" w:eastAsia="Arial" w:hAnsi="Arial"/>
          <w:sz w:val="19"/>
          <w:szCs w:val="19"/>
          <w:b w:val="1"/>
          <w:bCs w:val="1"/>
          <w:color w:val="auto"/>
        </w:rPr>
        <w:t>11.16 Electronic Execution of Assignments and Certain Other Documents</w:t>
      </w:r>
      <w:r>
        <w:rPr>
          <w:rFonts w:ascii="Arial" w:cs="Arial" w:eastAsia="Arial" w:hAnsi="Arial"/>
          <w:sz w:val="19"/>
          <w:szCs w:val="19"/>
          <w:color w:val="auto"/>
        </w:rPr>
        <w:t>. The words “execution,” “signed,” “signature,” and</w:t>
      </w:r>
      <w:r>
        <w:rPr>
          <w:rFonts w:ascii="Arial" w:cs="Arial" w:eastAsia="Arial" w:hAnsi="Arial"/>
          <w:sz w:val="19"/>
          <w:szCs w:val="19"/>
          <w:b w:val="1"/>
          <w:bCs w:val="1"/>
          <w:color w:val="auto"/>
        </w:rPr>
        <w:t xml:space="preserve"> </w:t>
      </w:r>
      <w:r>
        <w:rPr>
          <w:rFonts w:ascii="Arial" w:cs="Arial" w:eastAsia="Arial" w:hAnsi="Arial"/>
          <w:sz w:val="19"/>
          <w:szCs w:val="19"/>
          <w:color w:val="auto"/>
        </w:rPr>
        <w:t>words of like import in any Assignment and Assumption or in any amendment or other modification hereof (including waivers and consents)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and including Parts 2 and 3 of the Personal Information Protection and Electronic Documents Act (Canada), the Electronic Commerce Act, 2000 (Ontario) and other similar federal or provincial laws based on the Uniform Electronic Commerce Act of the Uniform Law Conference of Canada or its Uniform Electronic Evidence Act, as the case may be.</w:t>
      </w:r>
    </w:p>
    <w:p>
      <w:pPr>
        <w:spacing w:after="0" w:line="176" w:lineRule="exact"/>
        <w:rPr>
          <w:sz w:val="20"/>
          <w:szCs w:val="20"/>
          <w:color w:val="auto"/>
        </w:rPr>
      </w:pPr>
    </w:p>
    <w:p>
      <w:pPr>
        <w:jc w:val="both"/>
        <w:ind w:firstLine="629"/>
        <w:spacing w:after="0" w:line="275" w:lineRule="auto"/>
        <w:rPr>
          <w:sz w:val="20"/>
          <w:szCs w:val="20"/>
          <w:color w:val="auto"/>
        </w:rPr>
      </w:pPr>
      <w:r>
        <w:rPr>
          <w:rFonts w:ascii="Arial" w:cs="Arial" w:eastAsia="Arial" w:hAnsi="Arial"/>
          <w:sz w:val="18"/>
          <w:szCs w:val="18"/>
          <w:b w:val="1"/>
          <w:bCs w:val="1"/>
          <w:color w:val="auto"/>
        </w:rPr>
        <w:t>11.17 USA PATRIOT Act Notice</w:t>
      </w:r>
      <w:r>
        <w:rPr>
          <w:rFonts w:ascii="Arial" w:cs="Arial" w:eastAsia="Arial" w:hAnsi="Arial"/>
          <w:sz w:val="18"/>
          <w:szCs w:val="18"/>
          <w:color w:val="auto"/>
        </w:rPr>
        <w:t>. Each Lender that is subject to the PATRIOT Act and the Administrative Agent (for itself and not on</w:t>
      </w:r>
      <w:r>
        <w:rPr>
          <w:rFonts w:ascii="Arial" w:cs="Arial" w:eastAsia="Arial" w:hAnsi="Arial"/>
          <w:sz w:val="18"/>
          <w:szCs w:val="18"/>
          <w:b w:val="1"/>
          <w:bCs w:val="1"/>
          <w:color w:val="auto"/>
        </w:rPr>
        <w:t xml:space="preserve"> </w:t>
      </w:r>
      <w:r>
        <w:rPr>
          <w:rFonts w:ascii="Arial" w:cs="Arial" w:eastAsia="Arial" w:hAnsi="Arial"/>
          <w:sz w:val="18"/>
          <w:szCs w:val="18"/>
          <w:color w:val="auto"/>
        </w:rPr>
        <w:t>behalf of any Lender) hereby notifies the Borrowers that pursuant to the requirements of the PATRIOT Act, it is required to obtain, verify and record information that identifies the Borrowers, which information includes the name and address of the Borrowers and other information that will allow such Lender or the Administrative Agent, as applicable, to identify the Borrowers in accordance with the PATRIOT Act.</w:t>
      </w:r>
    </w:p>
    <w:p>
      <w:pPr>
        <w:spacing w:after="0" w:line="153" w:lineRule="exact"/>
        <w:rPr>
          <w:sz w:val="20"/>
          <w:szCs w:val="20"/>
          <w:color w:val="auto"/>
        </w:rPr>
      </w:pPr>
    </w:p>
    <w:p>
      <w:pPr>
        <w:jc w:val="both"/>
        <w:ind w:firstLine="629"/>
        <w:spacing w:after="0" w:line="253" w:lineRule="auto"/>
        <w:rPr>
          <w:sz w:val="20"/>
          <w:szCs w:val="20"/>
          <w:color w:val="auto"/>
        </w:rPr>
      </w:pPr>
      <w:r>
        <w:rPr>
          <w:rFonts w:ascii="Arial" w:cs="Arial" w:eastAsia="Arial" w:hAnsi="Arial"/>
          <w:sz w:val="19"/>
          <w:szCs w:val="19"/>
          <w:b w:val="1"/>
          <w:bCs w:val="1"/>
          <w:color w:val="auto"/>
        </w:rPr>
        <w:t xml:space="preserve">11.18 No Advisory or Fiduciary Responsibility. </w:t>
      </w:r>
      <w:r>
        <w:rPr>
          <w:rFonts w:ascii="Arial" w:cs="Arial" w:eastAsia="Arial" w:hAnsi="Arial"/>
          <w:sz w:val="19"/>
          <w:szCs w:val="19"/>
          <w:color w:val="auto"/>
        </w:rPr>
        <w:t>In connection with all aspects of each transaction contemplated hereby (including in</w:t>
      </w:r>
      <w:r>
        <w:rPr>
          <w:rFonts w:ascii="Arial" w:cs="Arial" w:eastAsia="Arial" w:hAnsi="Arial"/>
          <w:sz w:val="19"/>
          <w:szCs w:val="19"/>
          <w:b w:val="1"/>
          <w:bCs w:val="1"/>
          <w:color w:val="auto"/>
        </w:rPr>
        <w:t xml:space="preserve"> </w:t>
      </w:r>
      <w:r>
        <w:rPr>
          <w:rFonts w:ascii="Arial" w:cs="Arial" w:eastAsia="Arial" w:hAnsi="Arial"/>
          <w:sz w:val="19"/>
          <w:szCs w:val="19"/>
          <w:color w:val="auto"/>
        </w:rPr>
        <w:t>connection with any amendment, waiver or other modification hereof or of any other Loan Document), each Loan Party acknowledges and agrees, and acknowledges its Affiliates’ understanding, that: (i) (A) the arranging and other services regarding this Agreement provided by the Secured Parties are arm’s-length commercial transactions between each Loan Party, on the one hand, and the Secured Parties, on the other hand, (B) each Loan Party has consulted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179</w:t>
      </w:r>
    </w:p>
    <w:p>
      <w:pPr>
        <w:sectPr>
          <w:pgSz w:w="11900" w:h="16838" w:orient="portrait"/>
          <w:cols w:equalWidth="0" w:num="1">
            <w:col w:w="11240"/>
          </w:cols>
          <w:pgMar w:left="320" w:top="1376" w:right="339" w:bottom="1440" w:gutter="0" w:footer="0" w:header="0"/>
        </w:sectPr>
      </w:pPr>
    </w:p>
    <w:bookmarkStart w:id="298" w:name="page299"/>
    <w:bookmarkEnd w:id="298"/>
    <w:p>
      <w:pPr>
        <w:jc w:val="both"/>
        <w:spacing w:after="0" w:line="262" w:lineRule="auto"/>
        <w:rPr>
          <w:sz w:val="20"/>
          <w:szCs w:val="20"/>
          <w:color w:val="auto"/>
        </w:rPr>
      </w:pPr>
      <w:r>
        <w:rPr>
          <w:rFonts w:ascii="Arial" w:cs="Arial" w:eastAsia="Arial" w:hAnsi="Arial"/>
          <w:sz w:val="18"/>
          <w:szCs w:val="18"/>
          <w:color w:val="auto"/>
        </w:rPr>
        <w:t>own legal, accounting, regulatory and tax advisors to the extent it has deemed appropriate, and (C) each Loan Party is capable of evaluating, and understands and accepts, the terms, risks and conditions of the transactions contemplated hereby and by the other Loan Documents; (ii) (A) each Secured Party is and has been acting solely as a principal and, except as expressly agreed in writing by the relevant parties, has not been, is not, and will not be acting as an advisor, agent or fiduciary for any Loan Party or any of its Affiliates or any other Person and (B) no Secured Party has any obligation to any Loan Party or any of its Affiliates with respect to the transactions contemplated hereby except those obligations expressly set forth herein and in the other Loan Documents, (iii) the Secured Parties may be engaged in a broad range of transactions that involve interests that differ from those of the Loan Parties and their Affiliates, and no Secured Party has any obligation to disclose any of such interests to any Loan Party or its Affiliates and (iv) the Secured Parties have not provided and will not provide any legal, accounting, regulatory or tax advice with respect to any of the transactions contemplated hereby (including any amendment, waiver or other modification hereof or of any other Loan Document) and each of the Loan Parties has consulted its own legal, accounting, regulatory and tax advisors to the extent it has deemed appropriate. To the fullest extent permitted by law, each Loan Party hereby waives and releases any claims that it may have against any Secured Party with respect to any breach or alleged breach of agency or fiduciary duty in connection with any aspect of any transaction contemplated hereby.</w:t>
      </w:r>
    </w:p>
    <w:p>
      <w:pPr>
        <w:spacing w:after="0" w:line="164" w:lineRule="exact"/>
        <w:rPr>
          <w:sz w:val="20"/>
          <w:szCs w:val="20"/>
          <w:color w:val="auto"/>
        </w:rPr>
      </w:pPr>
    </w:p>
    <w:p>
      <w:pPr>
        <w:jc w:val="both"/>
        <w:ind w:firstLine="629"/>
        <w:spacing w:after="0" w:line="262" w:lineRule="auto"/>
        <w:rPr>
          <w:sz w:val="20"/>
          <w:szCs w:val="20"/>
          <w:color w:val="auto"/>
        </w:rPr>
      </w:pPr>
      <w:r>
        <w:rPr>
          <w:rFonts w:ascii="Arial" w:cs="Arial" w:eastAsia="Arial" w:hAnsi="Arial"/>
          <w:sz w:val="19"/>
          <w:szCs w:val="19"/>
          <w:b w:val="1"/>
          <w:bCs w:val="1"/>
          <w:color w:val="auto"/>
        </w:rPr>
        <w:t xml:space="preserve">11.19 Attachments. </w:t>
      </w:r>
      <w:r>
        <w:rPr>
          <w:rFonts w:ascii="Arial" w:cs="Arial" w:eastAsia="Arial" w:hAnsi="Arial"/>
          <w:sz w:val="19"/>
          <w:szCs w:val="19"/>
          <w:color w:val="auto"/>
        </w:rPr>
        <w:t>The exhibits, schedules and annexes attached to this Agreement are incorporated herein and shall be considered a</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part of this Agreement for the purposes stated herein; </w:t>
      </w:r>
      <w:r>
        <w:rPr>
          <w:rFonts w:ascii="Arial" w:cs="Arial" w:eastAsia="Arial" w:hAnsi="Arial"/>
          <w:sz w:val="19"/>
          <w:szCs w:val="19"/>
          <w:u w:val="single" w:color="auto"/>
          <w:color w:val="auto"/>
        </w:rPr>
        <w:t>except</w:t>
      </w:r>
      <w:r>
        <w:rPr>
          <w:rFonts w:ascii="Arial" w:cs="Arial" w:eastAsia="Arial" w:hAnsi="Arial"/>
          <w:sz w:val="19"/>
          <w:szCs w:val="19"/>
          <w:color w:val="auto"/>
        </w:rPr>
        <w:t xml:space="preserve">, </w:t>
      </w:r>
      <w:r>
        <w:rPr>
          <w:rFonts w:ascii="Arial" w:cs="Arial" w:eastAsia="Arial" w:hAnsi="Arial"/>
          <w:sz w:val="19"/>
          <w:szCs w:val="19"/>
          <w:u w:val="single" w:color="auto"/>
          <w:color w:val="auto"/>
        </w:rPr>
        <w:t>that</w:t>
      </w:r>
      <w:r>
        <w:rPr>
          <w:rFonts w:ascii="Arial" w:cs="Arial" w:eastAsia="Arial" w:hAnsi="Arial"/>
          <w:sz w:val="19"/>
          <w:szCs w:val="19"/>
          <w:color w:val="auto"/>
        </w:rPr>
        <w:t>, in the event of any conflict between any of the provisions of such exhibits and the provisions of this Agreement, the provisions of this Agreement shall prevail.</w:t>
      </w:r>
    </w:p>
    <w:p>
      <w:pPr>
        <w:spacing w:after="0" w:line="163" w:lineRule="exact"/>
        <w:rPr>
          <w:sz w:val="20"/>
          <w:szCs w:val="20"/>
          <w:color w:val="auto"/>
        </w:rPr>
      </w:pPr>
    </w:p>
    <w:p>
      <w:pPr>
        <w:jc w:val="both"/>
        <w:ind w:firstLine="629"/>
        <w:spacing w:after="0" w:line="296" w:lineRule="auto"/>
        <w:rPr>
          <w:sz w:val="20"/>
          <w:szCs w:val="20"/>
          <w:color w:val="auto"/>
        </w:rPr>
      </w:pPr>
      <w:r>
        <w:rPr>
          <w:rFonts w:ascii="Arial" w:cs="Arial" w:eastAsia="Arial" w:hAnsi="Arial"/>
          <w:sz w:val="17"/>
          <w:szCs w:val="17"/>
          <w:b w:val="1"/>
          <w:bCs w:val="1"/>
          <w:color w:val="auto"/>
        </w:rPr>
        <w:t>11.20 Acknowledgement and Consent to Bail-In of Affected Financial Institutions</w:t>
      </w:r>
      <w:r>
        <w:rPr>
          <w:rFonts w:ascii="Arial" w:cs="Arial" w:eastAsia="Arial" w:hAnsi="Arial"/>
          <w:sz w:val="17"/>
          <w:szCs w:val="17"/>
          <w:color w:val="auto"/>
        </w:rPr>
        <w:t>. Notwithstanding anything to the contrary in any</w:t>
      </w:r>
      <w:r>
        <w:rPr>
          <w:rFonts w:ascii="Arial" w:cs="Arial" w:eastAsia="Arial" w:hAnsi="Arial"/>
          <w:sz w:val="17"/>
          <w:szCs w:val="17"/>
          <w:b w:val="1"/>
          <w:bCs w:val="1"/>
          <w:color w:val="auto"/>
        </w:rPr>
        <w:t xml:space="preserve"> </w:t>
      </w:r>
      <w:r>
        <w:rPr>
          <w:rFonts w:ascii="Arial" w:cs="Arial" w:eastAsia="Arial" w:hAnsi="Arial"/>
          <w:sz w:val="17"/>
          <w:szCs w:val="17"/>
          <w:color w:val="auto"/>
        </w:rPr>
        <w:t>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an Resolution Authority and agrees and consents to, and acknowledges and agrees to be bound by:</w:t>
      </w:r>
    </w:p>
    <w:p>
      <w:pPr>
        <w:spacing w:after="0" w:line="143" w:lineRule="exact"/>
        <w:rPr>
          <w:sz w:val="20"/>
          <w:szCs w:val="20"/>
          <w:color w:val="auto"/>
        </w:rPr>
      </w:pPr>
    </w:p>
    <w:p>
      <w:pPr>
        <w:ind w:firstLine="634"/>
        <w:spacing w:after="0" w:line="274" w:lineRule="auto"/>
        <w:tabs>
          <w:tab w:leader="none" w:pos="1249" w:val="left"/>
        </w:tabs>
        <w:numPr>
          <w:ilvl w:val="0"/>
          <w:numId w:val="305"/>
        </w:numPr>
        <w:rPr>
          <w:rFonts w:ascii="Arial" w:cs="Arial" w:eastAsia="Arial" w:hAnsi="Arial"/>
          <w:sz w:val="19"/>
          <w:szCs w:val="19"/>
          <w:color w:val="auto"/>
        </w:rPr>
      </w:pPr>
      <w:r>
        <w:rPr>
          <w:rFonts w:ascii="Arial" w:cs="Arial" w:eastAsia="Arial" w:hAnsi="Arial"/>
          <w:sz w:val="19"/>
          <w:szCs w:val="19"/>
          <w:color w:val="auto"/>
        </w:rPr>
        <w:t>the application of any Write-Down and Conversion Powers by an Resolution Authority to any such liabilities arising hereunder which may be payable to it by any party hereto that is an Affected Financial Institution; and</w:t>
      </w:r>
    </w:p>
    <w:p>
      <w:pPr>
        <w:spacing w:after="0" w:line="156" w:lineRule="exact"/>
        <w:rPr>
          <w:rFonts w:ascii="Arial" w:cs="Arial" w:eastAsia="Arial" w:hAnsi="Arial"/>
          <w:sz w:val="19"/>
          <w:szCs w:val="19"/>
          <w:color w:val="auto"/>
        </w:rPr>
      </w:pPr>
    </w:p>
    <w:p>
      <w:pPr>
        <w:ind w:left="1260" w:hanging="626"/>
        <w:spacing w:after="0"/>
        <w:tabs>
          <w:tab w:leader="none" w:pos="1260" w:val="left"/>
        </w:tabs>
        <w:numPr>
          <w:ilvl w:val="0"/>
          <w:numId w:val="305"/>
        </w:numPr>
        <w:rPr>
          <w:rFonts w:ascii="Arial" w:cs="Arial" w:eastAsia="Arial" w:hAnsi="Arial"/>
          <w:sz w:val="19"/>
          <w:szCs w:val="19"/>
          <w:color w:val="auto"/>
        </w:rPr>
      </w:pPr>
      <w:r>
        <w:rPr>
          <w:rFonts w:ascii="Arial" w:cs="Arial" w:eastAsia="Arial" w:hAnsi="Arial"/>
          <w:sz w:val="19"/>
          <w:szCs w:val="19"/>
          <w:color w:val="auto"/>
        </w:rPr>
        <w:t>the effects of any Bail-In Action on any such liability, including, if applicable:</w:t>
      </w:r>
    </w:p>
    <w:p>
      <w:pPr>
        <w:spacing w:after="0" w:line="214" w:lineRule="exact"/>
        <w:rPr>
          <w:rFonts w:ascii="Arial" w:cs="Arial" w:eastAsia="Arial" w:hAnsi="Arial"/>
          <w:sz w:val="19"/>
          <w:szCs w:val="19"/>
          <w:color w:val="auto"/>
        </w:rPr>
      </w:pPr>
    </w:p>
    <w:p>
      <w:pPr>
        <w:ind w:left="1900" w:hanging="636"/>
        <w:spacing w:after="0"/>
        <w:tabs>
          <w:tab w:leader="none" w:pos="1900" w:val="left"/>
        </w:tabs>
        <w:numPr>
          <w:ilvl w:val="1"/>
          <w:numId w:val="305"/>
        </w:numPr>
        <w:rPr>
          <w:rFonts w:ascii="Arial" w:cs="Arial" w:eastAsia="Arial" w:hAnsi="Arial"/>
          <w:sz w:val="19"/>
          <w:szCs w:val="19"/>
          <w:color w:val="auto"/>
        </w:rPr>
      </w:pPr>
      <w:r>
        <w:rPr>
          <w:rFonts w:ascii="Arial" w:cs="Arial" w:eastAsia="Arial" w:hAnsi="Arial"/>
          <w:sz w:val="19"/>
          <w:szCs w:val="19"/>
          <w:color w:val="auto"/>
        </w:rPr>
        <w:t>a reduction in full or in part or cancellation of any such liability;</w:t>
      </w:r>
    </w:p>
    <w:p>
      <w:pPr>
        <w:spacing w:after="0" w:line="214" w:lineRule="exact"/>
        <w:rPr>
          <w:rFonts w:ascii="Arial" w:cs="Arial" w:eastAsia="Arial" w:hAnsi="Arial"/>
          <w:sz w:val="19"/>
          <w:szCs w:val="19"/>
          <w:color w:val="auto"/>
        </w:rPr>
      </w:pPr>
    </w:p>
    <w:p>
      <w:pPr>
        <w:jc w:val="both"/>
        <w:ind w:left="640" w:firstLine="624"/>
        <w:spacing w:after="0" w:line="254" w:lineRule="auto"/>
        <w:tabs>
          <w:tab w:leader="none" w:pos="1897" w:val="left"/>
        </w:tabs>
        <w:numPr>
          <w:ilvl w:val="1"/>
          <w:numId w:val="305"/>
        </w:numPr>
        <w:rPr>
          <w:rFonts w:ascii="Arial" w:cs="Arial" w:eastAsia="Arial" w:hAnsi="Arial"/>
          <w:sz w:val="19"/>
          <w:szCs w:val="19"/>
          <w:color w:val="auto"/>
        </w:rPr>
      </w:pPr>
      <w:r>
        <w:rPr>
          <w:rFonts w:ascii="Arial" w:cs="Arial" w:eastAsia="Arial" w:hAnsi="Arial"/>
          <w:sz w:val="19"/>
          <w:szCs w:val="19"/>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76" w:lineRule="exact"/>
        <w:rPr>
          <w:rFonts w:ascii="Arial" w:cs="Arial" w:eastAsia="Arial" w:hAnsi="Arial"/>
          <w:sz w:val="19"/>
          <w:szCs w:val="19"/>
          <w:color w:val="auto"/>
        </w:rPr>
      </w:pPr>
    </w:p>
    <w:p>
      <w:pPr>
        <w:ind w:left="640" w:firstLine="624"/>
        <w:spacing w:after="0" w:line="274" w:lineRule="auto"/>
        <w:tabs>
          <w:tab w:leader="none" w:pos="1898" w:val="left"/>
        </w:tabs>
        <w:numPr>
          <w:ilvl w:val="1"/>
          <w:numId w:val="305"/>
        </w:numPr>
        <w:rPr>
          <w:rFonts w:ascii="Arial" w:cs="Arial" w:eastAsia="Arial" w:hAnsi="Arial"/>
          <w:sz w:val="19"/>
          <w:szCs w:val="19"/>
          <w:color w:val="auto"/>
        </w:rPr>
      </w:pPr>
      <w:r>
        <w:rPr>
          <w:rFonts w:ascii="Arial" w:cs="Arial" w:eastAsia="Arial" w:hAnsi="Arial"/>
          <w:sz w:val="19"/>
          <w:szCs w:val="19"/>
          <w:color w:val="auto"/>
        </w:rPr>
        <w:t>the variation of the terms of such liability in connection with the exercise of the write-down and conversion powers of any Resolution Authority.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180</w:t>
      </w:r>
    </w:p>
    <w:p>
      <w:pPr>
        <w:sectPr>
          <w:pgSz w:w="11900" w:h="16838" w:orient="portrait"/>
          <w:cols w:equalWidth="0" w:num="1">
            <w:col w:w="11240"/>
          </w:cols>
          <w:pgMar w:left="320" w:top="1382" w:right="339" w:bottom="1440" w:gutter="0" w:footer="0" w:header="0"/>
        </w:sectPr>
      </w:pPr>
    </w:p>
    <w:bookmarkStart w:id="299" w:name="page300"/>
    <w:bookmarkEnd w:id="299"/>
    <w:p>
      <w:pPr>
        <w:jc w:val="both"/>
        <w:ind w:firstLine="629"/>
        <w:spacing w:after="0" w:line="267" w:lineRule="auto"/>
        <w:rPr>
          <w:sz w:val="20"/>
          <w:szCs w:val="20"/>
          <w:color w:val="auto"/>
        </w:rPr>
      </w:pPr>
      <w:r>
        <w:rPr>
          <w:rFonts w:ascii="Arial" w:cs="Arial" w:eastAsia="Arial" w:hAnsi="Arial"/>
          <w:sz w:val="18"/>
          <w:szCs w:val="18"/>
          <w:b w:val="1"/>
          <w:bCs w:val="1"/>
          <w:color w:val="auto"/>
        </w:rPr>
        <w:t>11.21 Acknowledgement Regarding Any Supported QFCs</w:t>
      </w:r>
      <w:r>
        <w:rPr>
          <w:rFonts w:ascii="Arial" w:cs="Arial" w:eastAsia="Arial" w:hAnsi="Arial"/>
          <w:sz w:val="18"/>
          <w:szCs w:val="18"/>
          <w:color w:val="auto"/>
        </w:rPr>
        <w:t>. To the extent that the Loan Documents provide support, through a</w:t>
      </w:r>
      <w:r>
        <w:rPr>
          <w:rFonts w:ascii="Arial" w:cs="Arial" w:eastAsia="Arial" w:hAnsi="Arial"/>
          <w:sz w:val="18"/>
          <w:szCs w:val="18"/>
          <w:b w:val="1"/>
          <w:bCs w:val="1"/>
          <w:color w:val="auto"/>
        </w:rPr>
        <w:t xml:space="preserve"> </w:t>
      </w:r>
      <w:r>
        <w:rPr>
          <w:rFonts w:ascii="Arial" w:cs="Arial" w:eastAsia="Arial" w:hAnsi="Arial"/>
          <w:sz w:val="18"/>
          <w:szCs w:val="18"/>
          <w:color w:val="auto"/>
        </w:rPr>
        <w:t>guarantee or otherwise, for any Swap Obligation or any other agreement or instrument that is a QFC (such support, “</w:t>
      </w:r>
      <w:r>
        <w:rPr>
          <w:rFonts w:ascii="Arial" w:cs="Arial" w:eastAsia="Arial" w:hAnsi="Arial"/>
          <w:sz w:val="18"/>
          <w:szCs w:val="18"/>
          <w:u w:val="single" w:color="auto"/>
          <w:color w:val="auto"/>
        </w:rPr>
        <w:t>QFC Credit Support</w:t>
      </w:r>
      <w:r>
        <w:rPr>
          <w:rFonts w:ascii="Arial" w:cs="Arial" w:eastAsia="Arial" w:hAnsi="Arial"/>
          <w:sz w:val="18"/>
          <w:szCs w:val="18"/>
          <w:color w:val="auto"/>
        </w:rPr>
        <w:t>”, and each such QFC, a “</w:t>
      </w:r>
      <w:r>
        <w:rPr>
          <w:rFonts w:ascii="Arial" w:cs="Arial" w:eastAsia="Arial" w:hAnsi="Arial"/>
          <w:sz w:val="18"/>
          <w:szCs w:val="18"/>
          <w:u w:val="single" w:color="auto"/>
          <w:color w:val="auto"/>
        </w:rPr>
        <w:t>Supported QFC</w:t>
      </w:r>
      <w:r>
        <w:rPr>
          <w:rFonts w:ascii="Arial" w:cs="Arial" w:eastAsia="Arial" w:hAnsi="Arial"/>
          <w:sz w:val="18"/>
          <w:szCs w:val="18"/>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Arial" w:cs="Arial" w:eastAsia="Arial" w:hAnsi="Arial"/>
          <w:sz w:val="18"/>
          <w:szCs w:val="18"/>
          <w:u w:val="single" w:color="auto"/>
          <w:color w:val="auto"/>
        </w:rPr>
        <w:t>U.S. Special Resolution Regimes</w:t>
      </w:r>
      <w:r>
        <w:rPr>
          <w:rFonts w:ascii="Arial" w:cs="Arial" w:eastAsia="Arial" w:hAnsi="Arial"/>
          <w:sz w:val="18"/>
          <w:szCs w:val="18"/>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64" w:lineRule="exact"/>
        <w:rPr>
          <w:sz w:val="20"/>
          <w:szCs w:val="20"/>
          <w:color w:val="auto"/>
        </w:rPr>
      </w:pPr>
    </w:p>
    <w:p>
      <w:pPr>
        <w:jc w:val="both"/>
        <w:ind w:firstLine="634"/>
        <w:spacing w:after="0" w:line="262" w:lineRule="auto"/>
        <w:tabs>
          <w:tab w:leader="none" w:pos="1249" w:val="left"/>
        </w:tabs>
        <w:numPr>
          <w:ilvl w:val="0"/>
          <w:numId w:val="306"/>
        </w:numPr>
        <w:rPr>
          <w:rFonts w:ascii="Arial" w:cs="Arial" w:eastAsia="Arial" w:hAnsi="Arial"/>
          <w:sz w:val="18"/>
          <w:szCs w:val="18"/>
          <w:color w:val="auto"/>
        </w:rPr>
      </w:pPr>
      <w:r>
        <w:rPr>
          <w:rFonts w:ascii="Arial" w:cs="Arial" w:eastAsia="Arial" w:hAnsi="Arial"/>
          <w:sz w:val="18"/>
          <w:szCs w:val="18"/>
          <w:color w:val="auto"/>
        </w:rPr>
        <w:t>In the event a Covered Entity that is party to a Supported QFC (each, a “</w:t>
      </w:r>
      <w:r>
        <w:rPr>
          <w:rFonts w:ascii="Arial" w:cs="Arial" w:eastAsia="Arial" w:hAnsi="Arial"/>
          <w:sz w:val="18"/>
          <w:szCs w:val="18"/>
          <w:u w:val="single" w:color="auto"/>
          <w:color w:val="auto"/>
        </w:rPr>
        <w:t>Covered Party</w:t>
      </w:r>
      <w:r>
        <w:rPr>
          <w:rFonts w:ascii="Arial" w:cs="Arial" w:eastAsia="Arial" w:hAnsi="Arial"/>
          <w:sz w:val="18"/>
          <w:szCs w:val="18"/>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73" w:lineRule="exact"/>
        <w:rPr>
          <w:rFonts w:ascii="Arial" w:cs="Arial" w:eastAsia="Arial" w:hAnsi="Arial"/>
          <w:sz w:val="18"/>
          <w:szCs w:val="18"/>
          <w:color w:val="auto"/>
        </w:rPr>
      </w:pPr>
    </w:p>
    <w:p>
      <w:pPr>
        <w:ind w:left="1260" w:hanging="626"/>
        <w:spacing w:after="0"/>
        <w:tabs>
          <w:tab w:leader="none" w:pos="1260" w:val="left"/>
        </w:tabs>
        <w:numPr>
          <w:ilvl w:val="0"/>
          <w:numId w:val="306"/>
        </w:numPr>
        <w:rPr>
          <w:rFonts w:ascii="Arial" w:cs="Arial" w:eastAsia="Arial" w:hAnsi="Arial"/>
          <w:sz w:val="19"/>
          <w:szCs w:val="19"/>
          <w:color w:val="auto"/>
        </w:rPr>
      </w:pPr>
      <w:r>
        <w:rPr>
          <w:rFonts w:ascii="Arial" w:cs="Arial" w:eastAsia="Arial" w:hAnsi="Arial"/>
          <w:sz w:val="19"/>
          <w:szCs w:val="19"/>
          <w:color w:val="auto"/>
        </w:rPr>
        <w:t xml:space="preserve">As used in this </w:t>
      </w:r>
      <w:r>
        <w:rPr>
          <w:rFonts w:ascii="Arial" w:cs="Arial" w:eastAsia="Arial" w:hAnsi="Arial"/>
          <w:sz w:val="19"/>
          <w:szCs w:val="19"/>
          <w:u w:val="single" w:color="auto"/>
          <w:color w:val="auto"/>
        </w:rPr>
        <w:t>Section 11.21</w:t>
      </w:r>
      <w:r>
        <w:rPr>
          <w:rFonts w:ascii="Arial" w:cs="Arial" w:eastAsia="Arial" w:hAnsi="Arial"/>
          <w:sz w:val="19"/>
          <w:szCs w:val="19"/>
          <w:color w:val="auto"/>
        </w:rPr>
        <w:t>, the following terms have the following meanings:</w:t>
      </w:r>
    </w:p>
    <w:p>
      <w:pPr>
        <w:spacing w:after="0" w:line="21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BHC Act Affiliate</w:t>
      </w:r>
      <w:r>
        <w:rPr>
          <w:rFonts w:ascii="Arial" w:cs="Arial" w:eastAsia="Arial" w:hAnsi="Arial"/>
          <w:sz w:val="19"/>
          <w:szCs w:val="19"/>
          <w:color w:val="auto"/>
        </w:rPr>
        <w:t>” of a party means an “affiliate” (as such term is defined under, and interpreted in accordance with, 12 U.S.C.</w:t>
      </w:r>
    </w:p>
    <w:p>
      <w:pPr>
        <w:spacing w:after="0" w:line="20" w:lineRule="exact"/>
        <w:rPr>
          <w:sz w:val="20"/>
          <w:szCs w:val="20"/>
          <w:color w:val="auto"/>
        </w:rPr>
      </w:pPr>
    </w:p>
    <w:p>
      <w:pPr>
        <w:spacing w:after="0"/>
        <w:rPr>
          <w:sz w:val="20"/>
          <w:szCs w:val="20"/>
          <w:color w:val="auto"/>
        </w:rPr>
      </w:pPr>
      <w:r>
        <w:rPr>
          <w:rFonts w:ascii="Arial" w:cs="Arial" w:eastAsia="Arial" w:hAnsi="Arial"/>
          <w:sz w:val="19"/>
          <w:szCs w:val="19"/>
          <w:color w:val="auto"/>
        </w:rPr>
        <w:t>1841(k)) of such party.</w:t>
      </w:r>
    </w:p>
    <w:p>
      <w:pPr>
        <w:spacing w:after="0" w:line="198" w:lineRule="exact"/>
        <w:rPr>
          <w:sz w:val="20"/>
          <w:szCs w:val="20"/>
          <w:color w:val="auto"/>
        </w:rPr>
      </w:pPr>
    </w:p>
    <w:p>
      <w:pPr>
        <w:jc w:val="both"/>
        <w:ind w:firstLine="629"/>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Covered Entity</w:t>
      </w:r>
      <w:r>
        <w:rPr>
          <w:rFonts w:ascii="Arial" w:cs="Arial" w:eastAsia="Arial" w:hAnsi="Arial"/>
          <w:sz w:val="19"/>
          <w:szCs w:val="19"/>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spacing w:after="0" w:line="171" w:lineRule="exact"/>
        <w:rPr>
          <w:sz w:val="20"/>
          <w:szCs w:val="20"/>
          <w:color w:val="auto"/>
        </w:rPr>
      </w:pPr>
    </w:p>
    <w:p>
      <w:pPr>
        <w:jc w:val="both"/>
        <w:ind w:firstLine="629"/>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Default Right</w:t>
      </w:r>
      <w:r>
        <w:rPr>
          <w:rFonts w:ascii="Arial" w:cs="Arial" w:eastAsia="Arial" w:hAnsi="Arial"/>
          <w:sz w:val="19"/>
          <w:szCs w:val="19"/>
          <w:color w:val="auto"/>
        </w:rPr>
        <w:t>” has the meaning assigned to that term in, and shall be interpreted in accordance with, 12 C.F.R. §§ 252.81, 47.2 or 382.1, as applicable.</w:t>
      </w:r>
    </w:p>
    <w:p>
      <w:pPr>
        <w:spacing w:after="0" w:line="15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QFC</w:t>
      </w:r>
      <w:r>
        <w:rPr>
          <w:rFonts w:ascii="Arial" w:cs="Arial" w:eastAsia="Arial" w:hAnsi="Arial"/>
          <w:sz w:val="18"/>
          <w:szCs w:val="18"/>
          <w:color w:val="auto"/>
        </w:rPr>
        <w:t>” has the meaning assigned to the term “qualified financial contract” in, and shall be interpreted in accordance with, 12 U.S.C.</w:t>
      </w:r>
    </w:p>
    <w:p>
      <w:pPr>
        <w:spacing w:after="0" w:line="32" w:lineRule="exact"/>
        <w:rPr>
          <w:sz w:val="20"/>
          <w:szCs w:val="20"/>
          <w:color w:val="auto"/>
        </w:rPr>
      </w:pPr>
    </w:p>
    <w:p>
      <w:pPr>
        <w:spacing w:after="0"/>
        <w:rPr>
          <w:sz w:val="20"/>
          <w:szCs w:val="20"/>
          <w:color w:val="auto"/>
        </w:rPr>
      </w:pPr>
      <w:r>
        <w:rPr>
          <w:rFonts w:ascii="Arial" w:cs="Arial" w:eastAsia="Arial" w:hAnsi="Arial"/>
          <w:sz w:val="19"/>
          <w:szCs w:val="19"/>
          <w:color w:val="auto"/>
        </w:rPr>
        <w:t>5390(c)(8)(D).</w:t>
      </w:r>
    </w:p>
    <w:p>
      <w:pPr>
        <w:spacing w:after="0" w:line="192" w:lineRule="exact"/>
        <w:rPr>
          <w:sz w:val="20"/>
          <w:szCs w:val="20"/>
          <w:color w:val="auto"/>
        </w:rPr>
      </w:pPr>
    </w:p>
    <w:p>
      <w:pPr>
        <w:jc w:val="both"/>
        <w:ind w:firstLine="629"/>
        <w:spacing w:after="0" w:line="284" w:lineRule="auto"/>
        <w:rPr>
          <w:sz w:val="20"/>
          <w:szCs w:val="20"/>
          <w:color w:val="auto"/>
        </w:rPr>
      </w:pPr>
      <w:r>
        <w:rPr>
          <w:rFonts w:ascii="Arial" w:cs="Arial" w:eastAsia="Arial" w:hAnsi="Arial"/>
          <w:sz w:val="18"/>
          <w:szCs w:val="18"/>
          <w:b w:val="1"/>
          <w:bCs w:val="1"/>
          <w:color w:val="auto"/>
        </w:rPr>
        <w:t xml:space="preserve">11.22 Judgment Currency. </w:t>
      </w:r>
      <w:r>
        <w:rPr>
          <w:rFonts w:ascii="Arial" w:cs="Arial" w:eastAsia="Arial" w:hAnsi="Arial"/>
          <w:sz w:val="18"/>
          <w:szCs w:val="18"/>
          <w:color w:val="auto"/>
        </w:rPr>
        <w:t>If, for the purposes of obtaining judgment in any court, it is necessary to convert a sum due hereunder or</w:t>
      </w:r>
      <w:r>
        <w:rPr>
          <w:rFonts w:ascii="Arial" w:cs="Arial" w:eastAsia="Arial" w:hAnsi="Arial"/>
          <w:sz w:val="18"/>
          <w:szCs w:val="18"/>
          <w:b w:val="1"/>
          <w:bCs w:val="1"/>
          <w:color w:val="auto"/>
        </w:rPr>
        <w:t xml:space="preserve"> </w:t>
      </w:r>
      <w:r>
        <w:rPr>
          <w:rFonts w:ascii="Arial" w:cs="Arial" w:eastAsia="Arial" w:hAnsi="Arial"/>
          <w:sz w:val="18"/>
          <w:szCs w:val="18"/>
          <w:color w:val="auto"/>
        </w:rPr>
        <w:t>any other Loan Document in one currency into another currency, the rate of exchange used shall be that at which in accordance with normal banking procedures the Administrative Agent could purchase the first currency with such other currency on the Business 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181</w:t>
      </w:r>
    </w:p>
    <w:p>
      <w:pPr>
        <w:sectPr>
          <w:pgSz w:w="11900" w:h="16838" w:orient="portrait"/>
          <w:cols w:equalWidth="0" w:num="1">
            <w:col w:w="11240"/>
          </w:cols>
          <w:pgMar w:left="320" w:top="1376" w:right="339" w:bottom="1440" w:gutter="0" w:footer="0" w:header="0"/>
        </w:sectPr>
      </w:pPr>
    </w:p>
    <w:bookmarkStart w:id="300" w:name="page301"/>
    <w:bookmarkEnd w:id="300"/>
    <w:p>
      <w:pPr>
        <w:jc w:val="both"/>
        <w:spacing w:after="0" w:line="279" w:lineRule="auto"/>
        <w:rPr>
          <w:sz w:val="20"/>
          <w:szCs w:val="20"/>
          <w:color w:val="auto"/>
        </w:rPr>
      </w:pPr>
      <w:r>
        <w:rPr>
          <w:rFonts w:ascii="Arial" w:cs="Arial" w:eastAsia="Arial" w:hAnsi="Arial"/>
          <w:sz w:val="17"/>
          <w:szCs w:val="17"/>
          <w:color w:val="auto"/>
        </w:rPr>
        <w:t>preceding that on which final judgment is given. The obligation of each Loan Party in respect of any such sum due from it to the Administrative Agent or any Lender hereunder or under the other Loan Documents shall, notwithstanding any judgment in a currency (the “</w:t>
      </w:r>
      <w:r>
        <w:rPr>
          <w:rFonts w:ascii="Arial" w:cs="Arial" w:eastAsia="Arial" w:hAnsi="Arial"/>
          <w:sz w:val="17"/>
          <w:szCs w:val="17"/>
          <w:u w:val="single" w:color="auto"/>
          <w:color w:val="auto"/>
        </w:rPr>
        <w:t>Judgment Currency</w:t>
      </w:r>
      <w:r>
        <w:rPr>
          <w:rFonts w:ascii="Arial" w:cs="Arial" w:eastAsia="Arial" w:hAnsi="Arial"/>
          <w:sz w:val="17"/>
          <w:szCs w:val="17"/>
          <w:color w:val="auto"/>
        </w:rPr>
        <w:t>”) other than that in which such sum is denominated in accordance with the applicable provisions of this Agreement (the “</w:t>
      </w:r>
      <w:r>
        <w:rPr>
          <w:rFonts w:ascii="Arial" w:cs="Arial" w:eastAsia="Arial" w:hAnsi="Arial"/>
          <w:sz w:val="17"/>
          <w:szCs w:val="17"/>
          <w:u w:val="single" w:color="auto"/>
          <w:color w:val="auto"/>
        </w:rPr>
        <w:t>Agreement Currency</w:t>
      </w:r>
      <w:r>
        <w:rPr>
          <w:rFonts w:ascii="Arial" w:cs="Arial" w:eastAsia="Arial" w:hAnsi="Arial"/>
          <w:sz w:val="17"/>
          <w:szCs w:val="17"/>
          <w:color w:val="auto"/>
        </w:rPr>
        <w:t>”), be discharged only to the extent that on the Business Day following receipt by the Administrative Agent or such Lender, as the case may be, of any sum adjudged to be so due in the Judgment Currency, the Administrative Agent or such Lender, as the case may be, may in accordance with normal banking procedures purchase the Agreement Currency with the Judgment Currency. If the amount of the Agreement Currency so purchased is less than the sum originally due to the Administrative Agent or any Lender from any Loan Party in the Agreement Currency, such Loan Party agrees, as a separate obligation and notwithstanding any such judgment, to indemnify the Administrative Agent or such Lender, as the case may be, against such loss. If the amount of the Agreement Currency so purchased is greater than the sum originally due to the Administrative Agent or any Lender in such currency, the Administrative Agent or such Lender, as the case may be, agrees to return the amount of any excess to such Loan Party (or to any other Person who may be entitled thereto under applicable law).</w:t>
      </w:r>
    </w:p>
    <w:p>
      <w:pPr>
        <w:spacing w:after="0" w:line="183" w:lineRule="exact"/>
        <w:rPr>
          <w:sz w:val="20"/>
          <w:szCs w:val="20"/>
          <w:color w:val="auto"/>
        </w:rPr>
      </w:pPr>
    </w:p>
    <w:p>
      <w:pPr>
        <w:jc w:val="center"/>
        <w:ind w:right="40"/>
        <w:spacing w:after="0"/>
        <w:rPr>
          <w:sz w:val="20"/>
          <w:szCs w:val="20"/>
          <w:color w:val="auto"/>
        </w:rPr>
      </w:pPr>
      <w:r>
        <w:rPr>
          <w:rFonts w:ascii="Arial" w:cs="Arial" w:eastAsia="Arial" w:hAnsi="Arial"/>
          <w:sz w:val="19"/>
          <w:szCs w:val="19"/>
          <w:b w:val="1"/>
          <w:bCs w:val="1"/>
          <w:color w:val="auto"/>
        </w:rPr>
        <w:t>ARTICLE XII</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CONTINUING GUARANTY</w:t>
      </w:r>
    </w:p>
    <w:p>
      <w:pPr>
        <w:spacing w:after="0" w:line="192" w:lineRule="exact"/>
        <w:rPr>
          <w:sz w:val="20"/>
          <w:szCs w:val="20"/>
          <w:color w:val="auto"/>
        </w:rPr>
      </w:pPr>
    </w:p>
    <w:p>
      <w:pPr>
        <w:jc w:val="both"/>
        <w:ind w:firstLine="629"/>
        <w:spacing w:after="0" w:line="279" w:lineRule="auto"/>
        <w:rPr>
          <w:sz w:val="20"/>
          <w:szCs w:val="20"/>
          <w:color w:val="auto"/>
        </w:rPr>
      </w:pPr>
      <w:r>
        <w:rPr>
          <w:rFonts w:ascii="Arial" w:cs="Arial" w:eastAsia="Arial" w:hAnsi="Arial"/>
          <w:sz w:val="17"/>
          <w:szCs w:val="17"/>
          <w:b w:val="1"/>
          <w:bCs w:val="1"/>
          <w:color w:val="auto"/>
        </w:rPr>
        <w:t xml:space="preserve">12.1 Guaranty. </w:t>
      </w:r>
      <w:r>
        <w:rPr>
          <w:rFonts w:ascii="Arial" w:cs="Arial" w:eastAsia="Arial" w:hAnsi="Arial"/>
          <w:sz w:val="17"/>
          <w:szCs w:val="17"/>
          <w:color w:val="auto"/>
        </w:rPr>
        <w:t>Each Subsidiary Guarantor hereby absolutely and unconditionally guarantees, as a guaranty of payment and</w:t>
      </w:r>
      <w:r>
        <w:rPr>
          <w:rFonts w:ascii="Arial" w:cs="Arial" w:eastAsia="Arial" w:hAnsi="Arial"/>
          <w:sz w:val="17"/>
          <w:szCs w:val="17"/>
          <w:b w:val="1"/>
          <w:bCs w:val="1"/>
          <w:color w:val="auto"/>
        </w:rPr>
        <w:t xml:space="preserve"> </w:t>
      </w:r>
      <w:r>
        <w:rPr>
          <w:rFonts w:ascii="Arial" w:cs="Arial" w:eastAsia="Arial" w:hAnsi="Arial"/>
          <w:sz w:val="17"/>
          <w:szCs w:val="17"/>
          <w:color w:val="auto"/>
        </w:rPr>
        <w:t>performance and not merely as a guaranty of collection, prompt payment when due, whether at stated maturity, by required prepayment, upon acceleration, demand or otherwise, and at all times thereafter, of any and all of the Obligations (other than Excluded Swap Obligations), whether for principal, interest, premiums, fees, indemnities, damages, costs, expenses or otherwise, of the Borrowers to the Secured Parties, arising hereunder or under any other Loan Document (including all renewals, extensions, amendments, refinancings and other modifications thereof and all costs, attorneys’ fees and expenses incurred by the Secured Parties in connection with the collection or enforcement thereof) (the “</w:t>
      </w:r>
      <w:r>
        <w:rPr>
          <w:rFonts w:ascii="Arial" w:cs="Arial" w:eastAsia="Arial" w:hAnsi="Arial"/>
          <w:sz w:val="17"/>
          <w:szCs w:val="17"/>
          <w:u w:val="single" w:color="auto"/>
          <w:color w:val="auto"/>
        </w:rPr>
        <w:t>Guarantied</w:t>
      </w:r>
      <w:r>
        <w:rPr>
          <w:rFonts w:ascii="Arial" w:cs="Arial" w:eastAsia="Arial" w:hAnsi="Arial"/>
          <w:sz w:val="17"/>
          <w:szCs w:val="17"/>
          <w:color w:val="auto"/>
        </w:rPr>
        <w:t xml:space="preserve"> </w:t>
      </w:r>
      <w:r>
        <w:rPr>
          <w:rFonts w:ascii="Arial" w:cs="Arial" w:eastAsia="Arial" w:hAnsi="Arial"/>
          <w:sz w:val="17"/>
          <w:szCs w:val="17"/>
          <w:u w:val="single" w:color="auto"/>
          <w:color w:val="auto"/>
        </w:rPr>
        <w:t>Obligations</w:t>
      </w:r>
      <w:r>
        <w:rPr>
          <w:rFonts w:ascii="Arial" w:cs="Arial" w:eastAsia="Arial" w:hAnsi="Arial"/>
          <w:sz w:val="17"/>
          <w:szCs w:val="17"/>
          <w:color w:val="auto"/>
        </w:rPr>
        <w:t>”). The Administrative Agent’s books and records showing the amount of the Guarantied Obligations shall be admissible in evidence in any action or proceeding, and shall be binding upon each Subsidiary Guarantor, and conclusive for the purpose of establishing the amount of the Guarantied Obligations. This Guaranty shall not be affected by the genuineness, validity, regularity or enforceability of the Guarantied Obligations or any instrument or agreement evidencing any Guarantied Obligations, or by the existence, validity, enforceability, perfection, non-perfection or extent of any collateral therefor, or by any fact or circumstance relating to the Guarantied Obligations which might otherwise constitute a defense to the obligations of any Subsidiary Guarantor under this Guaranty, and each Subsidiary Guarantor hereby irrevocably waives any defenses it may now have or hereafter acquire in any way relating to any or all of the foregoing.</w:t>
      </w:r>
    </w:p>
    <w:p>
      <w:pPr>
        <w:spacing w:after="0" w:line="154" w:lineRule="exact"/>
        <w:rPr>
          <w:sz w:val="20"/>
          <w:szCs w:val="20"/>
          <w:color w:val="auto"/>
        </w:rPr>
      </w:pPr>
    </w:p>
    <w:p>
      <w:pPr>
        <w:jc w:val="both"/>
        <w:ind w:firstLine="629"/>
        <w:spacing w:after="0" w:line="250" w:lineRule="auto"/>
        <w:rPr>
          <w:sz w:val="20"/>
          <w:szCs w:val="20"/>
          <w:color w:val="auto"/>
        </w:rPr>
      </w:pPr>
      <w:r>
        <w:rPr>
          <w:rFonts w:ascii="Arial" w:cs="Arial" w:eastAsia="Arial" w:hAnsi="Arial"/>
          <w:sz w:val="19"/>
          <w:szCs w:val="19"/>
          <w:b w:val="1"/>
          <w:bCs w:val="1"/>
          <w:color w:val="auto"/>
        </w:rPr>
        <w:t>12.2 Rights of Lenders</w:t>
      </w:r>
      <w:r>
        <w:rPr>
          <w:rFonts w:ascii="Arial" w:cs="Arial" w:eastAsia="Arial" w:hAnsi="Arial"/>
          <w:sz w:val="19"/>
          <w:szCs w:val="19"/>
          <w:color w:val="auto"/>
        </w:rPr>
        <w:t>. Each Subsidiary Guarantor consents and agrees that the Secured Parties may, at any time and from time to</w:t>
      </w:r>
      <w:r>
        <w:rPr>
          <w:rFonts w:ascii="Arial" w:cs="Arial" w:eastAsia="Arial" w:hAnsi="Arial"/>
          <w:sz w:val="19"/>
          <w:szCs w:val="19"/>
          <w:b w:val="1"/>
          <w:bCs w:val="1"/>
          <w:color w:val="auto"/>
        </w:rPr>
        <w:t xml:space="preserve"> </w:t>
      </w:r>
      <w:r>
        <w:rPr>
          <w:rFonts w:ascii="Arial" w:cs="Arial" w:eastAsia="Arial" w:hAnsi="Arial"/>
          <w:sz w:val="19"/>
          <w:szCs w:val="19"/>
          <w:color w:val="auto"/>
        </w:rPr>
        <w:t>time, without notice or demand, and without affecting the enforceability or continuing effectiveness hereof: (a) amend, extend, renew, compromise, discharge, accelerate or otherwise change the time for payment or the terms of the Guarantied Obligations or any part thereof; (b) take, hold, exchange, enforce, waive, release, fail to perfect, sell, or otherwise dispose of any security for the payment of this Guaranty or any Guarantied Obligations; (c) apply such security and direct the order or manner of sale thereof as the Administrative Agent, the Letter of Credit Issuer and the Lenders in their sole discretion may determine; and (d) release or substitute one or more of any endorsers or other guarantors of any of the Guarantied Obligations. Without limiting the generality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182</w:t>
      </w:r>
    </w:p>
    <w:p>
      <w:pPr>
        <w:sectPr>
          <w:pgSz w:w="11900" w:h="16838" w:orient="portrait"/>
          <w:cols w:equalWidth="0" w:num="1">
            <w:col w:w="11240"/>
          </w:cols>
          <w:pgMar w:left="320" w:top="1381" w:right="339" w:bottom="1440" w:gutter="0" w:footer="0" w:header="0"/>
        </w:sectPr>
      </w:pPr>
    </w:p>
    <w:bookmarkStart w:id="301" w:name="page302"/>
    <w:bookmarkEnd w:id="301"/>
    <w:p>
      <w:pPr>
        <w:jc w:val="both"/>
        <w:spacing w:after="0" w:line="259" w:lineRule="auto"/>
        <w:rPr>
          <w:sz w:val="20"/>
          <w:szCs w:val="20"/>
          <w:color w:val="auto"/>
        </w:rPr>
      </w:pPr>
      <w:r>
        <w:rPr>
          <w:rFonts w:ascii="Arial" w:cs="Arial" w:eastAsia="Arial" w:hAnsi="Arial"/>
          <w:sz w:val="19"/>
          <w:szCs w:val="19"/>
          <w:color w:val="auto"/>
        </w:rPr>
        <w:t>foregoing, each Subsidiary Guarantor consents to the taking of, or failure to take, any action which might in any manner or to any extent vary the risks of any Subsidiary Guarantor under this Guaranty or which, but for this provision, might operate as a discharge of r any Subsidiary Guarantor.</w:t>
      </w:r>
    </w:p>
    <w:p>
      <w:pPr>
        <w:spacing w:after="0" w:line="165" w:lineRule="exact"/>
        <w:rPr>
          <w:sz w:val="20"/>
          <w:szCs w:val="20"/>
          <w:color w:val="auto"/>
        </w:rPr>
      </w:pPr>
    </w:p>
    <w:p>
      <w:pPr>
        <w:jc w:val="both"/>
        <w:ind w:firstLine="629"/>
        <w:spacing w:after="0" w:line="278" w:lineRule="auto"/>
        <w:rPr>
          <w:sz w:val="20"/>
          <w:szCs w:val="20"/>
          <w:color w:val="auto"/>
        </w:rPr>
      </w:pPr>
      <w:r>
        <w:rPr>
          <w:rFonts w:ascii="Arial" w:cs="Arial" w:eastAsia="Arial" w:hAnsi="Arial"/>
          <w:sz w:val="17"/>
          <w:szCs w:val="17"/>
          <w:b w:val="1"/>
          <w:bCs w:val="1"/>
          <w:color w:val="auto"/>
        </w:rPr>
        <w:t xml:space="preserve">12.3 Certain Waivers. </w:t>
      </w:r>
      <w:r>
        <w:rPr>
          <w:rFonts w:ascii="Arial" w:cs="Arial" w:eastAsia="Arial" w:hAnsi="Arial"/>
          <w:sz w:val="17"/>
          <w:szCs w:val="17"/>
          <w:color w:val="auto"/>
        </w:rPr>
        <w:t>Each Subsidiary Guarantor waives (a) any defense arising by reason of any disability or other defense of the</w:t>
      </w:r>
      <w:r>
        <w:rPr>
          <w:rFonts w:ascii="Arial" w:cs="Arial" w:eastAsia="Arial" w:hAnsi="Arial"/>
          <w:sz w:val="17"/>
          <w:szCs w:val="17"/>
          <w:b w:val="1"/>
          <w:bCs w:val="1"/>
          <w:color w:val="auto"/>
        </w:rPr>
        <w:t xml:space="preserve"> </w:t>
      </w:r>
      <w:r>
        <w:rPr>
          <w:rFonts w:ascii="Arial" w:cs="Arial" w:eastAsia="Arial" w:hAnsi="Arial"/>
          <w:sz w:val="17"/>
          <w:szCs w:val="17"/>
          <w:color w:val="auto"/>
        </w:rPr>
        <w:t>Borrowers or any other guarantor, or the cessation from any cause whatsoever (including any act or omission of any Secured Party) of the liability of the Borrowers; (b) any defense based on any claim that any Subsidiary Guarantor’s obligations exceed or are more burdensome than those of the Borrowers; (c) the benefit of any statute of limitations affecting any Subsidiary Guarantor’s liability hereunder; (d) any right to proceed against the Borrowers, proceed against or exhaust any security for the Guarantied Obligations, or pursue any other remedy in the power of any Secured Party whatsoever; (e) any benefit of and any right to participate in any security now or hereafter held by any Secured Party; and</w:t>
      </w:r>
    </w:p>
    <w:p>
      <w:pPr>
        <w:spacing w:after="0" w:line="1" w:lineRule="exact"/>
        <w:rPr>
          <w:sz w:val="20"/>
          <w:szCs w:val="20"/>
          <w:color w:val="auto"/>
        </w:rPr>
      </w:pPr>
    </w:p>
    <w:p>
      <w:pPr>
        <w:jc w:val="both"/>
        <w:ind w:firstLine="5"/>
        <w:spacing w:after="0" w:line="264" w:lineRule="auto"/>
        <w:tabs>
          <w:tab w:leader="none" w:pos="248" w:val="left"/>
        </w:tabs>
        <w:numPr>
          <w:ilvl w:val="0"/>
          <w:numId w:val="307"/>
        </w:numPr>
        <w:rPr>
          <w:rFonts w:ascii="Arial" w:cs="Arial" w:eastAsia="Arial" w:hAnsi="Arial"/>
          <w:sz w:val="18"/>
          <w:szCs w:val="18"/>
          <w:color w:val="auto"/>
        </w:rPr>
      </w:pPr>
      <w:r>
        <w:rPr>
          <w:rFonts w:ascii="Arial" w:cs="Arial" w:eastAsia="Arial" w:hAnsi="Arial"/>
          <w:sz w:val="18"/>
          <w:szCs w:val="18"/>
          <w:color w:val="auto"/>
        </w:rPr>
        <w:t>to the fullest extent permitted by law, any and all other defenses or benefits that may be derived from or afforded by applicable Law limiting the liability of or exonerating guarantors or sureties. Each Subsidiary Guarantor expressly waives all setoffs and counterclaims and all presentments, demands for payment or performance, notices of nonpayment or nonperformance, protests, notices of protest, notices of dishonor and all other notices or demands of any kind or nature whatsoever with respect to the Guarantied Obligations, and all notices of acceptance of this Guaranty or of the existence, creation or incurrence of new or additional Guarantied Obligations.</w:t>
      </w:r>
    </w:p>
    <w:p>
      <w:pPr>
        <w:spacing w:after="0" w:line="164" w:lineRule="exact"/>
        <w:rPr>
          <w:sz w:val="20"/>
          <w:szCs w:val="20"/>
          <w:color w:val="auto"/>
        </w:rPr>
      </w:pPr>
    </w:p>
    <w:p>
      <w:pPr>
        <w:jc w:val="both"/>
        <w:ind w:firstLine="629"/>
        <w:spacing w:after="0" w:line="307" w:lineRule="auto"/>
        <w:rPr>
          <w:sz w:val="20"/>
          <w:szCs w:val="20"/>
          <w:color w:val="auto"/>
        </w:rPr>
      </w:pPr>
      <w:r>
        <w:rPr>
          <w:rFonts w:ascii="Arial" w:cs="Arial" w:eastAsia="Arial" w:hAnsi="Arial"/>
          <w:sz w:val="17"/>
          <w:szCs w:val="17"/>
          <w:b w:val="1"/>
          <w:bCs w:val="1"/>
          <w:color w:val="auto"/>
        </w:rPr>
        <w:t>12.4 Obligations Independent</w:t>
      </w:r>
      <w:r>
        <w:rPr>
          <w:rFonts w:ascii="Arial" w:cs="Arial" w:eastAsia="Arial" w:hAnsi="Arial"/>
          <w:sz w:val="17"/>
          <w:szCs w:val="17"/>
          <w:color w:val="auto"/>
        </w:rPr>
        <w:t>. The obligations of each Subsidiary Guarantor hereunder are those of primary obligor, and not merely</w:t>
      </w:r>
      <w:r>
        <w:rPr>
          <w:rFonts w:ascii="Arial" w:cs="Arial" w:eastAsia="Arial" w:hAnsi="Arial"/>
          <w:sz w:val="17"/>
          <w:szCs w:val="17"/>
          <w:b w:val="1"/>
          <w:bCs w:val="1"/>
          <w:color w:val="auto"/>
        </w:rPr>
        <w:t xml:space="preserve"> </w:t>
      </w:r>
      <w:r>
        <w:rPr>
          <w:rFonts w:ascii="Arial" w:cs="Arial" w:eastAsia="Arial" w:hAnsi="Arial"/>
          <w:sz w:val="17"/>
          <w:szCs w:val="17"/>
          <w:color w:val="auto"/>
        </w:rPr>
        <w:t>as surety, and are independent of the Guarantied Obligations and the obligations of any other guarantor, and a separate action may be brought against each Subsidiary Guarantor to enforce this Guaranty whether or not any Borrower or any other person or entity is joined as a party.</w:t>
      </w:r>
    </w:p>
    <w:p>
      <w:pPr>
        <w:spacing w:after="0" w:line="128" w:lineRule="exact"/>
        <w:rPr>
          <w:sz w:val="20"/>
          <w:szCs w:val="20"/>
          <w:color w:val="auto"/>
        </w:rPr>
      </w:pPr>
    </w:p>
    <w:p>
      <w:pPr>
        <w:jc w:val="both"/>
        <w:ind w:firstLine="629"/>
        <w:spacing w:after="0" w:line="267" w:lineRule="auto"/>
        <w:rPr>
          <w:sz w:val="20"/>
          <w:szCs w:val="20"/>
          <w:color w:val="auto"/>
        </w:rPr>
      </w:pPr>
      <w:r>
        <w:rPr>
          <w:rFonts w:ascii="Arial" w:cs="Arial" w:eastAsia="Arial" w:hAnsi="Arial"/>
          <w:sz w:val="18"/>
          <w:szCs w:val="18"/>
          <w:b w:val="1"/>
          <w:bCs w:val="1"/>
          <w:color w:val="auto"/>
        </w:rPr>
        <w:t>12.5 Subrogation</w:t>
      </w:r>
      <w:r>
        <w:rPr>
          <w:rFonts w:ascii="Arial" w:cs="Arial" w:eastAsia="Arial" w:hAnsi="Arial"/>
          <w:sz w:val="18"/>
          <w:szCs w:val="18"/>
          <w:color w:val="auto"/>
        </w:rPr>
        <w:t>. Any Subsidiary Guarantor shall not exercise any right of subrogation, contribution, indemnity, reimbursement 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similar rights with respect to any payments it makes under this Guaranty until the Facility Termination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Subsidiary Guarantor shall exercise any such right or rights at any time with respect to any Collateral or any Person (including such Person’s direct and indirect Subsidiaries and assets) that has been acquired (whether by a distribution in connection with any Insolvency Event or otherwise) by the Administrative Agent or its designee in connection with any Event of Default. If any amounts are paid to any Subsidiary Guarantor in violation of the foregoing limitation, then such amounts shall be held in trust for the benefit of the Secured Parties and shall forthwith be paid to the Secured Parties to reduce the amount of the Obligations, whether matured or unmatured.</w:t>
      </w:r>
    </w:p>
    <w:p>
      <w:pPr>
        <w:spacing w:after="0" w:line="158" w:lineRule="exact"/>
        <w:rPr>
          <w:sz w:val="20"/>
          <w:szCs w:val="20"/>
          <w:color w:val="auto"/>
        </w:rPr>
      </w:pPr>
    </w:p>
    <w:p>
      <w:pPr>
        <w:jc w:val="both"/>
        <w:ind w:firstLine="629"/>
        <w:spacing w:after="0" w:line="283" w:lineRule="auto"/>
        <w:rPr>
          <w:sz w:val="20"/>
          <w:szCs w:val="20"/>
          <w:color w:val="auto"/>
        </w:rPr>
      </w:pPr>
      <w:r>
        <w:rPr>
          <w:rFonts w:ascii="Arial" w:cs="Arial" w:eastAsia="Arial" w:hAnsi="Arial"/>
          <w:sz w:val="17"/>
          <w:szCs w:val="17"/>
          <w:b w:val="1"/>
          <w:bCs w:val="1"/>
          <w:color w:val="auto"/>
        </w:rPr>
        <w:t>12.6 Termination; Reinstatement</w:t>
      </w:r>
      <w:r>
        <w:rPr>
          <w:rFonts w:ascii="Arial" w:cs="Arial" w:eastAsia="Arial" w:hAnsi="Arial"/>
          <w:sz w:val="17"/>
          <w:szCs w:val="17"/>
          <w:color w:val="auto"/>
        </w:rPr>
        <w:t>. This Guaranty is a continuing and irrevocable guaranty of all Guarantied Obligations now or</w:t>
      </w:r>
      <w:r>
        <w:rPr>
          <w:rFonts w:ascii="Arial" w:cs="Arial" w:eastAsia="Arial" w:hAnsi="Arial"/>
          <w:sz w:val="17"/>
          <w:szCs w:val="17"/>
          <w:b w:val="1"/>
          <w:bCs w:val="1"/>
          <w:color w:val="auto"/>
        </w:rPr>
        <w:t xml:space="preserve"> </w:t>
      </w:r>
      <w:r>
        <w:rPr>
          <w:rFonts w:ascii="Arial" w:cs="Arial" w:eastAsia="Arial" w:hAnsi="Arial"/>
          <w:sz w:val="17"/>
          <w:szCs w:val="17"/>
          <w:color w:val="auto"/>
        </w:rPr>
        <w:t>hereafter existing and shall remain in full force and effect until the Facility Termination Date. Notwithstanding the foregoing, this Guaranty shall continue in full force and effect or be revived, as the case may be, if any payment by or on behalf of the Borrower or any Subsidiary Guarantor is made, or any of the Secured Parties exercises its right of setoff, in respect of the Guarantied Obligations and such payment or the proceeds of such setoff or any part thereof is subsequently invalidated, declared to be fraudulent or preferential, set aside or required (including pursuant to any settlement entered into by any of the Secured Parties in their discretion) to be repaid to a trustee, receiver or any other party, in connection with any proceeding under any Debtor Relief Laws or otherwise, all as if such payment had not been made or such setoff had not occurred and whether or not the Secured Parties are in possession of or have released this Guaranty and regardless of any prior revocation, rescission,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183</w:t>
      </w:r>
    </w:p>
    <w:p>
      <w:pPr>
        <w:sectPr>
          <w:pgSz w:w="11900" w:h="16838" w:orient="portrait"/>
          <w:cols w:equalWidth="0" w:num="1">
            <w:col w:w="11240"/>
          </w:cols>
          <w:pgMar w:left="320" w:top="1381" w:right="339" w:bottom="1440" w:gutter="0" w:footer="0" w:header="0"/>
        </w:sectPr>
      </w:pPr>
    </w:p>
    <w:bookmarkStart w:id="302" w:name="page303"/>
    <w:bookmarkEnd w:id="302"/>
    <w:p>
      <w:pPr>
        <w:spacing w:after="0"/>
        <w:rPr>
          <w:sz w:val="20"/>
          <w:szCs w:val="20"/>
          <w:color w:val="auto"/>
        </w:rPr>
      </w:pPr>
      <w:r>
        <w:rPr>
          <w:rFonts w:ascii="Arial" w:cs="Arial" w:eastAsia="Arial" w:hAnsi="Arial"/>
          <w:sz w:val="18"/>
          <w:szCs w:val="18"/>
          <w:color w:val="auto"/>
        </w:rPr>
        <w:t>termination or reduction. The obligations of each Subsidiary Guarantor under this paragraph shall survive termination of this Guaranty.</w:t>
      </w:r>
    </w:p>
    <w:p>
      <w:pPr>
        <w:spacing w:after="0" w:line="220" w:lineRule="exact"/>
        <w:rPr>
          <w:sz w:val="20"/>
          <w:szCs w:val="20"/>
          <w:color w:val="auto"/>
        </w:rPr>
      </w:pPr>
    </w:p>
    <w:p>
      <w:pPr>
        <w:jc w:val="both"/>
        <w:ind w:firstLine="629"/>
        <w:spacing w:after="0" w:line="250" w:lineRule="auto"/>
        <w:rPr>
          <w:sz w:val="20"/>
          <w:szCs w:val="20"/>
          <w:color w:val="auto"/>
        </w:rPr>
      </w:pPr>
      <w:r>
        <w:rPr>
          <w:rFonts w:ascii="Arial" w:cs="Arial" w:eastAsia="Arial" w:hAnsi="Arial"/>
          <w:sz w:val="19"/>
          <w:szCs w:val="19"/>
          <w:b w:val="1"/>
          <w:bCs w:val="1"/>
          <w:color w:val="auto"/>
        </w:rPr>
        <w:t xml:space="preserve">12.7 Subordination. </w:t>
      </w:r>
      <w:r>
        <w:rPr>
          <w:rFonts w:ascii="Arial" w:cs="Arial" w:eastAsia="Arial" w:hAnsi="Arial"/>
          <w:sz w:val="19"/>
          <w:szCs w:val="19"/>
          <w:color w:val="auto"/>
        </w:rPr>
        <w:t>Each Subsidiary Guarantor hereby subordinates the payment of all obligations and indebtedness of the</w:t>
      </w:r>
      <w:r>
        <w:rPr>
          <w:rFonts w:ascii="Arial" w:cs="Arial" w:eastAsia="Arial" w:hAnsi="Arial"/>
          <w:sz w:val="19"/>
          <w:szCs w:val="19"/>
          <w:b w:val="1"/>
          <w:bCs w:val="1"/>
          <w:color w:val="auto"/>
        </w:rPr>
        <w:t xml:space="preserve"> </w:t>
      </w:r>
      <w:r>
        <w:rPr>
          <w:rFonts w:ascii="Arial" w:cs="Arial" w:eastAsia="Arial" w:hAnsi="Arial"/>
          <w:sz w:val="19"/>
          <w:szCs w:val="19"/>
          <w:color w:val="auto"/>
        </w:rPr>
        <w:t>Borrowers owing to each Subsidiary Guarantor, whether now existing or hereafter arising, including but not limited to any obligation of the Borrowers to any Subsidiary Guarantor as subrogee of the Secured Parties or resulting from any Subsidiary Guarantor’s performance under this Guaranty, to the Payment in Full. If the Secured Parties so request, any such obligation or indebtedness of the Borrowers to any Subsidiary Guarantor shall be enforced and performance received by any Subsidiary Guarantor as trustee for the Secured Parties and the proceeds thereof shall be paid over to the Secured Parties on account of the Guarantied Obligations, but without reducing or affecting in any manner the liability of any Subsidiary Guarantor under this Guaranty.</w:t>
      </w:r>
    </w:p>
    <w:p>
      <w:pPr>
        <w:spacing w:after="0" w:line="177" w:lineRule="exact"/>
        <w:rPr>
          <w:sz w:val="20"/>
          <w:szCs w:val="20"/>
          <w:color w:val="auto"/>
        </w:rPr>
      </w:pPr>
    </w:p>
    <w:p>
      <w:pPr>
        <w:jc w:val="both"/>
        <w:ind w:firstLine="629"/>
        <w:spacing w:after="0" w:line="284" w:lineRule="auto"/>
        <w:rPr>
          <w:sz w:val="20"/>
          <w:szCs w:val="20"/>
          <w:color w:val="auto"/>
        </w:rPr>
      </w:pPr>
      <w:r>
        <w:rPr>
          <w:rFonts w:ascii="Arial" w:cs="Arial" w:eastAsia="Arial" w:hAnsi="Arial"/>
          <w:sz w:val="18"/>
          <w:szCs w:val="18"/>
          <w:b w:val="1"/>
          <w:bCs w:val="1"/>
          <w:color w:val="auto"/>
        </w:rPr>
        <w:t>12.8 Stay of Acceleration</w:t>
      </w:r>
      <w:r>
        <w:rPr>
          <w:rFonts w:ascii="Arial" w:cs="Arial" w:eastAsia="Arial" w:hAnsi="Arial"/>
          <w:sz w:val="18"/>
          <w:szCs w:val="18"/>
          <w:color w:val="auto"/>
        </w:rPr>
        <w:t>. If acceleration of the time for payment of any of the Guarantied Obligations is stayed, in connection with</w:t>
      </w:r>
      <w:r>
        <w:rPr>
          <w:rFonts w:ascii="Arial" w:cs="Arial" w:eastAsia="Arial" w:hAnsi="Arial"/>
          <w:sz w:val="18"/>
          <w:szCs w:val="18"/>
          <w:b w:val="1"/>
          <w:bCs w:val="1"/>
          <w:color w:val="auto"/>
        </w:rPr>
        <w:t xml:space="preserve"> </w:t>
      </w:r>
      <w:r>
        <w:rPr>
          <w:rFonts w:ascii="Arial" w:cs="Arial" w:eastAsia="Arial" w:hAnsi="Arial"/>
          <w:sz w:val="18"/>
          <w:szCs w:val="18"/>
          <w:color w:val="auto"/>
        </w:rPr>
        <w:t>any case commenced by or against any Subsidiary Guarantor or the Borrowers under any Debtor Relief Laws, or otherwise, all such amounts shall nonetheless be payable by each Subsidiary Guarantor immediately upon demand by the Secured Parties.</w:t>
      </w:r>
    </w:p>
    <w:p>
      <w:pPr>
        <w:spacing w:after="0" w:line="144" w:lineRule="exact"/>
        <w:rPr>
          <w:sz w:val="20"/>
          <w:szCs w:val="20"/>
          <w:color w:val="auto"/>
        </w:rPr>
      </w:pPr>
    </w:p>
    <w:p>
      <w:pPr>
        <w:jc w:val="both"/>
        <w:ind w:firstLine="629"/>
        <w:spacing w:after="0" w:line="268" w:lineRule="auto"/>
        <w:rPr>
          <w:sz w:val="20"/>
          <w:szCs w:val="20"/>
          <w:color w:val="auto"/>
        </w:rPr>
      </w:pPr>
      <w:r>
        <w:rPr>
          <w:rFonts w:ascii="Arial" w:cs="Arial" w:eastAsia="Arial" w:hAnsi="Arial"/>
          <w:sz w:val="18"/>
          <w:szCs w:val="18"/>
          <w:b w:val="1"/>
          <w:bCs w:val="1"/>
          <w:color w:val="auto"/>
        </w:rPr>
        <w:t>12.9 Condition of Borrowers</w:t>
      </w:r>
      <w:r>
        <w:rPr>
          <w:rFonts w:ascii="Arial" w:cs="Arial" w:eastAsia="Arial" w:hAnsi="Arial"/>
          <w:sz w:val="18"/>
          <w:szCs w:val="18"/>
          <w:color w:val="auto"/>
        </w:rPr>
        <w:t>. Each Subsidiary Guarantor acknowledges and agrees that it has the sole responsibility for, and has</w:t>
      </w:r>
      <w:r>
        <w:rPr>
          <w:rFonts w:ascii="Arial" w:cs="Arial" w:eastAsia="Arial" w:hAnsi="Arial"/>
          <w:sz w:val="18"/>
          <w:szCs w:val="18"/>
          <w:b w:val="1"/>
          <w:bCs w:val="1"/>
          <w:color w:val="auto"/>
        </w:rPr>
        <w:t xml:space="preserve"> </w:t>
      </w:r>
      <w:r>
        <w:rPr>
          <w:rFonts w:ascii="Arial" w:cs="Arial" w:eastAsia="Arial" w:hAnsi="Arial"/>
          <w:sz w:val="18"/>
          <w:szCs w:val="18"/>
          <w:color w:val="auto"/>
        </w:rPr>
        <w:t>adequate means of, obtaining from the Borrowers and any other guarantor such information concerning the financial condition, business and operations of the Borrowers and any such other guarantor as each Subsidiary Guarantor requires, and that none of the Secured Parties has any duty, and any Subsidiary Guarantor is not relying on the Secured Parties at any time, to disclose to any Subsidiary Guarantor any information relating to the business, operations or financial condition of the Borrowers or any other guarantor (each Subsidiary Guarantor waiving any duty on the part of the Secured Parties to disclose such information and any defense relating to the failure to provide the same).</w:t>
      </w:r>
    </w:p>
    <w:p>
      <w:pPr>
        <w:spacing w:after="0" w:line="161" w:lineRule="exact"/>
        <w:rPr>
          <w:sz w:val="20"/>
          <w:szCs w:val="20"/>
          <w:color w:val="auto"/>
        </w:rPr>
      </w:pPr>
    </w:p>
    <w:p>
      <w:pPr>
        <w:jc w:val="both"/>
        <w:ind w:firstLine="629"/>
        <w:spacing w:after="0" w:line="249" w:lineRule="auto"/>
        <w:rPr>
          <w:sz w:val="20"/>
          <w:szCs w:val="20"/>
          <w:color w:val="auto"/>
        </w:rPr>
      </w:pPr>
      <w:r>
        <w:rPr>
          <w:rFonts w:ascii="Arial" w:cs="Arial" w:eastAsia="Arial" w:hAnsi="Arial"/>
          <w:sz w:val="19"/>
          <w:szCs w:val="19"/>
          <w:b w:val="1"/>
          <w:bCs w:val="1"/>
          <w:color w:val="auto"/>
        </w:rPr>
        <w:t xml:space="preserve">12.10 Keepwell. </w:t>
      </w:r>
      <w:r>
        <w:rPr>
          <w:rFonts w:ascii="Arial" w:cs="Arial" w:eastAsia="Arial" w:hAnsi="Arial"/>
          <w:sz w:val="19"/>
          <w:szCs w:val="19"/>
          <w:color w:val="auto"/>
        </w:rPr>
        <w:t>Each Guarantor that is a Qualified ECP hereby jointly and severally absolutely, unconditionally and irrevocably</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undertakes to provide such funds or other support as may be needed from time to time by each other Loan Party to honor all of its obligations under this Guaranty in respect of Swap Obligations (provided, however, that each Qualified ECP shall only be liable under this </w:t>
      </w:r>
      <w:r>
        <w:rPr>
          <w:rFonts w:ascii="Arial" w:cs="Arial" w:eastAsia="Arial" w:hAnsi="Arial"/>
          <w:sz w:val="19"/>
          <w:szCs w:val="19"/>
          <w:u w:val="single" w:color="auto"/>
          <w:color w:val="auto"/>
        </w:rPr>
        <w:t>Section 12.10</w:t>
      </w:r>
      <w:r>
        <w:rPr>
          <w:rFonts w:ascii="Arial" w:cs="Arial" w:eastAsia="Arial" w:hAnsi="Arial"/>
          <w:sz w:val="19"/>
          <w:szCs w:val="19"/>
          <w:color w:val="auto"/>
        </w:rPr>
        <w:t xml:space="preserve"> for the maximum amount of such liability that can be hereby incurred without rendering its obligations under this </w:t>
      </w:r>
      <w:r>
        <w:rPr>
          <w:rFonts w:ascii="Arial" w:cs="Arial" w:eastAsia="Arial" w:hAnsi="Arial"/>
          <w:sz w:val="19"/>
          <w:szCs w:val="19"/>
          <w:u w:val="single" w:color="auto"/>
          <w:color w:val="auto"/>
        </w:rPr>
        <w:t>Section 12.10</w:t>
      </w:r>
      <w:r>
        <w:rPr>
          <w:rFonts w:ascii="Arial" w:cs="Arial" w:eastAsia="Arial" w:hAnsi="Arial"/>
          <w:sz w:val="19"/>
          <w:szCs w:val="19"/>
          <w:color w:val="auto"/>
        </w:rPr>
        <w:t xml:space="preserve">, or otherwise under this Guaranty, voidable under applicable law relating to fraudulent conveyance or fraudulent transfer, and not for any greater amount). The obligations of each Guarantor that is a Qualified ECP under this Section shall remain in full force and effect until the Guarantied Obligations have been paid in full in cash. Each Guarantor that is a Qualified ECP intends that this </w:t>
      </w:r>
      <w:r>
        <w:rPr>
          <w:rFonts w:ascii="Arial" w:cs="Arial" w:eastAsia="Arial" w:hAnsi="Arial"/>
          <w:sz w:val="19"/>
          <w:szCs w:val="19"/>
          <w:u w:val="single" w:color="auto"/>
          <w:color w:val="auto"/>
        </w:rPr>
        <w:t>Section 12.10</w:t>
      </w:r>
      <w:r>
        <w:rPr>
          <w:rFonts w:ascii="Arial" w:cs="Arial" w:eastAsia="Arial" w:hAnsi="Arial"/>
          <w:sz w:val="19"/>
          <w:szCs w:val="19"/>
          <w:color w:val="auto"/>
        </w:rPr>
        <w:t xml:space="preserve"> constitute, and this </w:t>
      </w:r>
      <w:r>
        <w:rPr>
          <w:rFonts w:ascii="Arial" w:cs="Arial" w:eastAsia="Arial" w:hAnsi="Arial"/>
          <w:sz w:val="19"/>
          <w:szCs w:val="19"/>
          <w:u w:val="single" w:color="auto"/>
          <w:color w:val="auto"/>
        </w:rPr>
        <w:t>Section 12.10</w:t>
      </w:r>
      <w:r>
        <w:rPr>
          <w:rFonts w:ascii="Arial" w:cs="Arial" w:eastAsia="Arial" w:hAnsi="Arial"/>
          <w:sz w:val="19"/>
          <w:szCs w:val="19"/>
          <w:color w:val="auto"/>
        </w:rPr>
        <w:t xml:space="preserve"> shall be deemed to constitute, a “keepwell, support, or other agreement” for the benefit of each other Loan Party for all purposes of Section 1a(18)(A)(v) (II) of the Commodity Exchange Act.</w:t>
      </w:r>
    </w:p>
    <w:p>
      <w:pPr>
        <w:spacing w:after="0" w:line="176" w:lineRule="exact"/>
        <w:rPr>
          <w:sz w:val="20"/>
          <w:szCs w:val="20"/>
          <w:color w:val="auto"/>
        </w:rPr>
      </w:pPr>
    </w:p>
    <w:p>
      <w:pPr>
        <w:jc w:val="both"/>
        <w:ind w:firstLine="629"/>
        <w:spacing w:after="0" w:line="271" w:lineRule="auto"/>
        <w:rPr>
          <w:sz w:val="20"/>
          <w:szCs w:val="20"/>
          <w:color w:val="auto"/>
        </w:rPr>
      </w:pPr>
      <w:r>
        <w:rPr>
          <w:rFonts w:ascii="Arial" w:cs="Arial" w:eastAsia="Arial" w:hAnsi="Arial"/>
          <w:sz w:val="18"/>
          <w:szCs w:val="18"/>
          <w:b w:val="1"/>
          <w:bCs w:val="1"/>
          <w:color w:val="auto"/>
        </w:rPr>
        <w:t>12.11 Limitation of Guaranty</w:t>
      </w:r>
      <w:r>
        <w:rPr>
          <w:rFonts w:ascii="Arial" w:cs="Arial" w:eastAsia="Arial" w:hAnsi="Arial"/>
          <w:sz w:val="18"/>
          <w:szCs w:val="18"/>
          <w:color w:val="auto"/>
        </w:rPr>
        <w:t>. Notwithstanding anything to the contrary herein or otherwise, the Borrowers, the Administrative Agent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 the Lenders hereby irrevocably agree that the Guarantied Obligations of each Subsidiary Guarantor in respect of the guarantee set forth in this </w:t>
      </w:r>
      <w:r>
        <w:rPr>
          <w:rFonts w:ascii="Arial" w:cs="Arial" w:eastAsia="Arial" w:hAnsi="Arial"/>
          <w:sz w:val="18"/>
          <w:szCs w:val="18"/>
          <w:u w:val="single" w:color="auto"/>
          <w:color w:val="auto"/>
        </w:rPr>
        <w:t>Section 12</w:t>
      </w:r>
      <w:r>
        <w:rPr>
          <w:rFonts w:ascii="Arial" w:cs="Arial" w:eastAsia="Arial" w:hAnsi="Arial"/>
          <w:sz w:val="18"/>
          <w:szCs w:val="18"/>
          <w:color w:val="auto"/>
        </w:rPr>
        <w:t xml:space="preserve"> at any time shall be limited to the maximum amount as will result in the Guarantied Obligations of such Subsidiary Guarantor not constituting a fraudulent transfer or conveyance after giving full effect to the liability under such guarantee set forth in </w:t>
      </w:r>
      <w:r>
        <w:rPr>
          <w:rFonts w:ascii="Arial" w:cs="Arial" w:eastAsia="Arial" w:hAnsi="Arial"/>
          <w:sz w:val="18"/>
          <w:szCs w:val="18"/>
          <w:u w:val="single" w:color="auto"/>
          <w:color w:val="auto"/>
        </w:rPr>
        <w:t>Section 12</w:t>
      </w:r>
      <w:r>
        <w:rPr>
          <w:rFonts w:ascii="Arial" w:cs="Arial" w:eastAsia="Arial" w:hAnsi="Arial"/>
          <w:sz w:val="18"/>
          <w:szCs w:val="18"/>
          <w:color w:val="auto"/>
        </w:rPr>
        <w:t xml:space="preserve"> and its related contribution rights but before taking into account any liabilities under any other guarantee by such Subsidiary Guarantor.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184</w:t>
      </w:r>
    </w:p>
    <w:p>
      <w:pPr>
        <w:sectPr>
          <w:pgSz w:w="11900" w:h="16838" w:orient="portrait"/>
          <w:cols w:equalWidth="0" w:num="1">
            <w:col w:w="11240"/>
          </w:cols>
          <w:pgMar w:left="320" w:top="1382" w:right="339" w:bottom="1440" w:gutter="0" w:footer="0" w:header="0"/>
        </w:sectPr>
      </w:pPr>
    </w:p>
    <w:bookmarkStart w:id="303" w:name="page304"/>
    <w:bookmarkEnd w:id="303"/>
    <w:p>
      <w:pPr>
        <w:jc w:val="center"/>
        <w:spacing w:after="0"/>
        <w:rPr>
          <w:sz w:val="20"/>
          <w:szCs w:val="20"/>
          <w:color w:val="auto"/>
        </w:rPr>
      </w:pPr>
      <w:r>
        <w:rPr>
          <w:rFonts w:ascii="Arial" w:cs="Arial" w:eastAsia="Arial" w:hAnsi="Arial"/>
          <w:sz w:val="17"/>
          <w:szCs w:val="17"/>
          <w:i w:val="1"/>
          <w:iCs w:val="1"/>
          <w:color w:val="auto"/>
        </w:rPr>
        <w:t>[Remainder of page is intentionally left blank; signature pages follow.]</w:t>
      </w:r>
    </w:p>
    <w:p>
      <w:pPr>
        <w:sectPr>
          <w:pgSz w:w="11900" w:h="16838" w:orient="portrait"/>
          <w:cols w:equalWidth="0" w:num="1">
            <w:col w:w="9019"/>
          </w:cols>
          <w:pgMar w:left="1440" w:top="138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185</w:t>
      </w:r>
    </w:p>
    <w:p>
      <w:pPr>
        <w:sectPr>
          <w:pgSz w:w="11900" w:h="16838" w:orient="portrait"/>
          <w:cols w:equalWidth="0" w:num="1">
            <w:col w:w="9019"/>
          </w:cols>
          <w:pgMar w:left="1440" w:top="1381" w:right="1440" w:bottom="1440" w:gutter="0" w:footer="0" w:header="0"/>
          <w:type w:val="continuous"/>
        </w:sectPr>
      </w:pPr>
    </w:p>
    <w:bookmarkStart w:id="304" w:name="page305"/>
    <w:bookmarkEnd w:id="304"/>
    <w:p>
      <w:pPr>
        <w:spacing w:after="0"/>
        <w:rPr>
          <w:sz w:val="20"/>
          <w:szCs w:val="20"/>
          <w:color w:val="auto"/>
        </w:rPr>
      </w:pPr>
      <w:r>
        <w:rPr>
          <w:rFonts w:ascii="Arial" w:cs="Arial" w:eastAsia="Arial" w:hAnsi="Arial"/>
          <w:sz w:val="17"/>
          <w:szCs w:val="17"/>
          <w:b w:val="1"/>
          <w:bCs w:val="1"/>
          <w:i w:val="1"/>
          <w:iCs w:val="1"/>
          <w:color w:val="auto"/>
        </w:rPr>
        <w:t>IN WITNESS WHEREOF</w:t>
      </w:r>
      <w:r>
        <w:rPr>
          <w:rFonts w:ascii="Arial" w:cs="Arial" w:eastAsia="Arial" w:hAnsi="Arial"/>
          <w:sz w:val="17"/>
          <w:szCs w:val="17"/>
          <w:color w:val="auto"/>
        </w:rPr>
        <w:t>, the parties hereto have caused this Agreement to be duly executed as of the date first above written.</w:t>
      </w:r>
    </w:p>
    <w:p>
      <w:pPr>
        <w:sectPr>
          <w:pgSz w:w="11900" w:h="16838" w:orient="portrait"/>
          <w:cols w:equalWidth="0" w:num="1">
            <w:col w:w="9860"/>
          </w:cols>
          <w:pgMar w:left="960" w:top="1381" w:right="1079" w:bottom="1440" w:gutter="0" w:footer="0" w:header="0"/>
        </w:sectPr>
      </w:pPr>
    </w:p>
    <w:p>
      <w:pPr>
        <w:spacing w:after="0" w:line="231" w:lineRule="exact"/>
        <w:rPr>
          <w:sz w:val="20"/>
          <w:szCs w:val="20"/>
          <w:color w:val="auto"/>
        </w:rPr>
      </w:pPr>
    </w:p>
    <w:p>
      <w:pPr>
        <w:ind w:left="3140"/>
        <w:spacing w:after="0"/>
        <w:rPr>
          <w:sz w:val="20"/>
          <w:szCs w:val="20"/>
          <w:color w:val="auto"/>
        </w:rPr>
      </w:pPr>
      <w:r>
        <w:rPr>
          <w:rFonts w:ascii="Arial" w:cs="Arial" w:eastAsia="Arial" w:hAnsi="Arial"/>
          <w:sz w:val="19"/>
          <w:szCs w:val="19"/>
          <w:b w:val="1"/>
          <w:bCs w:val="1"/>
          <w:u w:val="single" w:color="auto"/>
          <w:color w:val="auto"/>
        </w:rPr>
        <w:t>BORROWERS</w:t>
      </w:r>
      <w:r>
        <w:rPr>
          <w:rFonts w:ascii="Arial" w:cs="Arial" w:eastAsia="Arial" w:hAnsi="Arial"/>
          <w:sz w:val="19"/>
          <w:szCs w:val="19"/>
          <w:b w:val="1"/>
          <w:bCs w:val="1"/>
          <w:color w:val="auto"/>
        </w:rPr>
        <w:t>:</w:t>
      </w:r>
    </w:p>
    <w:p>
      <w:pPr>
        <w:spacing w:after="0" w:line="200" w:lineRule="exact"/>
        <w:rPr>
          <w:sz w:val="20"/>
          <w:szCs w:val="20"/>
          <w:color w:val="auto"/>
        </w:rPr>
      </w:pPr>
    </w:p>
    <w:p>
      <w:pPr>
        <w:spacing w:after="0" w:line="285" w:lineRule="exact"/>
        <w:rPr>
          <w:sz w:val="20"/>
          <w:szCs w:val="20"/>
          <w:color w:val="auto"/>
        </w:rPr>
      </w:pPr>
    </w:p>
    <w:p>
      <w:pPr>
        <w:ind w:left="3140"/>
        <w:spacing w:after="0"/>
        <w:rPr>
          <w:sz w:val="20"/>
          <w:szCs w:val="20"/>
          <w:color w:val="auto"/>
        </w:rPr>
      </w:pPr>
      <w:r>
        <w:rPr>
          <w:rFonts w:ascii="Arial" w:cs="Arial" w:eastAsia="Arial" w:hAnsi="Arial"/>
          <w:sz w:val="21"/>
          <w:szCs w:val="21"/>
          <w:b w:val="1"/>
          <w:bCs w:val="1"/>
          <w:color w:val="auto"/>
        </w:rPr>
        <w:t>MATRIX SERVICE COMPANY</w:t>
      </w:r>
      <w:r>
        <w:rPr>
          <w:rFonts w:ascii="Arial" w:cs="Arial" w:eastAsia="Arial" w:hAnsi="Arial"/>
          <w:sz w:val="21"/>
          <w:szCs w:val="21"/>
          <w:color w:val="auto"/>
        </w:rPr>
        <w:t>,</w:t>
      </w:r>
    </w:p>
    <w:p>
      <w:pPr>
        <w:spacing w:after="0" w:line="31" w:lineRule="exact"/>
        <w:rPr>
          <w:sz w:val="20"/>
          <w:szCs w:val="20"/>
          <w:color w:val="auto"/>
        </w:rPr>
      </w:pPr>
    </w:p>
    <w:p>
      <w:pPr>
        <w:ind w:left="3140"/>
        <w:spacing w:after="0"/>
        <w:rPr>
          <w:sz w:val="20"/>
          <w:szCs w:val="20"/>
          <w:color w:val="auto"/>
        </w:rPr>
      </w:pPr>
      <w:r>
        <w:rPr>
          <w:rFonts w:ascii="Arial" w:cs="Arial" w:eastAsia="Arial" w:hAnsi="Arial"/>
          <w:sz w:val="21"/>
          <w:szCs w:val="21"/>
          <w:color w:val="auto"/>
        </w:rPr>
        <w:t>a Delaware corporation</w:t>
      </w:r>
    </w:p>
    <w:p>
      <w:pPr>
        <w:spacing w:after="0" w:line="226" w:lineRule="exact"/>
        <w:rPr>
          <w:sz w:val="20"/>
          <w:szCs w:val="20"/>
          <w:color w:val="auto"/>
        </w:rPr>
      </w:pPr>
    </w:p>
    <w:p>
      <w:pPr>
        <w:ind w:left="3140"/>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21"/>
          <w:szCs w:val="21"/>
          <w:u w:val="single" w:color="auto"/>
          <w:color w:val="auto"/>
        </w:rPr>
        <w:t>/s/ Kevin S. Cavanah</w:t>
      </w:r>
    </w:p>
    <w:p>
      <w:pPr>
        <w:spacing w:after="0" w:line="25" w:lineRule="exact"/>
        <w:rPr>
          <w:sz w:val="20"/>
          <w:szCs w:val="20"/>
          <w:color w:val="auto"/>
        </w:rPr>
      </w:pPr>
    </w:p>
    <w:p>
      <w:pPr>
        <w:ind w:left="3140"/>
        <w:spacing w:after="0"/>
        <w:rPr>
          <w:sz w:val="20"/>
          <w:szCs w:val="20"/>
          <w:color w:val="auto"/>
        </w:rPr>
      </w:pPr>
      <w:r>
        <w:rPr>
          <w:rFonts w:ascii="Arial" w:cs="Arial" w:eastAsia="Arial" w:hAnsi="Arial"/>
          <w:sz w:val="21"/>
          <w:szCs w:val="21"/>
          <w:color w:val="auto"/>
        </w:rPr>
        <w:t>Name: Kevin S. Cavanah</w:t>
      </w:r>
    </w:p>
    <w:p>
      <w:pPr>
        <w:spacing w:after="0" w:line="8" w:lineRule="exact"/>
        <w:rPr>
          <w:sz w:val="20"/>
          <w:szCs w:val="20"/>
          <w:color w:val="auto"/>
        </w:rPr>
      </w:pPr>
    </w:p>
    <w:p>
      <w:pPr>
        <w:ind w:left="3140"/>
        <w:spacing w:after="0"/>
        <w:rPr>
          <w:sz w:val="20"/>
          <w:szCs w:val="20"/>
          <w:color w:val="auto"/>
        </w:rPr>
      </w:pPr>
      <w:r>
        <w:rPr>
          <w:rFonts w:ascii="Arial" w:cs="Arial" w:eastAsia="Arial" w:hAnsi="Arial"/>
          <w:sz w:val="21"/>
          <w:szCs w:val="21"/>
          <w:color w:val="auto"/>
        </w:rPr>
        <w:t>Title: Vice President, Chief Financial Officer &amp; Treasurer</w:t>
      </w:r>
    </w:p>
    <w:p>
      <w:pPr>
        <w:spacing w:after="0" w:line="200" w:lineRule="exact"/>
        <w:rPr>
          <w:sz w:val="20"/>
          <w:szCs w:val="20"/>
          <w:color w:val="auto"/>
        </w:rPr>
      </w:pPr>
    </w:p>
    <w:p>
      <w:pPr>
        <w:spacing w:after="0" w:line="256" w:lineRule="exact"/>
        <w:rPr>
          <w:sz w:val="20"/>
          <w:szCs w:val="20"/>
          <w:color w:val="auto"/>
        </w:rPr>
      </w:pPr>
    </w:p>
    <w:p>
      <w:pPr>
        <w:ind w:left="3140"/>
        <w:spacing w:after="0"/>
        <w:rPr>
          <w:sz w:val="20"/>
          <w:szCs w:val="20"/>
          <w:color w:val="auto"/>
        </w:rPr>
      </w:pPr>
      <w:r>
        <w:rPr>
          <w:rFonts w:ascii="Arial" w:cs="Arial" w:eastAsia="Arial" w:hAnsi="Arial"/>
          <w:sz w:val="21"/>
          <w:szCs w:val="21"/>
          <w:b w:val="1"/>
          <w:bCs w:val="1"/>
          <w:color w:val="auto"/>
        </w:rPr>
        <w:t>MATRIX SERVICE INC.</w:t>
      </w:r>
      <w:r>
        <w:rPr>
          <w:rFonts w:ascii="Arial" w:cs="Arial" w:eastAsia="Arial" w:hAnsi="Arial"/>
          <w:sz w:val="21"/>
          <w:szCs w:val="21"/>
          <w:color w:val="auto"/>
        </w:rPr>
        <w:t>,</w:t>
      </w:r>
    </w:p>
    <w:p>
      <w:pPr>
        <w:spacing w:after="0" w:line="31" w:lineRule="exact"/>
        <w:rPr>
          <w:sz w:val="20"/>
          <w:szCs w:val="20"/>
          <w:color w:val="auto"/>
        </w:rPr>
      </w:pPr>
    </w:p>
    <w:p>
      <w:pPr>
        <w:ind w:left="3140"/>
        <w:spacing w:after="0"/>
        <w:rPr>
          <w:sz w:val="20"/>
          <w:szCs w:val="20"/>
          <w:color w:val="auto"/>
        </w:rPr>
      </w:pPr>
      <w:r>
        <w:rPr>
          <w:rFonts w:ascii="Arial" w:cs="Arial" w:eastAsia="Arial" w:hAnsi="Arial"/>
          <w:sz w:val="21"/>
          <w:szCs w:val="21"/>
          <w:color w:val="auto"/>
        </w:rPr>
        <w:t>an Oklahoma corporation</w:t>
      </w:r>
    </w:p>
    <w:p>
      <w:pPr>
        <w:spacing w:after="0" w:line="226" w:lineRule="exact"/>
        <w:rPr>
          <w:sz w:val="20"/>
          <w:szCs w:val="20"/>
          <w:color w:val="auto"/>
        </w:rPr>
      </w:pPr>
    </w:p>
    <w:p>
      <w:pPr>
        <w:ind w:left="3140"/>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21"/>
          <w:szCs w:val="21"/>
          <w:u w:val="single" w:color="auto"/>
          <w:color w:val="auto"/>
        </w:rPr>
        <w:t>/s/ Kevin S. Cavanah</w:t>
      </w:r>
    </w:p>
    <w:p>
      <w:pPr>
        <w:spacing w:after="0" w:line="25" w:lineRule="exact"/>
        <w:rPr>
          <w:sz w:val="20"/>
          <w:szCs w:val="20"/>
          <w:color w:val="auto"/>
        </w:rPr>
      </w:pPr>
    </w:p>
    <w:p>
      <w:pPr>
        <w:ind w:left="3140"/>
        <w:spacing w:after="0"/>
        <w:rPr>
          <w:sz w:val="20"/>
          <w:szCs w:val="20"/>
          <w:color w:val="auto"/>
        </w:rPr>
      </w:pPr>
      <w:r>
        <w:rPr>
          <w:rFonts w:ascii="Arial" w:cs="Arial" w:eastAsia="Arial" w:hAnsi="Arial"/>
          <w:sz w:val="21"/>
          <w:szCs w:val="21"/>
          <w:color w:val="auto"/>
        </w:rPr>
        <w:t>Name: Kevin S. Cavanah</w:t>
      </w:r>
    </w:p>
    <w:p>
      <w:pPr>
        <w:spacing w:after="0" w:line="8" w:lineRule="exact"/>
        <w:rPr>
          <w:sz w:val="20"/>
          <w:szCs w:val="20"/>
          <w:color w:val="auto"/>
        </w:rPr>
      </w:pPr>
    </w:p>
    <w:p>
      <w:pPr>
        <w:ind w:left="3140"/>
        <w:spacing w:after="0"/>
        <w:rPr>
          <w:sz w:val="20"/>
          <w:szCs w:val="20"/>
          <w:color w:val="auto"/>
        </w:rPr>
      </w:pPr>
      <w:r>
        <w:rPr>
          <w:rFonts w:ascii="Arial" w:cs="Arial" w:eastAsia="Arial" w:hAnsi="Arial"/>
          <w:sz w:val="19"/>
          <w:szCs w:val="19"/>
          <w:color w:val="auto"/>
        </w:rPr>
        <w:t>Title: Vice President, Chief Financial Officer &amp; Treasurer, and Secretary</w:t>
      </w:r>
    </w:p>
    <w:p>
      <w:pPr>
        <w:spacing w:after="0" w:line="200" w:lineRule="exact"/>
        <w:rPr>
          <w:sz w:val="20"/>
          <w:szCs w:val="20"/>
          <w:color w:val="auto"/>
        </w:rPr>
      </w:pPr>
    </w:p>
    <w:p>
      <w:pPr>
        <w:spacing w:after="0" w:line="285" w:lineRule="exact"/>
        <w:rPr>
          <w:sz w:val="20"/>
          <w:szCs w:val="20"/>
          <w:color w:val="auto"/>
        </w:rPr>
      </w:pPr>
    </w:p>
    <w:p>
      <w:pPr>
        <w:ind w:left="3140"/>
        <w:spacing w:after="0"/>
        <w:rPr>
          <w:sz w:val="20"/>
          <w:szCs w:val="20"/>
          <w:color w:val="auto"/>
        </w:rPr>
      </w:pPr>
      <w:r>
        <w:rPr>
          <w:rFonts w:ascii="Arial" w:cs="Arial" w:eastAsia="Arial" w:hAnsi="Arial"/>
          <w:sz w:val="19"/>
          <w:szCs w:val="19"/>
          <w:b w:val="1"/>
          <w:bCs w:val="1"/>
          <w:color w:val="auto"/>
        </w:rPr>
        <w:t>MATRIX PDM ENGINEERING, INC.</w:t>
      </w:r>
      <w:r>
        <w:rPr>
          <w:rFonts w:ascii="Arial" w:cs="Arial" w:eastAsia="Arial" w:hAnsi="Arial"/>
          <w:sz w:val="20"/>
          <w:szCs w:val="20"/>
          <w:color w:val="auto"/>
        </w:rPr>
        <w:t>,</w:t>
      </w:r>
    </w:p>
    <w:p>
      <w:pPr>
        <w:spacing w:after="0" w:line="37" w:lineRule="exact"/>
        <w:rPr>
          <w:sz w:val="20"/>
          <w:szCs w:val="20"/>
          <w:color w:val="auto"/>
        </w:rPr>
      </w:pPr>
    </w:p>
    <w:p>
      <w:pPr>
        <w:ind w:left="3140"/>
        <w:spacing w:after="0"/>
        <w:rPr>
          <w:sz w:val="20"/>
          <w:szCs w:val="20"/>
          <w:color w:val="auto"/>
        </w:rPr>
      </w:pPr>
      <w:r>
        <w:rPr>
          <w:rFonts w:ascii="Arial" w:cs="Arial" w:eastAsia="Arial" w:hAnsi="Arial"/>
          <w:sz w:val="21"/>
          <w:szCs w:val="21"/>
          <w:color w:val="auto"/>
        </w:rPr>
        <w:t>an Delaware corporation</w:t>
      </w:r>
    </w:p>
    <w:p>
      <w:pPr>
        <w:spacing w:after="0" w:line="239" w:lineRule="exact"/>
        <w:rPr>
          <w:sz w:val="20"/>
          <w:szCs w:val="20"/>
          <w:color w:val="auto"/>
        </w:rPr>
      </w:pPr>
    </w:p>
    <w:p>
      <w:pPr>
        <w:ind w:left="3140"/>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21"/>
          <w:szCs w:val="21"/>
          <w:u w:val="single" w:color="auto"/>
          <w:color w:val="auto"/>
        </w:rPr>
        <w:t>/s/ Kevin S. Cavanah</w:t>
      </w:r>
    </w:p>
    <w:p>
      <w:pPr>
        <w:spacing w:after="0" w:line="25" w:lineRule="exact"/>
        <w:rPr>
          <w:sz w:val="20"/>
          <w:szCs w:val="20"/>
          <w:color w:val="auto"/>
        </w:rPr>
      </w:pPr>
    </w:p>
    <w:p>
      <w:pPr>
        <w:ind w:left="3140"/>
        <w:spacing w:after="0"/>
        <w:rPr>
          <w:sz w:val="20"/>
          <w:szCs w:val="20"/>
          <w:color w:val="auto"/>
        </w:rPr>
      </w:pPr>
      <w:r>
        <w:rPr>
          <w:rFonts w:ascii="Arial" w:cs="Arial" w:eastAsia="Arial" w:hAnsi="Arial"/>
          <w:sz w:val="21"/>
          <w:szCs w:val="21"/>
          <w:color w:val="auto"/>
        </w:rPr>
        <w:t>Name: Kevin S. Cavanah</w:t>
      </w:r>
    </w:p>
    <w:p>
      <w:pPr>
        <w:spacing w:after="0" w:line="21" w:lineRule="exact"/>
        <w:rPr>
          <w:sz w:val="20"/>
          <w:szCs w:val="20"/>
          <w:color w:val="auto"/>
        </w:rPr>
      </w:pPr>
    </w:p>
    <w:p>
      <w:pPr>
        <w:ind w:left="3140"/>
        <w:spacing w:after="0"/>
        <w:rPr>
          <w:sz w:val="20"/>
          <w:szCs w:val="20"/>
          <w:color w:val="auto"/>
        </w:rPr>
      </w:pPr>
      <w:r>
        <w:rPr>
          <w:rFonts w:ascii="Arial" w:cs="Arial" w:eastAsia="Arial" w:hAnsi="Arial"/>
          <w:sz w:val="21"/>
          <w:szCs w:val="21"/>
          <w:color w:val="auto"/>
        </w:rPr>
        <w:t>Title: Vice President, Chief Financial Officer &amp; Secretary</w:t>
      </w:r>
    </w:p>
    <w:p>
      <w:pPr>
        <w:spacing w:after="0" w:line="200" w:lineRule="exact"/>
        <w:rPr>
          <w:sz w:val="20"/>
          <w:szCs w:val="20"/>
          <w:color w:val="auto"/>
        </w:rPr>
      </w:pPr>
    </w:p>
    <w:p>
      <w:pPr>
        <w:spacing w:after="0" w:line="262" w:lineRule="exact"/>
        <w:rPr>
          <w:sz w:val="20"/>
          <w:szCs w:val="20"/>
          <w:color w:val="auto"/>
        </w:rPr>
      </w:pPr>
    </w:p>
    <w:p>
      <w:pPr>
        <w:ind w:left="3140"/>
        <w:spacing w:after="0"/>
        <w:rPr>
          <w:sz w:val="20"/>
          <w:szCs w:val="20"/>
          <w:color w:val="auto"/>
        </w:rPr>
      </w:pPr>
      <w:r>
        <w:rPr>
          <w:rFonts w:ascii="Arial" w:cs="Arial" w:eastAsia="Arial" w:hAnsi="Arial"/>
          <w:sz w:val="19"/>
          <w:szCs w:val="19"/>
          <w:b w:val="1"/>
          <w:bCs w:val="1"/>
          <w:color w:val="auto"/>
        </w:rPr>
        <w:t>MATRIX NORTH AMERICAN CONSTRUCTION, INC.</w:t>
      </w:r>
      <w:r>
        <w:rPr>
          <w:rFonts w:ascii="Arial" w:cs="Arial" w:eastAsia="Arial" w:hAnsi="Arial"/>
          <w:sz w:val="20"/>
          <w:szCs w:val="20"/>
          <w:color w:val="auto"/>
        </w:rPr>
        <w:t>,</w:t>
      </w:r>
    </w:p>
    <w:p>
      <w:pPr>
        <w:spacing w:after="0" w:line="37" w:lineRule="exact"/>
        <w:rPr>
          <w:sz w:val="20"/>
          <w:szCs w:val="20"/>
          <w:color w:val="auto"/>
        </w:rPr>
      </w:pPr>
    </w:p>
    <w:p>
      <w:pPr>
        <w:ind w:left="3140"/>
        <w:spacing w:after="0"/>
        <w:rPr>
          <w:sz w:val="20"/>
          <w:szCs w:val="20"/>
          <w:color w:val="auto"/>
        </w:rPr>
      </w:pPr>
      <w:r>
        <w:rPr>
          <w:rFonts w:ascii="Arial" w:cs="Arial" w:eastAsia="Arial" w:hAnsi="Arial"/>
          <w:sz w:val="21"/>
          <w:szCs w:val="21"/>
          <w:color w:val="auto"/>
        </w:rPr>
        <w:t>an Oklahoma corporation</w:t>
      </w:r>
    </w:p>
    <w:p>
      <w:pPr>
        <w:spacing w:after="0" w:line="226" w:lineRule="exact"/>
        <w:rPr>
          <w:sz w:val="20"/>
          <w:szCs w:val="20"/>
          <w:color w:val="auto"/>
        </w:rPr>
      </w:pPr>
    </w:p>
    <w:p>
      <w:pPr>
        <w:ind w:left="3140"/>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21"/>
          <w:szCs w:val="21"/>
          <w:u w:val="single" w:color="auto"/>
          <w:color w:val="auto"/>
        </w:rPr>
        <w:t>/s/ Kevin S. Cavanah</w:t>
      </w:r>
    </w:p>
    <w:p>
      <w:pPr>
        <w:spacing w:after="0" w:line="25" w:lineRule="exact"/>
        <w:rPr>
          <w:sz w:val="20"/>
          <w:szCs w:val="20"/>
          <w:color w:val="auto"/>
        </w:rPr>
      </w:pPr>
    </w:p>
    <w:p>
      <w:pPr>
        <w:ind w:left="3140"/>
        <w:spacing w:after="0"/>
        <w:rPr>
          <w:sz w:val="20"/>
          <w:szCs w:val="20"/>
          <w:color w:val="auto"/>
        </w:rPr>
      </w:pPr>
      <w:r>
        <w:rPr>
          <w:rFonts w:ascii="Arial" w:cs="Arial" w:eastAsia="Arial" w:hAnsi="Arial"/>
          <w:sz w:val="21"/>
          <w:szCs w:val="21"/>
          <w:color w:val="auto"/>
        </w:rPr>
        <w:t>Name: Kevin S. Cavanah</w:t>
      </w:r>
    </w:p>
    <w:p>
      <w:pPr>
        <w:spacing w:after="0" w:line="8" w:lineRule="exact"/>
        <w:rPr>
          <w:sz w:val="20"/>
          <w:szCs w:val="20"/>
          <w:color w:val="auto"/>
        </w:rPr>
      </w:pPr>
    </w:p>
    <w:p>
      <w:pPr>
        <w:ind w:left="3140"/>
        <w:spacing w:after="0"/>
        <w:rPr>
          <w:sz w:val="20"/>
          <w:szCs w:val="20"/>
          <w:color w:val="auto"/>
        </w:rPr>
      </w:pPr>
      <w:r>
        <w:rPr>
          <w:rFonts w:ascii="Arial" w:cs="Arial" w:eastAsia="Arial" w:hAnsi="Arial"/>
          <w:sz w:val="21"/>
          <w:szCs w:val="21"/>
          <w:color w:val="auto"/>
        </w:rPr>
        <w:t>Title: Vice President, Chief Financial Officer &amp;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[Signature Page to Credit Agreement]</w:t>
      </w:r>
    </w:p>
    <w:p>
      <w:pPr>
        <w:sectPr>
          <w:pgSz w:w="11900" w:h="16838" w:orient="portrait"/>
          <w:cols w:equalWidth="0" w:num="1">
            <w:col w:w="9860"/>
          </w:cols>
          <w:pgMar w:left="960" w:top="1381" w:right="1079" w:bottom="1440" w:gutter="0" w:footer="0" w:header="0"/>
          <w:type w:val="continuous"/>
        </w:sectPr>
      </w:pPr>
    </w:p>
    <w:bookmarkStart w:id="305" w:name="page306"/>
    <w:bookmarkEnd w:id="30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2660"/>
        <w:spacing w:after="0"/>
        <w:rPr>
          <w:sz w:val="20"/>
          <w:szCs w:val="20"/>
          <w:color w:val="auto"/>
        </w:rPr>
      </w:pPr>
      <w:r>
        <w:rPr>
          <w:rFonts w:ascii="Arial" w:cs="Arial" w:eastAsia="Arial" w:hAnsi="Arial"/>
          <w:sz w:val="21"/>
          <w:szCs w:val="21"/>
          <w:b w:val="1"/>
          <w:bCs w:val="1"/>
          <w:color w:val="auto"/>
        </w:rPr>
        <w:t>MATRIX SERVICE CANADA ULC</w:t>
      </w:r>
      <w:r>
        <w:rPr>
          <w:rFonts w:ascii="Arial" w:cs="Arial" w:eastAsia="Arial" w:hAnsi="Arial"/>
          <w:sz w:val="21"/>
          <w:szCs w:val="21"/>
          <w:color w:val="auto"/>
        </w:rPr>
        <w:t>,</w:t>
      </w:r>
    </w:p>
    <w:p>
      <w:pPr>
        <w:spacing w:after="0" w:line="31" w:lineRule="exact"/>
        <w:rPr>
          <w:sz w:val="20"/>
          <w:szCs w:val="20"/>
          <w:color w:val="auto"/>
        </w:rPr>
      </w:pPr>
    </w:p>
    <w:p>
      <w:pPr>
        <w:ind w:left="2660"/>
        <w:spacing w:after="0"/>
        <w:rPr>
          <w:sz w:val="20"/>
          <w:szCs w:val="20"/>
          <w:color w:val="auto"/>
        </w:rPr>
      </w:pPr>
      <w:r>
        <w:rPr>
          <w:rFonts w:ascii="Arial" w:cs="Arial" w:eastAsia="Arial" w:hAnsi="Arial"/>
          <w:sz w:val="21"/>
          <w:szCs w:val="21"/>
          <w:color w:val="auto"/>
        </w:rPr>
        <w:t>an Alberta unlimited liability corporation</w:t>
      </w:r>
    </w:p>
    <w:p>
      <w:pPr>
        <w:spacing w:after="0" w:line="8" w:lineRule="exact"/>
        <w:rPr>
          <w:sz w:val="20"/>
          <w:szCs w:val="20"/>
          <w:color w:val="auto"/>
        </w:rPr>
      </w:pPr>
    </w:p>
    <w:p>
      <w:pPr>
        <w:ind w:left="2660"/>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21"/>
          <w:szCs w:val="21"/>
          <w:u w:val="single" w:color="auto"/>
          <w:color w:val="auto"/>
        </w:rPr>
        <w:t>/s/ Kevin S. Cavanah</w:t>
      </w:r>
    </w:p>
    <w:p>
      <w:pPr>
        <w:spacing w:after="0" w:line="8" w:lineRule="exact"/>
        <w:rPr>
          <w:sz w:val="20"/>
          <w:szCs w:val="20"/>
          <w:color w:val="auto"/>
        </w:rPr>
      </w:pPr>
    </w:p>
    <w:p>
      <w:pPr>
        <w:ind w:left="2660"/>
        <w:spacing w:after="0"/>
        <w:rPr>
          <w:sz w:val="20"/>
          <w:szCs w:val="20"/>
          <w:color w:val="auto"/>
        </w:rPr>
      </w:pPr>
      <w:r>
        <w:rPr>
          <w:rFonts w:ascii="Arial" w:cs="Arial" w:eastAsia="Arial" w:hAnsi="Arial"/>
          <w:sz w:val="21"/>
          <w:szCs w:val="21"/>
          <w:color w:val="auto"/>
        </w:rPr>
        <w:t>Name: Kevin S. Cavanah</w:t>
      </w:r>
    </w:p>
    <w:p>
      <w:pPr>
        <w:spacing w:after="0" w:line="8" w:lineRule="exact"/>
        <w:rPr>
          <w:sz w:val="20"/>
          <w:szCs w:val="20"/>
          <w:color w:val="auto"/>
        </w:rPr>
      </w:pPr>
    </w:p>
    <w:p>
      <w:pPr>
        <w:ind w:left="2660"/>
        <w:spacing w:after="0"/>
        <w:rPr>
          <w:sz w:val="20"/>
          <w:szCs w:val="20"/>
          <w:color w:val="auto"/>
        </w:rPr>
      </w:pPr>
      <w:r>
        <w:rPr>
          <w:rFonts w:ascii="Arial" w:cs="Arial" w:eastAsia="Arial" w:hAnsi="Arial"/>
          <w:sz w:val="21"/>
          <w:szCs w:val="21"/>
          <w:color w:val="auto"/>
        </w:rPr>
        <w:t>Title: Vice President &amp; Chief Financial Officer</w:t>
      </w:r>
    </w:p>
    <w:p>
      <w:pPr>
        <w:spacing w:after="0" w:line="200" w:lineRule="exact"/>
        <w:rPr>
          <w:sz w:val="20"/>
          <w:szCs w:val="20"/>
          <w:color w:val="auto"/>
        </w:rPr>
      </w:pPr>
    </w:p>
    <w:p>
      <w:pPr>
        <w:spacing w:after="0" w:line="256" w:lineRule="exact"/>
        <w:rPr>
          <w:sz w:val="20"/>
          <w:szCs w:val="20"/>
          <w:color w:val="auto"/>
        </w:rPr>
      </w:pPr>
    </w:p>
    <w:p>
      <w:pPr>
        <w:ind w:left="2660"/>
        <w:spacing w:after="0"/>
        <w:rPr>
          <w:sz w:val="20"/>
          <w:szCs w:val="20"/>
          <w:color w:val="auto"/>
        </w:rPr>
      </w:pPr>
      <w:r>
        <w:rPr>
          <w:rFonts w:ascii="Arial" w:cs="Arial" w:eastAsia="Arial" w:hAnsi="Arial"/>
          <w:sz w:val="21"/>
          <w:szCs w:val="21"/>
          <w:b w:val="1"/>
          <w:bCs w:val="1"/>
          <w:color w:val="auto"/>
        </w:rPr>
        <w:t>MATRIX SME CANADA ULC</w:t>
      </w:r>
      <w:r>
        <w:rPr>
          <w:rFonts w:ascii="Arial" w:cs="Arial" w:eastAsia="Arial" w:hAnsi="Arial"/>
          <w:sz w:val="21"/>
          <w:szCs w:val="21"/>
          <w:color w:val="auto"/>
        </w:rPr>
        <w:t>,</w:t>
      </w:r>
    </w:p>
    <w:p>
      <w:pPr>
        <w:spacing w:after="0" w:line="31" w:lineRule="exact"/>
        <w:rPr>
          <w:sz w:val="20"/>
          <w:szCs w:val="20"/>
          <w:color w:val="auto"/>
        </w:rPr>
      </w:pPr>
    </w:p>
    <w:p>
      <w:pPr>
        <w:ind w:left="2660"/>
        <w:spacing w:after="0"/>
        <w:rPr>
          <w:sz w:val="20"/>
          <w:szCs w:val="20"/>
          <w:color w:val="auto"/>
        </w:rPr>
      </w:pPr>
      <w:r>
        <w:rPr>
          <w:rFonts w:ascii="Arial" w:cs="Arial" w:eastAsia="Arial" w:hAnsi="Arial"/>
          <w:sz w:val="21"/>
          <w:szCs w:val="21"/>
          <w:color w:val="auto"/>
        </w:rPr>
        <w:t>a Nova Scotia unlimited company</w:t>
      </w:r>
    </w:p>
    <w:p>
      <w:pPr>
        <w:spacing w:after="0" w:line="8" w:lineRule="exact"/>
        <w:rPr>
          <w:sz w:val="20"/>
          <w:szCs w:val="20"/>
          <w:color w:val="auto"/>
        </w:rPr>
      </w:pPr>
    </w:p>
    <w:p>
      <w:pPr>
        <w:ind w:left="2660"/>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21"/>
          <w:szCs w:val="21"/>
          <w:u w:val="single" w:color="auto"/>
          <w:color w:val="auto"/>
        </w:rPr>
        <w:t>/s/ Kevin S. Cavanah</w:t>
      </w:r>
    </w:p>
    <w:p>
      <w:pPr>
        <w:spacing w:after="0" w:line="8" w:lineRule="exact"/>
        <w:rPr>
          <w:sz w:val="20"/>
          <w:szCs w:val="20"/>
          <w:color w:val="auto"/>
        </w:rPr>
      </w:pPr>
    </w:p>
    <w:p>
      <w:pPr>
        <w:ind w:left="2660"/>
        <w:spacing w:after="0"/>
        <w:rPr>
          <w:sz w:val="20"/>
          <w:szCs w:val="20"/>
          <w:color w:val="auto"/>
        </w:rPr>
      </w:pPr>
      <w:r>
        <w:rPr>
          <w:rFonts w:ascii="Arial" w:cs="Arial" w:eastAsia="Arial" w:hAnsi="Arial"/>
          <w:sz w:val="21"/>
          <w:szCs w:val="21"/>
          <w:color w:val="auto"/>
        </w:rPr>
        <w:t>Name: Kevin S. Cavanah</w:t>
      </w:r>
    </w:p>
    <w:p>
      <w:pPr>
        <w:spacing w:after="0" w:line="8" w:lineRule="exact"/>
        <w:rPr>
          <w:sz w:val="20"/>
          <w:szCs w:val="20"/>
          <w:color w:val="auto"/>
        </w:rPr>
      </w:pPr>
    </w:p>
    <w:p>
      <w:pPr>
        <w:ind w:left="2660"/>
        <w:spacing w:after="0"/>
        <w:rPr>
          <w:sz w:val="20"/>
          <w:szCs w:val="20"/>
          <w:color w:val="auto"/>
        </w:rPr>
      </w:pPr>
      <w:r>
        <w:rPr>
          <w:rFonts w:ascii="Arial" w:cs="Arial" w:eastAsia="Arial" w:hAnsi="Arial"/>
          <w:sz w:val="21"/>
          <w:szCs w:val="21"/>
          <w:color w:val="auto"/>
        </w:rPr>
        <w:t>Title: Vice President &amp; Treasurer</w:t>
      </w:r>
    </w:p>
    <w:p>
      <w:pPr>
        <w:spacing w:after="0" w:line="200" w:lineRule="exact"/>
        <w:rPr>
          <w:sz w:val="20"/>
          <w:szCs w:val="20"/>
          <w:color w:val="auto"/>
        </w:rPr>
      </w:pPr>
    </w:p>
    <w:p>
      <w:pPr>
        <w:spacing w:after="0" w:line="256" w:lineRule="exact"/>
        <w:rPr>
          <w:sz w:val="20"/>
          <w:szCs w:val="20"/>
          <w:color w:val="auto"/>
        </w:rPr>
      </w:pPr>
    </w:p>
    <w:p>
      <w:pPr>
        <w:ind w:left="2660"/>
        <w:spacing w:after="0"/>
        <w:rPr>
          <w:sz w:val="20"/>
          <w:szCs w:val="20"/>
          <w:color w:val="auto"/>
        </w:rPr>
      </w:pPr>
      <w:r>
        <w:rPr>
          <w:rFonts w:ascii="Arial" w:cs="Arial" w:eastAsia="Arial" w:hAnsi="Arial"/>
          <w:sz w:val="21"/>
          <w:szCs w:val="21"/>
          <w:b w:val="1"/>
          <w:bCs w:val="1"/>
          <w:color w:val="auto"/>
        </w:rPr>
        <w:t>MATRIX NORTH AMERICAN CONSTRUCTION LTD.</w:t>
      </w:r>
      <w:r>
        <w:rPr>
          <w:rFonts w:ascii="Arial" w:cs="Arial" w:eastAsia="Arial" w:hAnsi="Arial"/>
          <w:sz w:val="21"/>
          <w:szCs w:val="21"/>
          <w:color w:val="auto"/>
        </w:rPr>
        <w:t>,</w:t>
      </w:r>
    </w:p>
    <w:p>
      <w:pPr>
        <w:spacing w:after="0" w:line="31" w:lineRule="exact"/>
        <w:rPr>
          <w:sz w:val="20"/>
          <w:szCs w:val="20"/>
          <w:color w:val="auto"/>
        </w:rPr>
      </w:pPr>
    </w:p>
    <w:p>
      <w:pPr>
        <w:ind w:left="2660"/>
        <w:spacing w:after="0"/>
        <w:rPr>
          <w:sz w:val="20"/>
          <w:szCs w:val="20"/>
          <w:color w:val="auto"/>
        </w:rPr>
      </w:pPr>
      <w:r>
        <w:rPr>
          <w:rFonts w:ascii="Arial" w:cs="Arial" w:eastAsia="Arial" w:hAnsi="Arial"/>
          <w:sz w:val="21"/>
          <w:szCs w:val="21"/>
          <w:color w:val="auto"/>
        </w:rPr>
        <w:t>an Ontario corporation</w:t>
      </w:r>
    </w:p>
    <w:p>
      <w:pPr>
        <w:spacing w:after="0" w:line="8" w:lineRule="exact"/>
        <w:rPr>
          <w:sz w:val="20"/>
          <w:szCs w:val="20"/>
          <w:color w:val="auto"/>
        </w:rPr>
      </w:pPr>
    </w:p>
    <w:p>
      <w:pPr>
        <w:ind w:left="2660"/>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21"/>
          <w:szCs w:val="21"/>
          <w:u w:val="single" w:color="auto"/>
          <w:color w:val="auto"/>
        </w:rPr>
        <w:t>/s/ Kevin S. Cavanah</w:t>
      </w:r>
    </w:p>
    <w:p>
      <w:pPr>
        <w:spacing w:after="0" w:line="8" w:lineRule="exact"/>
        <w:rPr>
          <w:sz w:val="20"/>
          <w:szCs w:val="20"/>
          <w:color w:val="auto"/>
        </w:rPr>
      </w:pPr>
    </w:p>
    <w:p>
      <w:pPr>
        <w:ind w:left="2660"/>
        <w:spacing w:after="0"/>
        <w:rPr>
          <w:sz w:val="20"/>
          <w:szCs w:val="20"/>
          <w:color w:val="auto"/>
        </w:rPr>
      </w:pPr>
      <w:r>
        <w:rPr>
          <w:rFonts w:ascii="Arial" w:cs="Arial" w:eastAsia="Arial" w:hAnsi="Arial"/>
          <w:sz w:val="21"/>
          <w:szCs w:val="21"/>
          <w:color w:val="auto"/>
        </w:rPr>
        <w:t>Name: Kevin S. Cavanah</w:t>
      </w:r>
    </w:p>
    <w:p>
      <w:pPr>
        <w:spacing w:after="0" w:line="8" w:lineRule="exact"/>
        <w:rPr>
          <w:sz w:val="20"/>
          <w:szCs w:val="20"/>
          <w:color w:val="auto"/>
        </w:rPr>
      </w:pPr>
    </w:p>
    <w:p>
      <w:pPr>
        <w:ind w:left="2660"/>
        <w:spacing w:after="0"/>
        <w:rPr>
          <w:sz w:val="20"/>
          <w:szCs w:val="20"/>
          <w:color w:val="auto"/>
        </w:rPr>
      </w:pPr>
      <w:r>
        <w:rPr>
          <w:rFonts w:ascii="Arial" w:cs="Arial" w:eastAsia="Arial" w:hAnsi="Arial"/>
          <w:sz w:val="21"/>
          <w:szCs w:val="21"/>
          <w:color w:val="auto"/>
        </w:rPr>
        <w:t>Title: Vice President &amp;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[Signature Page to Credit Agreement]</w:t>
      </w:r>
    </w:p>
    <w:p>
      <w:pPr>
        <w:sectPr>
          <w:pgSz w:w="11900" w:h="16838" w:orient="portrait"/>
          <w:cols w:equalWidth="0" w:num="1">
            <w:col w:w="9019"/>
          </w:cols>
          <w:pgMar w:left="1440" w:top="1440" w:right="1440" w:bottom="1440" w:gutter="0" w:footer="0" w:header="0"/>
        </w:sectPr>
      </w:pPr>
    </w:p>
    <w:bookmarkStart w:id="306" w:name="page307"/>
    <w:bookmarkEnd w:id="306"/>
    <w:p>
      <w:pPr>
        <w:spacing w:after="0" w:line="172" w:lineRule="exact"/>
        <w:rPr>
          <w:sz w:val="20"/>
          <w:szCs w:val="20"/>
          <w:color w:val="auto"/>
        </w:rPr>
      </w:pPr>
    </w:p>
    <w:p>
      <w:pPr>
        <w:ind w:left="2660"/>
        <w:spacing w:after="0"/>
        <w:rPr>
          <w:sz w:val="20"/>
          <w:szCs w:val="20"/>
          <w:color w:val="auto"/>
        </w:rPr>
      </w:pPr>
      <w:r>
        <w:rPr>
          <w:rFonts w:ascii="Arial" w:cs="Arial" w:eastAsia="Arial" w:hAnsi="Arial"/>
          <w:sz w:val="19"/>
          <w:szCs w:val="19"/>
          <w:b w:val="1"/>
          <w:bCs w:val="1"/>
          <w:u w:val="single" w:color="auto"/>
          <w:color w:val="auto"/>
        </w:rPr>
        <w:t>GUARANTORS</w:t>
      </w:r>
      <w:r>
        <w:rPr>
          <w:rFonts w:ascii="Arial" w:cs="Arial" w:eastAsia="Arial" w:hAnsi="Arial"/>
          <w:sz w:val="19"/>
          <w:szCs w:val="19"/>
          <w:b w:val="1"/>
          <w:bCs w:val="1"/>
          <w:color w:val="auto"/>
        </w:rPr>
        <w:t>:</w:t>
      </w:r>
    </w:p>
    <w:p>
      <w:pPr>
        <w:spacing w:after="0" w:line="200" w:lineRule="exact"/>
        <w:rPr>
          <w:sz w:val="20"/>
          <w:szCs w:val="20"/>
          <w:color w:val="auto"/>
        </w:rPr>
      </w:pPr>
    </w:p>
    <w:p>
      <w:pPr>
        <w:spacing w:after="0" w:line="285" w:lineRule="exact"/>
        <w:rPr>
          <w:sz w:val="20"/>
          <w:szCs w:val="20"/>
          <w:color w:val="auto"/>
        </w:rPr>
      </w:pPr>
    </w:p>
    <w:p>
      <w:pPr>
        <w:ind w:left="2660"/>
        <w:spacing w:after="0"/>
        <w:rPr>
          <w:sz w:val="20"/>
          <w:szCs w:val="20"/>
          <w:color w:val="auto"/>
        </w:rPr>
      </w:pPr>
      <w:r>
        <w:rPr>
          <w:rFonts w:ascii="Arial" w:cs="Arial" w:eastAsia="Arial" w:hAnsi="Arial"/>
          <w:sz w:val="20"/>
          <w:szCs w:val="20"/>
          <w:b w:val="1"/>
          <w:bCs w:val="1"/>
          <w:color w:val="auto"/>
        </w:rPr>
        <w:t>MATRIX SERVICE INTERNATIONAL, LLC</w:t>
      </w:r>
      <w:r>
        <w:rPr>
          <w:rFonts w:ascii="Arial" w:cs="Arial" w:eastAsia="Arial" w:hAnsi="Arial"/>
          <w:sz w:val="20"/>
          <w:szCs w:val="20"/>
          <w:color w:val="auto"/>
        </w:rPr>
        <w:t>, a Delaware limited liability company</w:t>
      </w:r>
    </w:p>
    <w:p>
      <w:pPr>
        <w:spacing w:after="0" w:line="261" w:lineRule="exact"/>
        <w:rPr>
          <w:sz w:val="20"/>
          <w:szCs w:val="20"/>
          <w:color w:val="auto"/>
        </w:rPr>
      </w:pPr>
    </w:p>
    <w:p>
      <w:pPr>
        <w:ind w:left="2660"/>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21"/>
          <w:szCs w:val="21"/>
          <w:u w:val="single" w:color="auto"/>
          <w:color w:val="auto"/>
        </w:rPr>
        <w:t>/s/ Kevin S. Cavanah</w:t>
      </w:r>
    </w:p>
    <w:p>
      <w:pPr>
        <w:spacing w:after="0" w:line="25" w:lineRule="exact"/>
        <w:rPr>
          <w:sz w:val="20"/>
          <w:szCs w:val="20"/>
          <w:color w:val="auto"/>
        </w:rPr>
      </w:pPr>
    </w:p>
    <w:p>
      <w:pPr>
        <w:ind w:left="2660"/>
        <w:spacing w:after="0"/>
        <w:rPr>
          <w:sz w:val="20"/>
          <w:szCs w:val="20"/>
          <w:color w:val="auto"/>
        </w:rPr>
      </w:pPr>
      <w:r>
        <w:rPr>
          <w:rFonts w:ascii="Arial" w:cs="Arial" w:eastAsia="Arial" w:hAnsi="Arial"/>
          <w:sz w:val="21"/>
          <w:szCs w:val="21"/>
          <w:color w:val="auto"/>
        </w:rPr>
        <w:t>Name: Kevin S. Cavanah</w:t>
      </w:r>
    </w:p>
    <w:p>
      <w:pPr>
        <w:spacing w:after="0" w:line="8" w:lineRule="exact"/>
        <w:rPr>
          <w:sz w:val="20"/>
          <w:szCs w:val="20"/>
          <w:color w:val="auto"/>
        </w:rPr>
      </w:pPr>
    </w:p>
    <w:p>
      <w:pPr>
        <w:ind w:left="2660"/>
        <w:spacing w:after="0"/>
        <w:rPr>
          <w:sz w:val="20"/>
          <w:szCs w:val="20"/>
          <w:color w:val="auto"/>
        </w:rPr>
      </w:pPr>
      <w:r>
        <w:rPr>
          <w:rFonts w:ascii="Arial" w:cs="Arial" w:eastAsia="Arial" w:hAnsi="Arial"/>
          <w:sz w:val="21"/>
          <w:szCs w:val="21"/>
          <w:color w:val="auto"/>
        </w:rPr>
        <w:t>Title: Vice President &amp; Secretary</w:t>
      </w:r>
    </w:p>
    <w:p>
      <w:pPr>
        <w:spacing w:after="0" w:line="200" w:lineRule="exact"/>
        <w:rPr>
          <w:sz w:val="20"/>
          <w:szCs w:val="20"/>
          <w:color w:val="auto"/>
        </w:rPr>
      </w:pPr>
    </w:p>
    <w:p>
      <w:pPr>
        <w:spacing w:after="0" w:line="247" w:lineRule="exact"/>
        <w:rPr>
          <w:sz w:val="20"/>
          <w:szCs w:val="20"/>
          <w:color w:val="auto"/>
        </w:rPr>
      </w:pPr>
    </w:p>
    <w:p>
      <w:pPr>
        <w:ind w:left="2660"/>
        <w:spacing w:after="0"/>
        <w:rPr>
          <w:sz w:val="20"/>
          <w:szCs w:val="20"/>
          <w:color w:val="auto"/>
        </w:rPr>
      </w:pPr>
      <w:r>
        <w:rPr>
          <w:rFonts w:ascii="Arial" w:cs="Arial" w:eastAsia="Arial" w:hAnsi="Arial"/>
          <w:sz w:val="19"/>
          <w:szCs w:val="19"/>
          <w:b w:val="1"/>
          <w:bCs w:val="1"/>
          <w:color w:val="auto"/>
        </w:rPr>
        <w:t>MATRIX INTERNATIONAL ENGINEERING, LLP</w:t>
      </w:r>
      <w:r>
        <w:rPr>
          <w:rFonts w:ascii="Arial" w:cs="Arial" w:eastAsia="Arial" w:hAnsi="Arial"/>
          <w:sz w:val="19"/>
          <w:szCs w:val="19"/>
          <w:color w:val="auto"/>
        </w:rPr>
        <w:t>,</w:t>
      </w:r>
    </w:p>
    <w:p>
      <w:pPr>
        <w:spacing w:after="0" w:line="26" w:lineRule="exact"/>
        <w:rPr>
          <w:sz w:val="20"/>
          <w:szCs w:val="20"/>
          <w:color w:val="auto"/>
        </w:rPr>
      </w:pPr>
    </w:p>
    <w:p>
      <w:pPr>
        <w:ind w:left="2660"/>
        <w:spacing w:after="0"/>
        <w:rPr>
          <w:sz w:val="20"/>
          <w:szCs w:val="20"/>
          <w:color w:val="auto"/>
        </w:rPr>
      </w:pPr>
      <w:r>
        <w:rPr>
          <w:rFonts w:ascii="Arial" w:cs="Arial" w:eastAsia="Arial" w:hAnsi="Arial"/>
          <w:sz w:val="19"/>
          <w:szCs w:val="19"/>
          <w:color w:val="auto"/>
        </w:rPr>
        <w:t>a Delaware limited liability partnership</w:t>
      </w:r>
    </w:p>
    <w:p>
      <w:pPr>
        <w:spacing w:after="0" w:line="233" w:lineRule="exact"/>
        <w:rPr>
          <w:sz w:val="20"/>
          <w:szCs w:val="20"/>
          <w:color w:val="auto"/>
        </w:rPr>
      </w:pPr>
    </w:p>
    <w:p>
      <w:pPr>
        <w:ind w:left="2660"/>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21"/>
          <w:szCs w:val="21"/>
          <w:u w:val="single" w:color="auto"/>
          <w:color w:val="auto"/>
        </w:rPr>
        <w:t>/s/ Kevin S. Cavanah</w:t>
      </w:r>
    </w:p>
    <w:p>
      <w:pPr>
        <w:spacing w:after="0" w:line="25" w:lineRule="exact"/>
        <w:rPr>
          <w:sz w:val="20"/>
          <w:szCs w:val="20"/>
          <w:color w:val="auto"/>
        </w:rPr>
      </w:pPr>
    </w:p>
    <w:p>
      <w:pPr>
        <w:ind w:left="2660"/>
        <w:spacing w:after="0"/>
        <w:rPr>
          <w:sz w:val="20"/>
          <w:szCs w:val="20"/>
          <w:color w:val="auto"/>
        </w:rPr>
      </w:pPr>
      <w:r>
        <w:rPr>
          <w:rFonts w:ascii="Arial" w:cs="Arial" w:eastAsia="Arial" w:hAnsi="Arial"/>
          <w:sz w:val="21"/>
          <w:szCs w:val="21"/>
          <w:color w:val="auto"/>
        </w:rPr>
        <w:t>Name: Kevin S. Cavanah</w:t>
      </w:r>
    </w:p>
    <w:p>
      <w:pPr>
        <w:spacing w:after="0" w:line="8" w:lineRule="exact"/>
        <w:rPr>
          <w:sz w:val="20"/>
          <w:szCs w:val="20"/>
          <w:color w:val="auto"/>
        </w:rPr>
      </w:pPr>
    </w:p>
    <w:p>
      <w:pPr>
        <w:ind w:left="2660"/>
        <w:spacing w:after="0"/>
        <w:rPr>
          <w:sz w:val="20"/>
          <w:szCs w:val="20"/>
          <w:color w:val="auto"/>
        </w:rPr>
      </w:pPr>
      <w:r>
        <w:rPr>
          <w:rFonts w:ascii="Arial" w:cs="Arial" w:eastAsia="Arial" w:hAnsi="Arial"/>
          <w:sz w:val="21"/>
          <w:szCs w:val="21"/>
          <w:color w:val="auto"/>
        </w:rPr>
        <w:t>Title: Vice President &amp; Secretary</w:t>
      </w:r>
    </w:p>
    <w:p>
      <w:pPr>
        <w:spacing w:after="0" w:line="200" w:lineRule="exact"/>
        <w:rPr>
          <w:sz w:val="20"/>
          <w:szCs w:val="20"/>
          <w:color w:val="auto"/>
        </w:rPr>
      </w:pPr>
    </w:p>
    <w:p>
      <w:pPr>
        <w:spacing w:after="0" w:line="256" w:lineRule="exact"/>
        <w:rPr>
          <w:sz w:val="20"/>
          <w:szCs w:val="20"/>
          <w:color w:val="auto"/>
        </w:rPr>
      </w:pPr>
    </w:p>
    <w:p>
      <w:pPr>
        <w:ind w:left="2660"/>
        <w:spacing w:after="0"/>
        <w:rPr>
          <w:sz w:val="20"/>
          <w:szCs w:val="20"/>
          <w:color w:val="auto"/>
        </w:rPr>
      </w:pPr>
      <w:r>
        <w:rPr>
          <w:rFonts w:ascii="Arial" w:cs="Arial" w:eastAsia="Arial" w:hAnsi="Arial"/>
          <w:sz w:val="21"/>
          <w:szCs w:val="21"/>
          <w:b w:val="1"/>
          <w:bCs w:val="1"/>
          <w:color w:val="auto"/>
        </w:rPr>
        <w:t>MATRIX APPLIED TECHNOLOGIES, INC.</w:t>
      </w:r>
      <w:r>
        <w:rPr>
          <w:rFonts w:ascii="Arial" w:cs="Arial" w:eastAsia="Arial" w:hAnsi="Arial"/>
          <w:sz w:val="21"/>
          <w:szCs w:val="21"/>
          <w:color w:val="auto"/>
        </w:rPr>
        <w:t>,</w:t>
      </w:r>
    </w:p>
    <w:p>
      <w:pPr>
        <w:spacing w:after="0" w:line="31" w:lineRule="exact"/>
        <w:rPr>
          <w:sz w:val="20"/>
          <w:szCs w:val="20"/>
          <w:color w:val="auto"/>
        </w:rPr>
      </w:pPr>
    </w:p>
    <w:p>
      <w:pPr>
        <w:ind w:left="2660"/>
        <w:spacing w:after="0"/>
        <w:rPr>
          <w:sz w:val="20"/>
          <w:szCs w:val="20"/>
          <w:color w:val="auto"/>
        </w:rPr>
      </w:pPr>
      <w:r>
        <w:rPr>
          <w:rFonts w:ascii="Arial" w:cs="Arial" w:eastAsia="Arial" w:hAnsi="Arial"/>
          <w:sz w:val="21"/>
          <w:szCs w:val="21"/>
          <w:color w:val="auto"/>
        </w:rPr>
        <w:t>a Delaware corporation</w:t>
      </w:r>
    </w:p>
    <w:p>
      <w:pPr>
        <w:spacing w:after="0" w:line="226" w:lineRule="exact"/>
        <w:rPr>
          <w:sz w:val="20"/>
          <w:szCs w:val="20"/>
          <w:color w:val="auto"/>
        </w:rPr>
      </w:pPr>
    </w:p>
    <w:p>
      <w:pPr>
        <w:ind w:left="2660"/>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21"/>
          <w:szCs w:val="21"/>
          <w:u w:val="single" w:color="auto"/>
          <w:color w:val="auto"/>
        </w:rPr>
        <w:t>/s/ Kevin S. Cavanah</w:t>
      </w:r>
    </w:p>
    <w:p>
      <w:pPr>
        <w:spacing w:after="0" w:line="25" w:lineRule="exact"/>
        <w:rPr>
          <w:sz w:val="20"/>
          <w:szCs w:val="20"/>
          <w:color w:val="auto"/>
        </w:rPr>
      </w:pPr>
    </w:p>
    <w:p>
      <w:pPr>
        <w:ind w:left="2660"/>
        <w:spacing w:after="0"/>
        <w:rPr>
          <w:sz w:val="20"/>
          <w:szCs w:val="20"/>
          <w:color w:val="auto"/>
        </w:rPr>
      </w:pPr>
      <w:r>
        <w:rPr>
          <w:rFonts w:ascii="Arial" w:cs="Arial" w:eastAsia="Arial" w:hAnsi="Arial"/>
          <w:sz w:val="21"/>
          <w:szCs w:val="21"/>
          <w:color w:val="auto"/>
        </w:rPr>
        <w:t>Name: Kevin S. Cavanah</w:t>
      </w:r>
    </w:p>
    <w:p>
      <w:pPr>
        <w:spacing w:after="0" w:line="8" w:lineRule="exact"/>
        <w:rPr>
          <w:sz w:val="20"/>
          <w:szCs w:val="20"/>
          <w:color w:val="auto"/>
        </w:rPr>
      </w:pPr>
    </w:p>
    <w:p>
      <w:pPr>
        <w:ind w:left="2660"/>
        <w:spacing w:after="0"/>
        <w:rPr>
          <w:sz w:val="20"/>
          <w:szCs w:val="20"/>
          <w:color w:val="auto"/>
        </w:rPr>
      </w:pPr>
      <w:r>
        <w:rPr>
          <w:rFonts w:ascii="Arial" w:cs="Arial" w:eastAsia="Arial" w:hAnsi="Arial"/>
          <w:sz w:val="21"/>
          <w:szCs w:val="21"/>
          <w:color w:val="auto"/>
        </w:rPr>
        <w:t>Title: Treasurer</w:t>
      </w:r>
    </w:p>
    <w:p>
      <w:pPr>
        <w:spacing w:after="0" w:line="211" w:lineRule="exact"/>
        <w:rPr>
          <w:sz w:val="20"/>
          <w:szCs w:val="20"/>
          <w:color w:val="auto"/>
        </w:rPr>
      </w:pPr>
    </w:p>
    <w:p>
      <w:pPr>
        <w:ind w:left="2660"/>
        <w:spacing w:after="0"/>
        <w:rPr>
          <w:sz w:val="20"/>
          <w:szCs w:val="20"/>
          <w:color w:val="auto"/>
        </w:rPr>
      </w:pPr>
      <w:r>
        <w:rPr>
          <w:rFonts w:ascii="Arial" w:cs="Arial" w:eastAsia="Arial" w:hAnsi="Arial"/>
          <w:sz w:val="19"/>
          <w:szCs w:val="19"/>
          <w:b w:val="1"/>
          <w:bCs w:val="1"/>
          <w:color w:val="auto"/>
        </w:rPr>
        <w:t>MSI FEDERAL CONTRACTING, LLC</w:t>
      </w:r>
      <w:r>
        <w:rPr>
          <w:rFonts w:ascii="Arial" w:cs="Arial" w:eastAsia="Arial" w:hAnsi="Arial"/>
          <w:sz w:val="19"/>
          <w:szCs w:val="19"/>
          <w:color w:val="auto"/>
        </w:rPr>
        <w:t>,</w:t>
      </w:r>
    </w:p>
    <w:p>
      <w:pPr>
        <w:spacing w:after="0" w:line="26" w:lineRule="exact"/>
        <w:rPr>
          <w:sz w:val="20"/>
          <w:szCs w:val="20"/>
          <w:color w:val="auto"/>
        </w:rPr>
      </w:pPr>
    </w:p>
    <w:p>
      <w:pPr>
        <w:ind w:left="2660"/>
        <w:spacing w:after="0"/>
        <w:rPr>
          <w:sz w:val="20"/>
          <w:szCs w:val="20"/>
          <w:color w:val="auto"/>
        </w:rPr>
      </w:pPr>
      <w:r>
        <w:rPr>
          <w:rFonts w:ascii="Arial" w:cs="Arial" w:eastAsia="Arial" w:hAnsi="Arial"/>
          <w:sz w:val="19"/>
          <w:szCs w:val="19"/>
          <w:color w:val="auto"/>
        </w:rPr>
        <w:t>a Delaware limited liability company</w:t>
      </w:r>
    </w:p>
    <w:p>
      <w:pPr>
        <w:spacing w:after="0" w:line="246" w:lineRule="exact"/>
        <w:rPr>
          <w:sz w:val="20"/>
          <w:szCs w:val="20"/>
          <w:color w:val="auto"/>
        </w:rPr>
      </w:pPr>
    </w:p>
    <w:p>
      <w:pPr>
        <w:ind w:left="2660"/>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21"/>
          <w:szCs w:val="21"/>
          <w:u w:val="single" w:color="auto"/>
          <w:color w:val="auto"/>
        </w:rPr>
        <w:t>/s/ Kevin S. Cavanah</w:t>
      </w:r>
    </w:p>
    <w:p>
      <w:pPr>
        <w:spacing w:after="0" w:line="25" w:lineRule="exact"/>
        <w:rPr>
          <w:sz w:val="20"/>
          <w:szCs w:val="20"/>
          <w:color w:val="auto"/>
        </w:rPr>
      </w:pPr>
    </w:p>
    <w:p>
      <w:pPr>
        <w:ind w:left="2660"/>
        <w:spacing w:after="0"/>
        <w:rPr>
          <w:sz w:val="20"/>
          <w:szCs w:val="20"/>
          <w:color w:val="auto"/>
        </w:rPr>
      </w:pPr>
      <w:r>
        <w:rPr>
          <w:rFonts w:ascii="Arial" w:cs="Arial" w:eastAsia="Arial" w:hAnsi="Arial"/>
          <w:sz w:val="21"/>
          <w:szCs w:val="21"/>
          <w:color w:val="auto"/>
        </w:rPr>
        <w:t>Name: Kevin S. Cavanah</w:t>
      </w:r>
    </w:p>
    <w:p>
      <w:pPr>
        <w:spacing w:after="0" w:line="21" w:lineRule="exact"/>
        <w:rPr>
          <w:sz w:val="20"/>
          <w:szCs w:val="20"/>
          <w:color w:val="auto"/>
        </w:rPr>
      </w:pPr>
    </w:p>
    <w:p>
      <w:pPr>
        <w:ind w:left="2660"/>
        <w:spacing w:after="0"/>
        <w:rPr>
          <w:sz w:val="20"/>
          <w:szCs w:val="20"/>
          <w:color w:val="auto"/>
        </w:rPr>
      </w:pPr>
      <w:r>
        <w:rPr>
          <w:rFonts w:ascii="Arial" w:cs="Arial" w:eastAsia="Arial" w:hAnsi="Arial"/>
          <w:sz w:val="21"/>
          <w:szCs w:val="21"/>
          <w:color w:val="auto"/>
        </w:rPr>
        <w:t>Title: Secretary</w:t>
      </w:r>
    </w:p>
    <w:p>
      <w:pPr>
        <w:spacing w:after="0" w:line="211" w:lineRule="exact"/>
        <w:rPr>
          <w:sz w:val="20"/>
          <w:szCs w:val="20"/>
          <w:color w:val="auto"/>
        </w:rPr>
      </w:pPr>
    </w:p>
    <w:p>
      <w:pPr>
        <w:ind w:left="2660"/>
        <w:spacing w:after="0"/>
        <w:rPr>
          <w:sz w:val="20"/>
          <w:szCs w:val="20"/>
          <w:color w:val="auto"/>
        </w:rPr>
      </w:pPr>
      <w:r>
        <w:rPr>
          <w:rFonts w:ascii="Arial" w:cs="Arial" w:eastAsia="Arial" w:hAnsi="Arial"/>
          <w:sz w:val="19"/>
          <w:szCs w:val="19"/>
          <w:b w:val="1"/>
          <w:bCs w:val="1"/>
          <w:color w:val="auto"/>
        </w:rPr>
        <w:t>MATRIX PDM, LLC</w:t>
      </w:r>
      <w:r>
        <w:rPr>
          <w:rFonts w:ascii="Arial" w:cs="Arial" w:eastAsia="Arial" w:hAnsi="Arial"/>
          <w:sz w:val="19"/>
          <w:szCs w:val="19"/>
          <w:color w:val="auto"/>
        </w:rPr>
        <w:t>,</w:t>
      </w:r>
    </w:p>
    <w:p>
      <w:pPr>
        <w:spacing w:after="0" w:line="26" w:lineRule="exact"/>
        <w:rPr>
          <w:sz w:val="20"/>
          <w:szCs w:val="20"/>
          <w:color w:val="auto"/>
        </w:rPr>
      </w:pPr>
    </w:p>
    <w:p>
      <w:pPr>
        <w:ind w:left="2660"/>
        <w:spacing w:after="0"/>
        <w:rPr>
          <w:sz w:val="20"/>
          <w:szCs w:val="20"/>
          <w:color w:val="auto"/>
        </w:rPr>
      </w:pPr>
      <w:r>
        <w:rPr>
          <w:rFonts w:ascii="Arial" w:cs="Arial" w:eastAsia="Arial" w:hAnsi="Arial"/>
          <w:sz w:val="19"/>
          <w:szCs w:val="19"/>
          <w:color w:val="auto"/>
        </w:rPr>
        <w:t>an Oklahoma limited liability company</w:t>
      </w:r>
    </w:p>
    <w:p>
      <w:pPr>
        <w:spacing w:after="0" w:line="246" w:lineRule="exact"/>
        <w:rPr>
          <w:sz w:val="20"/>
          <w:szCs w:val="20"/>
          <w:color w:val="auto"/>
        </w:rPr>
      </w:pPr>
    </w:p>
    <w:p>
      <w:pPr>
        <w:ind w:left="2660"/>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21"/>
          <w:szCs w:val="21"/>
          <w:u w:val="single" w:color="auto"/>
          <w:color w:val="auto"/>
        </w:rPr>
        <w:t>/s/ Kevin S. Cavanah</w:t>
      </w:r>
    </w:p>
    <w:p>
      <w:pPr>
        <w:spacing w:after="0" w:line="25" w:lineRule="exact"/>
        <w:rPr>
          <w:sz w:val="20"/>
          <w:szCs w:val="20"/>
          <w:color w:val="auto"/>
        </w:rPr>
      </w:pPr>
    </w:p>
    <w:p>
      <w:pPr>
        <w:ind w:left="2660"/>
        <w:spacing w:after="0"/>
        <w:rPr>
          <w:sz w:val="20"/>
          <w:szCs w:val="20"/>
          <w:color w:val="auto"/>
        </w:rPr>
      </w:pPr>
      <w:r>
        <w:rPr>
          <w:rFonts w:ascii="Arial" w:cs="Arial" w:eastAsia="Arial" w:hAnsi="Arial"/>
          <w:sz w:val="21"/>
          <w:szCs w:val="21"/>
          <w:color w:val="auto"/>
        </w:rPr>
        <w:t>Name: Kevin S. Cavanah</w:t>
      </w:r>
    </w:p>
    <w:p>
      <w:pPr>
        <w:spacing w:after="0" w:line="21" w:lineRule="exact"/>
        <w:rPr>
          <w:sz w:val="20"/>
          <w:szCs w:val="20"/>
          <w:color w:val="auto"/>
        </w:rPr>
      </w:pPr>
    </w:p>
    <w:p>
      <w:pPr>
        <w:ind w:left="2660"/>
        <w:spacing w:after="0"/>
        <w:rPr>
          <w:sz w:val="20"/>
          <w:szCs w:val="20"/>
          <w:color w:val="auto"/>
        </w:rPr>
      </w:pPr>
      <w:r>
        <w:rPr>
          <w:rFonts w:ascii="Arial" w:cs="Arial" w:eastAsia="Arial" w:hAnsi="Arial"/>
          <w:sz w:val="21"/>
          <w:szCs w:val="21"/>
          <w:color w:val="auto"/>
        </w:rPr>
        <w:t>Title: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440"/>
        <w:spacing w:after="0"/>
        <w:rPr>
          <w:sz w:val="20"/>
          <w:szCs w:val="20"/>
          <w:color w:val="auto"/>
        </w:rPr>
      </w:pPr>
      <w:r>
        <w:rPr>
          <w:rFonts w:ascii="Arial" w:cs="Arial" w:eastAsia="Arial" w:hAnsi="Arial"/>
          <w:sz w:val="14"/>
          <w:szCs w:val="14"/>
          <w:color w:val="auto"/>
        </w:rPr>
        <w:t>[Signature Page to Credit Agreement]</w:t>
      </w:r>
    </w:p>
    <w:p>
      <w:pPr>
        <w:sectPr>
          <w:pgSz w:w="11900" w:h="16838" w:orient="portrait"/>
          <w:cols w:equalWidth="0" w:num="1">
            <w:col w:w="10120"/>
          </w:cols>
          <w:pgMar w:left="1440" w:top="1440" w:right="339" w:bottom="1440" w:gutter="0" w:footer="0" w:header="0"/>
        </w:sectPr>
      </w:pPr>
    </w:p>
    <w:bookmarkStart w:id="307" w:name="page308"/>
    <w:bookmarkEnd w:id="307"/>
    <w:p>
      <w:pPr>
        <w:spacing w:after="0" w:line="172" w:lineRule="exact"/>
        <w:rPr>
          <w:sz w:val="20"/>
          <w:szCs w:val="20"/>
          <w:color w:val="auto"/>
        </w:rPr>
      </w:pPr>
    </w:p>
    <w:p>
      <w:pPr>
        <w:ind w:left="2660"/>
        <w:spacing w:after="0"/>
        <w:rPr>
          <w:sz w:val="20"/>
          <w:szCs w:val="20"/>
          <w:color w:val="auto"/>
        </w:rPr>
      </w:pPr>
      <w:r>
        <w:rPr>
          <w:rFonts w:ascii="Arial" w:cs="Arial" w:eastAsia="Arial" w:hAnsi="Arial"/>
          <w:sz w:val="19"/>
          <w:szCs w:val="19"/>
          <w:b w:val="1"/>
          <w:bCs w:val="1"/>
          <w:color w:val="auto"/>
        </w:rPr>
        <w:t>MATRIX PDM ENGINEERING LTD.</w:t>
      </w:r>
      <w:r>
        <w:rPr>
          <w:rFonts w:ascii="Arial" w:cs="Arial" w:eastAsia="Arial" w:hAnsi="Arial"/>
          <w:sz w:val="19"/>
          <w:szCs w:val="19"/>
          <w:color w:val="auto"/>
        </w:rPr>
        <w:t>,</w:t>
      </w:r>
    </w:p>
    <w:p>
      <w:pPr>
        <w:spacing w:after="0" w:line="26" w:lineRule="exact"/>
        <w:rPr>
          <w:sz w:val="20"/>
          <w:szCs w:val="20"/>
          <w:color w:val="auto"/>
        </w:rPr>
      </w:pPr>
    </w:p>
    <w:p>
      <w:pPr>
        <w:ind w:left="2660"/>
        <w:spacing w:after="0"/>
        <w:rPr>
          <w:sz w:val="20"/>
          <w:szCs w:val="20"/>
          <w:color w:val="auto"/>
        </w:rPr>
      </w:pPr>
      <w:r>
        <w:rPr>
          <w:rFonts w:ascii="Arial" w:cs="Arial" w:eastAsia="Arial" w:hAnsi="Arial"/>
          <w:sz w:val="19"/>
          <w:szCs w:val="19"/>
          <w:color w:val="auto"/>
        </w:rPr>
        <w:t>a Nova Scotia company limited by shares</w:t>
      </w:r>
    </w:p>
    <w:p>
      <w:pPr>
        <w:spacing w:after="0" w:line="246" w:lineRule="exact"/>
        <w:rPr>
          <w:sz w:val="20"/>
          <w:szCs w:val="20"/>
          <w:color w:val="auto"/>
        </w:rPr>
      </w:pPr>
    </w:p>
    <w:p>
      <w:pPr>
        <w:ind w:left="2660"/>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21"/>
          <w:szCs w:val="21"/>
          <w:u w:val="single" w:color="auto"/>
          <w:color w:val="auto"/>
        </w:rPr>
        <w:t>/s/ Kevin S. Cavanah</w:t>
      </w:r>
    </w:p>
    <w:p>
      <w:pPr>
        <w:spacing w:after="0" w:line="25" w:lineRule="exact"/>
        <w:rPr>
          <w:sz w:val="20"/>
          <w:szCs w:val="20"/>
          <w:color w:val="auto"/>
        </w:rPr>
      </w:pPr>
    </w:p>
    <w:p>
      <w:pPr>
        <w:ind w:left="2660"/>
        <w:spacing w:after="0"/>
        <w:rPr>
          <w:sz w:val="20"/>
          <w:szCs w:val="20"/>
          <w:color w:val="auto"/>
        </w:rPr>
      </w:pPr>
      <w:r>
        <w:rPr>
          <w:rFonts w:ascii="Arial" w:cs="Arial" w:eastAsia="Arial" w:hAnsi="Arial"/>
          <w:sz w:val="21"/>
          <w:szCs w:val="21"/>
          <w:color w:val="auto"/>
        </w:rPr>
        <w:t>Name: Kevin S. Cavanah</w:t>
      </w:r>
    </w:p>
    <w:p>
      <w:pPr>
        <w:spacing w:after="0" w:line="21" w:lineRule="exact"/>
        <w:rPr>
          <w:sz w:val="20"/>
          <w:szCs w:val="20"/>
          <w:color w:val="auto"/>
        </w:rPr>
      </w:pPr>
    </w:p>
    <w:p>
      <w:pPr>
        <w:ind w:left="2660"/>
        <w:spacing w:after="0"/>
        <w:rPr>
          <w:sz w:val="20"/>
          <w:szCs w:val="20"/>
          <w:color w:val="auto"/>
        </w:rPr>
      </w:pPr>
      <w:r>
        <w:rPr>
          <w:rFonts w:ascii="Arial" w:cs="Arial" w:eastAsia="Arial" w:hAnsi="Arial"/>
          <w:sz w:val="19"/>
          <w:szCs w:val="19"/>
          <w:color w:val="auto"/>
        </w:rPr>
        <w:t>Title: Vice President, Chief Financial Officer &amp; Secretary</w:t>
      </w:r>
    </w:p>
    <w:p>
      <w:pPr>
        <w:spacing w:after="0" w:line="200" w:lineRule="exact"/>
        <w:rPr>
          <w:sz w:val="20"/>
          <w:szCs w:val="20"/>
          <w:color w:val="auto"/>
        </w:rPr>
      </w:pPr>
    </w:p>
    <w:p>
      <w:pPr>
        <w:spacing w:after="0" w:line="270" w:lineRule="exact"/>
        <w:rPr>
          <w:sz w:val="20"/>
          <w:szCs w:val="20"/>
          <w:color w:val="auto"/>
        </w:rPr>
      </w:pPr>
    </w:p>
    <w:p>
      <w:pPr>
        <w:ind w:left="2660" w:right="1539"/>
        <w:spacing w:after="0" w:line="280" w:lineRule="auto"/>
        <w:rPr>
          <w:sz w:val="20"/>
          <w:szCs w:val="20"/>
          <w:color w:val="auto"/>
        </w:rPr>
      </w:pPr>
      <w:r>
        <w:rPr>
          <w:rFonts w:ascii="Arial" w:cs="Arial" w:eastAsia="Arial" w:hAnsi="Arial"/>
          <w:sz w:val="19"/>
          <w:szCs w:val="19"/>
          <w:b w:val="1"/>
          <w:bCs w:val="1"/>
          <w:color w:val="auto"/>
        </w:rPr>
        <w:t>MATRIX NORTH AMERICAN CONSTRUCTION, LLC</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a Delaware limited liability company</w:t>
      </w:r>
    </w:p>
    <w:p>
      <w:pPr>
        <w:spacing w:after="0" w:line="200" w:lineRule="exact"/>
        <w:rPr>
          <w:sz w:val="20"/>
          <w:szCs w:val="20"/>
          <w:color w:val="auto"/>
        </w:rPr>
      </w:pPr>
    </w:p>
    <w:p>
      <w:pPr>
        <w:spacing w:after="0" w:line="236" w:lineRule="exact"/>
        <w:rPr>
          <w:sz w:val="20"/>
          <w:szCs w:val="20"/>
          <w:color w:val="auto"/>
        </w:rPr>
      </w:pPr>
    </w:p>
    <w:p>
      <w:pPr>
        <w:ind w:left="2660"/>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21"/>
          <w:szCs w:val="21"/>
          <w:u w:val="single" w:color="auto"/>
          <w:color w:val="auto"/>
        </w:rPr>
        <w:t>/s/ Kevin S. Cavanah</w:t>
      </w:r>
    </w:p>
    <w:p>
      <w:pPr>
        <w:spacing w:after="0" w:line="25" w:lineRule="exact"/>
        <w:rPr>
          <w:sz w:val="20"/>
          <w:szCs w:val="20"/>
          <w:color w:val="auto"/>
        </w:rPr>
      </w:pPr>
    </w:p>
    <w:p>
      <w:pPr>
        <w:ind w:left="2660"/>
        <w:spacing w:after="0"/>
        <w:rPr>
          <w:sz w:val="20"/>
          <w:szCs w:val="20"/>
          <w:color w:val="auto"/>
        </w:rPr>
      </w:pPr>
      <w:r>
        <w:rPr>
          <w:rFonts w:ascii="Arial" w:cs="Arial" w:eastAsia="Arial" w:hAnsi="Arial"/>
          <w:sz w:val="21"/>
          <w:szCs w:val="21"/>
          <w:color w:val="auto"/>
        </w:rPr>
        <w:t>Name: Kevin S. Cavanah</w:t>
      </w:r>
    </w:p>
    <w:p>
      <w:pPr>
        <w:spacing w:after="0" w:line="21" w:lineRule="exact"/>
        <w:rPr>
          <w:sz w:val="20"/>
          <w:szCs w:val="20"/>
          <w:color w:val="auto"/>
        </w:rPr>
      </w:pPr>
    </w:p>
    <w:p>
      <w:pPr>
        <w:ind w:left="2660"/>
        <w:spacing w:after="0"/>
        <w:rPr>
          <w:sz w:val="20"/>
          <w:szCs w:val="20"/>
          <w:color w:val="auto"/>
        </w:rPr>
      </w:pPr>
      <w:r>
        <w:rPr>
          <w:rFonts w:ascii="Arial" w:cs="Arial" w:eastAsia="Arial" w:hAnsi="Arial"/>
          <w:sz w:val="21"/>
          <w:szCs w:val="21"/>
          <w:color w:val="auto"/>
        </w:rPr>
        <w:t>Title: Vice President &amp; Treasurer</w:t>
      </w:r>
    </w:p>
    <w:p>
      <w:pPr>
        <w:spacing w:after="0" w:line="211" w:lineRule="exact"/>
        <w:rPr>
          <w:sz w:val="20"/>
          <w:szCs w:val="20"/>
          <w:color w:val="auto"/>
        </w:rPr>
      </w:pPr>
    </w:p>
    <w:p>
      <w:pPr>
        <w:ind w:left="2660"/>
        <w:spacing w:after="0"/>
        <w:rPr>
          <w:sz w:val="20"/>
          <w:szCs w:val="20"/>
          <w:color w:val="auto"/>
        </w:rPr>
      </w:pPr>
      <w:r>
        <w:rPr>
          <w:rFonts w:ascii="Arial" w:cs="Arial" w:eastAsia="Arial" w:hAnsi="Arial"/>
          <w:sz w:val="19"/>
          <w:szCs w:val="19"/>
          <w:b w:val="1"/>
          <w:bCs w:val="1"/>
          <w:color w:val="auto"/>
        </w:rPr>
        <w:t>MATRIX SME CANADA, INC.</w:t>
      </w:r>
    </w:p>
    <w:p>
      <w:pPr>
        <w:spacing w:after="0" w:line="26" w:lineRule="exact"/>
        <w:rPr>
          <w:sz w:val="20"/>
          <w:szCs w:val="20"/>
          <w:color w:val="auto"/>
        </w:rPr>
      </w:pPr>
    </w:p>
    <w:p>
      <w:pPr>
        <w:ind w:left="2660"/>
        <w:spacing w:after="0"/>
        <w:rPr>
          <w:sz w:val="20"/>
          <w:szCs w:val="20"/>
          <w:color w:val="auto"/>
        </w:rPr>
      </w:pPr>
      <w:r>
        <w:rPr>
          <w:rFonts w:ascii="Arial" w:cs="Arial" w:eastAsia="Arial" w:hAnsi="Arial"/>
          <w:sz w:val="19"/>
          <w:szCs w:val="19"/>
          <w:color w:val="auto"/>
        </w:rPr>
        <w:t>a Delaware corporation</w:t>
      </w:r>
    </w:p>
    <w:p>
      <w:pPr>
        <w:spacing w:after="0" w:line="246" w:lineRule="exact"/>
        <w:rPr>
          <w:sz w:val="20"/>
          <w:szCs w:val="20"/>
          <w:color w:val="auto"/>
        </w:rPr>
      </w:pPr>
    </w:p>
    <w:p>
      <w:pPr>
        <w:ind w:left="2660"/>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21"/>
          <w:szCs w:val="21"/>
          <w:u w:val="single" w:color="auto"/>
          <w:color w:val="auto"/>
        </w:rPr>
        <w:t>/s/ Kevin S. Cavanah</w:t>
      </w:r>
    </w:p>
    <w:p>
      <w:pPr>
        <w:spacing w:after="0" w:line="25" w:lineRule="exact"/>
        <w:rPr>
          <w:sz w:val="20"/>
          <w:szCs w:val="20"/>
          <w:color w:val="auto"/>
        </w:rPr>
      </w:pPr>
    </w:p>
    <w:p>
      <w:pPr>
        <w:ind w:left="2660"/>
        <w:spacing w:after="0"/>
        <w:rPr>
          <w:sz w:val="20"/>
          <w:szCs w:val="20"/>
          <w:color w:val="auto"/>
        </w:rPr>
      </w:pPr>
      <w:r>
        <w:rPr>
          <w:rFonts w:ascii="Arial" w:cs="Arial" w:eastAsia="Arial" w:hAnsi="Arial"/>
          <w:sz w:val="21"/>
          <w:szCs w:val="21"/>
          <w:color w:val="auto"/>
        </w:rPr>
        <w:t>Name: Kevin S. Cavanah</w:t>
      </w:r>
    </w:p>
    <w:p>
      <w:pPr>
        <w:spacing w:after="0" w:line="21" w:lineRule="exact"/>
        <w:rPr>
          <w:sz w:val="20"/>
          <w:szCs w:val="20"/>
          <w:color w:val="auto"/>
        </w:rPr>
      </w:pPr>
    </w:p>
    <w:p>
      <w:pPr>
        <w:ind w:left="2660"/>
        <w:spacing w:after="0"/>
        <w:rPr>
          <w:sz w:val="20"/>
          <w:szCs w:val="20"/>
          <w:color w:val="auto"/>
        </w:rPr>
      </w:pPr>
      <w:r>
        <w:rPr>
          <w:rFonts w:ascii="Arial" w:cs="Arial" w:eastAsia="Arial" w:hAnsi="Arial"/>
          <w:sz w:val="21"/>
          <w:szCs w:val="21"/>
          <w:color w:val="auto"/>
        </w:rPr>
        <w:t>Title: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[Signature Page to Credit Agreement]</w:t>
      </w:r>
    </w:p>
    <w:p>
      <w:pPr>
        <w:sectPr>
          <w:pgSz w:w="11900" w:h="16838" w:orient="portrait"/>
          <w:cols w:equalWidth="0" w:num="1">
            <w:col w:w="9019"/>
          </w:cols>
          <w:pgMar w:left="1440" w:top="1440" w:right="1440" w:bottom="1440" w:gutter="0" w:footer="0" w:header="0"/>
        </w:sectPr>
      </w:pPr>
    </w:p>
    <w:bookmarkStart w:id="308" w:name="page309"/>
    <w:bookmarkEnd w:id="308"/>
    <w:p>
      <w:pPr>
        <w:jc w:val="center"/>
        <w:ind w:right="240"/>
        <w:spacing w:after="0"/>
        <w:rPr>
          <w:sz w:val="20"/>
          <w:szCs w:val="20"/>
          <w:color w:val="auto"/>
        </w:rPr>
      </w:pPr>
      <w:r>
        <w:rPr>
          <w:rFonts w:ascii="Arial" w:cs="Arial" w:eastAsia="Arial" w:hAnsi="Arial"/>
          <w:sz w:val="19"/>
          <w:szCs w:val="19"/>
          <w:b w:val="1"/>
          <w:bCs w:val="1"/>
          <w:u w:val="single" w:color="auto"/>
          <w:color w:val="auto"/>
        </w:rPr>
        <w:t>ADMINISTRATIVE AGENT</w:t>
      </w:r>
      <w:r>
        <w:rPr>
          <w:rFonts w:ascii="Arial" w:cs="Arial" w:eastAsia="Arial" w:hAnsi="Arial"/>
          <w:sz w:val="19"/>
          <w:szCs w:val="19"/>
          <w:b w:val="1"/>
          <w:bCs w:val="1"/>
          <w:color w:val="auto"/>
        </w:rPr>
        <w:t>:</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BANK OF MONTREAL</w:t>
      </w:r>
      <w:r>
        <w:rPr>
          <w:rFonts w:ascii="Arial" w:cs="Arial" w:eastAsia="Arial" w:hAnsi="Arial"/>
          <w:sz w:val="18"/>
          <w:szCs w:val="18"/>
          <w:color w:val="auto"/>
        </w:rPr>
        <w:t>, as Administrative Agent</w:t>
      </w:r>
    </w:p>
    <w:p>
      <w:pPr>
        <w:spacing w:after="0" w:line="200" w:lineRule="exact"/>
        <w:rPr>
          <w:sz w:val="20"/>
          <w:szCs w:val="20"/>
          <w:color w:val="auto"/>
        </w:rPr>
      </w:pPr>
    </w:p>
    <w:p>
      <w:pPr>
        <w:spacing w:after="0" w:line="242" w:lineRule="exact"/>
        <w:rPr>
          <w:sz w:val="20"/>
          <w:szCs w:val="20"/>
          <w:color w:val="auto"/>
        </w:rPr>
      </w:pPr>
    </w:p>
    <w:p>
      <w:pPr>
        <w:ind w:left="2660"/>
        <w:spacing w:after="0"/>
        <w:rPr>
          <w:sz w:val="20"/>
          <w:szCs w:val="20"/>
          <w:color w:val="auto"/>
        </w:rPr>
      </w:pPr>
      <w:r>
        <w:rPr>
          <w:rFonts w:ascii="Arial" w:cs="Arial" w:eastAsia="Arial" w:hAnsi="Arial"/>
          <w:sz w:val="19"/>
          <w:szCs w:val="19"/>
          <w:color w:val="auto"/>
        </w:rPr>
        <w:t xml:space="preserve">By: </w:t>
      </w:r>
      <w:r>
        <w:rPr>
          <w:rFonts w:ascii="Arial" w:cs="Arial" w:eastAsia="Arial" w:hAnsi="Arial"/>
          <w:sz w:val="19"/>
          <w:szCs w:val="19"/>
          <w:u w:val="single" w:color="auto"/>
          <w:color w:val="auto"/>
        </w:rPr>
        <w:t>/s/ Daniel Duffy</w:t>
      </w:r>
    </w:p>
    <w:p>
      <w:pPr>
        <w:spacing w:after="0" w:line="20" w:lineRule="exact"/>
        <w:rPr>
          <w:sz w:val="20"/>
          <w:szCs w:val="20"/>
          <w:color w:val="auto"/>
        </w:rPr>
      </w:pPr>
    </w:p>
    <w:p>
      <w:pPr>
        <w:ind w:left="2660"/>
        <w:spacing w:after="0"/>
        <w:rPr>
          <w:sz w:val="20"/>
          <w:szCs w:val="20"/>
          <w:color w:val="auto"/>
        </w:rPr>
      </w:pPr>
      <w:r>
        <w:rPr>
          <w:rFonts w:ascii="Arial" w:cs="Arial" w:eastAsia="Arial" w:hAnsi="Arial"/>
          <w:sz w:val="19"/>
          <w:szCs w:val="19"/>
          <w:color w:val="auto"/>
        </w:rPr>
        <w:t>Name: Daniel Duffy</w:t>
      </w:r>
    </w:p>
    <w:p>
      <w:pPr>
        <w:spacing w:after="0" w:line="4" w:lineRule="exact"/>
        <w:rPr>
          <w:sz w:val="20"/>
          <w:szCs w:val="20"/>
          <w:color w:val="auto"/>
        </w:rPr>
      </w:pPr>
    </w:p>
    <w:p>
      <w:pPr>
        <w:ind w:left="2660"/>
        <w:spacing w:after="0"/>
        <w:rPr>
          <w:sz w:val="20"/>
          <w:szCs w:val="20"/>
          <w:color w:val="auto"/>
        </w:rPr>
      </w:pPr>
      <w:r>
        <w:rPr>
          <w:rFonts w:ascii="Arial" w:cs="Arial" w:eastAsia="Arial" w:hAnsi="Arial"/>
          <w:sz w:val="19"/>
          <w:szCs w:val="19"/>
          <w:color w:val="auto"/>
        </w:rPr>
        <w:t>Title: Director</w:t>
      </w:r>
    </w:p>
    <w:p>
      <w:pPr>
        <w:spacing w:after="0" w:line="200" w:lineRule="exact"/>
        <w:rPr>
          <w:sz w:val="20"/>
          <w:szCs w:val="20"/>
          <w:color w:val="auto"/>
        </w:rPr>
      </w:pPr>
    </w:p>
    <w:p>
      <w:pPr>
        <w:spacing w:after="0" w:line="202" w:lineRule="exact"/>
        <w:rPr>
          <w:sz w:val="20"/>
          <w:szCs w:val="20"/>
          <w:color w:val="auto"/>
        </w:rPr>
      </w:pPr>
    </w:p>
    <w:p>
      <w:pPr>
        <w:ind w:left="2660"/>
        <w:spacing w:after="0"/>
        <w:rPr>
          <w:sz w:val="20"/>
          <w:szCs w:val="20"/>
          <w:color w:val="auto"/>
        </w:rPr>
      </w:pPr>
      <w:r>
        <w:rPr>
          <w:rFonts w:ascii="Arial" w:cs="Arial" w:eastAsia="Arial" w:hAnsi="Arial"/>
          <w:sz w:val="19"/>
          <w:szCs w:val="19"/>
          <w:b w:val="1"/>
          <w:bCs w:val="1"/>
          <w:u w:val="single" w:color="auto"/>
          <w:color w:val="auto"/>
        </w:rPr>
        <w:t>LENDERS</w:t>
      </w:r>
      <w:r>
        <w:rPr>
          <w:rFonts w:ascii="Arial" w:cs="Arial" w:eastAsia="Arial" w:hAnsi="Arial"/>
          <w:sz w:val="19"/>
          <w:szCs w:val="19"/>
          <w:b w:val="1"/>
          <w:bCs w:val="1"/>
          <w:color w:val="auto"/>
        </w:rPr>
        <w:t>:</w:t>
      </w:r>
    </w:p>
    <w:p>
      <w:pPr>
        <w:spacing w:after="0" w:line="200" w:lineRule="exact"/>
        <w:rPr>
          <w:sz w:val="20"/>
          <w:szCs w:val="20"/>
          <w:color w:val="auto"/>
        </w:rPr>
      </w:pPr>
    </w:p>
    <w:p>
      <w:pPr>
        <w:spacing w:after="0" w:line="224"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BANK OF MONTREAL</w:t>
      </w:r>
      <w:r>
        <w:rPr>
          <w:rFonts w:ascii="Arial" w:cs="Arial" w:eastAsia="Arial" w:hAnsi="Arial"/>
          <w:sz w:val="18"/>
          <w:szCs w:val="18"/>
          <w:color w:val="auto"/>
        </w:rPr>
        <w:t>, as a Lender, Letter of Credit Issuer and Swing Line Lender</w:t>
      </w:r>
    </w:p>
    <w:p>
      <w:pPr>
        <w:spacing w:after="0" w:line="200" w:lineRule="exact"/>
        <w:rPr>
          <w:sz w:val="20"/>
          <w:szCs w:val="20"/>
          <w:color w:val="auto"/>
        </w:rPr>
      </w:pPr>
    </w:p>
    <w:p>
      <w:pPr>
        <w:spacing w:after="0" w:line="242" w:lineRule="exact"/>
        <w:rPr>
          <w:sz w:val="20"/>
          <w:szCs w:val="20"/>
          <w:color w:val="auto"/>
        </w:rPr>
      </w:pPr>
    </w:p>
    <w:p>
      <w:pPr>
        <w:ind w:left="2660"/>
        <w:spacing w:after="0"/>
        <w:rPr>
          <w:sz w:val="20"/>
          <w:szCs w:val="20"/>
          <w:color w:val="auto"/>
        </w:rPr>
      </w:pPr>
      <w:r>
        <w:rPr>
          <w:rFonts w:ascii="Arial" w:cs="Arial" w:eastAsia="Arial" w:hAnsi="Arial"/>
          <w:sz w:val="19"/>
          <w:szCs w:val="19"/>
          <w:color w:val="auto"/>
        </w:rPr>
        <w:t xml:space="preserve">By: </w:t>
      </w:r>
      <w:r>
        <w:rPr>
          <w:rFonts w:ascii="Arial" w:cs="Arial" w:eastAsia="Arial" w:hAnsi="Arial"/>
          <w:sz w:val="19"/>
          <w:szCs w:val="19"/>
          <w:u w:val="single" w:color="auto"/>
          <w:color w:val="auto"/>
        </w:rPr>
        <w:t>/s/ Daniel Duffy</w:t>
      </w:r>
    </w:p>
    <w:p>
      <w:pPr>
        <w:spacing w:after="0" w:line="20" w:lineRule="exact"/>
        <w:rPr>
          <w:sz w:val="20"/>
          <w:szCs w:val="20"/>
          <w:color w:val="auto"/>
        </w:rPr>
      </w:pPr>
    </w:p>
    <w:p>
      <w:pPr>
        <w:ind w:left="2660"/>
        <w:spacing w:after="0"/>
        <w:rPr>
          <w:sz w:val="20"/>
          <w:szCs w:val="20"/>
          <w:color w:val="auto"/>
        </w:rPr>
      </w:pPr>
      <w:r>
        <w:rPr>
          <w:rFonts w:ascii="Arial" w:cs="Arial" w:eastAsia="Arial" w:hAnsi="Arial"/>
          <w:sz w:val="19"/>
          <w:szCs w:val="19"/>
          <w:color w:val="auto"/>
        </w:rPr>
        <w:t>Name: Daniel Duffy</w:t>
      </w:r>
    </w:p>
    <w:p>
      <w:pPr>
        <w:spacing w:after="0" w:line="4" w:lineRule="exact"/>
        <w:rPr>
          <w:sz w:val="20"/>
          <w:szCs w:val="20"/>
          <w:color w:val="auto"/>
        </w:rPr>
      </w:pPr>
    </w:p>
    <w:p>
      <w:pPr>
        <w:ind w:left="2660"/>
        <w:spacing w:after="0"/>
        <w:rPr>
          <w:sz w:val="20"/>
          <w:szCs w:val="20"/>
          <w:color w:val="auto"/>
        </w:rPr>
      </w:pPr>
      <w:r>
        <w:rPr>
          <w:rFonts w:ascii="Arial" w:cs="Arial" w:eastAsia="Arial" w:hAnsi="Arial"/>
          <w:sz w:val="19"/>
          <w:szCs w:val="19"/>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40"/>
        <w:spacing w:after="0"/>
        <w:rPr>
          <w:sz w:val="20"/>
          <w:szCs w:val="20"/>
          <w:color w:val="auto"/>
        </w:rPr>
      </w:pPr>
      <w:r>
        <w:rPr>
          <w:rFonts w:ascii="Arial" w:cs="Arial" w:eastAsia="Arial" w:hAnsi="Arial"/>
          <w:sz w:val="14"/>
          <w:szCs w:val="14"/>
          <w:color w:val="auto"/>
        </w:rPr>
        <w:t>[Signature Page to Credit Agreement]</w:t>
      </w:r>
    </w:p>
    <w:p>
      <w:pPr>
        <w:sectPr>
          <w:pgSz w:w="11900" w:h="16838" w:orient="portrait"/>
          <w:cols w:equalWidth="0" w:num="1">
            <w:col w:w="9340"/>
          </w:cols>
          <w:pgMar w:left="1440" w:top="1375" w:right="1119" w:bottom="1440" w:gutter="0" w:footer="0" w:header="0"/>
        </w:sectPr>
      </w:pPr>
    </w:p>
    <w:bookmarkStart w:id="309" w:name="page310"/>
    <w:bookmarkEnd w:id="309"/>
    <w:p>
      <w:pPr>
        <w:jc w:val="right"/>
        <w:spacing w:after="0"/>
        <w:rPr>
          <w:sz w:val="20"/>
          <w:szCs w:val="20"/>
          <w:color w:val="auto"/>
        </w:rPr>
      </w:pPr>
      <w:r>
        <w:rPr>
          <w:rFonts w:ascii="Arial" w:cs="Arial" w:eastAsia="Arial" w:hAnsi="Arial"/>
          <w:sz w:val="21"/>
          <w:szCs w:val="21"/>
          <w:b w:val="1"/>
          <w:bCs w:val="1"/>
          <w:color w:val="auto"/>
        </w:rPr>
        <w:t>Exhibit 10.20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100"/>
        <w:spacing w:after="0"/>
        <w:rPr>
          <w:sz w:val="20"/>
          <w:szCs w:val="20"/>
          <w:color w:val="auto"/>
        </w:rPr>
      </w:pPr>
      <w:r>
        <w:rPr>
          <w:rFonts w:ascii="Arial" w:cs="Arial" w:eastAsia="Arial" w:hAnsi="Arial"/>
          <w:sz w:val="31"/>
          <w:szCs w:val="31"/>
          <w:b w:val="1"/>
          <w:bCs w:val="1"/>
          <w:color w:val="auto"/>
        </w:rPr>
        <w:t>MATRIX SERVICE COMPANY</w:t>
      </w:r>
    </w:p>
    <w:p>
      <w:pPr>
        <w:spacing w:after="0" w:line="221" w:lineRule="exact"/>
        <w:rPr>
          <w:sz w:val="20"/>
          <w:szCs w:val="20"/>
          <w:color w:val="auto"/>
        </w:rPr>
      </w:pPr>
    </w:p>
    <w:p>
      <w:pPr>
        <w:jc w:val="center"/>
        <w:ind w:right="1100"/>
        <w:spacing w:after="0"/>
        <w:rPr>
          <w:sz w:val="20"/>
          <w:szCs w:val="20"/>
          <w:color w:val="auto"/>
        </w:rPr>
      </w:pPr>
      <w:r>
        <w:rPr>
          <w:rFonts w:ascii="Arial" w:cs="Arial" w:eastAsia="Arial" w:hAnsi="Arial"/>
          <w:sz w:val="31"/>
          <w:szCs w:val="31"/>
          <w:b w:val="1"/>
          <w:bCs w:val="1"/>
          <w:color w:val="auto"/>
        </w:rPr>
        <w:t>2021 SEVERANCE PLAN</w:t>
      </w:r>
    </w:p>
    <w:p>
      <w:pPr>
        <w:spacing w:after="0" w:line="221" w:lineRule="exact"/>
        <w:rPr>
          <w:sz w:val="20"/>
          <w:szCs w:val="20"/>
          <w:color w:val="auto"/>
        </w:rPr>
      </w:pPr>
    </w:p>
    <w:p>
      <w:pPr>
        <w:jc w:val="center"/>
        <w:ind w:right="1100"/>
        <w:spacing w:after="0"/>
        <w:rPr>
          <w:sz w:val="20"/>
          <w:szCs w:val="20"/>
          <w:color w:val="auto"/>
        </w:rPr>
      </w:pPr>
      <w:r>
        <w:rPr>
          <w:rFonts w:ascii="Arial" w:cs="Arial" w:eastAsia="Arial" w:hAnsi="Arial"/>
          <w:sz w:val="31"/>
          <w:szCs w:val="31"/>
          <w:b w:val="1"/>
          <w:bCs w:val="1"/>
          <w:color w:val="auto"/>
        </w:rPr>
        <w:t>FOR EXECUTIVES</w:t>
      </w:r>
    </w:p>
    <w:p>
      <w:pPr>
        <w:sectPr>
          <w:pgSz w:w="11900" w:h="16838" w:orient="portrait"/>
          <w:cols w:equalWidth="0" w:num="1">
            <w:col w:w="10120"/>
          </w:cols>
          <w:pgMar w:left="1440" w:top="1384" w:right="339" w:bottom="1440" w:gutter="0" w:footer="0" w:header="0"/>
        </w:sectPr>
      </w:pPr>
    </w:p>
    <w:bookmarkStart w:id="310" w:name="page311"/>
    <w:bookmarkEnd w:id="310"/>
    <w:p>
      <w:pPr>
        <w:jc w:val="center"/>
        <w:ind w:right="19"/>
        <w:spacing w:after="0"/>
        <w:rPr>
          <w:sz w:val="20"/>
          <w:szCs w:val="20"/>
          <w:color w:val="auto"/>
        </w:rPr>
      </w:pPr>
      <w:r>
        <w:rPr>
          <w:rFonts w:ascii="Arial" w:cs="Arial" w:eastAsia="Arial" w:hAnsi="Arial"/>
          <w:sz w:val="21"/>
          <w:szCs w:val="21"/>
          <w:b w:val="1"/>
          <w:bCs w:val="1"/>
          <w:color w:val="auto"/>
        </w:rPr>
        <w:t>MATRIX SERVICE COMPANY</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2021 SEVERANCE PLAN</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FOR EXECUTIVES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155575</wp:posOffset>
            </wp:positionV>
            <wp:extent cx="5196205" cy="45218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7">
                      <a:extLst>
                        <a:ext uri="{28A0092B-C50C-407E-A947-70E740481C1C}"/>
                      </a:extLst>
                    </a:blip>
                    <a:srcRect/>
                    <a:stretch>
                      <a:fillRect/>
                    </a:stretch>
                  </pic:blipFill>
                  <pic:spPr bwMode="auto">
                    <a:xfrm>
                      <a:off x="0" y="0"/>
                      <a:ext cx="5196205" cy="4521835"/>
                    </a:xfrm>
                    <a:prstGeom prst="rect">
                      <a:avLst/>
                    </a:prstGeom>
                    <a:noFill/>
                  </pic:spPr>
                </pic:pic>
              </a:graphicData>
            </a:graphic>
          </wp:anchor>
        </w:drawing>
      </w:r>
    </w:p>
    <w:p>
      <w:pPr>
        <w:sectPr>
          <w:pgSz w:w="11900" w:h="16838" w:orient="portrait"/>
          <w:cols w:equalWidth="0" w:num="1">
            <w:col w:w="9019"/>
          </w:cols>
          <w:pgMar w:left="1440" w:top="1371" w:right="1440" w:bottom="1440" w:gutter="0" w:footer="0" w:header="0"/>
        </w:sectPr>
      </w:pPr>
    </w:p>
    <w:bookmarkStart w:id="311" w:name="page312"/>
    <w:bookmarkEnd w:id="311"/>
    <w:p>
      <w:pPr>
        <w:jc w:val="center"/>
        <w:spacing w:after="0"/>
        <w:rPr>
          <w:sz w:val="20"/>
          <w:szCs w:val="20"/>
          <w:color w:val="auto"/>
        </w:rPr>
      </w:pPr>
      <w:r>
        <w:rPr>
          <w:rFonts w:ascii="Arial" w:cs="Arial" w:eastAsia="Arial" w:hAnsi="Arial"/>
          <w:sz w:val="21"/>
          <w:szCs w:val="21"/>
          <w:b w:val="1"/>
          <w:bCs w:val="1"/>
          <w:color w:val="auto"/>
        </w:rPr>
        <w:t>MATRIX SERVICE COMPANY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2021 SEVERANCE PLAN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FOR EXECUTIVES</w:t>
      </w:r>
    </w:p>
    <w:p>
      <w:pPr>
        <w:spacing w:after="0" w:line="217" w:lineRule="exact"/>
        <w:rPr>
          <w:sz w:val="20"/>
          <w:szCs w:val="20"/>
          <w:color w:val="auto"/>
        </w:rPr>
      </w:pPr>
    </w:p>
    <w:p>
      <w:pPr>
        <w:ind w:left="4320"/>
        <w:spacing w:after="0"/>
        <w:rPr>
          <w:sz w:val="20"/>
          <w:szCs w:val="20"/>
          <w:color w:val="auto"/>
        </w:rPr>
      </w:pPr>
      <w:r>
        <w:rPr>
          <w:rFonts w:ascii="Arial" w:cs="Arial" w:eastAsia="Arial" w:hAnsi="Arial"/>
          <w:sz w:val="21"/>
          <w:szCs w:val="21"/>
          <w:b w:val="1"/>
          <w:bCs w:val="1"/>
          <w:color w:val="auto"/>
        </w:rPr>
        <w:t>_________________________</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(Effective September 13, 2021)</w:t>
      </w:r>
    </w:p>
    <w:p>
      <w:pPr>
        <w:spacing w:after="0" w:line="217" w:lineRule="exact"/>
        <w:rPr>
          <w:sz w:val="20"/>
          <w:szCs w:val="20"/>
          <w:color w:val="auto"/>
        </w:rPr>
      </w:pPr>
    </w:p>
    <w:p>
      <w:pPr>
        <w:ind w:firstLine="629"/>
        <w:spacing w:after="0" w:line="304" w:lineRule="auto"/>
        <w:rPr>
          <w:sz w:val="20"/>
          <w:szCs w:val="20"/>
          <w:color w:val="auto"/>
        </w:rPr>
      </w:pPr>
      <w:r>
        <w:rPr>
          <w:rFonts w:ascii="Arial" w:cs="Arial" w:eastAsia="Arial" w:hAnsi="Arial"/>
          <w:sz w:val="19"/>
          <w:szCs w:val="19"/>
          <w:b w:val="1"/>
          <w:bCs w:val="1"/>
          <w:color w:val="auto"/>
        </w:rPr>
        <w:t xml:space="preserve">MATRIX SERVICE COMPANY (the “Company”) </w:t>
      </w:r>
      <w:r>
        <w:rPr>
          <w:rFonts w:ascii="Arial" w:cs="Arial" w:eastAsia="Arial" w:hAnsi="Arial"/>
          <w:sz w:val="19"/>
          <w:szCs w:val="19"/>
          <w:color w:val="auto"/>
        </w:rPr>
        <w:t>hereby adopts the</w:t>
      </w:r>
      <w:r>
        <w:rPr>
          <w:rFonts w:ascii="Arial" w:cs="Arial" w:eastAsia="Arial" w:hAnsi="Arial"/>
          <w:sz w:val="19"/>
          <w:szCs w:val="19"/>
          <w:b w:val="1"/>
          <w:bCs w:val="1"/>
          <w:color w:val="auto"/>
        </w:rPr>
        <w:t xml:space="preserve"> 2021 MATRIX SERVICE COMPANY SEVERANCE PLAN FOR EXECUTIVES, </w:t>
      </w:r>
      <w:r>
        <w:rPr>
          <w:rFonts w:ascii="Arial" w:cs="Arial" w:eastAsia="Arial" w:hAnsi="Arial"/>
          <w:sz w:val="19"/>
          <w:szCs w:val="19"/>
          <w:color w:val="auto"/>
        </w:rPr>
        <w:t>hereinafter referred to as the “Plan,” for the benefit of certain designated participants.</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I. DEFINITIONS</w:t>
      </w:r>
    </w:p>
    <w:p>
      <w:pPr>
        <w:spacing w:after="0" w:line="217" w:lineRule="exact"/>
        <w:rPr>
          <w:sz w:val="20"/>
          <w:szCs w:val="20"/>
          <w:color w:val="auto"/>
        </w:rPr>
      </w:pPr>
    </w:p>
    <w:p>
      <w:pPr>
        <w:ind w:firstLine="629"/>
        <w:spacing w:after="0" w:line="252" w:lineRule="auto"/>
        <w:rPr>
          <w:sz w:val="20"/>
          <w:szCs w:val="20"/>
          <w:color w:val="auto"/>
        </w:rPr>
      </w:pPr>
      <w:r>
        <w:rPr>
          <w:rFonts w:ascii="Arial" w:cs="Arial" w:eastAsia="Arial" w:hAnsi="Arial"/>
          <w:sz w:val="21"/>
          <w:szCs w:val="21"/>
          <w:color w:val="auto"/>
        </w:rPr>
        <w:t xml:space="preserve">1.1 </w:t>
      </w:r>
      <w:r>
        <w:rPr>
          <w:rFonts w:ascii="Arial" w:cs="Arial" w:eastAsia="Arial" w:hAnsi="Arial"/>
          <w:sz w:val="21"/>
          <w:szCs w:val="21"/>
          <w:b w:val="1"/>
          <w:bCs w:val="1"/>
          <w:color w:val="auto"/>
        </w:rPr>
        <w:t>Definitions.</w:t>
      </w:r>
      <w:r>
        <w:rPr>
          <w:rFonts w:ascii="Arial" w:cs="Arial" w:eastAsia="Arial" w:hAnsi="Arial"/>
          <w:sz w:val="21"/>
          <w:szCs w:val="21"/>
          <w:color w:val="auto"/>
        </w:rPr>
        <w:t xml:space="preserve"> In addition to the terms defined elsewhere herein, the following words and phrases, when used herein with initial capital letters, shall have the following respective meanings:</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21"/>
          <w:szCs w:val="21"/>
          <w:color w:val="auto"/>
        </w:rPr>
        <w:t>1.1.1 “Act” means the United States Securities Exchange Act of 1934, as amended.</w:t>
      </w:r>
    </w:p>
    <w:p>
      <w:pPr>
        <w:spacing w:after="0" w:line="217" w:lineRule="exact"/>
        <w:rPr>
          <w:sz w:val="20"/>
          <w:szCs w:val="20"/>
          <w:color w:val="auto"/>
        </w:rPr>
      </w:pPr>
    </w:p>
    <w:p>
      <w:pPr>
        <w:jc w:val="both"/>
        <w:ind w:left="640" w:firstLine="629"/>
        <w:spacing w:after="0" w:line="262" w:lineRule="auto"/>
        <w:rPr>
          <w:sz w:val="20"/>
          <w:szCs w:val="20"/>
          <w:color w:val="auto"/>
        </w:rPr>
      </w:pPr>
      <w:r>
        <w:rPr>
          <w:rFonts w:ascii="Arial" w:cs="Arial" w:eastAsia="Arial" w:hAnsi="Arial"/>
          <w:sz w:val="19"/>
          <w:szCs w:val="19"/>
          <w:color w:val="auto"/>
        </w:rPr>
        <w:t>1.1.2 “Affiliate” means any Person (including a Subsidiary) that directly or indirectly through one or more intermediaries, controls, or is controlled by or is under common control with the Company. For purposes of this definition the term “control” with respect to any Person means the power to direct or cause the direction of management or policies of such Person, directly or indirectly, whether through the ownership of voting securities, by contract or otherwise.</w:t>
      </w:r>
    </w:p>
    <w:p>
      <w:pPr>
        <w:spacing w:after="0" w:line="174" w:lineRule="exact"/>
        <w:rPr>
          <w:sz w:val="20"/>
          <w:szCs w:val="20"/>
          <w:color w:val="auto"/>
        </w:rPr>
      </w:pPr>
    </w:p>
    <w:p>
      <w:pPr>
        <w:jc w:val="both"/>
        <w:ind w:left="640" w:firstLine="629"/>
        <w:spacing w:after="0" w:line="271" w:lineRule="auto"/>
        <w:rPr>
          <w:sz w:val="20"/>
          <w:szCs w:val="20"/>
          <w:color w:val="auto"/>
        </w:rPr>
      </w:pPr>
      <w:r>
        <w:rPr>
          <w:rFonts w:ascii="Arial" w:cs="Arial" w:eastAsia="Arial" w:hAnsi="Arial"/>
          <w:sz w:val="19"/>
          <w:szCs w:val="19"/>
          <w:color w:val="auto"/>
        </w:rPr>
        <w:t>1.1.3 “Annual Base Compensation” means the amount a Participant is entitled to receive as wages or salary on an annualized basis, excluding all bonus, overtime and incentive compensation, payable by an Employer as consideration for the Participant’s services, in effect on the Termination Date but disregarding any reduction that would qualify as Good Reason.</w:t>
      </w:r>
    </w:p>
    <w:p>
      <w:pPr>
        <w:spacing w:after="0" w:line="165" w:lineRule="exact"/>
        <w:rPr>
          <w:sz w:val="20"/>
          <w:szCs w:val="20"/>
          <w:color w:val="auto"/>
        </w:rPr>
      </w:pPr>
    </w:p>
    <w:p>
      <w:pPr>
        <w:ind w:left="1260"/>
        <w:spacing w:after="0"/>
        <w:rPr>
          <w:sz w:val="20"/>
          <w:szCs w:val="20"/>
          <w:color w:val="auto"/>
        </w:rPr>
      </w:pPr>
      <w:r>
        <w:rPr>
          <w:rFonts w:ascii="Arial" w:cs="Arial" w:eastAsia="Arial" w:hAnsi="Arial"/>
          <w:sz w:val="21"/>
          <w:szCs w:val="21"/>
          <w:color w:val="auto"/>
        </w:rPr>
        <w:t>1.1.4 “Board” means the Board of Directors of the Company.</w:t>
      </w:r>
    </w:p>
    <w:p>
      <w:pPr>
        <w:spacing w:after="0" w:line="217" w:lineRule="exact"/>
        <w:rPr>
          <w:sz w:val="20"/>
          <w:szCs w:val="20"/>
          <w:color w:val="auto"/>
        </w:rPr>
      </w:pPr>
    </w:p>
    <w:p>
      <w:pPr>
        <w:jc w:val="both"/>
        <w:ind w:left="640" w:firstLine="629"/>
        <w:spacing w:after="0" w:line="230" w:lineRule="auto"/>
        <w:rPr>
          <w:sz w:val="20"/>
          <w:szCs w:val="20"/>
          <w:color w:val="auto"/>
        </w:rPr>
      </w:pPr>
      <w:r>
        <w:rPr>
          <w:rFonts w:ascii="Arial" w:cs="Arial" w:eastAsia="Arial" w:hAnsi="Arial"/>
          <w:sz w:val="21"/>
          <w:szCs w:val="21"/>
          <w:color w:val="auto"/>
        </w:rPr>
        <w:t xml:space="preserve">1.1.5 “Cause” means, the Participant’s theft of Company property, embezzlement or dishonesty that results in harm to the Company; continued gross or willful neglect of his or her job responsibilities after receiving written warnings regarding such neglect from the Company; conviction of a felony or pleading </w:t>
      </w:r>
      <w:r>
        <w:rPr>
          <w:rFonts w:ascii="Arial" w:cs="Arial" w:eastAsia="Arial" w:hAnsi="Arial"/>
          <w:sz w:val="21"/>
          <w:szCs w:val="21"/>
          <w:i w:val="1"/>
          <w:iCs w:val="1"/>
          <w:color w:val="auto"/>
        </w:rPr>
        <w:t>nolo contender</w:t>
      </w:r>
      <w:r>
        <w:rPr>
          <w:rFonts w:ascii="Arial" w:cs="Arial" w:eastAsia="Arial" w:hAnsi="Arial"/>
          <w:sz w:val="21"/>
          <w:szCs w:val="21"/>
          <w:color w:val="auto"/>
        </w:rPr>
        <w:t xml:space="preserve"> to a felony charged under state or federal law; or willful violation of Company policy. A determination by the Board that an event constituting “Cause” has occurred shall be binding upon the Company and the Participant.</w:t>
      </w:r>
    </w:p>
    <w:p>
      <w:pPr>
        <w:spacing w:after="0" w:line="194" w:lineRule="exact"/>
        <w:rPr>
          <w:sz w:val="20"/>
          <w:szCs w:val="20"/>
          <w:color w:val="auto"/>
        </w:rPr>
      </w:pPr>
    </w:p>
    <w:p>
      <w:pPr>
        <w:ind w:left="1260"/>
        <w:spacing w:after="0"/>
        <w:rPr>
          <w:sz w:val="20"/>
          <w:szCs w:val="20"/>
          <w:color w:val="auto"/>
        </w:rPr>
      </w:pPr>
      <w:r>
        <w:rPr>
          <w:rFonts w:ascii="Arial" w:cs="Arial" w:eastAsia="Arial" w:hAnsi="Arial"/>
          <w:sz w:val="21"/>
          <w:szCs w:val="21"/>
          <w:color w:val="auto"/>
        </w:rPr>
        <w:t>1.1.6 “Cause Determination” has the meaning set forth in Section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w:t>
      </w:r>
    </w:p>
    <w:p>
      <w:pPr>
        <w:sectPr>
          <w:pgSz w:w="11900" w:h="16838" w:orient="portrait"/>
          <w:cols w:equalWidth="0" w:num="1">
            <w:col w:w="11240"/>
          </w:cols>
          <w:pgMar w:left="320" w:top="1371" w:right="339" w:bottom="1440" w:gutter="0" w:footer="0" w:header="0"/>
        </w:sectPr>
      </w:pPr>
    </w:p>
    <w:bookmarkStart w:id="312" w:name="page313"/>
    <w:bookmarkEnd w:id="312"/>
    <w:p>
      <w:pPr>
        <w:jc w:val="both"/>
        <w:ind w:firstLine="629"/>
        <w:spacing w:after="0" w:line="247" w:lineRule="auto"/>
        <w:rPr>
          <w:sz w:val="20"/>
          <w:szCs w:val="20"/>
          <w:color w:val="auto"/>
        </w:rPr>
      </w:pPr>
      <w:r>
        <w:rPr>
          <w:rFonts w:ascii="Arial" w:cs="Arial" w:eastAsia="Arial" w:hAnsi="Arial"/>
          <w:sz w:val="19"/>
          <w:szCs w:val="19"/>
          <w:color w:val="auto"/>
        </w:rPr>
        <w:t>1.1.7 “Change of Control” means (i) the acquisition by any Person or “group” (as defined pursuant to Section 13(d) under the Act) of “beneficial ownership” (as defined in Rule 13d-3 under the Act) of in excess of 35% of the Voting Securities of the Company; (ii) during any one (1) year period, individuals who at the beginning of such period constituted the Board (together with any new directors whose election by the Board or nomination for election by the Company’s stockholders was approved by a vote of at least two-thirds (2/3) of the directors of the Company then still in office who either were directors at the beginning of such period or whose election or nomination for election was previously so approved (but excluding, for purposes of this definition,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cease for any reason to constitute a majority of the members of the Board; (iii) consummation of a merger, consolidation, recapitalization or reorganization of the Company, other than a merger, consolidation, recapitalization or reorganization which would result in the Voting Securities of the Company outstanding immediately prior thereto continuing to represent, either by remaining outstanding or by being converted into voting stock of the surviving entity (or if the surviving entity is a subsidiary of another entity, then of the parent entity of such surviving entity), more than fifty percent (50%) of the total voting power represented by the voting stock of the surviving entity (or parent entity) outstanding immediately after such merger, consolidation, recapitalization or reorganization; or (iv) the Company’s stockholders approve a plan of complete liquidation of the Company or an agreement for the sale or disposition by the Company (in one transaction or a series of related transactions) of all or substantially all of the Company’s assets to any Person. Upon identification and notice to the Board of the occurrence of one of the above events, the Board shall consider all the facts and circumstances at its next meeting and shall confirm or deny by resolution or majority vote whether a “Change of Control” exists within the meaning of this Plan.</w:t>
      </w:r>
    </w:p>
    <w:p>
      <w:pPr>
        <w:spacing w:after="0" w:line="197" w:lineRule="exact"/>
        <w:rPr>
          <w:sz w:val="20"/>
          <w:szCs w:val="20"/>
          <w:color w:val="auto"/>
        </w:rPr>
      </w:pPr>
    </w:p>
    <w:p>
      <w:pPr>
        <w:ind w:left="620"/>
        <w:spacing w:after="0"/>
        <w:rPr>
          <w:sz w:val="20"/>
          <w:szCs w:val="20"/>
          <w:color w:val="auto"/>
        </w:rPr>
      </w:pPr>
      <w:r>
        <w:rPr>
          <w:rFonts w:ascii="Arial" w:cs="Arial" w:eastAsia="Arial" w:hAnsi="Arial"/>
          <w:sz w:val="19"/>
          <w:szCs w:val="19"/>
          <w:color w:val="auto"/>
        </w:rPr>
        <w:t>1.1.8 “Change of Control Severance Compensation” means, with respect to each Participant, the sum of the following:</w:t>
      </w:r>
    </w:p>
    <w:p>
      <w:pPr>
        <w:spacing w:after="0" w:line="240" w:lineRule="exact"/>
        <w:rPr>
          <w:sz w:val="20"/>
          <w:szCs w:val="20"/>
          <w:color w:val="auto"/>
        </w:rPr>
      </w:pPr>
    </w:p>
    <w:p>
      <w:pPr>
        <w:ind w:left="620" w:firstLine="633"/>
        <w:spacing w:after="0" w:line="246" w:lineRule="auto"/>
        <w:tabs>
          <w:tab w:leader="none" w:pos="1695" w:val="left"/>
        </w:tabs>
        <w:numPr>
          <w:ilvl w:val="0"/>
          <w:numId w:val="308"/>
        </w:numPr>
        <w:rPr>
          <w:rFonts w:ascii="Arial" w:cs="Arial" w:eastAsia="Arial" w:hAnsi="Arial"/>
          <w:sz w:val="21"/>
          <w:szCs w:val="21"/>
          <w:color w:val="auto"/>
        </w:rPr>
      </w:pPr>
      <w:r>
        <w:rPr>
          <w:rFonts w:ascii="Arial" w:cs="Arial" w:eastAsia="Arial" w:hAnsi="Arial"/>
          <w:sz w:val="21"/>
          <w:szCs w:val="21"/>
          <w:color w:val="auto"/>
        </w:rPr>
        <w:t>such Participant’s Annual Base Compensation in effect on the date of such Participant’s Separation from Service; plus</w:t>
      </w:r>
    </w:p>
    <w:p>
      <w:pPr>
        <w:spacing w:after="0" w:line="186" w:lineRule="exact"/>
        <w:rPr>
          <w:rFonts w:ascii="Arial" w:cs="Arial" w:eastAsia="Arial" w:hAnsi="Arial"/>
          <w:sz w:val="21"/>
          <w:szCs w:val="21"/>
          <w:color w:val="auto"/>
        </w:rPr>
      </w:pPr>
    </w:p>
    <w:p>
      <w:pPr>
        <w:jc w:val="both"/>
        <w:ind w:left="620" w:firstLine="633"/>
        <w:spacing w:after="0" w:line="236" w:lineRule="auto"/>
        <w:tabs>
          <w:tab w:leader="none" w:pos="1803" w:val="left"/>
        </w:tabs>
        <w:numPr>
          <w:ilvl w:val="0"/>
          <w:numId w:val="308"/>
        </w:numPr>
        <w:rPr>
          <w:rFonts w:ascii="Arial" w:cs="Arial" w:eastAsia="Arial" w:hAnsi="Arial"/>
          <w:sz w:val="21"/>
          <w:szCs w:val="21"/>
          <w:color w:val="auto"/>
        </w:rPr>
      </w:pPr>
      <w:r>
        <w:rPr>
          <w:rFonts w:ascii="Arial" w:cs="Arial" w:eastAsia="Arial" w:hAnsi="Arial"/>
          <w:sz w:val="21"/>
          <w:szCs w:val="21"/>
          <w:color w:val="auto"/>
        </w:rPr>
        <w:t>the annual target opportunity that could have been earned by the Participant for the fiscal year of the Company during which the Participant’s Termination Date occurs (determined as if all applicable goals and targets had been satisfied in full at the target level of performance).</w:t>
      </w:r>
    </w:p>
    <w:p>
      <w:pPr>
        <w:spacing w:after="0" w:line="192" w:lineRule="exact"/>
        <w:rPr>
          <w:sz w:val="20"/>
          <w:szCs w:val="20"/>
          <w:color w:val="auto"/>
        </w:rPr>
      </w:pPr>
    </w:p>
    <w:p>
      <w:pPr>
        <w:ind w:left="620"/>
        <w:spacing w:after="0"/>
        <w:rPr>
          <w:sz w:val="20"/>
          <w:szCs w:val="20"/>
          <w:color w:val="auto"/>
        </w:rPr>
      </w:pPr>
      <w:r>
        <w:rPr>
          <w:rFonts w:ascii="Arial" w:cs="Arial" w:eastAsia="Arial" w:hAnsi="Arial"/>
          <w:sz w:val="21"/>
          <w:szCs w:val="21"/>
          <w:color w:val="auto"/>
        </w:rPr>
        <w:t>1.1.9 “Code” means the United States Internal Revenue Code of 1986, as amended.</w:t>
      </w:r>
    </w:p>
    <w:p>
      <w:pPr>
        <w:spacing w:after="0" w:line="217" w:lineRule="exact"/>
        <w:rPr>
          <w:sz w:val="20"/>
          <w:szCs w:val="20"/>
          <w:color w:val="auto"/>
        </w:rPr>
      </w:pPr>
    </w:p>
    <w:p>
      <w:pPr>
        <w:ind w:firstLine="629"/>
        <w:spacing w:after="0" w:line="246" w:lineRule="auto"/>
        <w:rPr>
          <w:sz w:val="20"/>
          <w:szCs w:val="20"/>
          <w:color w:val="auto"/>
        </w:rPr>
      </w:pPr>
      <w:r>
        <w:rPr>
          <w:rFonts w:ascii="Arial" w:cs="Arial" w:eastAsia="Arial" w:hAnsi="Arial"/>
          <w:sz w:val="21"/>
          <w:szCs w:val="21"/>
          <w:color w:val="auto"/>
        </w:rPr>
        <w:t>1.1.10 “Committee” means a committee consisting of the Company’s President and CEO, the Chief Financial Officer, the Chief Administrative Officer, and the 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940"/>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10600"/>
          </w:cols>
          <w:pgMar w:left="960" w:top="1376" w:right="339" w:bottom="1440" w:gutter="0" w:footer="0" w:header="0"/>
        </w:sectPr>
      </w:pPr>
    </w:p>
    <w:bookmarkStart w:id="313" w:name="page314"/>
    <w:bookmarkEnd w:id="313"/>
    <w:p>
      <w:pPr>
        <w:ind w:left="620"/>
        <w:spacing w:after="0"/>
        <w:rPr>
          <w:sz w:val="20"/>
          <w:szCs w:val="20"/>
          <w:color w:val="auto"/>
        </w:rPr>
      </w:pPr>
      <w:r>
        <w:rPr>
          <w:rFonts w:ascii="Arial" w:cs="Arial" w:eastAsia="Arial" w:hAnsi="Arial"/>
          <w:sz w:val="21"/>
          <w:szCs w:val="21"/>
          <w:color w:val="auto"/>
        </w:rPr>
        <w:t>1.1.11 “Company” means Matrix Service Company, a Delaware corporation, and any successor thereto.</w:t>
      </w:r>
    </w:p>
    <w:p>
      <w:pPr>
        <w:spacing w:after="0" w:line="217" w:lineRule="exact"/>
        <w:rPr>
          <w:sz w:val="20"/>
          <w:szCs w:val="20"/>
          <w:color w:val="auto"/>
        </w:rPr>
      </w:pPr>
    </w:p>
    <w:p>
      <w:pPr>
        <w:jc w:val="both"/>
        <w:ind w:firstLine="629"/>
        <w:spacing w:after="0" w:line="238" w:lineRule="auto"/>
        <w:rPr>
          <w:sz w:val="20"/>
          <w:szCs w:val="20"/>
          <w:color w:val="auto"/>
        </w:rPr>
      </w:pPr>
      <w:r>
        <w:rPr>
          <w:rFonts w:ascii="Arial" w:cs="Arial" w:eastAsia="Arial" w:hAnsi="Arial"/>
          <w:sz w:val="20"/>
          <w:szCs w:val="20"/>
          <w:color w:val="auto"/>
        </w:rPr>
        <w:t>1.1.12 “Disability” means any medically determinable physical or mental impairment of Participant where such Participant: (a) is unable to engage in any substantial gainful activity by reason of any medically determinable physical or mental impairment which can be expected to result in death or can be expected to last for a continuous period of not less than twelve (12) months, or (b) is, by reason of any medically determinable physical or mental impairment which can be expected to result in death or can be expected to last for a continuous period of not less than twelve (12) months, receiving income replacement benefits for a period of not less than three (3) months under an accident and health plan covering employees of Participant’s Employer. Notwithstanding the foregoing, all determinations of whether a Participant is Disabled shall be made in accordance with Section 409A of the Code.</w:t>
      </w:r>
    </w:p>
    <w:p>
      <w:pPr>
        <w:spacing w:after="0" w:line="195" w:lineRule="exact"/>
        <w:rPr>
          <w:sz w:val="20"/>
          <w:szCs w:val="20"/>
          <w:color w:val="auto"/>
        </w:rPr>
      </w:pPr>
    </w:p>
    <w:p>
      <w:pPr>
        <w:ind w:left="620"/>
        <w:spacing w:after="0"/>
        <w:rPr>
          <w:sz w:val="20"/>
          <w:szCs w:val="20"/>
          <w:color w:val="auto"/>
        </w:rPr>
      </w:pPr>
      <w:r>
        <w:rPr>
          <w:rFonts w:ascii="Arial" w:cs="Arial" w:eastAsia="Arial" w:hAnsi="Arial"/>
          <w:sz w:val="21"/>
          <w:szCs w:val="21"/>
          <w:color w:val="auto"/>
        </w:rPr>
        <w:t>1.1.13 “Effective Date” means September 13, 2021.</w:t>
      </w:r>
    </w:p>
    <w:p>
      <w:pPr>
        <w:spacing w:after="0" w:line="217" w:lineRule="exact"/>
        <w:rPr>
          <w:sz w:val="20"/>
          <w:szCs w:val="20"/>
          <w:color w:val="auto"/>
        </w:rPr>
      </w:pPr>
    </w:p>
    <w:p>
      <w:pPr>
        <w:ind w:left="620"/>
        <w:spacing w:after="0"/>
        <w:rPr>
          <w:sz w:val="20"/>
          <w:szCs w:val="20"/>
          <w:color w:val="auto"/>
        </w:rPr>
      </w:pPr>
      <w:r>
        <w:rPr>
          <w:rFonts w:ascii="Arial" w:cs="Arial" w:eastAsia="Arial" w:hAnsi="Arial"/>
          <w:sz w:val="21"/>
          <w:szCs w:val="21"/>
          <w:color w:val="auto"/>
        </w:rPr>
        <w:t>1.1.14 “Employee” means a common law employee of an Employer.</w:t>
      </w:r>
    </w:p>
    <w:p>
      <w:pPr>
        <w:spacing w:after="0" w:line="217" w:lineRule="exact"/>
        <w:rPr>
          <w:sz w:val="20"/>
          <w:szCs w:val="20"/>
          <w:color w:val="auto"/>
        </w:rPr>
      </w:pPr>
    </w:p>
    <w:p>
      <w:pPr>
        <w:jc w:val="both"/>
        <w:ind w:firstLine="629"/>
        <w:spacing w:after="0" w:line="298" w:lineRule="auto"/>
        <w:rPr>
          <w:sz w:val="20"/>
          <w:szCs w:val="20"/>
          <w:color w:val="auto"/>
        </w:rPr>
      </w:pPr>
      <w:r>
        <w:rPr>
          <w:rFonts w:ascii="Arial" w:cs="Arial" w:eastAsia="Arial" w:hAnsi="Arial"/>
          <w:sz w:val="19"/>
          <w:szCs w:val="19"/>
          <w:color w:val="auto"/>
        </w:rPr>
        <w:t>1.1.15 “Employer” means the Company or, if Participant is not employed by the Company, a Subsidiary that employs the Participant, and the successor of either (provided, in the case of a Subsidiary, that each successor is also a Subsidiary).</w:t>
      </w:r>
    </w:p>
    <w:p>
      <w:pPr>
        <w:spacing w:after="0" w:line="139" w:lineRule="exact"/>
        <w:rPr>
          <w:sz w:val="20"/>
          <w:szCs w:val="20"/>
          <w:color w:val="auto"/>
        </w:rPr>
      </w:pPr>
    </w:p>
    <w:p>
      <w:pPr>
        <w:ind w:left="620"/>
        <w:spacing w:after="0"/>
        <w:rPr>
          <w:sz w:val="20"/>
          <w:szCs w:val="20"/>
          <w:color w:val="auto"/>
        </w:rPr>
      </w:pPr>
      <w:r>
        <w:rPr>
          <w:rFonts w:ascii="Arial" w:cs="Arial" w:eastAsia="Arial" w:hAnsi="Arial"/>
          <w:sz w:val="21"/>
          <w:szCs w:val="21"/>
          <w:color w:val="auto"/>
        </w:rPr>
        <w:t>1.1.16 “ERISA” means the United States Employee Retirement Income Security Act of 1974, as amended.</w:t>
      </w:r>
    </w:p>
    <w:p>
      <w:pPr>
        <w:spacing w:after="0" w:line="217" w:lineRule="exact"/>
        <w:rPr>
          <w:sz w:val="20"/>
          <w:szCs w:val="20"/>
          <w:color w:val="auto"/>
        </w:rPr>
      </w:pPr>
    </w:p>
    <w:p>
      <w:pPr>
        <w:ind w:left="620"/>
        <w:spacing w:after="0"/>
        <w:rPr>
          <w:sz w:val="20"/>
          <w:szCs w:val="20"/>
          <w:color w:val="auto"/>
        </w:rPr>
      </w:pPr>
      <w:r>
        <w:rPr>
          <w:rFonts w:ascii="Arial" w:cs="Arial" w:eastAsia="Arial" w:hAnsi="Arial"/>
          <w:sz w:val="21"/>
          <w:szCs w:val="21"/>
          <w:color w:val="auto"/>
        </w:rPr>
        <w:t>1.1.17 “Excise Tax” has the meaning set forth in Section 3.3.</w:t>
      </w:r>
    </w:p>
    <w:p>
      <w:pPr>
        <w:spacing w:after="0" w:line="217" w:lineRule="exact"/>
        <w:rPr>
          <w:sz w:val="20"/>
          <w:szCs w:val="20"/>
          <w:color w:val="auto"/>
        </w:rPr>
      </w:pPr>
    </w:p>
    <w:p>
      <w:pPr>
        <w:jc w:val="both"/>
        <w:ind w:firstLine="629"/>
        <w:spacing w:after="0" w:line="246" w:lineRule="auto"/>
        <w:rPr>
          <w:sz w:val="20"/>
          <w:szCs w:val="20"/>
          <w:color w:val="auto"/>
        </w:rPr>
      </w:pPr>
      <w:r>
        <w:rPr>
          <w:rFonts w:ascii="Arial" w:cs="Arial" w:eastAsia="Arial" w:hAnsi="Arial"/>
          <w:sz w:val="21"/>
          <w:szCs w:val="21"/>
          <w:color w:val="auto"/>
        </w:rPr>
        <w:t>1.1.18 “General Severance Compensation” means, with respect to each Participant, such Participant’s Annual Base Compensation in effect on the date of such Participant’s Separation from Service.</w:t>
      </w:r>
    </w:p>
    <w:p>
      <w:pPr>
        <w:spacing w:after="0" w:line="187" w:lineRule="exact"/>
        <w:rPr>
          <w:sz w:val="20"/>
          <w:szCs w:val="20"/>
          <w:color w:val="auto"/>
        </w:rPr>
      </w:pPr>
    </w:p>
    <w:p>
      <w:pPr>
        <w:jc w:val="both"/>
        <w:ind w:firstLine="629"/>
        <w:spacing w:after="0" w:line="246" w:lineRule="auto"/>
        <w:rPr>
          <w:sz w:val="20"/>
          <w:szCs w:val="20"/>
          <w:color w:val="auto"/>
        </w:rPr>
      </w:pPr>
      <w:r>
        <w:rPr>
          <w:rFonts w:ascii="Arial" w:cs="Arial" w:eastAsia="Arial" w:hAnsi="Arial"/>
          <w:sz w:val="21"/>
          <w:szCs w:val="21"/>
          <w:color w:val="auto"/>
        </w:rPr>
        <w:t>1.1.19 “Good Reason” means a Separation from Service by a Participant in accordance with the substantive and procedural provisions of this Section.</w:t>
      </w:r>
    </w:p>
    <w:p>
      <w:pPr>
        <w:spacing w:after="0" w:line="187" w:lineRule="exact"/>
        <w:rPr>
          <w:sz w:val="20"/>
          <w:szCs w:val="20"/>
          <w:color w:val="auto"/>
        </w:rPr>
      </w:pPr>
    </w:p>
    <w:p>
      <w:pPr>
        <w:ind w:left="620" w:right="160" w:firstLine="633"/>
        <w:spacing w:after="0" w:line="247" w:lineRule="auto"/>
        <w:tabs>
          <w:tab w:leader="none" w:pos="1535" w:val="left"/>
        </w:tabs>
        <w:numPr>
          <w:ilvl w:val="0"/>
          <w:numId w:val="309"/>
        </w:numPr>
        <w:rPr>
          <w:rFonts w:ascii="Arial" w:cs="Arial" w:eastAsia="Arial" w:hAnsi="Arial"/>
          <w:sz w:val="21"/>
          <w:szCs w:val="21"/>
          <w:color w:val="auto"/>
        </w:rPr>
      </w:pPr>
      <w:r>
        <w:rPr>
          <w:rFonts w:ascii="Arial" w:cs="Arial" w:eastAsia="Arial" w:hAnsi="Arial"/>
          <w:sz w:val="21"/>
          <w:szCs w:val="21"/>
          <w:color w:val="auto"/>
        </w:rPr>
        <w:t>Separation from Service by a Participant for “Good Reason” means a Separation from Service initiated by the Participant on account of any one or more of the following actions or omissions that, unless otherwise specified, occurs following a Change of Control:</w:t>
      </w:r>
    </w:p>
    <w:p>
      <w:pPr>
        <w:spacing w:after="0" w:line="198" w:lineRule="exact"/>
        <w:rPr>
          <w:rFonts w:ascii="Arial" w:cs="Arial" w:eastAsia="Arial" w:hAnsi="Arial"/>
          <w:sz w:val="21"/>
          <w:szCs w:val="21"/>
          <w:color w:val="auto"/>
        </w:rPr>
      </w:pPr>
    </w:p>
    <w:p>
      <w:pPr>
        <w:ind w:left="1260" w:firstLine="623"/>
        <w:spacing w:after="0" w:line="246" w:lineRule="auto"/>
        <w:tabs>
          <w:tab w:leader="none" w:pos="2428" w:val="left"/>
        </w:tabs>
        <w:numPr>
          <w:ilvl w:val="1"/>
          <w:numId w:val="309"/>
        </w:numPr>
        <w:rPr>
          <w:rFonts w:ascii="Arial" w:cs="Arial" w:eastAsia="Arial" w:hAnsi="Arial"/>
          <w:sz w:val="21"/>
          <w:szCs w:val="21"/>
          <w:color w:val="auto"/>
        </w:rPr>
      </w:pPr>
      <w:r>
        <w:rPr>
          <w:rFonts w:ascii="Arial" w:cs="Arial" w:eastAsia="Arial" w:hAnsi="Arial"/>
          <w:sz w:val="21"/>
          <w:szCs w:val="21"/>
          <w:color w:val="auto"/>
        </w:rPr>
        <w:t>a material reduction in the rate of the Participant’s Annual Base Compensation or a material reduction in the Participant’s target annual incentive compensation;</w:t>
      </w:r>
    </w:p>
    <w:p>
      <w:pPr>
        <w:spacing w:after="0" w:line="186" w:lineRule="exact"/>
        <w:rPr>
          <w:rFonts w:ascii="Arial" w:cs="Arial" w:eastAsia="Arial" w:hAnsi="Arial"/>
          <w:sz w:val="21"/>
          <w:szCs w:val="21"/>
          <w:color w:val="auto"/>
        </w:rPr>
      </w:pPr>
    </w:p>
    <w:p>
      <w:pPr>
        <w:jc w:val="both"/>
        <w:ind w:left="1260" w:firstLine="623"/>
        <w:spacing w:after="0" w:line="236" w:lineRule="auto"/>
        <w:tabs>
          <w:tab w:leader="none" w:pos="2449" w:val="left"/>
        </w:tabs>
        <w:numPr>
          <w:ilvl w:val="1"/>
          <w:numId w:val="309"/>
        </w:numPr>
        <w:rPr>
          <w:rFonts w:ascii="Arial" w:cs="Arial" w:eastAsia="Arial" w:hAnsi="Arial"/>
          <w:sz w:val="21"/>
          <w:szCs w:val="21"/>
          <w:color w:val="auto"/>
        </w:rPr>
      </w:pPr>
      <w:r>
        <w:rPr>
          <w:rFonts w:ascii="Arial" w:cs="Arial" w:eastAsia="Arial" w:hAnsi="Arial"/>
          <w:sz w:val="21"/>
          <w:szCs w:val="21"/>
          <w:color w:val="auto"/>
        </w:rPr>
        <w:t>a change in the location of a Participant’s principal place of employment by the Employer by more than thirty-five (35) miles from the location where the Participant was principally employed immediately prior to the date on which a Change of Control occurs;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4940"/>
        <w:spacing w:after="0"/>
        <w:rPr>
          <w:sz w:val="20"/>
          <w:szCs w:val="20"/>
          <w:color w:val="auto"/>
        </w:rPr>
      </w:pPr>
      <w:r>
        <w:rPr>
          <w:rFonts w:ascii="Arial" w:cs="Arial" w:eastAsia="Arial" w:hAnsi="Arial"/>
          <w:sz w:val="21"/>
          <w:szCs w:val="21"/>
          <w:color w:val="auto"/>
        </w:rPr>
        <w:t>3</w:t>
      </w:r>
    </w:p>
    <w:p>
      <w:pPr>
        <w:sectPr>
          <w:pgSz w:w="11900" w:h="16838" w:orient="portrait"/>
          <w:cols w:equalWidth="0" w:num="1">
            <w:col w:w="10600"/>
          </w:cols>
          <w:pgMar w:left="960" w:top="1377" w:right="339" w:bottom="1440" w:gutter="0" w:footer="0" w:header="0"/>
        </w:sectPr>
      </w:pPr>
    </w:p>
    <w:bookmarkStart w:id="314" w:name="page315"/>
    <w:bookmarkEnd w:id="314"/>
    <w:p>
      <w:pPr>
        <w:spacing w:after="0" w:line="173" w:lineRule="exact"/>
        <w:rPr>
          <w:sz w:val="20"/>
          <w:szCs w:val="20"/>
          <w:color w:val="auto"/>
        </w:rPr>
      </w:pPr>
    </w:p>
    <w:p>
      <w:pPr>
        <w:jc w:val="both"/>
        <w:ind w:left="1266" w:firstLine="623"/>
        <w:spacing w:after="0" w:line="251" w:lineRule="auto"/>
        <w:tabs>
          <w:tab w:leader="none" w:pos="2574" w:val="left"/>
        </w:tabs>
        <w:numPr>
          <w:ilvl w:val="1"/>
          <w:numId w:val="310"/>
        </w:numPr>
        <w:rPr>
          <w:rFonts w:ascii="Arial" w:cs="Arial" w:eastAsia="Arial" w:hAnsi="Arial"/>
          <w:sz w:val="20"/>
          <w:szCs w:val="20"/>
          <w:color w:val="auto"/>
        </w:rPr>
      </w:pPr>
      <w:r>
        <w:rPr>
          <w:rFonts w:ascii="Arial" w:cs="Arial" w:eastAsia="Arial" w:hAnsi="Arial"/>
          <w:sz w:val="20"/>
          <w:szCs w:val="20"/>
          <w:color w:val="auto"/>
        </w:rPr>
        <w:t>a material adverse reduction in the nature or scope of Participant’s office, position, duties, functions, responsibilities or authority (including reporting responsibilities and authority) from those applicable to such Participant immediately prior to the date on which a Change of Control occurs; or</w:t>
      </w:r>
    </w:p>
    <w:p>
      <w:pPr>
        <w:spacing w:after="0" w:line="183" w:lineRule="exact"/>
        <w:rPr>
          <w:rFonts w:ascii="Arial" w:cs="Arial" w:eastAsia="Arial" w:hAnsi="Arial"/>
          <w:sz w:val="20"/>
          <w:szCs w:val="20"/>
          <w:color w:val="auto"/>
        </w:rPr>
      </w:pPr>
    </w:p>
    <w:p>
      <w:pPr>
        <w:ind w:left="1266" w:firstLine="623"/>
        <w:spacing w:after="0" w:line="246" w:lineRule="auto"/>
        <w:tabs>
          <w:tab w:leader="none" w:pos="2488" w:val="left"/>
        </w:tabs>
        <w:numPr>
          <w:ilvl w:val="1"/>
          <w:numId w:val="310"/>
        </w:numPr>
        <w:rPr>
          <w:rFonts w:ascii="Arial" w:cs="Arial" w:eastAsia="Arial" w:hAnsi="Arial"/>
          <w:sz w:val="21"/>
          <w:szCs w:val="21"/>
          <w:color w:val="auto"/>
        </w:rPr>
      </w:pPr>
      <w:r>
        <w:rPr>
          <w:rFonts w:ascii="Arial" w:cs="Arial" w:eastAsia="Arial" w:hAnsi="Arial"/>
          <w:sz w:val="21"/>
          <w:szCs w:val="21"/>
          <w:color w:val="auto"/>
        </w:rPr>
        <w:t>the failure at any time of the successor to the Participant’s Employer explicitly to assume and agree to be bound by this Plan.</w:t>
      </w:r>
    </w:p>
    <w:p>
      <w:pPr>
        <w:spacing w:after="0" w:line="186" w:lineRule="exact"/>
        <w:rPr>
          <w:rFonts w:ascii="Arial" w:cs="Arial" w:eastAsia="Arial" w:hAnsi="Arial"/>
          <w:sz w:val="21"/>
          <w:szCs w:val="21"/>
          <w:color w:val="auto"/>
        </w:rPr>
      </w:pPr>
    </w:p>
    <w:p>
      <w:pPr>
        <w:ind w:left="1566" w:hanging="307"/>
        <w:spacing w:after="0"/>
        <w:tabs>
          <w:tab w:leader="none" w:pos="1566" w:val="left"/>
        </w:tabs>
        <w:numPr>
          <w:ilvl w:val="0"/>
          <w:numId w:val="311"/>
        </w:numPr>
        <w:rPr>
          <w:rFonts w:ascii="Arial" w:cs="Arial" w:eastAsia="Arial" w:hAnsi="Arial"/>
          <w:sz w:val="19"/>
          <w:szCs w:val="19"/>
          <w:color w:val="auto"/>
        </w:rPr>
      </w:pPr>
      <w:r>
        <w:rPr>
          <w:rFonts w:ascii="Arial" w:cs="Arial" w:eastAsia="Arial" w:hAnsi="Arial"/>
          <w:sz w:val="19"/>
          <w:szCs w:val="19"/>
          <w:color w:val="auto"/>
        </w:rPr>
        <w:t>Notwithstanding anything in this Plan to the contrary, no act or omission shall constitute grounds for “Good</w:t>
      </w:r>
    </w:p>
    <w:p>
      <w:pPr>
        <w:spacing w:after="0" w:line="22" w:lineRule="exact"/>
        <w:rPr>
          <w:rFonts w:ascii="Arial" w:cs="Arial" w:eastAsia="Arial" w:hAnsi="Arial"/>
          <w:sz w:val="19"/>
          <w:szCs w:val="19"/>
          <w:color w:val="auto"/>
        </w:rPr>
      </w:pPr>
    </w:p>
    <w:p>
      <w:pPr>
        <w:ind w:left="626"/>
        <w:spacing w:after="0"/>
        <w:rPr>
          <w:rFonts w:ascii="Arial" w:cs="Arial" w:eastAsia="Arial" w:hAnsi="Arial"/>
          <w:sz w:val="19"/>
          <w:szCs w:val="19"/>
          <w:color w:val="auto"/>
        </w:rPr>
      </w:pPr>
      <w:r>
        <w:rPr>
          <w:rFonts w:ascii="Arial" w:cs="Arial" w:eastAsia="Arial" w:hAnsi="Arial"/>
          <w:sz w:val="21"/>
          <w:szCs w:val="21"/>
          <w:color w:val="auto"/>
        </w:rPr>
        <w:t>Reason”:</w:t>
      </w:r>
    </w:p>
    <w:p>
      <w:pPr>
        <w:spacing w:after="0" w:line="199" w:lineRule="exact"/>
        <w:rPr>
          <w:rFonts w:ascii="Arial" w:cs="Arial" w:eastAsia="Arial" w:hAnsi="Arial"/>
          <w:sz w:val="19"/>
          <w:szCs w:val="19"/>
          <w:color w:val="auto"/>
        </w:rPr>
      </w:pPr>
    </w:p>
    <w:p>
      <w:pPr>
        <w:jc w:val="both"/>
        <w:ind w:left="1266" w:firstLine="623"/>
        <w:spacing w:after="0" w:line="236" w:lineRule="auto"/>
        <w:tabs>
          <w:tab w:leader="none" w:pos="2348" w:val="left"/>
        </w:tabs>
        <w:numPr>
          <w:ilvl w:val="1"/>
          <w:numId w:val="311"/>
        </w:numPr>
        <w:rPr>
          <w:rFonts w:ascii="Arial" w:cs="Arial" w:eastAsia="Arial" w:hAnsi="Arial"/>
          <w:sz w:val="21"/>
          <w:szCs w:val="21"/>
          <w:color w:val="auto"/>
        </w:rPr>
      </w:pPr>
      <w:r>
        <w:rPr>
          <w:rFonts w:ascii="Arial" w:cs="Arial" w:eastAsia="Arial" w:hAnsi="Arial"/>
          <w:sz w:val="21"/>
          <w:szCs w:val="21"/>
          <w:color w:val="auto"/>
        </w:rPr>
        <w:t>unless the Participant gives a Notice of Termination to the Employer thirty (30) days prior to the Participant’s intent to terminate his or her employment for Good Reason which describes the alleged act or omission giving rise to Good Reason;</w:t>
      </w:r>
    </w:p>
    <w:p>
      <w:pPr>
        <w:spacing w:after="0" w:line="192" w:lineRule="exact"/>
        <w:rPr>
          <w:rFonts w:ascii="Arial" w:cs="Arial" w:eastAsia="Arial" w:hAnsi="Arial"/>
          <w:sz w:val="21"/>
          <w:szCs w:val="21"/>
          <w:color w:val="auto"/>
        </w:rPr>
      </w:pPr>
    </w:p>
    <w:p>
      <w:pPr>
        <w:ind w:left="1266" w:firstLine="623"/>
        <w:spacing w:after="0" w:line="246" w:lineRule="auto"/>
        <w:tabs>
          <w:tab w:leader="none" w:pos="2403" w:val="left"/>
        </w:tabs>
        <w:numPr>
          <w:ilvl w:val="1"/>
          <w:numId w:val="311"/>
        </w:numPr>
        <w:rPr>
          <w:rFonts w:ascii="Arial" w:cs="Arial" w:eastAsia="Arial" w:hAnsi="Arial"/>
          <w:sz w:val="21"/>
          <w:szCs w:val="21"/>
          <w:color w:val="auto"/>
        </w:rPr>
      </w:pPr>
      <w:r>
        <w:rPr>
          <w:rFonts w:ascii="Arial" w:cs="Arial" w:eastAsia="Arial" w:hAnsi="Arial"/>
          <w:sz w:val="21"/>
          <w:szCs w:val="21"/>
          <w:color w:val="auto"/>
        </w:rPr>
        <w:t>unless such Notice of Termination is given within sixty (60) days of the Participant’s first actual knowledge of such act or omission; and</w:t>
      </w:r>
    </w:p>
    <w:p>
      <w:pPr>
        <w:spacing w:after="0" w:line="186" w:lineRule="exact"/>
        <w:rPr>
          <w:rFonts w:ascii="Arial" w:cs="Arial" w:eastAsia="Arial" w:hAnsi="Arial"/>
          <w:sz w:val="21"/>
          <w:szCs w:val="21"/>
          <w:color w:val="auto"/>
        </w:rPr>
      </w:pPr>
    </w:p>
    <w:p>
      <w:pPr>
        <w:ind w:left="1266" w:firstLine="623"/>
        <w:spacing w:after="0" w:line="246" w:lineRule="auto"/>
        <w:tabs>
          <w:tab w:leader="none" w:pos="2288" w:val="left"/>
        </w:tabs>
        <w:numPr>
          <w:ilvl w:val="1"/>
          <w:numId w:val="311"/>
        </w:numPr>
        <w:rPr>
          <w:rFonts w:ascii="Arial" w:cs="Arial" w:eastAsia="Arial" w:hAnsi="Arial"/>
          <w:sz w:val="21"/>
          <w:szCs w:val="21"/>
          <w:color w:val="auto"/>
        </w:rPr>
      </w:pPr>
      <w:r>
        <w:rPr>
          <w:rFonts w:ascii="Arial" w:cs="Arial" w:eastAsia="Arial" w:hAnsi="Arial"/>
          <w:sz w:val="21"/>
          <w:szCs w:val="21"/>
          <w:color w:val="auto"/>
        </w:rPr>
        <w:t>unless the Employer fails to cure such act or omission within the thirty (30) day period after receiving the Notice of Termination.</w:t>
      </w:r>
    </w:p>
    <w:p>
      <w:pPr>
        <w:spacing w:after="0" w:line="187" w:lineRule="exact"/>
        <w:rPr>
          <w:sz w:val="20"/>
          <w:szCs w:val="20"/>
          <w:color w:val="auto"/>
        </w:rPr>
      </w:pPr>
    </w:p>
    <w:p>
      <w:pPr>
        <w:ind w:left="626"/>
        <w:spacing w:after="0"/>
        <w:rPr>
          <w:sz w:val="20"/>
          <w:szCs w:val="20"/>
          <w:color w:val="auto"/>
        </w:rPr>
      </w:pPr>
      <w:r>
        <w:rPr>
          <w:rFonts w:ascii="Arial" w:cs="Arial" w:eastAsia="Arial" w:hAnsi="Arial"/>
          <w:sz w:val="21"/>
          <w:szCs w:val="21"/>
          <w:color w:val="auto"/>
        </w:rPr>
        <w:t>1.1.20 “Net After-Tax Benefit” has the meaning set forth in Section 3.3.</w:t>
      </w:r>
    </w:p>
    <w:p>
      <w:pPr>
        <w:spacing w:after="0" w:line="217" w:lineRule="exact"/>
        <w:rPr>
          <w:sz w:val="20"/>
          <w:szCs w:val="20"/>
          <w:color w:val="auto"/>
        </w:rPr>
      </w:pPr>
    </w:p>
    <w:p>
      <w:pPr>
        <w:ind w:left="626"/>
        <w:spacing w:after="0"/>
        <w:rPr>
          <w:sz w:val="20"/>
          <w:szCs w:val="20"/>
          <w:color w:val="auto"/>
        </w:rPr>
      </w:pPr>
      <w:r>
        <w:rPr>
          <w:rFonts w:ascii="Arial" w:cs="Arial" w:eastAsia="Arial" w:hAnsi="Arial"/>
          <w:sz w:val="21"/>
          <w:szCs w:val="21"/>
          <w:color w:val="auto"/>
        </w:rPr>
        <w:t>1.1.21 “Notice of Consideration” has the meaning set forth in Section 3.2.1.</w:t>
      </w:r>
    </w:p>
    <w:p>
      <w:pPr>
        <w:spacing w:after="0" w:line="217" w:lineRule="exact"/>
        <w:rPr>
          <w:sz w:val="20"/>
          <w:szCs w:val="20"/>
          <w:color w:val="auto"/>
        </w:rPr>
      </w:pPr>
    </w:p>
    <w:p>
      <w:pPr>
        <w:jc w:val="both"/>
        <w:ind w:left="6" w:firstLine="629"/>
        <w:spacing w:after="0" w:line="254" w:lineRule="auto"/>
        <w:rPr>
          <w:sz w:val="20"/>
          <w:szCs w:val="20"/>
          <w:color w:val="auto"/>
        </w:rPr>
      </w:pPr>
      <w:r>
        <w:rPr>
          <w:rFonts w:ascii="Arial" w:cs="Arial" w:eastAsia="Arial" w:hAnsi="Arial"/>
          <w:sz w:val="19"/>
          <w:szCs w:val="19"/>
          <w:color w:val="auto"/>
        </w:rPr>
        <w:t>1.1.22 “Notice of Termination” means a written notice of a Separation from Service, if applicable, given in accordance with Section 10.3 that sets forth: (a) the specific termination provision in the Plan relied on by the party giving such notice,</w:t>
      </w:r>
    </w:p>
    <w:p>
      <w:pPr>
        <w:spacing w:after="0" w:line="1" w:lineRule="exact"/>
        <w:rPr>
          <w:sz w:val="20"/>
          <w:szCs w:val="20"/>
          <w:color w:val="auto"/>
        </w:rPr>
      </w:pPr>
    </w:p>
    <w:p>
      <w:pPr>
        <w:ind w:left="306" w:hanging="306"/>
        <w:spacing w:after="0"/>
        <w:tabs>
          <w:tab w:leader="none" w:pos="306" w:val="left"/>
        </w:tabs>
        <w:numPr>
          <w:ilvl w:val="0"/>
          <w:numId w:val="312"/>
        </w:numPr>
        <w:rPr>
          <w:rFonts w:ascii="Arial" w:cs="Arial" w:eastAsia="Arial" w:hAnsi="Arial"/>
          <w:sz w:val="19"/>
          <w:szCs w:val="19"/>
          <w:color w:val="auto"/>
        </w:rPr>
      </w:pPr>
      <w:r>
        <w:rPr>
          <w:rFonts w:ascii="Arial" w:cs="Arial" w:eastAsia="Arial" w:hAnsi="Arial"/>
          <w:sz w:val="19"/>
          <w:szCs w:val="19"/>
          <w:color w:val="auto"/>
        </w:rPr>
        <w:t>in reasonable detail the specific facts and circumstances claimed to provide a basis for such Separation from Service, and</w:t>
      </w:r>
    </w:p>
    <w:p>
      <w:pPr>
        <w:spacing w:after="0" w:line="4" w:lineRule="exact"/>
        <w:rPr>
          <w:rFonts w:ascii="Arial" w:cs="Arial" w:eastAsia="Arial" w:hAnsi="Arial"/>
          <w:sz w:val="19"/>
          <w:szCs w:val="19"/>
          <w:color w:val="auto"/>
        </w:rPr>
      </w:pPr>
    </w:p>
    <w:p>
      <w:pPr>
        <w:ind w:left="286" w:hanging="286"/>
        <w:spacing w:after="0"/>
        <w:tabs>
          <w:tab w:leader="none" w:pos="286" w:val="left"/>
        </w:tabs>
        <w:numPr>
          <w:ilvl w:val="0"/>
          <w:numId w:val="312"/>
        </w:numPr>
        <w:rPr>
          <w:rFonts w:ascii="Arial" w:cs="Arial" w:eastAsia="Arial" w:hAnsi="Arial"/>
          <w:sz w:val="21"/>
          <w:szCs w:val="21"/>
          <w:color w:val="auto"/>
        </w:rPr>
      </w:pPr>
      <w:r>
        <w:rPr>
          <w:rFonts w:ascii="Arial" w:cs="Arial" w:eastAsia="Arial" w:hAnsi="Arial"/>
          <w:sz w:val="21"/>
          <w:szCs w:val="21"/>
          <w:color w:val="auto"/>
        </w:rPr>
        <w:t>if the Termination Date is other than the date of receipt of such Notice of Termination, the Termination Date.</w:t>
      </w:r>
    </w:p>
    <w:p>
      <w:pPr>
        <w:spacing w:after="0" w:line="199" w:lineRule="exact"/>
        <w:rPr>
          <w:sz w:val="20"/>
          <w:szCs w:val="20"/>
          <w:color w:val="auto"/>
        </w:rPr>
      </w:pPr>
    </w:p>
    <w:p>
      <w:pPr>
        <w:ind w:left="626"/>
        <w:spacing w:after="0"/>
        <w:rPr>
          <w:sz w:val="20"/>
          <w:szCs w:val="20"/>
          <w:color w:val="auto"/>
        </w:rPr>
      </w:pPr>
      <w:r>
        <w:rPr>
          <w:rFonts w:ascii="Arial" w:cs="Arial" w:eastAsia="Arial" w:hAnsi="Arial"/>
          <w:sz w:val="20"/>
          <w:szCs w:val="20"/>
          <w:color w:val="auto"/>
        </w:rPr>
        <w:t>1.1.23 “Participant” means an Employee selected for participation in the Plan pursuant to Section 2.1 hereof.</w:t>
      </w:r>
    </w:p>
    <w:p>
      <w:pPr>
        <w:spacing w:after="0" w:line="229" w:lineRule="exact"/>
        <w:rPr>
          <w:sz w:val="20"/>
          <w:szCs w:val="20"/>
          <w:color w:val="auto"/>
        </w:rPr>
      </w:pPr>
    </w:p>
    <w:p>
      <w:pPr>
        <w:jc w:val="both"/>
        <w:ind w:left="6" w:firstLine="629"/>
        <w:spacing w:after="0" w:line="236" w:lineRule="auto"/>
        <w:rPr>
          <w:sz w:val="20"/>
          <w:szCs w:val="20"/>
          <w:color w:val="auto"/>
        </w:rPr>
      </w:pPr>
      <w:r>
        <w:rPr>
          <w:rFonts w:ascii="Arial" w:cs="Arial" w:eastAsia="Arial" w:hAnsi="Arial"/>
          <w:sz w:val="21"/>
          <w:szCs w:val="21"/>
          <w:color w:val="auto"/>
        </w:rPr>
        <w:t>1.1.24 “Participation Agreement” means an agreement between a Participant and the Company in substantially the form of Exhibit B hereto, and which may include such other terms as the Committee deems necessary or advisable in the administration of the Plan.</w:t>
      </w:r>
    </w:p>
    <w:p>
      <w:pPr>
        <w:spacing w:after="0" w:line="192" w:lineRule="exact"/>
        <w:rPr>
          <w:sz w:val="20"/>
          <w:szCs w:val="20"/>
          <w:color w:val="auto"/>
        </w:rPr>
      </w:pPr>
    </w:p>
    <w:p>
      <w:pPr>
        <w:jc w:val="both"/>
        <w:ind w:left="6" w:firstLine="629"/>
        <w:spacing w:after="0" w:line="246" w:lineRule="auto"/>
        <w:rPr>
          <w:sz w:val="20"/>
          <w:szCs w:val="20"/>
          <w:color w:val="auto"/>
        </w:rPr>
      </w:pPr>
      <w:r>
        <w:rPr>
          <w:rFonts w:ascii="Arial" w:cs="Arial" w:eastAsia="Arial" w:hAnsi="Arial"/>
          <w:sz w:val="21"/>
          <w:szCs w:val="21"/>
          <w:color w:val="auto"/>
        </w:rPr>
        <w:t>1.1.25 “Payment Date” means the date which is the sixtieth (60</w:t>
      </w:r>
      <w:r>
        <w:rPr>
          <w:rFonts w:ascii="Arial" w:cs="Arial" w:eastAsia="Arial" w:hAnsi="Arial"/>
          <w:sz w:val="11"/>
          <w:szCs w:val="11"/>
          <w:color w:val="auto"/>
        </w:rPr>
        <w:t>th</w:t>
      </w:r>
      <w:r>
        <w:rPr>
          <w:rFonts w:ascii="Arial" w:cs="Arial" w:eastAsia="Arial" w:hAnsi="Arial"/>
          <w:sz w:val="21"/>
          <w:szCs w:val="21"/>
          <w:color w:val="auto"/>
        </w:rPr>
        <w:t>) day after the date of a Separation from Service as to which a Severance Benefit is payable.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946"/>
        <w:spacing w:after="0"/>
        <w:rPr>
          <w:sz w:val="20"/>
          <w:szCs w:val="20"/>
          <w:color w:val="auto"/>
        </w:rPr>
      </w:pPr>
      <w:r>
        <w:rPr>
          <w:rFonts w:ascii="Arial" w:cs="Arial" w:eastAsia="Arial" w:hAnsi="Arial"/>
          <w:sz w:val="21"/>
          <w:szCs w:val="21"/>
          <w:color w:val="auto"/>
        </w:rPr>
        <w:t>4</w:t>
      </w:r>
    </w:p>
    <w:p>
      <w:pPr>
        <w:sectPr>
          <w:pgSz w:w="11900" w:h="16838" w:orient="portrait"/>
          <w:cols w:equalWidth="0" w:num="1">
            <w:col w:w="10606"/>
          </w:cols>
          <w:pgMar w:left="954" w:top="1440" w:right="339" w:bottom="1440" w:gutter="0" w:footer="0" w:header="0"/>
        </w:sectPr>
      </w:pPr>
    </w:p>
    <w:bookmarkStart w:id="315" w:name="page316"/>
    <w:bookmarkEnd w:id="315"/>
    <w:p>
      <w:pPr>
        <w:ind w:left="620"/>
        <w:spacing w:after="0"/>
        <w:rPr>
          <w:sz w:val="20"/>
          <w:szCs w:val="20"/>
          <w:color w:val="auto"/>
        </w:rPr>
      </w:pPr>
      <w:r>
        <w:rPr>
          <w:rFonts w:ascii="Arial" w:cs="Arial" w:eastAsia="Arial" w:hAnsi="Arial"/>
          <w:sz w:val="21"/>
          <w:szCs w:val="21"/>
          <w:color w:val="auto"/>
        </w:rPr>
        <w:t>1.1.26 “Person” shall have the meaning assigned in the Act.</w:t>
      </w:r>
    </w:p>
    <w:p>
      <w:pPr>
        <w:spacing w:after="0" w:line="217" w:lineRule="exact"/>
        <w:rPr>
          <w:sz w:val="20"/>
          <w:szCs w:val="20"/>
          <w:color w:val="auto"/>
        </w:rPr>
      </w:pPr>
    </w:p>
    <w:p>
      <w:pPr>
        <w:jc w:val="both"/>
        <w:ind w:firstLine="629"/>
        <w:spacing w:after="0" w:line="246" w:lineRule="auto"/>
        <w:rPr>
          <w:sz w:val="20"/>
          <w:szCs w:val="20"/>
          <w:color w:val="auto"/>
        </w:rPr>
      </w:pPr>
      <w:r>
        <w:rPr>
          <w:rFonts w:ascii="Arial" w:cs="Arial" w:eastAsia="Arial" w:hAnsi="Arial"/>
          <w:sz w:val="21"/>
          <w:szCs w:val="21"/>
          <w:color w:val="auto"/>
        </w:rPr>
        <w:t>1.1.27 “Plan” means the 2021 Matrix Service Company Severance Plan for Executives, effective September 13, 2021, as amended from time to time.</w:t>
      </w:r>
    </w:p>
    <w:p>
      <w:pPr>
        <w:spacing w:after="0" w:line="187" w:lineRule="exact"/>
        <w:rPr>
          <w:sz w:val="20"/>
          <w:szCs w:val="20"/>
          <w:color w:val="auto"/>
        </w:rPr>
      </w:pPr>
    </w:p>
    <w:p>
      <w:pPr>
        <w:ind w:left="620"/>
        <w:spacing w:after="0"/>
        <w:rPr>
          <w:sz w:val="20"/>
          <w:szCs w:val="20"/>
          <w:color w:val="auto"/>
        </w:rPr>
      </w:pPr>
      <w:r>
        <w:rPr>
          <w:rFonts w:ascii="Arial" w:cs="Arial" w:eastAsia="Arial" w:hAnsi="Arial"/>
          <w:sz w:val="21"/>
          <w:szCs w:val="21"/>
          <w:color w:val="auto"/>
        </w:rPr>
        <w:t>1.1.28 “Reduced Payment” has the meaning set forth in Section 3.3.</w:t>
      </w:r>
    </w:p>
    <w:p>
      <w:pPr>
        <w:spacing w:after="0" w:line="217" w:lineRule="exact"/>
        <w:rPr>
          <w:sz w:val="20"/>
          <w:szCs w:val="20"/>
          <w:color w:val="auto"/>
        </w:rPr>
      </w:pPr>
    </w:p>
    <w:p>
      <w:pPr>
        <w:jc w:val="both"/>
        <w:ind w:firstLine="629"/>
        <w:spacing w:after="0" w:line="230" w:lineRule="auto"/>
        <w:rPr>
          <w:sz w:val="20"/>
          <w:szCs w:val="20"/>
          <w:color w:val="auto"/>
        </w:rPr>
      </w:pPr>
      <w:r>
        <w:rPr>
          <w:rFonts w:ascii="Arial" w:cs="Arial" w:eastAsia="Arial" w:hAnsi="Arial"/>
          <w:sz w:val="21"/>
          <w:szCs w:val="21"/>
          <w:color w:val="auto"/>
        </w:rPr>
        <w:t>1.1.29 “Sale of a Business” means the Company has sold or otherwise disposed of a Subsidiary, branch or other business unit (or all or substantially all of the assets thereof), in which the Participant was employed before such sale or disposition, to any Person, other than the Company or an Affiliate, and the Participant has been offered employment with the acquirer of such Subsidiary, branch or unit on substantially the same terms and conditions under which the Participant worked for the Participant’s Employer.</w:t>
      </w:r>
    </w:p>
    <w:p>
      <w:pPr>
        <w:spacing w:after="0" w:line="194" w:lineRule="exact"/>
        <w:rPr>
          <w:sz w:val="20"/>
          <w:szCs w:val="20"/>
          <w:color w:val="auto"/>
        </w:rPr>
      </w:pPr>
    </w:p>
    <w:p>
      <w:pPr>
        <w:jc w:val="both"/>
        <w:ind w:firstLine="629"/>
        <w:spacing w:after="0" w:line="245" w:lineRule="auto"/>
        <w:rPr>
          <w:sz w:val="20"/>
          <w:szCs w:val="20"/>
          <w:color w:val="auto"/>
        </w:rPr>
      </w:pPr>
      <w:r>
        <w:rPr>
          <w:rFonts w:ascii="Arial" w:cs="Arial" w:eastAsia="Arial" w:hAnsi="Arial"/>
          <w:sz w:val="20"/>
          <w:szCs w:val="20"/>
          <w:color w:val="auto"/>
        </w:rPr>
        <w:t>1.1.30 “Separation from Service” means a Participant’s termination or deemed termination from employment with the Employer. A termination of employment shall not be deemed to have occurred for purposes of any provision of this Plan providing for the payment of any amounts or benefits upon or following a termination of employment unless such termination is also a “separation from service” within the meaning of Code Section 409A.</w:t>
      </w:r>
    </w:p>
    <w:p>
      <w:pPr>
        <w:spacing w:after="0" w:line="189" w:lineRule="exact"/>
        <w:rPr>
          <w:sz w:val="20"/>
          <w:szCs w:val="20"/>
          <w:color w:val="auto"/>
        </w:rPr>
      </w:pPr>
    </w:p>
    <w:p>
      <w:pPr>
        <w:ind w:left="620"/>
        <w:spacing w:after="0"/>
        <w:rPr>
          <w:sz w:val="20"/>
          <w:szCs w:val="20"/>
          <w:color w:val="auto"/>
        </w:rPr>
      </w:pPr>
      <w:r>
        <w:rPr>
          <w:rFonts w:ascii="Arial" w:cs="Arial" w:eastAsia="Arial" w:hAnsi="Arial"/>
          <w:sz w:val="21"/>
          <w:szCs w:val="21"/>
          <w:color w:val="auto"/>
        </w:rPr>
        <w:t>1.1.31 “Severance Benefit” means the amounts payable in accordance with Section 3.1 hereof.</w:t>
      </w:r>
    </w:p>
    <w:p>
      <w:pPr>
        <w:spacing w:after="0" w:line="217" w:lineRule="exact"/>
        <w:rPr>
          <w:sz w:val="20"/>
          <w:szCs w:val="20"/>
          <w:color w:val="auto"/>
        </w:rPr>
      </w:pPr>
    </w:p>
    <w:p>
      <w:pPr>
        <w:jc w:val="both"/>
        <w:ind w:firstLine="629"/>
        <w:spacing w:after="0" w:line="251" w:lineRule="auto"/>
        <w:rPr>
          <w:sz w:val="20"/>
          <w:szCs w:val="20"/>
          <w:color w:val="auto"/>
        </w:rPr>
      </w:pPr>
      <w:r>
        <w:rPr>
          <w:rFonts w:ascii="Arial" w:cs="Arial" w:eastAsia="Arial" w:hAnsi="Arial"/>
          <w:sz w:val="20"/>
          <w:szCs w:val="20"/>
          <w:color w:val="auto"/>
        </w:rPr>
        <w:t>1.1.32 “Subsidiary” means any corporation, partnership, limited liability company or joint venture in which the Company, directly or indirectly, holds a majority of the voting power of such corporation’s outstanding shares of capital stock or a majority of the capital or profits interests of such partnership, limited liability company, or joint venture.</w:t>
      </w:r>
    </w:p>
    <w:p>
      <w:pPr>
        <w:spacing w:after="0" w:line="183" w:lineRule="exact"/>
        <w:rPr>
          <w:sz w:val="20"/>
          <w:szCs w:val="20"/>
          <w:color w:val="auto"/>
        </w:rPr>
      </w:pPr>
    </w:p>
    <w:p>
      <w:pPr>
        <w:jc w:val="both"/>
        <w:ind w:firstLine="629"/>
        <w:spacing w:after="0" w:line="271" w:lineRule="auto"/>
        <w:rPr>
          <w:sz w:val="20"/>
          <w:szCs w:val="20"/>
          <w:color w:val="auto"/>
        </w:rPr>
      </w:pPr>
      <w:r>
        <w:rPr>
          <w:rFonts w:ascii="Arial" w:cs="Arial" w:eastAsia="Arial" w:hAnsi="Arial"/>
          <w:sz w:val="19"/>
          <w:szCs w:val="19"/>
          <w:color w:val="auto"/>
        </w:rPr>
        <w:t>1.1.33 “Termination Date” means the date of the receipt of the Notice of Termination by Participant (if such notice is given by Participant’s Employer) or by Participant’s Employer (if such notice is given by Participant), or any later date, not more than thirty (30) days after the giving of such notice, specified in such notice; provided, however, that:</w:t>
      </w:r>
    </w:p>
    <w:p>
      <w:pPr>
        <w:spacing w:after="0" w:line="165" w:lineRule="exact"/>
        <w:rPr>
          <w:sz w:val="20"/>
          <w:szCs w:val="20"/>
          <w:color w:val="auto"/>
        </w:rPr>
      </w:pPr>
    </w:p>
    <w:p>
      <w:pPr>
        <w:jc w:val="both"/>
        <w:ind w:left="620" w:firstLine="633"/>
        <w:spacing w:after="0" w:line="236" w:lineRule="auto"/>
        <w:tabs>
          <w:tab w:leader="none" w:pos="1535" w:val="left"/>
        </w:tabs>
        <w:numPr>
          <w:ilvl w:val="0"/>
          <w:numId w:val="313"/>
        </w:numPr>
        <w:rPr>
          <w:rFonts w:ascii="Arial" w:cs="Arial" w:eastAsia="Arial" w:hAnsi="Arial"/>
          <w:sz w:val="21"/>
          <w:szCs w:val="21"/>
          <w:color w:val="auto"/>
        </w:rPr>
      </w:pPr>
      <w:r>
        <w:rPr>
          <w:rFonts w:ascii="Arial" w:cs="Arial" w:eastAsia="Arial" w:hAnsi="Arial"/>
          <w:sz w:val="21"/>
          <w:szCs w:val="21"/>
          <w:color w:val="auto"/>
        </w:rPr>
        <w:t>if Participant’s employment is terminated by reason of death or Disability, the Termination Date shall be the date of Participant’s death or the date of deemed termination of employment due to Disability, as applicable, regardless of whether a Notice of Termination has been given; and</w:t>
      </w:r>
    </w:p>
    <w:p>
      <w:pPr>
        <w:spacing w:after="0" w:line="192" w:lineRule="exact"/>
        <w:rPr>
          <w:rFonts w:ascii="Arial" w:cs="Arial" w:eastAsia="Arial" w:hAnsi="Arial"/>
          <w:sz w:val="21"/>
          <w:szCs w:val="21"/>
          <w:color w:val="auto"/>
        </w:rPr>
      </w:pPr>
    </w:p>
    <w:p>
      <w:pPr>
        <w:ind w:left="620" w:firstLine="633"/>
        <w:spacing w:after="0" w:line="246" w:lineRule="auto"/>
        <w:tabs>
          <w:tab w:leader="none" w:pos="1547" w:val="left"/>
        </w:tabs>
        <w:numPr>
          <w:ilvl w:val="0"/>
          <w:numId w:val="313"/>
        </w:numPr>
        <w:rPr>
          <w:rFonts w:ascii="Arial" w:cs="Arial" w:eastAsia="Arial" w:hAnsi="Arial"/>
          <w:sz w:val="21"/>
          <w:szCs w:val="21"/>
          <w:color w:val="auto"/>
        </w:rPr>
      </w:pPr>
      <w:r>
        <w:rPr>
          <w:rFonts w:ascii="Arial" w:cs="Arial" w:eastAsia="Arial" w:hAnsi="Arial"/>
          <w:sz w:val="21"/>
          <w:szCs w:val="21"/>
          <w:color w:val="auto"/>
        </w:rPr>
        <w:t>if no Notice of Termination is given, the Termination Date shall be the last date on which the Participant is employed by an Employer; and</w:t>
      </w:r>
    </w:p>
    <w:p>
      <w:pPr>
        <w:spacing w:after="0" w:line="186" w:lineRule="exact"/>
        <w:rPr>
          <w:rFonts w:ascii="Arial" w:cs="Arial" w:eastAsia="Arial" w:hAnsi="Arial"/>
          <w:sz w:val="21"/>
          <w:szCs w:val="21"/>
          <w:color w:val="auto"/>
        </w:rPr>
      </w:pPr>
    </w:p>
    <w:p>
      <w:pPr>
        <w:ind w:left="620" w:firstLine="633"/>
        <w:spacing w:after="0" w:line="246" w:lineRule="auto"/>
        <w:tabs>
          <w:tab w:leader="none" w:pos="1574" w:val="left"/>
        </w:tabs>
        <w:numPr>
          <w:ilvl w:val="0"/>
          <w:numId w:val="313"/>
        </w:numPr>
        <w:rPr>
          <w:rFonts w:ascii="Arial" w:cs="Arial" w:eastAsia="Arial" w:hAnsi="Arial"/>
          <w:sz w:val="21"/>
          <w:szCs w:val="21"/>
          <w:color w:val="auto"/>
        </w:rPr>
      </w:pPr>
      <w:r>
        <w:rPr>
          <w:rFonts w:ascii="Arial" w:cs="Arial" w:eastAsia="Arial" w:hAnsi="Arial"/>
          <w:sz w:val="21"/>
          <w:szCs w:val="21"/>
          <w:color w:val="auto"/>
        </w:rPr>
        <w:t>for purposes of Article VI (Restrictive Covenants) if the Participant does not have a Separation from Service, the Termination Date shall be the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940"/>
        <w:spacing w:after="0"/>
        <w:rPr>
          <w:sz w:val="20"/>
          <w:szCs w:val="20"/>
          <w:color w:val="auto"/>
        </w:rPr>
      </w:pPr>
      <w:r>
        <w:rPr>
          <w:rFonts w:ascii="Arial" w:cs="Arial" w:eastAsia="Arial" w:hAnsi="Arial"/>
          <w:sz w:val="21"/>
          <w:szCs w:val="21"/>
          <w:color w:val="auto"/>
        </w:rPr>
        <w:t>5</w:t>
      </w:r>
    </w:p>
    <w:p>
      <w:pPr>
        <w:sectPr>
          <w:pgSz w:w="11900" w:h="16838" w:orient="portrait"/>
          <w:cols w:equalWidth="0" w:num="1">
            <w:col w:w="10600"/>
          </w:cols>
          <w:pgMar w:left="960" w:top="1376" w:right="339" w:bottom="1440" w:gutter="0" w:footer="0" w:header="0"/>
        </w:sectPr>
      </w:pPr>
    </w:p>
    <w:bookmarkStart w:id="316" w:name="page317"/>
    <w:bookmarkEnd w:id="316"/>
    <w:p>
      <w:pPr>
        <w:ind w:left="1260"/>
        <w:spacing w:after="0"/>
        <w:rPr>
          <w:sz w:val="20"/>
          <w:szCs w:val="20"/>
          <w:color w:val="auto"/>
        </w:rPr>
      </w:pPr>
      <w:r>
        <w:rPr>
          <w:rFonts w:ascii="Arial" w:cs="Arial" w:eastAsia="Arial" w:hAnsi="Arial"/>
          <w:sz w:val="21"/>
          <w:szCs w:val="21"/>
          <w:color w:val="auto"/>
        </w:rPr>
        <w:t>the entity that employs the Participant ceases to be a Subsidiary, or the date of the Sale of a Business.</w:t>
      </w:r>
    </w:p>
    <w:p>
      <w:pPr>
        <w:spacing w:after="0" w:line="217" w:lineRule="exact"/>
        <w:rPr>
          <w:sz w:val="20"/>
          <w:szCs w:val="20"/>
          <w:color w:val="auto"/>
        </w:rPr>
      </w:pPr>
    </w:p>
    <w:p>
      <w:pPr>
        <w:ind w:left="640" w:firstLine="629"/>
        <w:spacing w:after="0" w:line="246" w:lineRule="auto"/>
        <w:rPr>
          <w:sz w:val="20"/>
          <w:szCs w:val="20"/>
          <w:color w:val="auto"/>
        </w:rPr>
      </w:pPr>
      <w:r>
        <w:rPr>
          <w:rFonts w:ascii="Arial" w:cs="Arial" w:eastAsia="Arial" w:hAnsi="Arial"/>
          <w:sz w:val="21"/>
          <w:szCs w:val="21"/>
          <w:color w:val="auto"/>
        </w:rPr>
        <w:t>1.1.34 “Voting Securities” means any securities of the Company which carry the right to vote generally in the election of directors.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II. ELIGIBILITY</w:t>
      </w:r>
    </w:p>
    <w:p>
      <w:pPr>
        <w:spacing w:after="0" w:line="217" w:lineRule="exact"/>
        <w:rPr>
          <w:sz w:val="20"/>
          <w:szCs w:val="20"/>
          <w:color w:val="auto"/>
        </w:rPr>
      </w:pPr>
    </w:p>
    <w:p>
      <w:pPr>
        <w:jc w:val="both"/>
        <w:ind w:firstLine="629"/>
        <w:spacing w:after="0" w:line="238" w:lineRule="auto"/>
        <w:rPr>
          <w:sz w:val="20"/>
          <w:szCs w:val="20"/>
          <w:color w:val="auto"/>
        </w:rPr>
      </w:pPr>
      <w:r>
        <w:rPr>
          <w:rFonts w:ascii="Arial" w:cs="Arial" w:eastAsia="Arial" w:hAnsi="Arial"/>
          <w:sz w:val="21"/>
          <w:szCs w:val="21"/>
          <w:color w:val="auto"/>
        </w:rPr>
        <w:t xml:space="preserve">2.1 </w:t>
      </w:r>
      <w:r>
        <w:rPr>
          <w:rFonts w:ascii="Arial" w:cs="Arial" w:eastAsia="Arial" w:hAnsi="Arial"/>
          <w:sz w:val="21"/>
          <w:szCs w:val="21"/>
          <w:b w:val="1"/>
          <w:bCs w:val="1"/>
          <w:color w:val="auto"/>
        </w:rPr>
        <w:t>Participation.</w:t>
      </w:r>
      <w:r>
        <w:rPr>
          <w:rFonts w:ascii="Arial" w:cs="Arial" w:eastAsia="Arial" w:hAnsi="Arial"/>
          <w:sz w:val="21"/>
          <w:szCs w:val="21"/>
          <w:color w:val="auto"/>
        </w:rPr>
        <w:t xml:space="preserve"> An Employee shall be entitled to be a Participant if the Employee is selected for participation by the Board and such Employee signs and returns to the Company a Participation Agreement, in a form acceptable to the Company, within the time period required therein.</w:t>
      </w:r>
    </w:p>
    <w:p>
      <w:pPr>
        <w:spacing w:after="0" w:line="186" w:lineRule="exact"/>
        <w:rPr>
          <w:sz w:val="20"/>
          <w:szCs w:val="20"/>
          <w:color w:val="auto"/>
        </w:rPr>
      </w:pPr>
    </w:p>
    <w:p>
      <w:pPr>
        <w:jc w:val="both"/>
        <w:ind w:firstLine="629"/>
        <w:spacing w:after="0" w:line="241" w:lineRule="auto"/>
        <w:rPr>
          <w:sz w:val="20"/>
          <w:szCs w:val="20"/>
          <w:color w:val="auto"/>
        </w:rPr>
      </w:pPr>
      <w:r>
        <w:rPr>
          <w:rFonts w:ascii="Arial" w:cs="Arial" w:eastAsia="Arial" w:hAnsi="Arial"/>
          <w:sz w:val="20"/>
          <w:szCs w:val="20"/>
          <w:color w:val="auto"/>
        </w:rPr>
        <w:t xml:space="preserve">2.2 </w:t>
      </w:r>
      <w:r>
        <w:rPr>
          <w:rFonts w:ascii="Arial" w:cs="Arial" w:eastAsia="Arial" w:hAnsi="Arial"/>
          <w:sz w:val="20"/>
          <w:szCs w:val="20"/>
          <w:b w:val="1"/>
          <w:bCs w:val="1"/>
          <w:color w:val="auto"/>
        </w:rPr>
        <w:t>Duration of Participation.</w:t>
      </w:r>
      <w:r>
        <w:rPr>
          <w:rFonts w:ascii="Arial" w:cs="Arial" w:eastAsia="Arial" w:hAnsi="Arial"/>
          <w:sz w:val="20"/>
          <w:szCs w:val="20"/>
          <w:color w:val="auto"/>
        </w:rPr>
        <w:t xml:space="preserve"> A Participant shall cease to be a Participant when the Participant incurs a Separation from Service, unless such Participant is then entitled to a Severance Benefit. A Participant entitled to a Severance Benefit shall remain a Participant until the full amount of the Severance Benefit has been provided to such Participant. The Board may, from time to time, determine that a Participant shall no longer be a Participant; provided, however, that the Board shall not change the status of a Participant in any manner as of, after, or in anticipation of a Separation from Service or a Change of Control. The Company shall provide a notice to each Participant of any revocation of Participant status.</w:t>
      </w:r>
    </w:p>
    <w:p>
      <w:pPr>
        <w:spacing w:after="0" w:line="188" w:lineRule="exact"/>
        <w:rPr>
          <w:sz w:val="20"/>
          <w:szCs w:val="20"/>
          <w:color w:val="auto"/>
        </w:rPr>
      </w:pPr>
    </w:p>
    <w:p>
      <w:pPr>
        <w:jc w:val="both"/>
        <w:ind w:firstLine="629"/>
        <w:spacing w:after="0" w:line="252" w:lineRule="auto"/>
        <w:rPr>
          <w:sz w:val="20"/>
          <w:szCs w:val="20"/>
          <w:color w:val="auto"/>
        </w:rPr>
      </w:pPr>
      <w:r>
        <w:rPr>
          <w:rFonts w:ascii="Arial" w:cs="Arial" w:eastAsia="Arial" w:hAnsi="Arial"/>
          <w:sz w:val="19"/>
          <w:szCs w:val="19"/>
          <w:color w:val="auto"/>
        </w:rPr>
        <w:t xml:space="preserve">2.3 </w:t>
      </w:r>
      <w:r>
        <w:rPr>
          <w:rFonts w:ascii="Arial" w:cs="Arial" w:eastAsia="Arial" w:hAnsi="Arial"/>
          <w:sz w:val="19"/>
          <w:szCs w:val="19"/>
          <w:b w:val="1"/>
          <w:bCs w:val="1"/>
          <w:color w:val="auto"/>
        </w:rPr>
        <w:t>Plan Benefits Provided in Lieu of any Previous Benefits.</w:t>
      </w:r>
      <w:r>
        <w:rPr>
          <w:rFonts w:ascii="Arial" w:cs="Arial" w:eastAsia="Arial" w:hAnsi="Arial"/>
          <w:sz w:val="19"/>
          <w:szCs w:val="19"/>
          <w:color w:val="auto"/>
        </w:rPr>
        <w:t xml:space="preserve"> This Plan shall supersede any change of control or severance benefit plan, policy or practice previously maintained by the Company with respect to a Participant and any change of control or severance benefits in any employment contract, change of control/severance agreement, change of control agreement or other agreement between the Company and a Participant. Notwithstanding the foregoing, a Participant’s outstanding equity awards shall remain subject to the terms of the equity incentive plan under which such awards were granted (including the award agreements governing such awards) that may apply upon a Change of Control and/or termination of such Participant’s service and all restricted stock units, performance units and other forms of long-term incentive awards granted to the Executive shall vest upon a Change of Control of the Company but only if so provided and in the manner set forth in the change of control vesting provisions set forth in the award agreements governing such restricted stock units, performance units and other forms of long-term incentive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w:t>
      </w:r>
    </w:p>
    <w:p>
      <w:pPr>
        <w:sectPr>
          <w:pgSz w:w="11900" w:h="16838" w:orient="portrait"/>
          <w:cols w:equalWidth="0" w:num="1">
            <w:col w:w="11240"/>
          </w:cols>
          <w:pgMar w:left="320" w:top="1377" w:right="339" w:bottom="1440" w:gutter="0" w:footer="0" w:header="0"/>
        </w:sectPr>
      </w:pPr>
    </w:p>
    <w:bookmarkStart w:id="317" w:name="page318"/>
    <w:bookmarkEnd w:id="317"/>
    <w:p>
      <w:pPr>
        <w:jc w:val="center"/>
        <w:spacing w:after="0"/>
        <w:rPr>
          <w:sz w:val="20"/>
          <w:szCs w:val="20"/>
          <w:color w:val="auto"/>
        </w:rPr>
      </w:pPr>
      <w:r>
        <w:rPr>
          <w:rFonts w:ascii="Arial" w:cs="Arial" w:eastAsia="Arial" w:hAnsi="Arial"/>
          <w:sz w:val="21"/>
          <w:szCs w:val="21"/>
          <w:b w:val="1"/>
          <w:bCs w:val="1"/>
          <w:color w:val="auto"/>
        </w:rPr>
        <w:t>ARTICLE III. SEVERANCE BENEFIT</w:t>
      </w:r>
    </w:p>
    <w:p>
      <w:pPr>
        <w:spacing w:after="0" w:line="217" w:lineRule="exact"/>
        <w:rPr>
          <w:sz w:val="20"/>
          <w:szCs w:val="20"/>
          <w:color w:val="auto"/>
        </w:rPr>
      </w:pPr>
    </w:p>
    <w:p>
      <w:pPr>
        <w:jc w:val="both"/>
        <w:ind w:firstLine="629"/>
        <w:spacing w:after="0" w:line="256" w:lineRule="auto"/>
        <w:rPr>
          <w:sz w:val="20"/>
          <w:szCs w:val="20"/>
          <w:color w:val="auto"/>
        </w:rPr>
      </w:pPr>
      <w:r>
        <w:rPr>
          <w:rFonts w:ascii="Arial" w:cs="Arial" w:eastAsia="Arial" w:hAnsi="Arial"/>
          <w:sz w:val="19"/>
          <w:szCs w:val="19"/>
          <w:color w:val="auto"/>
        </w:rPr>
        <w:t xml:space="preserve">3.1 </w:t>
      </w:r>
      <w:r>
        <w:rPr>
          <w:rFonts w:ascii="Arial" w:cs="Arial" w:eastAsia="Arial" w:hAnsi="Arial"/>
          <w:sz w:val="19"/>
          <w:szCs w:val="19"/>
          <w:b w:val="1"/>
          <w:bCs w:val="1"/>
          <w:color w:val="auto"/>
        </w:rPr>
        <w:t>Right to Severance Benefit.</w:t>
      </w:r>
      <w:r>
        <w:rPr>
          <w:rFonts w:ascii="Arial" w:cs="Arial" w:eastAsia="Arial" w:hAnsi="Arial"/>
          <w:sz w:val="19"/>
          <w:szCs w:val="19"/>
          <w:color w:val="auto"/>
        </w:rPr>
        <w:t xml:space="preserve"> Subject to Sections 3.5 and 3.6, a Participant shall be entitled to receive a Severance Benefit from the Participant’s Employer or the Company as set forth in the Participation Agreement. The cash payments described therein shall be paid on the Payment Date. The Severance Benefit shall be payable in addition to, and not in lieu of, all other accrued or vested or earned but deferred compensation, rights, options and other benefits which may be owed to a Participant under any other plan or arrangement following termination, including, but not limited to, accrued vacation or sick pay, amounts or benefits payable under any incentive plan, any life insurance plan, health plan, disability plan, or any similar or successor plans.</w:t>
      </w:r>
    </w:p>
    <w:p>
      <w:pPr>
        <w:spacing w:after="0" w:line="175" w:lineRule="exact"/>
        <w:rPr>
          <w:sz w:val="20"/>
          <w:szCs w:val="20"/>
          <w:color w:val="auto"/>
        </w:rPr>
      </w:pPr>
    </w:p>
    <w:p>
      <w:pPr>
        <w:jc w:val="both"/>
        <w:ind w:firstLine="629"/>
        <w:spacing w:after="0" w:line="233" w:lineRule="auto"/>
        <w:rPr>
          <w:sz w:val="20"/>
          <w:szCs w:val="20"/>
          <w:color w:val="auto"/>
        </w:rPr>
      </w:pPr>
      <w:r>
        <w:rPr>
          <w:rFonts w:ascii="Arial" w:cs="Arial" w:eastAsia="Arial" w:hAnsi="Arial"/>
          <w:sz w:val="21"/>
          <w:szCs w:val="21"/>
          <w:color w:val="auto"/>
        </w:rPr>
        <w:t xml:space="preserve">3.2 </w:t>
      </w:r>
      <w:r>
        <w:rPr>
          <w:rFonts w:ascii="Arial" w:cs="Arial" w:eastAsia="Arial" w:hAnsi="Arial"/>
          <w:sz w:val="21"/>
          <w:szCs w:val="21"/>
          <w:b w:val="1"/>
          <w:bCs w:val="1"/>
          <w:color w:val="auto"/>
        </w:rPr>
        <w:t>Terminations Which do not Give Rise to a Severance Benefit.</w:t>
      </w:r>
      <w:r>
        <w:rPr>
          <w:rFonts w:ascii="Arial" w:cs="Arial" w:eastAsia="Arial" w:hAnsi="Arial"/>
          <w:sz w:val="21"/>
          <w:szCs w:val="21"/>
          <w:color w:val="auto"/>
        </w:rPr>
        <w:t xml:space="preserve"> If a Participant dies, becomes Disabled, incurs a Separation from Service from the Employer for Cause or by reason of the Participant’s voluntary Separation from Service (other than for Good Reason), or incurs a Separation from Service due to the Sale of a Business, the Participant shall not be entitled to a Severance Benefit, regardless of the occurrence of a Change of Control.</w:t>
      </w:r>
    </w:p>
    <w:p>
      <w:pPr>
        <w:spacing w:after="0" w:line="196" w:lineRule="exact"/>
        <w:rPr>
          <w:sz w:val="20"/>
          <w:szCs w:val="20"/>
          <w:color w:val="auto"/>
        </w:rPr>
      </w:pPr>
    </w:p>
    <w:p>
      <w:pPr>
        <w:jc w:val="both"/>
        <w:ind w:left="640" w:firstLine="629"/>
        <w:spacing w:after="0" w:line="236" w:lineRule="auto"/>
        <w:rPr>
          <w:sz w:val="20"/>
          <w:szCs w:val="20"/>
          <w:color w:val="auto"/>
        </w:rPr>
      </w:pPr>
      <w:r>
        <w:rPr>
          <w:rFonts w:ascii="Arial" w:cs="Arial" w:eastAsia="Arial" w:hAnsi="Arial"/>
          <w:sz w:val="21"/>
          <w:szCs w:val="21"/>
          <w:color w:val="auto"/>
        </w:rPr>
        <w:t>3.2.1 Procedural Requirements for Termination for Cause Following a Change of Control. For any Separation from Service for Cause following a Change of Control, the Company and its Affiliates shall strictly observe each of the following substantive and procedural provisions:</w:t>
      </w:r>
    </w:p>
    <w:p>
      <w:pPr>
        <w:spacing w:after="0" w:line="192" w:lineRule="exact"/>
        <w:rPr>
          <w:sz w:val="20"/>
          <w:szCs w:val="20"/>
          <w:color w:val="auto"/>
        </w:rPr>
      </w:pPr>
    </w:p>
    <w:p>
      <w:pPr>
        <w:ind w:left="640" w:firstLine="624"/>
        <w:spacing w:after="0" w:line="271" w:lineRule="auto"/>
        <w:tabs>
          <w:tab w:leader="none" w:pos="1520" w:val="left"/>
        </w:tabs>
        <w:numPr>
          <w:ilvl w:val="0"/>
          <w:numId w:val="314"/>
        </w:numPr>
        <w:rPr>
          <w:rFonts w:ascii="Arial" w:cs="Arial" w:eastAsia="Arial" w:hAnsi="Arial"/>
          <w:sz w:val="20"/>
          <w:szCs w:val="20"/>
          <w:color w:val="auto"/>
        </w:rPr>
      </w:pPr>
      <w:r>
        <w:rPr>
          <w:rFonts w:ascii="Arial" w:cs="Arial" w:eastAsia="Arial" w:hAnsi="Arial"/>
          <w:sz w:val="20"/>
          <w:szCs w:val="20"/>
          <w:color w:val="auto"/>
        </w:rPr>
        <w:t>The Board shall call a meeting for the stated purpose of determining whether Participant’s acts or omissions satisfy the requirements of the definition of “Cause” and, if so, whether to terminate Participant’s employment for Cause.</w:t>
      </w:r>
    </w:p>
    <w:p>
      <w:pPr>
        <w:spacing w:after="0" w:line="162" w:lineRule="exact"/>
        <w:rPr>
          <w:rFonts w:ascii="Arial" w:cs="Arial" w:eastAsia="Arial" w:hAnsi="Arial"/>
          <w:sz w:val="20"/>
          <w:szCs w:val="20"/>
          <w:color w:val="auto"/>
        </w:rPr>
      </w:pPr>
    </w:p>
    <w:p>
      <w:pPr>
        <w:jc w:val="both"/>
        <w:ind w:left="640" w:firstLine="624"/>
        <w:spacing w:after="0" w:line="232" w:lineRule="auto"/>
        <w:tabs>
          <w:tab w:leader="none" w:pos="1578" w:val="left"/>
        </w:tabs>
        <w:numPr>
          <w:ilvl w:val="0"/>
          <w:numId w:val="314"/>
        </w:numPr>
        <w:rPr>
          <w:rFonts w:ascii="Arial" w:cs="Arial" w:eastAsia="Arial" w:hAnsi="Arial"/>
          <w:sz w:val="21"/>
          <w:szCs w:val="21"/>
          <w:color w:val="auto"/>
        </w:rPr>
      </w:pPr>
      <w:r>
        <w:rPr>
          <w:rFonts w:ascii="Arial" w:cs="Arial" w:eastAsia="Arial" w:hAnsi="Arial"/>
          <w:sz w:val="21"/>
          <w:szCs w:val="21"/>
          <w:color w:val="auto"/>
        </w:rPr>
        <w:t>Not less than fifteen (15) days prior to the date of such meeting, the Board shall provide or cause to be provided Participant and each member of the Board written notice (a “Notice of Consideration”) of: (A) a detailed description of the acts or omissions alleged to constitute Cause, (B) the date of such meeting of the Board, and (C) Participant’s rights under clauses (iii) and (iv) below.</w:t>
      </w:r>
    </w:p>
    <w:p>
      <w:pPr>
        <w:spacing w:after="0" w:line="194" w:lineRule="exact"/>
        <w:rPr>
          <w:rFonts w:ascii="Arial" w:cs="Arial" w:eastAsia="Arial" w:hAnsi="Arial"/>
          <w:sz w:val="21"/>
          <w:szCs w:val="21"/>
          <w:color w:val="auto"/>
        </w:rPr>
      </w:pPr>
    </w:p>
    <w:p>
      <w:pPr>
        <w:ind w:left="640" w:firstLine="624"/>
        <w:spacing w:after="0" w:line="246" w:lineRule="auto"/>
        <w:tabs>
          <w:tab w:leader="none" w:pos="1649" w:val="left"/>
        </w:tabs>
        <w:numPr>
          <w:ilvl w:val="0"/>
          <w:numId w:val="314"/>
        </w:numPr>
        <w:rPr>
          <w:rFonts w:ascii="Arial" w:cs="Arial" w:eastAsia="Arial" w:hAnsi="Arial"/>
          <w:sz w:val="21"/>
          <w:szCs w:val="21"/>
          <w:color w:val="auto"/>
        </w:rPr>
      </w:pPr>
      <w:r>
        <w:rPr>
          <w:rFonts w:ascii="Arial" w:cs="Arial" w:eastAsia="Arial" w:hAnsi="Arial"/>
          <w:sz w:val="21"/>
          <w:szCs w:val="21"/>
          <w:color w:val="auto"/>
        </w:rPr>
        <w:t>Participant shall have the opportunity to present to the Board a written response to the Notice of Consideration, but shall not have the right to appear in person or by counsel before the Board.</w:t>
      </w:r>
    </w:p>
    <w:p>
      <w:pPr>
        <w:spacing w:after="0" w:line="186" w:lineRule="exact"/>
        <w:rPr>
          <w:rFonts w:ascii="Arial" w:cs="Arial" w:eastAsia="Arial" w:hAnsi="Arial"/>
          <w:sz w:val="21"/>
          <w:szCs w:val="21"/>
          <w:color w:val="auto"/>
        </w:rPr>
      </w:pPr>
    </w:p>
    <w:p>
      <w:pPr>
        <w:jc w:val="both"/>
        <w:ind w:left="640" w:firstLine="624"/>
        <w:spacing w:after="0" w:line="255" w:lineRule="auto"/>
        <w:tabs>
          <w:tab w:leader="none" w:pos="1625" w:val="left"/>
        </w:tabs>
        <w:numPr>
          <w:ilvl w:val="0"/>
          <w:numId w:val="314"/>
        </w:numPr>
        <w:rPr>
          <w:rFonts w:ascii="Arial" w:cs="Arial" w:eastAsia="Arial" w:hAnsi="Arial"/>
          <w:sz w:val="19"/>
          <w:szCs w:val="19"/>
          <w:color w:val="auto"/>
        </w:rPr>
      </w:pPr>
      <w:r>
        <w:rPr>
          <w:rFonts w:ascii="Arial" w:cs="Arial" w:eastAsia="Arial" w:hAnsi="Arial"/>
          <w:sz w:val="19"/>
          <w:szCs w:val="19"/>
          <w:color w:val="auto"/>
        </w:rPr>
        <w:t>Participant’s employment may be terminated for Cause only if: (A) the acts or omissions specified in the Notice of Consideration did in fact occur and such actions or omissions do constitute Cause as defined in this Plan, (B) the Board, by affirmative vote of a simple majority of its members, makes a specific determination to such effect and to the effect that Participant’s employment should be terminated for Cause (“Cause Determination”), and (C) the Company or the Employer thereafter provides Participant with a Notice of Termination that specifies in specific detail the basis of such Separation from Service for Cause and which Notice shall be consistent with the reasons set forth in the Notice of Consideration.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w:t>
      </w:r>
    </w:p>
    <w:p>
      <w:pPr>
        <w:sectPr>
          <w:pgSz w:w="11900" w:h="16838" w:orient="portrait"/>
          <w:cols w:equalWidth="0" w:num="1">
            <w:col w:w="11240"/>
          </w:cols>
          <w:pgMar w:left="320" w:top="1371" w:right="339" w:bottom="1440" w:gutter="0" w:footer="0" w:header="0"/>
        </w:sectPr>
      </w:pPr>
    </w:p>
    <w:bookmarkStart w:id="318" w:name="page319"/>
    <w:bookmarkEnd w:id="318"/>
    <w:p>
      <w:pPr>
        <w:jc w:val="both"/>
        <w:ind w:left="640" w:firstLine="624"/>
        <w:spacing w:after="0" w:line="236" w:lineRule="auto"/>
        <w:tabs>
          <w:tab w:leader="none" w:pos="1566" w:val="left"/>
        </w:tabs>
        <w:numPr>
          <w:ilvl w:val="0"/>
          <w:numId w:val="315"/>
        </w:numPr>
        <w:rPr>
          <w:rFonts w:ascii="Arial" w:cs="Arial" w:eastAsia="Arial" w:hAnsi="Arial"/>
          <w:sz w:val="21"/>
          <w:szCs w:val="21"/>
          <w:color w:val="auto"/>
        </w:rPr>
      </w:pPr>
      <w:r>
        <w:rPr>
          <w:rFonts w:ascii="Arial" w:cs="Arial" w:eastAsia="Arial" w:hAnsi="Arial"/>
          <w:sz w:val="21"/>
          <w:szCs w:val="21"/>
          <w:color w:val="auto"/>
        </w:rPr>
        <w:t>In the event that the existence of Cause shall become an issue in any action or proceeding between Participant, on the one hand, and any one or more of the Company and its Affiliates, on the other hand, the Cause Determination shall be final and binding on all parties, except as provided in Section 3.2.2 below.</w:t>
      </w:r>
    </w:p>
    <w:p>
      <w:pPr>
        <w:spacing w:after="0" w:line="192" w:lineRule="exact"/>
        <w:rPr>
          <w:sz w:val="20"/>
          <w:szCs w:val="20"/>
          <w:color w:val="auto"/>
        </w:rPr>
      </w:pPr>
    </w:p>
    <w:p>
      <w:pPr>
        <w:jc w:val="both"/>
        <w:ind w:left="640" w:firstLine="629"/>
        <w:spacing w:after="0" w:line="246" w:lineRule="auto"/>
        <w:rPr>
          <w:sz w:val="20"/>
          <w:szCs w:val="20"/>
          <w:color w:val="auto"/>
        </w:rPr>
      </w:pPr>
      <w:r>
        <w:rPr>
          <w:rFonts w:ascii="Arial" w:cs="Arial" w:eastAsia="Arial" w:hAnsi="Arial"/>
          <w:sz w:val="21"/>
          <w:szCs w:val="21"/>
          <w:color w:val="auto"/>
        </w:rPr>
        <w:t>Nothing in this Section 3.2.1 shall preclude the Board, by majority vote, from suspending Participant from his or her duties, with pay, at any time.</w:t>
      </w:r>
    </w:p>
    <w:p>
      <w:pPr>
        <w:spacing w:after="0" w:line="187" w:lineRule="exact"/>
        <w:rPr>
          <w:sz w:val="20"/>
          <w:szCs w:val="20"/>
          <w:color w:val="auto"/>
        </w:rPr>
      </w:pPr>
    </w:p>
    <w:p>
      <w:pPr>
        <w:jc w:val="both"/>
        <w:ind w:left="640" w:firstLine="629"/>
        <w:spacing w:after="0" w:line="228" w:lineRule="auto"/>
        <w:rPr>
          <w:sz w:val="20"/>
          <w:szCs w:val="20"/>
          <w:color w:val="auto"/>
        </w:rPr>
      </w:pPr>
      <w:r>
        <w:rPr>
          <w:rFonts w:ascii="Arial" w:cs="Arial" w:eastAsia="Arial" w:hAnsi="Arial"/>
          <w:sz w:val="21"/>
          <w:szCs w:val="21"/>
          <w:color w:val="auto"/>
        </w:rPr>
        <w:t>3.2.2 Standard of Review. In the event that the existence of Cause shall become an issue in any action or proceeding between a Participant following a Change of Control, on the one hand, and any one or more of the Company and its Affiliates, on the other hand, the Company and its Affiliates, as applicable, shall, notwithstanding the Cause Determination, have the burden of establishing that the actions or omissions specified in the Notice of Consideration did in fact occur and do constitute Cause and that the Company and its Affiliates have satisfied all applicable substantive and procedural requirements of this Section.</w:t>
      </w:r>
    </w:p>
    <w:p>
      <w:pPr>
        <w:spacing w:after="0" w:line="191" w:lineRule="exact"/>
        <w:rPr>
          <w:sz w:val="20"/>
          <w:szCs w:val="20"/>
          <w:color w:val="auto"/>
        </w:rPr>
      </w:pPr>
    </w:p>
    <w:p>
      <w:pPr>
        <w:jc w:val="both"/>
        <w:ind w:firstLine="629"/>
        <w:spacing w:after="0" w:line="247" w:lineRule="auto"/>
        <w:rPr>
          <w:sz w:val="20"/>
          <w:szCs w:val="20"/>
          <w:color w:val="auto"/>
        </w:rPr>
      </w:pPr>
      <w:r>
        <w:rPr>
          <w:rFonts w:ascii="Arial" w:cs="Arial" w:eastAsia="Arial" w:hAnsi="Arial"/>
          <w:sz w:val="19"/>
          <w:szCs w:val="19"/>
          <w:color w:val="auto"/>
        </w:rPr>
        <w:t xml:space="preserve">3.3 </w:t>
      </w:r>
      <w:r>
        <w:rPr>
          <w:rFonts w:ascii="Arial" w:cs="Arial" w:eastAsia="Arial" w:hAnsi="Arial"/>
          <w:sz w:val="19"/>
          <w:szCs w:val="19"/>
          <w:b w:val="1"/>
          <w:bCs w:val="1"/>
          <w:color w:val="auto"/>
        </w:rPr>
        <w:t>Maximum Payments.</w:t>
      </w:r>
      <w:r>
        <w:rPr>
          <w:rFonts w:ascii="Arial" w:cs="Arial" w:eastAsia="Arial" w:hAnsi="Arial"/>
          <w:sz w:val="19"/>
          <w:szCs w:val="19"/>
          <w:color w:val="auto"/>
        </w:rPr>
        <w:t xml:space="preserve"> It is the objective of this Plan to maximize the Participants’ Net After-Tax Benefit (as defined herein) if payments or benefits provided under this Plan are subject to excise tax under Section 4999 of the Code. Therefore, in the event it is determined that any payment or benefit by the Company to or for the benefit of a Participant, whether paid or payable or distributed or distributable pursuant to the terms of this Plan or otherwise, including, by example and not by way of limitation, acceleration by the Company or otherwise of the date of vesting or payment or rate of payment under any plan, program or arrangement of the Company, would be subject to the excise tax imposed by Section 4999 of the Code or any interest or penalties with respect to such excise tax (such excise tax, together with any such interest and penalties, are hereinafter collectively referred to as the “Excise Tax”), the Company shall first make a calculation under which such payments or benefits provided to the Participant under this Agreement are reduced to the extent necessary so that no portion thereof shall be subject to the excise tax imposed by Section 4999 of the Code (the “Reduced Payment”), provided that, for purposes of this calculation, the payments and benefits that do not constitute deferred compensation within the meaning of Section 409A of the Code shall first be reduced and the portion of the payments and benefits that do constitute deferred compensation within the meaning of Section 409A of the Code shall thereafter be reduced as necessary. The Company shall then compare (x) the Participant’s Net After-Tax Benefit assuming application of the Reduced Payment with (y) the Participant’s Net After-Tax Benefit without the application of the Reduced Payment and the Participant shall be entitled to the greater of (x) or (y). “Net After-Tax Benefit” shall mean the sum of (i) all payments and benefits which the Participant receives or is then entitled to receive from the Company, less (ii) the amount of federal income taxes payable with respect to the payments and benefits described in (i) above calculated at the maximum marginal income tax rate for each year in which such payments and benefits shall be paid to the Participant (based upon the rate for such year as set forth in the Code at the time of the first payment of the foregoing), less (iii) the amount of excise taxes imposed with respect to the payments and benefits described in (i) above by Section 4999 of the Code. The determination of whether a payment or benefit constitutes an excess parachute payment shall be made by tax counsel or other tax professional selected by the Company. The costs of obtaining this determination shall be borne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w:t>
      </w:r>
    </w:p>
    <w:p>
      <w:pPr>
        <w:sectPr>
          <w:pgSz w:w="11900" w:h="16838" w:orient="portrait"/>
          <w:cols w:equalWidth="0" w:num="1">
            <w:col w:w="11240"/>
          </w:cols>
          <w:pgMar w:left="320" w:top="1377" w:right="339" w:bottom="1440" w:gutter="0" w:footer="0" w:header="0"/>
        </w:sectPr>
      </w:pPr>
    </w:p>
    <w:bookmarkStart w:id="319" w:name="page320"/>
    <w:bookmarkEnd w:id="319"/>
    <w:p>
      <w:pPr>
        <w:jc w:val="both"/>
        <w:ind w:firstLine="629"/>
        <w:spacing w:after="0" w:line="304" w:lineRule="auto"/>
        <w:rPr>
          <w:sz w:val="20"/>
          <w:szCs w:val="20"/>
          <w:color w:val="auto"/>
        </w:rPr>
      </w:pPr>
      <w:r>
        <w:rPr>
          <w:rFonts w:ascii="Arial" w:cs="Arial" w:eastAsia="Arial" w:hAnsi="Arial"/>
          <w:sz w:val="19"/>
          <w:szCs w:val="19"/>
          <w:color w:val="auto"/>
        </w:rPr>
        <w:t xml:space="preserve">3.4 </w:t>
      </w:r>
      <w:r>
        <w:rPr>
          <w:rFonts w:ascii="Arial" w:cs="Arial" w:eastAsia="Arial" w:hAnsi="Arial"/>
          <w:sz w:val="19"/>
          <w:szCs w:val="19"/>
          <w:b w:val="1"/>
          <w:bCs w:val="1"/>
          <w:color w:val="auto"/>
        </w:rPr>
        <w:t>Payment Date Limitation.</w:t>
      </w:r>
      <w:r>
        <w:rPr>
          <w:rFonts w:ascii="Arial" w:cs="Arial" w:eastAsia="Arial" w:hAnsi="Arial"/>
          <w:sz w:val="19"/>
          <w:szCs w:val="19"/>
          <w:color w:val="auto"/>
        </w:rPr>
        <w:t xml:space="preserve"> Notwithstanding anything to the contrary in this Plan, no payment under the Plan shall be paid later than the December 31 of the second calendar year following the calendar year in which the Separation from Service occurs.</w:t>
      </w:r>
    </w:p>
    <w:p>
      <w:pPr>
        <w:spacing w:after="0" w:line="128" w:lineRule="exact"/>
        <w:rPr>
          <w:sz w:val="20"/>
          <w:szCs w:val="20"/>
          <w:color w:val="auto"/>
        </w:rPr>
      </w:pPr>
    </w:p>
    <w:p>
      <w:pPr>
        <w:jc w:val="both"/>
        <w:ind w:firstLine="629"/>
        <w:spacing w:after="0" w:line="247" w:lineRule="auto"/>
        <w:rPr>
          <w:sz w:val="20"/>
          <w:szCs w:val="20"/>
          <w:color w:val="auto"/>
        </w:rPr>
      </w:pPr>
      <w:r>
        <w:rPr>
          <w:rFonts w:ascii="Arial" w:cs="Arial" w:eastAsia="Arial" w:hAnsi="Arial"/>
          <w:sz w:val="20"/>
          <w:szCs w:val="20"/>
          <w:color w:val="auto"/>
        </w:rPr>
        <w:t xml:space="preserve">3.5 </w:t>
      </w:r>
      <w:r>
        <w:rPr>
          <w:rFonts w:ascii="Arial" w:cs="Arial" w:eastAsia="Arial" w:hAnsi="Arial"/>
          <w:sz w:val="20"/>
          <w:szCs w:val="20"/>
          <w:b w:val="1"/>
          <w:bCs w:val="1"/>
          <w:color w:val="auto"/>
        </w:rPr>
        <w:t>Waiver and Release.</w:t>
      </w:r>
      <w:r>
        <w:rPr>
          <w:rFonts w:ascii="Arial" w:cs="Arial" w:eastAsia="Arial" w:hAnsi="Arial"/>
          <w:sz w:val="20"/>
          <w:szCs w:val="20"/>
          <w:color w:val="auto"/>
        </w:rPr>
        <w:t xml:space="preserve"> Notwithstanding anything to the contrary in this Plan, in the event that the Participant becomes entitled to a Severance Benefit, neither the Company nor the Employer shall have any obligation to the Participant unless and until the Participant executes and delivers to the Company within sixty (60) days after Separation from Service a release and waiver in form and substance satisfactory to the Company which is no longer subject to revocation.</w:t>
      </w:r>
    </w:p>
    <w:p>
      <w:pPr>
        <w:spacing w:after="0" w:line="181" w:lineRule="exact"/>
        <w:rPr>
          <w:sz w:val="20"/>
          <w:szCs w:val="20"/>
          <w:color w:val="auto"/>
        </w:rPr>
      </w:pPr>
    </w:p>
    <w:p>
      <w:pPr>
        <w:jc w:val="both"/>
        <w:ind w:firstLine="629"/>
        <w:spacing w:after="0" w:line="238" w:lineRule="auto"/>
        <w:rPr>
          <w:sz w:val="20"/>
          <w:szCs w:val="20"/>
          <w:color w:val="auto"/>
        </w:rPr>
      </w:pPr>
      <w:r>
        <w:rPr>
          <w:rFonts w:ascii="Arial" w:cs="Arial" w:eastAsia="Arial" w:hAnsi="Arial"/>
          <w:sz w:val="21"/>
          <w:szCs w:val="21"/>
          <w:color w:val="auto"/>
        </w:rPr>
        <w:t xml:space="preserve">3.6 </w:t>
      </w:r>
      <w:r>
        <w:rPr>
          <w:rFonts w:ascii="Arial" w:cs="Arial" w:eastAsia="Arial" w:hAnsi="Arial"/>
          <w:sz w:val="21"/>
          <w:szCs w:val="21"/>
          <w:b w:val="1"/>
          <w:bCs w:val="1"/>
          <w:color w:val="auto"/>
        </w:rPr>
        <w:t>Breach of Covenants.</w:t>
      </w:r>
      <w:r>
        <w:rPr>
          <w:rFonts w:ascii="Arial" w:cs="Arial" w:eastAsia="Arial" w:hAnsi="Arial"/>
          <w:sz w:val="21"/>
          <w:szCs w:val="21"/>
          <w:color w:val="auto"/>
        </w:rPr>
        <w:t xml:space="preserve"> If a court determines that the Participant has breached the covenants of Article VI or other obligation entered into at any time between the Participant and the Company, then neither the Company nor the Employer shall have any obligation to pay or provide any Severance Benefits under Article III of the Plan.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IV. WELFARE PLAN AND SUMMARY PLAN DESCRIPTION</w:t>
      </w:r>
    </w:p>
    <w:p>
      <w:pPr>
        <w:spacing w:after="0" w:line="200" w:lineRule="exact"/>
        <w:rPr>
          <w:sz w:val="20"/>
          <w:szCs w:val="20"/>
          <w:color w:val="auto"/>
        </w:rPr>
      </w:pPr>
    </w:p>
    <w:p>
      <w:pPr>
        <w:spacing w:after="0" w:line="260" w:lineRule="exact"/>
        <w:rPr>
          <w:sz w:val="20"/>
          <w:szCs w:val="20"/>
          <w:color w:val="auto"/>
        </w:rPr>
      </w:pPr>
    </w:p>
    <w:p>
      <w:pPr>
        <w:jc w:val="both"/>
        <w:ind w:firstLine="629"/>
        <w:spacing w:after="0" w:line="252" w:lineRule="auto"/>
        <w:rPr>
          <w:sz w:val="20"/>
          <w:szCs w:val="20"/>
          <w:color w:val="auto"/>
        </w:rPr>
      </w:pPr>
      <w:r>
        <w:rPr>
          <w:rFonts w:ascii="Arial" w:cs="Arial" w:eastAsia="Arial" w:hAnsi="Arial"/>
          <w:sz w:val="19"/>
          <w:szCs w:val="19"/>
          <w:color w:val="auto"/>
        </w:rPr>
        <w:t>This Plan is intended to be a welfare plan under Section 3(1) of ERISA, and if this Plan were found to be a pension plan under Section 3(2) of ERISA, the Plan is intended to qualify as a plan maintained for the purpose of providing deferred compensation for a select group of management or highly compensated employees, within the meaning of Sections 201(2), 301(3) and 401(a)(1) of ERISA. This Plan also is intended to be a summary plan description under Section 102 of ERISA. The Plan, as a summary plan description, has been written in a manner calculated to be understood by the average Participant of the Plan and to reasonably apprise the Participants and their beneficiaries of their rights and obligations under the Plan. Additional provisions of the Plan which are intended to satisfy the requirements of a summary plan description under Section 102 of ERISA are set out in Exhibit A, attached hereto and made a part hereof. A copy of the Plan shall be provided to each Participant.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V. NO SET-OFF OR MITIGATION</w:t>
      </w:r>
    </w:p>
    <w:p>
      <w:pPr>
        <w:spacing w:after="0" w:line="217" w:lineRule="exact"/>
        <w:rPr>
          <w:sz w:val="20"/>
          <w:szCs w:val="20"/>
          <w:color w:val="auto"/>
        </w:rPr>
      </w:pPr>
    </w:p>
    <w:p>
      <w:pPr>
        <w:jc w:val="both"/>
        <w:ind w:firstLine="629"/>
        <w:spacing w:after="0" w:line="250" w:lineRule="auto"/>
        <w:rPr>
          <w:sz w:val="20"/>
          <w:szCs w:val="20"/>
          <w:color w:val="auto"/>
        </w:rPr>
      </w:pPr>
      <w:r>
        <w:rPr>
          <w:rFonts w:ascii="Arial" w:cs="Arial" w:eastAsia="Arial" w:hAnsi="Arial"/>
          <w:sz w:val="19"/>
          <w:szCs w:val="19"/>
          <w:color w:val="auto"/>
        </w:rPr>
        <w:t xml:space="preserve">5.1 </w:t>
      </w:r>
      <w:r>
        <w:rPr>
          <w:rFonts w:ascii="Arial" w:cs="Arial" w:eastAsia="Arial" w:hAnsi="Arial"/>
          <w:sz w:val="19"/>
          <w:szCs w:val="19"/>
          <w:b w:val="1"/>
          <w:bCs w:val="1"/>
          <w:color w:val="auto"/>
        </w:rPr>
        <w:t>No Set-off.</w:t>
      </w:r>
      <w:r>
        <w:rPr>
          <w:rFonts w:ascii="Arial" w:cs="Arial" w:eastAsia="Arial" w:hAnsi="Arial"/>
          <w:sz w:val="19"/>
          <w:szCs w:val="19"/>
          <w:color w:val="auto"/>
        </w:rPr>
        <w:t xml:space="preserve"> The Participant’s right to receive when due the payments and other benefits provided for under this Plan is absolute, unconditional and subject to no setoff, counterclaim, recoupment, or other claim, right or action that the Company or the Employer may have against Participant or others, except as expressly provided in this Section 5.1 or as specifically otherwise provided in this Plan. Notwithstanding the prior sentence, the Company or the Employer shall have the right to deduct any amounts outstanding on any loans or other extensions of credit to Participant from the Participant’s payments and other benefits (if any) provided for under this Plan. Notwithstanding any provision of this Plan to the contrary, the Participant acknowledges that any incentive-based compensation paid to the Participant under this Plan may be subject to recovery by the Company under any clawback policy which the Company may adopt from time to time, including, without limitation, any policy which the Company may be required to adopt under Section 954 of the Dodd-Frank Wall Street Reform and Consumer Protection Act and the rules and regulations of the United States Securities and Exchange Commission thereunder or the requirements of any national securities exchange on which the Company’s common stock may be listed. The Participant agrees to promptly return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w:t>
      </w:r>
    </w:p>
    <w:p>
      <w:pPr>
        <w:sectPr>
          <w:pgSz w:w="11900" w:h="16838" w:orient="portrait"/>
          <w:cols w:equalWidth="0" w:num="1">
            <w:col w:w="11240"/>
          </w:cols>
          <w:pgMar w:left="320" w:top="1370" w:right="339" w:bottom="1440" w:gutter="0" w:footer="0" w:header="0"/>
        </w:sectPr>
      </w:pPr>
    </w:p>
    <w:bookmarkStart w:id="320" w:name="page321"/>
    <w:bookmarkEnd w:id="320"/>
    <w:p>
      <w:pPr>
        <w:jc w:val="both"/>
        <w:spacing w:after="0" w:line="246" w:lineRule="auto"/>
        <w:rPr>
          <w:sz w:val="20"/>
          <w:szCs w:val="20"/>
          <w:color w:val="auto"/>
        </w:rPr>
      </w:pPr>
      <w:r>
        <w:rPr>
          <w:rFonts w:ascii="Arial" w:cs="Arial" w:eastAsia="Arial" w:hAnsi="Arial"/>
          <w:sz w:val="21"/>
          <w:szCs w:val="21"/>
          <w:color w:val="auto"/>
        </w:rPr>
        <w:t>any such incentive-based compensation which the Company determines it is required to recover from the Participant under any such clawback policy.</w:t>
      </w:r>
    </w:p>
    <w:p>
      <w:pPr>
        <w:spacing w:after="0" w:line="181" w:lineRule="exact"/>
        <w:rPr>
          <w:sz w:val="20"/>
          <w:szCs w:val="20"/>
          <w:color w:val="auto"/>
        </w:rPr>
      </w:pPr>
    </w:p>
    <w:p>
      <w:pPr>
        <w:jc w:val="both"/>
        <w:ind w:firstLine="629"/>
        <w:spacing w:after="0" w:line="231" w:lineRule="auto"/>
        <w:rPr>
          <w:sz w:val="20"/>
          <w:szCs w:val="20"/>
          <w:color w:val="auto"/>
        </w:rPr>
      </w:pPr>
      <w:r>
        <w:rPr>
          <w:rFonts w:ascii="Arial" w:cs="Arial" w:eastAsia="Arial" w:hAnsi="Arial"/>
          <w:sz w:val="21"/>
          <w:szCs w:val="21"/>
          <w:color w:val="auto"/>
        </w:rPr>
        <w:t xml:space="preserve">5.2 </w:t>
      </w:r>
      <w:r>
        <w:rPr>
          <w:rFonts w:ascii="Arial" w:cs="Arial" w:eastAsia="Arial" w:hAnsi="Arial"/>
          <w:sz w:val="21"/>
          <w:szCs w:val="21"/>
          <w:b w:val="1"/>
          <w:bCs w:val="1"/>
          <w:color w:val="auto"/>
        </w:rPr>
        <w:t>No Mitigation.</w:t>
      </w:r>
      <w:r>
        <w:rPr>
          <w:rFonts w:ascii="Arial" w:cs="Arial" w:eastAsia="Arial" w:hAnsi="Arial"/>
          <w:sz w:val="21"/>
          <w:szCs w:val="21"/>
          <w:color w:val="auto"/>
        </w:rPr>
        <w:t xml:space="preserve"> The Participant shall not have any duty to mitigate the amounts payable by the Company or the Employer under this Plan by seeking new employment or self-employment following termination. Except as specifically otherwise provided in this Plan, all amounts payable pursuant to this Plan shall be paid without reduction regardless of any amounts of salary, compensation or other amounts which may be paid or payable to the Participant as the result of Participant’s employment by another employer or self-employment.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VI. RESTRICTIVE COVENANTS</w:t>
      </w:r>
    </w:p>
    <w:p>
      <w:pPr>
        <w:spacing w:after="0" w:line="217" w:lineRule="exact"/>
        <w:rPr>
          <w:sz w:val="20"/>
          <w:szCs w:val="20"/>
          <w:color w:val="auto"/>
        </w:rPr>
      </w:pPr>
    </w:p>
    <w:p>
      <w:pPr>
        <w:jc w:val="both"/>
        <w:spacing w:after="0" w:line="238" w:lineRule="auto"/>
        <w:rPr>
          <w:sz w:val="20"/>
          <w:szCs w:val="20"/>
          <w:color w:val="auto"/>
        </w:rPr>
      </w:pPr>
      <w:r>
        <w:rPr>
          <w:rFonts w:ascii="Arial" w:cs="Arial" w:eastAsia="Arial" w:hAnsi="Arial"/>
          <w:sz w:val="21"/>
          <w:szCs w:val="21"/>
          <w:color w:val="auto"/>
        </w:rPr>
        <w:t xml:space="preserve">6.1 </w:t>
      </w:r>
      <w:r>
        <w:rPr>
          <w:rFonts w:ascii="Arial" w:cs="Arial" w:eastAsia="Arial" w:hAnsi="Arial"/>
          <w:sz w:val="21"/>
          <w:szCs w:val="21"/>
          <w:b w:val="1"/>
          <w:bCs w:val="1"/>
          <w:color w:val="auto"/>
        </w:rPr>
        <w:t>Non-Solicitation.</w:t>
      </w:r>
      <w:r>
        <w:rPr>
          <w:rFonts w:ascii="Arial" w:cs="Arial" w:eastAsia="Arial" w:hAnsi="Arial"/>
          <w:sz w:val="21"/>
          <w:szCs w:val="21"/>
          <w:color w:val="auto"/>
        </w:rPr>
        <w:t xml:space="preserve"> During the period beginning on the Effective Date and ending on the second anniversary of the date of Separation from Service, regardless of the reason for Participant’s Separation from Service, the Participant shall not, directly or indirectly:</w:t>
      </w:r>
    </w:p>
    <w:p>
      <w:pPr>
        <w:spacing w:after="0" w:line="192" w:lineRule="exact"/>
        <w:rPr>
          <w:sz w:val="20"/>
          <w:szCs w:val="20"/>
          <w:color w:val="auto"/>
        </w:rPr>
      </w:pPr>
    </w:p>
    <w:p>
      <w:pPr>
        <w:jc w:val="both"/>
        <w:ind w:left="640" w:firstLine="629"/>
        <w:spacing w:after="0" w:line="246" w:lineRule="auto"/>
        <w:rPr>
          <w:sz w:val="20"/>
          <w:szCs w:val="20"/>
          <w:color w:val="auto"/>
        </w:rPr>
      </w:pPr>
      <w:r>
        <w:rPr>
          <w:rFonts w:ascii="Arial" w:cs="Arial" w:eastAsia="Arial" w:hAnsi="Arial"/>
          <w:sz w:val="21"/>
          <w:szCs w:val="21"/>
          <w:color w:val="auto"/>
        </w:rPr>
        <w:t>6.1.1 cause or attempt to cause or encourage any employee of the Company or an Affiliate to terminate his or her relationship with the Company or an Affiliate; or</w:t>
      </w:r>
    </w:p>
    <w:p>
      <w:pPr>
        <w:spacing w:after="0" w:line="187" w:lineRule="exact"/>
        <w:rPr>
          <w:sz w:val="20"/>
          <w:szCs w:val="20"/>
          <w:color w:val="auto"/>
        </w:rPr>
      </w:pPr>
    </w:p>
    <w:p>
      <w:pPr>
        <w:jc w:val="both"/>
        <w:ind w:left="640" w:firstLine="629"/>
        <w:spacing w:after="0" w:line="251" w:lineRule="auto"/>
        <w:rPr>
          <w:sz w:val="20"/>
          <w:szCs w:val="20"/>
          <w:color w:val="auto"/>
        </w:rPr>
      </w:pPr>
      <w:r>
        <w:rPr>
          <w:rFonts w:ascii="Arial" w:cs="Arial" w:eastAsia="Arial" w:hAnsi="Arial"/>
          <w:sz w:val="20"/>
          <w:szCs w:val="20"/>
          <w:color w:val="auto"/>
        </w:rPr>
        <w:t>6.1.2 solicit the employment or engagement as a consultant or adviser, of any employee of the Company or an Affiliate or any former employee of the Company or an Affiliate who left the employ of the Company or Affiliate within two years following your Separation from Service, or cause or attempt to cause any Person to do any of the foregoing.</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 xml:space="preserve">6.2 </w:t>
      </w:r>
      <w:r>
        <w:rPr>
          <w:rFonts w:ascii="Arial" w:cs="Arial" w:eastAsia="Arial" w:hAnsi="Arial"/>
          <w:sz w:val="21"/>
          <w:szCs w:val="21"/>
          <w:b w:val="1"/>
          <w:bCs w:val="1"/>
          <w:color w:val="auto"/>
        </w:rPr>
        <w:t>Reasonableness of Restrictive Covenants.</w:t>
      </w:r>
    </w:p>
    <w:p>
      <w:pPr>
        <w:spacing w:after="0" w:line="223" w:lineRule="exact"/>
        <w:rPr>
          <w:sz w:val="20"/>
          <w:szCs w:val="20"/>
          <w:color w:val="auto"/>
        </w:rPr>
      </w:pPr>
    </w:p>
    <w:p>
      <w:pPr>
        <w:jc w:val="both"/>
        <w:ind w:left="640" w:firstLine="629"/>
        <w:spacing w:after="0" w:line="262" w:lineRule="auto"/>
        <w:rPr>
          <w:sz w:val="20"/>
          <w:szCs w:val="20"/>
          <w:color w:val="auto"/>
        </w:rPr>
      </w:pPr>
      <w:r>
        <w:rPr>
          <w:rFonts w:ascii="Arial" w:cs="Arial" w:eastAsia="Arial" w:hAnsi="Arial"/>
          <w:sz w:val="19"/>
          <w:szCs w:val="19"/>
          <w:color w:val="auto"/>
        </w:rPr>
        <w:t>6.2.1 Participant acknowledges that the covenants contained in this Plan are reasonable in the scope of the activities restricted, the geographic area covered by the restrictions, and the duration of the restrictions, and that such covenants are reasonably necessary to protect the Company’s and its Affiliates’ legitimate interests in their confidential and proprietary information, their proprietary work, and in their relationships with their employees, customers, suppliers and agents.</w:t>
      </w:r>
    </w:p>
    <w:p>
      <w:pPr>
        <w:spacing w:after="0" w:line="174" w:lineRule="exact"/>
        <w:rPr>
          <w:sz w:val="20"/>
          <w:szCs w:val="20"/>
          <w:color w:val="auto"/>
        </w:rPr>
      </w:pPr>
    </w:p>
    <w:p>
      <w:pPr>
        <w:jc w:val="both"/>
        <w:ind w:left="640" w:firstLine="629"/>
        <w:spacing w:after="0" w:line="246" w:lineRule="auto"/>
        <w:rPr>
          <w:sz w:val="20"/>
          <w:szCs w:val="20"/>
          <w:color w:val="auto"/>
        </w:rPr>
      </w:pPr>
      <w:r>
        <w:rPr>
          <w:rFonts w:ascii="Arial" w:cs="Arial" w:eastAsia="Arial" w:hAnsi="Arial"/>
          <w:sz w:val="21"/>
          <w:szCs w:val="21"/>
          <w:color w:val="auto"/>
        </w:rPr>
        <w:t>6.2.2 Participant acknowledges that Participant’s observance of the covenants contained herein will not deprive Participant of the ability to earn a livelihood or to support his or her dependents.</w:t>
      </w:r>
    </w:p>
    <w:p>
      <w:pPr>
        <w:spacing w:after="0" w:line="187" w:lineRule="exact"/>
        <w:rPr>
          <w:sz w:val="20"/>
          <w:szCs w:val="20"/>
          <w:color w:val="auto"/>
        </w:rPr>
      </w:pPr>
    </w:p>
    <w:p>
      <w:pPr>
        <w:jc w:val="both"/>
        <w:ind w:left="640" w:firstLine="629"/>
        <w:spacing w:after="0" w:line="246" w:lineRule="auto"/>
        <w:rPr>
          <w:sz w:val="20"/>
          <w:szCs w:val="20"/>
          <w:color w:val="auto"/>
        </w:rPr>
      </w:pPr>
      <w:r>
        <w:rPr>
          <w:rFonts w:ascii="Arial" w:cs="Arial" w:eastAsia="Arial" w:hAnsi="Arial"/>
          <w:sz w:val="21"/>
          <w:szCs w:val="21"/>
          <w:color w:val="auto"/>
        </w:rPr>
        <w:t>6.2.3 Participant understands he or she is bound by the terms of this Article VI, whether or not Participant receives severance payments under this Plan or otherwise.</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21"/>
          <w:szCs w:val="21"/>
          <w:color w:val="auto"/>
        </w:rPr>
        <w:t xml:space="preserve">6.3 </w:t>
      </w:r>
      <w:r>
        <w:rPr>
          <w:rFonts w:ascii="Arial" w:cs="Arial" w:eastAsia="Arial" w:hAnsi="Arial"/>
          <w:sz w:val="21"/>
          <w:szCs w:val="21"/>
          <w:b w:val="1"/>
          <w:bCs w:val="1"/>
          <w:color w:val="auto"/>
        </w:rPr>
        <w:t>Right to Injunction; Survival of Undertakings.</w:t>
      </w:r>
    </w:p>
    <w:p>
      <w:pPr>
        <w:spacing w:after="0" w:line="223" w:lineRule="exact"/>
        <w:rPr>
          <w:sz w:val="20"/>
          <w:szCs w:val="20"/>
          <w:color w:val="auto"/>
        </w:rPr>
      </w:pPr>
    </w:p>
    <w:p>
      <w:pPr>
        <w:jc w:val="both"/>
        <w:ind w:left="640" w:firstLine="629"/>
        <w:spacing w:after="0" w:line="232" w:lineRule="auto"/>
        <w:rPr>
          <w:sz w:val="20"/>
          <w:szCs w:val="20"/>
          <w:color w:val="auto"/>
        </w:rPr>
      </w:pPr>
      <w:r>
        <w:rPr>
          <w:rFonts w:ascii="Arial" w:cs="Arial" w:eastAsia="Arial" w:hAnsi="Arial"/>
          <w:sz w:val="21"/>
          <w:szCs w:val="21"/>
          <w:color w:val="auto"/>
        </w:rPr>
        <w:t>6.3.1 In recognition of the necessity of the limited restrictions imposed by this Plan, Participant and the Company agree that it would be impossible to measure solely in money the damages which the Company and its Affiliates would suffer if Participant were to breach any of his or her obligations hereunder. Participant acknowledges that any breach of any provision of this Plan would irreparably injure the Company and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w:t>
      </w:r>
    </w:p>
    <w:p>
      <w:pPr>
        <w:sectPr>
          <w:pgSz w:w="11900" w:h="16838" w:orient="portrait"/>
          <w:cols w:equalWidth="0" w:num="1">
            <w:col w:w="11240"/>
          </w:cols>
          <w:pgMar w:left="320" w:top="1377" w:right="339" w:bottom="1440" w:gutter="0" w:footer="0" w:header="0"/>
        </w:sectPr>
      </w:pPr>
    </w:p>
    <w:bookmarkStart w:id="321" w:name="page322"/>
    <w:bookmarkEnd w:id="321"/>
    <w:p>
      <w:pPr>
        <w:jc w:val="both"/>
        <w:ind w:left="640"/>
        <w:spacing w:after="0" w:line="228" w:lineRule="auto"/>
        <w:rPr>
          <w:sz w:val="20"/>
          <w:szCs w:val="20"/>
          <w:color w:val="auto"/>
        </w:rPr>
      </w:pPr>
      <w:r>
        <w:rPr>
          <w:rFonts w:ascii="Arial" w:cs="Arial" w:eastAsia="Arial" w:hAnsi="Arial"/>
          <w:sz w:val="21"/>
          <w:szCs w:val="21"/>
          <w:color w:val="auto"/>
        </w:rPr>
        <w:t>Affiliates. Accordingly, Participant agrees that if he or she breaches any of the provisions of this Plan, the Company and its Affiliates shall be entitled, in addition to any other remedies to which the Company and its Affiliates may be entitled under this Plan or otherwise, to an injunction to be issued by a court of competent jurisdiction, to restrain any breach, or threatened breach, of any provision of this Plan without the necessity of posting a bond or other security therefor, and Participant hereby waives any right to assert any claim or defense that the Company and its Affiliates have an adequate remedy at law for any such breach.</w:t>
      </w:r>
    </w:p>
    <w:p>
      <w:pPr>
        <w:spacing w:after="0" w:line="197" w:lineRule="exact"/>
        <w:rPr>
          <w:sz w:val="20"/>
          <w:szCs w:val="20"/>
          <w:color w:val="auto"/>
        </w:rPr>
      </w:pPr>
    </w:p>
    <w:p>
      <w:pPr>
        <w:jc w:val="both"/>
        <w:ind w:left="640" w:firstLine="629"/>
        <w:spacing w:after="0" w:line="258" w:lineRule="auto"/>
        <w:rPr>
          <w:sz w:val="20"/>
          <w:szCs w:val="20"/>
          <w:color w:val="auto"/>
        </w:rPr>
      </w:pPr>
      <w:r>
        <w:rPr>
          <w:rFonts w:ascii="Arial" w:cs="Arial" w:eastAsia="Arial" w:hAnsi="Arial"/>
          <w:sz w:val="19"/>
          <w:szCs w:val="19"/>
          <w:color w:val="auto"/>
        </w:rPr>
        <w:t>6.3.2 The covenants in this Article VI are severable and separate, and the unenforceability of any specific covenant shall not affect the provisions of any other covenant. In the event any court of competent jurisdiction determines that a covenant included in this Article VI is unenforceable in whole or in part because of such covenant’s duration or geographical or other scope, it is the intention of the Company and the Participant that the court shall modify such restrictions, as the case may be, so as to cause such covenant as so modified to be enforceable, and this Plan shall thereby be reformed.</w:t>
      </w:r>
    </w:p>
    <w:p>
      <w:pPr>
        <w:spacing w:after="0" w:line="176" w:lineRule="exact"/>
        <w:rPr>
          <w:sz w:val="20"/>
          <w:szCs w:val="20"/>
          <w:color w:val="auto"/>
        </w:rPr>
      </w:pPr>
    </w:p>
    <w:p>
      <w:pPr>
        <w:jc w:val="both"/>
        <w:ind w:left="640" w:firstLine="629"/>
        <w:spacing w:after="0" w:line="230" w:lineRule="auto"/>
        <w:rPr>
          <w:sz w:val="20"/>
          <w:szCs w:val="20"/>
          <w:color w:val="auto"/>
        </w:rPr>
      </w:pPr>
      <w:r>
        <w:rPr>
          <w:rFonts w:ascii="Arial" w:cs="Arial" w:eastAsia="Arial" w:hAnsi="Arial"/>
          <w:sz w:val="21"/>
          <w:szCs w:val="21"/>
          <w:color w:val="auto"/>
        </w:rPr>
        <w:t>6.3.3 All of the provisions of this Plan shall survive any Separation from Service of Participant, without regard to the reasons for such termination. Notwithstanding anything to the contrary in this Plan, in addition to any other rights it may have, neither the Company nor any Affiliate shall have any obligation to pay or provide severance or other benefits (except as may be required under ERISA) after the date of Separation from Service if Participant has materially breached any of Participant’s obligations under this Plan.</w:t>
      </w:r>
    </w:p>
    <w:p>
      <w:pPr>
        <w:spacing w:after="0" w:line="194" w:lineRule="exact"/>
        <w:rPr>
          <w:sz w:val="20"/>
          <w:szCs w:val="20"/>
          <w:color w:val="auto"/>
        </w:rPr>
      </w:pPr>
    </w:p>
    <w:p>
      <w:pPr>
        <w:jc w:val="both"/>
        <w:ind w:left="640" w:firstLine="629"/>
        <w:spacing w:after="0" w:line="232" w:lineRule="auto"/>
        <w:rPr>
          <w:sz w:val="20"/>
          <w:szCs w:val="20"/>
          <w:color w:val="auto"/>
        </w:rPr>
      </w:pPr>
      <w:r>
        <w:rPr>
          <w:rFonts w:ascii="Arial" w:cs="Arial" w:eastAsia="Arial" w:hAnsi="Arial"/>
          <w:sz w:val="21"/>
          <w:szCs w:val="21"/>
          <w:color w:val="auto"/>
        </w:rPr>
        <w:t>6.3.4 The covenants in this Article VI shall be construed as an agreement independent of any other provision in this Plan, and the existence of any claim or cause of action of the Participant against the Company or an Affiliate, whether predicated on this Plan, or otherwise, shall not constitute a defense to the enforcement by the Company or an Affiliate of such covenants.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VII. NON-EXCLUSIVITY OF RIGHTS</w:t>
      </w:r>
    </w:p>
    <w:p>
      <w:pPr>
        <w:spacing w:after="0" w:line="217" w:lineRule="exact"/>
        <w:rPr>
          <w:sz w:val="20"/>
          <w:szCs w:val="20"/>
          <w:color w:val="auto"/>
        </w:rPr>
      </w:pPr>
    </w:p>
    <w:p>
      <w:pPr>
        <w:jc w:val="both"/>
        <w:ind w:firstLine="629"/>
        <w:spacing w:after="0" w:line="239" w:lineRule="auto"/>
        <w:rPr>
          <w:sz w:val="20"/>
          <w:szCs w:val="20"/>
          <w:color w:val="auto"/>
        </w:rPr>
      </w:pPr>
      <w:r>
        <w:rPr>
          <w:rFonts w:ascii="Arial" w:cs="Arial" w:eastAsia="Arial" w:hAnsi="Arial"/>
          <w:sz w:val="20"/>
          <w:szCs w:val="20"/>
          <w:color w:val="auto"/>
        </w:rPr>
        <w:t xml:space="preserve">7.1 </w:t>
      </w:r>
      <w:r>
        <w:rPr>
          <w:rFonts w:ascii="Arial" w:cs="Arial" w:eastAsia="Arial" w:hAnsi="Arial"/>
          <w:sz w:val="20"/>
          <w:szCs w:val="20"/>
          <w:b w:val="1"/>
          <w:bCs w:val="1"/>
          <w:color w:val="auto"/>
        </w:rPr>
        <w:t>Waiver of Certain Other Rights.</w:t>
      </w:r>
      <w:r>
        <w:rPr>
          <w:rFonts w:ascii="Arial" w:cs="Arial" w:eastAsia="Arial" w:hAnsi="Arial"/>
          <w:sz w:val="20"/>
          <w:szCs w:val="20"/>
          <w:color w:val="auto"/>
        </w:rPr>
        <w:t xml:space="preserve"> To the extent that Participant shall have received severance payments or other severance benefits under any other plan, program, policy, practice or procedure or agreement of the Company or any Affiliate prior to receiving severance payments or other severance benefits pursuant to Article III, the severance payments or other severance benefits under such other plan, program, policy, practice or procedure or agreement shall reduce (but not below zero) the corresponding severance payments or other benefits to which Participant shall be entitled under Article III. To the extent that Participant accepts payments made pursuant to Article III, the Participant shall be deemed to have waived his or her right to receive a corresponding amount of future severance payments or other severance benefits under any other plan, program, policy, practice or procedure or agreement of the Company or any Affiliate.</w:t>
      </w:r>
    </w:p>
    <w:p>
      <w:pPr>
        <w:spacing w:after="0" w:line="187" w:lineRule="exact"/>
        <w:rPr>
          <w:sz w:val="20"/>
          <w:szCs w:val="20"/>
          <w:color w:val="auto"/>
        </w:rPr>
      </w:pPr>
    </w:p>
    <w:p>
      <w:pPr>
        <w:jc w:val="both"/>
        <w:ind w:firstLine="629"/>
        <w:spacing w:after="0" w:line="252" w:lineRule="auto"/>
        <w:rPr>
          <w:sz w:val="20"/>
          <w:szCs w:val="20"/>
          <w:color w:val="auto"/>
        </w:rPr>
      </w:pPr>
      <w:r>
        <w:rPr>
          <w:rFonts w:ascii="Arial" w:cs="Arial" w:eastAsia="Arial" w:hAnsi="Arial"/>
          <w:sz w:val="21"/>
          <w:szCs w:val="21"/>
          <w:color w:val="auto"/>
        </w:rPr>
        <w:t xml:space="preserve">7.2 </w:t>
      </w:r>
      <w:r>
        <w:rPr>
          <w:rFonts w:ascii="Arial" w:cs="Arial" w:eastAsia="Arial" w:hAnsi="Arial"/>
          <w:sz w:val="21"/>
          <w:szCs w:val="21"/>
          <w:b w:val="1"/>
          <w:bCs w:val="1"/>
          <w:color w:val="auto"/>
        </w:rPr>
        <w:t>Other Rights.</w:t>
      </w:r>
      <w:r>
        <w:rPr>
          <w:rFonts w:ascii="Arial" w:cs="Arial" w:eastAsia="Arial" w:hAnsi="Arial"/>
          <w:sz w:val="21"/>
          <w:szCs w:val="21"/>
          <w:color w:val="auto"/>
        </w:rPr>
        <w:t xml:space="preserve"> Except as expressly provided in this Plan, the Participant’s participation in the Plan shall not prevent or limit Participant’s continuing or future participation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11</w:t>
      </w:r>
    </w:p>
    <w:p>
      <w:pPr>
        <w:sectPr>
          <w:pgSz w:w="11900" w:h="16838" w:orient="portrait"/>
          <w:cols w:equalWidth="0" w:num="1">
            <w:col w:w="11240"/>
          </w:cols>
          <w:pgMar w:left="320" w:top="1377" w:right="339" w:bottom="1440" w:gutter="0" w:footer="0" w:header="0"/>
        </w:sectPr>
      </w:pPr>
    </w:p>
    <w:bookmarkStart w:id="322" w:name="page323"/>
    <w:bookmarkEnd w:id="322"/>
    <w:p>
      <w:pPr>
        <w:jc w:val="both"/>
        <w:spacing w:after="0" w:line="228" w:lineRule="auto"/>
        <w:rPr>
          <w:sz w:val="20"/>
          <w:szCs w:val="20"/>
          <w:color w:val="auto"/>
        </w:rPr>
      </w:pPr>
      <w:r>
        <w:rPr>
          <w:rFonts w:ascii="Arial" w:cs="Arial" w:eastAsia="Arial" w:hAnsi="Arial"/>
          <w:sz w:val="21"/>
          <w:szCs w:val="21"/>
          <w:color w:val="auto"/>
        </w:rPr>
        <w:t>in any benefit, bonus, incentive or other plan, program, policy, practice or procedure provided by the Company or any Affiliate and for which Participant may qualify, nor shall this Plan limit or otherwise affect such rights as Participant may have under any other plans with the Company or any Affiliate. Amounts that are vested benefits or that Participant is otherwise entitled to receive under any plan, program, policy, practice or procedure and any other payment or benefit required by law at or after the date of Separation from Service shall be payable in accordance with such plan, program, policy, practice or procedure or applicable law except as expressly modified by this Plan.</w:t>
      </w:r>
    </w:p>
    <w:p>
      <w:pPr>
        <w:spacing w:after="0" w:line="191" w:lineRule="exact"/>
        <w:rPr>
          <w:sz w:val="20"/>
          <w:szCs w:val="20"/>
          <w:color w:val="auto"/>
        </w:rPr>
      </w:pPr>
    </w:p>
    <w:p>
      <w:pPr>
        <w:jc w:val="both"/>
        <w:ind w:firstLine="629"/>
        <w:spacing w:after="0" w:line="238" w:lineRule="auto"/>
        <w:rPr>
          <w:sz w:val="20"/>
          <w:szCs w:val="20"/>
          <w:color w:val="auto"/>
        </w:rPr>
      </w:pPr>
      <w:r>
        <w:rPr>
          <w:rFonts w:ascii="Arial" w:cs="Arial" w:eastAsia="Arial" w:hAnsi="Arial"/>
          <w:sz w:val="21"/>
          <w:szCs w:val="21"/>
          <w:color w:val="auto"/>
        </w:rPr>
        <w:t xml:space="preserve">7.3 </w:t>
      </w:r>
      <w:r>
        <w:rPr>
          <w:rFonts w:ascii="Arial" w:cs="Arial" w:eastAsia="Arial" w:hAnsi="Arial"/>
          <w:sz w:val="21"/>
          <w:szCs w:val="21"/>
          <w:b w:val="1"/>
          <w:bCs w:val="1"/>
          <w:color w:val="auto"/>
        </w:rPr>
        <w:t>No Right to Continued Employment.</w:t>
      </w:r>
      <w:r>
        <w:rPr>
          <w:rFonts w:ascii="Arial" w:cs="Arial" w:eastAsia="Arial" w:hAnsi="Arial"/>
          <w:sz w:val="21"/>
          <w:szCs w:val="21"/>
          <w:color w:val="auto"/>
        </w:rPr>
        <w:t xml:space="preserve"> Nothing in this Plan shall guarantee the right of Participant to continue in employment, and the Company and the Employer retain the right to terminate Participant’s employment at any time for any reason or for no reason.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VIII. PARTICIPATING EMPLOYERS</w:t>
      </w:r>
    </w:p>
    <w:p>
      <w:pPr>
        <w:spacing w:after="0" w:line="223" w:lineRule="exact"/>
        <w:rPr>
          <w:sz w:val="20"/>
          <w:szCs w:val="20"/>
          <w:color w:val="auto"/>
        </w:rPr>
      </w:pPr>
    </w:p>
    <w:p>
      <w:pPr>
        <w:jc w:val="both"/>
        <w:ind w:firstLine="629"/>
        <w:spacing w:after="0" w:line="232" w:lineRule="auto"/>
        <w:rPr>
          <w:sz w:val="20"/>
          <w:szCs w:val="20"/>
          <w:color w:val="auto"/>
        </w:rPr>
      </w:pPr>
      <w:r>
        <w:rPr>
          <w:rFonts w:ascii="Arial" w:cs="Arial" w:eastAsia="Arial" w:hAnsi="Arial"/>
          <w:sz w:val="21"/>
          <w:szCs w:val="21"/>
          <w:color w:val="auto"/>
        </w:rPr>
        <w:t>Upon the selection by the Board of an employee of any Subsidiary to be a Participant in this Plan, the Subsidiary shall become an Employer and the provisions of the Plan shall be fully applicable to the Employees of that Subsidiary who are designated Participants by the Board. This Plan establishes and vests in each Participant a contractual right to the relevant benefits hereunder, enforceable by the Participant against the Participant’s Employer.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IX. SUCCESSOR TO EMPLOYER</w:t>
      </w:r>
    </w:p>
    <w:p>
      <w:pPr>
        <w:spacing w:after="0" w:line="223" w:lineRule="exact"/>
        <w:rPr>
          <w:sz w:val="20"/>
          <w:szCs w:val="20"/>
          <w:color w:val="auto"/>
        </w:rPr>
      </w:pPr>
    </w:p>
    <w:p>
      <w:pPr>
        <w:jc w:val="both"/>
        <w:ind w:firstLine="629"/>
        <w:spacing w:after="0" w:line="268" w:lineRule="auto"/>
        <w:rPr>
          <w:sz w:val="20"/>
          <w:szCs w:val="20"/>
          <w:color w:val="auto"/>
        </w:rPr>
      </w:pPr>
      <w:r>
        <w:rPr>
          <w:rFonts w:ascii="Arial" w:cs="Arial" w:eastAsia="Arial" w:hAnsi="Arial"/>
          <w:sz w:val="18"/>
          <w:szCs w:val="18"/>
          <w:color w:val="auto"/>
        </w:rPr>
        <w:t>This Plan shall bind any successor (whether direct or indirect, by purchase, merger, consolidation or otherwise) which becomes such after a Change of Control has occurred in the same manner and to the same extent that the Employer would be obligated under this Plan if no succession had taken place. In the case of any transaction in which a successor (which becomes such after a Change of Control has occurred) would not by the foregoing provision or by operation of law be bound by this Plan, the Employer shall require such successor expressly and unconditionally to assume and agree to perform the Employer’s obligations under this Plan, in the same manner and to the same extent that the Employer would be required to perform if no such succession had taken place. The terms “Company” and “Employer,” as used in this Plan, shall mean the Company or an Employer, respectively, as hereinbefore defined and any successor or assignee to the business or assets which by reason hereof becomes bound by this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12</w:t>
      </w:r>
    </w:p>
    <w:p>
      <w:pPr>
        <w:sectPr>
          <w:pgSz w:w="11900" w:h="16838" w:orient="portrait"/>
          <w:cols w:equalWidth="0" w:num="1">
            <w:col w:w="11240"/>
          </w:cols>
          <w:pgMar w:left="320" w:top="1376" w:right="339" w:bottom="1440" w:gutter="0" w:footer="0" w:header="0"/>
        </w:sectPr>
      </w:pPr>
    </w:p>
    <w:bookmarkStart w:id="323" w:name="page324"/>
    <w:bookmarkEnd w:id="323"/>
    <w:p>
      <w:pPr>
        <w:jc w:val="center"/>
        <w:spacing w:after="0"/>
        <w:rPr>
          <w:sz w:val="20"/>
          <w:szCs w:val="20"/>
          <w:color w:val="auto"/>
        </w:rPr>
      </w:pPr>
      <w:r>
        <w:rPr>
          <w:rFonts w:ascii="Arial" w:cs="Arial" w:eastAsia="Arial" w:hAnsi="Arial"/>
          <w:sz w:val="21"/>
          <w:szCs w:val="21"/>
          <w:b w:val="1"/>
          <w:bCs w:val="1"/>
          <w:color w:val="auto"/>
        </w:rPr>
        <w:t>ARTICLE X. DURATION AND AMENDMENT</w:t>
      </w:r>
    </w:p>
    <w:p>
      <w:pPr>
        <w:spacing w:after="0" w:line="217" w:lineRule="exact"/>
        <w:rPr>
          <w:sz w:val="20"/>
          <w:szCs w:val="20"/>
          <w:color w:val="auto"/>
        </w:rPr>
      </w:pPr>
    </w:p>
    <w:p>
      <w:pPr>
        <w:jc w:val="both"/>
        <w:ind w:firstLine="629"/>
        <w:spacing w:after="0" w:line="236" w:lineRule="auto"/>
        <w:rPr>
          <w:sz w:val="20"/>
          <w:szCs w:val="20"/>
          <w:color w:val="auto"/>
        </w:rPr>
      </w:pPr>
      <w:r>
        <w:rPr>
          <w:rFonts w:ascii="Arial" w:cs="Arial" w:eastAsia="Arial" w:hAnsi="Arial"/>
          <w:sz w:val="20"/>
          <w:szCs w:val="20"/>
          <w:color w:val="auto"/>
        </w:rPr>
        <w:t xml:space="preserve">10.1 </w:t>
      </w:r>
      <w:r>
        <w:rPr>
          <w:rFonts w:ascii="Arial" w:cs="Arial" w:eastAsia="Arial" w:hAnsi="Arial"/>
          <w:sz w:val="20"/>
          <w:szCs w:val="20"/>
          <w:b w:val="1"/>
          <w:bCs w:val="1"/>
          <w:color w:val="auto"/>
        </w:rPr>
        <w:t>Duration.</w:t>
      </w:r>
      <w:r>
        <w:rPr>
          <w:rFonts w:ascii="Arial" w:cs="Arial" w:eastAsia="Arial" w:hAnsi="Arial"/>
          <w:sz w:val="20"/>
          <w:szCs w:val="20"/>
          <w:color w:val="auto"/>
        </w:rPr>
        <w:t xml:space="preserve"> The initial term of the Plan shall be the period beginning on the Effective Date and ending on (and including) December 31, 2021. Beginning on the last day of such initial term, and on each successive anniversary of such date, the term of the Plan shall be extended automatically for an additional successive one (1)-year term; provided, however, that if, at least three (3) months prior to the last day of any such term, the Company shall give to the Participants written notice that no such automatic extension shall occur, then this Plan shall terminate on the last day of such term. This Plan shall remain in effect until so terminated by the Company. Failure of the Company to provide the required notice to Participants shall be considered as an extension of this Plan for an additional one (1)-year term. Notwithstanding anything to the contrary contained in this “sunset provision,” if a Change of Control occurs while this Plan is in effect, then this Plan shall not be subject to termination under this “sunset provision,” and this Plan shall remain in force for a period of two (2) years after such Change of Control, and if within said two (2)-year period the contingency factors occur which would entitle a Participant to the benefits as provided herein, then this Plan shall remain in effect in accordance with its terms. If, within such two (2) years after a Change of Control, the contingency factors that would entitle a Participant to benefits do not occur, thereupon this Plan shall terminate at the expiration of two (2) years after such Change of Control.</w:t>
      </w:r>
    </w:p>
    <w:p>
      <w:pPr>
        <w:spacing w:after="0" w:line="194" w:lineRule="exact"/>
        <w:rPr>
          <w:sz w:val="20"/>
          <w:szCs w:val="20"/>
          <w:color w:val="auto"/>
        </w:rPr>
      </w:pPr>
    </w:p>
    <w:p>
      <w:pPr>
        <w:jc w:val="both"/>
        <w:ind w:firstLine="629"/>
        <w:spacing w:after="0" w:line="250" w:lineRule="auto"/>
        <w:rPr>
          <w:sz w:val="20"/>
          <w:szCs w:val="20"/>
          <w:color w:val="auto"/>
        </w:rPr>
      </w:pPr>
      <w:r>
        <w:rPr>
          <w:rFonts w:ascii="Arial" w:cs="Arial" w:eastAsia="Arial" w:hAnsi="Arial"/>
          <w:sz w:val="19"/>
          <w:szCs w:val="19"/>
          <w:color w:val="auto"/>
        </w:rPr>
        <w:t xml:space="preserve">10.2 </w:t>
      </w:r>
      <w:r>
        <w:rPr>
          <w:rFonts w:ascii="Arial" w:cs="Arial" w:eastAsia="Arial" w:hAnsi="Arial"/>
          <w:sz w:val="19"/>
          <w:szCs w:val="19"/>
          <w:b w:val="1"/>
          <w:bCs w:val="1"/>
          <w:color w:val="auto"/>
        </w:rPr>
        <w:t>Amendment.</w:t>
      </w:r>
      <w:r>
        <w:rPr>
          <w:rFonts w:ascii="Arial" w:cs="Arial" w:eastAsia="Arial" w:hAnsi="Arial"/>
          <w:sz w:val="19"/>
          <w:szCs w:val="19"/>
          <w:color w:val="auto"/>
        </w:rPr>
        <w:t xml:space="preserve"> The Plan may not be amended except for: (i) an amendment that increases the benefits payable under the Plan or otherwise constitutes a bona fide improvement of a Participant’s rights under the Plan, or (ii) an amendment which decreases the benefits of a Participant that is consented to in writing by such Participant or that is required in order for the Plan to comply with applicable law or regulation. The parties intend that all payments and reimbursements made under this Plan be excepted from Section 409A of the Code, and the regulations and other guidance promulgated thereunder (collectively, “Section 409A”) and, if not excepted, be compliant with Section 409A. Accordingly, in the event of any ambiguity in this Plan, this Plan shall be interpreted and administered so as to be excepted from or, if not excepted from, compliant with, Section 409A to the fullest extent possible. In the event the Company determines that a payment or reimbursement or a series of payments or reimbursements is neither excepted from nor compliant with 409A, notwithstanding anything in this Plan to the contrary, the Company shall have the unilateral right to modify or amend this Plan as it deems reasonably appropriate with respect to Section 409A and other applicable law to render such payment excepted or compliant so as, to the extent possible, to avoid any adverse tax consequences to either the Company, any Affiliate or the Participants. Each payment under this Plan shall be deemed a separate payment for purposes of Section 409A.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13</w:t>
      </w:r>
    </w:p>
    <w:p>
      <w:pPr>
        <w:sectPr>
          <w:pgSz w:w="11900" w:h="16838" w:orient="portrait"/>
          <w:cols w:equalWidth="0" w:num="1">
            <w:col w:w="11240"/>
          </w:cols>
          <w:pgMar w:left="320" w:top="1371" w:right="339" w:bottom="1440" w:gutter="0" w:footer="0" w:header="0"/>
        </w:sectPr>
      </w:pPr>
    </w:p>
    <w:bookmarkStart w:id="324" w:name="page325"/>
    <w:bookmarkEnd w:id="324"/>
    <w:p>
      <w:pPr>
        <w:jc w:val="both"/>
        <w:ind w:firstLine="629"/>
        <w:spacing w:after="0" w:line="238" w:lineRule="auto"/>
        <w:rPr>
          <w:sz w:val="20"/>
          <w:szCs w:val="20"/>
          <w:color w:val="auto"/>
        </w:rPr>
      </w:pPr>
      <w:r>
        <w:rPr>
          <w:rFonts w:ascii="Arial" w:cs="Arial" w:eastAsia="Arial" w:hAnsi="Arial"/>
          <w:sz w:val="21"/>
          <w:szCs w:val="21"/>
          <w:color w:val="auto"/>
        </w:rPr>
        <w:t xml:space="preserve">10.3 </w:t>
      </w:r>
      <w:r>
        <w:rPr>
          <w:rFonts w:ascii="Arial" w:cs="Arial" w:eastAsia="Arial" w:hAnsi="Arial"/>
          <w:sz w:val="21"/>
          <w:szCs w:val="21"/>
          <w:b w:val="1"/>
          <w:bCs w:val="1"/>
          <w:color w:val="auto"/>
        </w:rPr>
        <w:t>Notices.</w:t>
      </w:r>
      <w:r>
        <w:rPr>
          <w:rFonts w:ascii="Arial" w:cs="Arial" w:eastAsia="Arial" w:hAnsi="Arial"/>
          <w:sz w:val="21"/>
          <w:szCs w:val="21"/>
          <w:color w:val="auto"/>
        </w:rPr>
        <w:t xml:space="preserve"> All notices and other communications under this Plan shall be in writing and delivered by hand, by a nationally recognized delivery service that promises overnight delivery, or by first-class registered or certified mail, return receipt requested, postage prepaid, addressed as follows:</w:t>
      </w:r>
    </w:p>
    <w:p>
      <w:pPr>
        <w:spacing w:after="0" w:line="192" w:lineRule="exact"/>
        <w:rPr>
          <w:sz w:val="20"/>
          <w:szCs w:val="20"/>
          <w:color w:val="auto"/>
        </w:rPr>
      </w:pPr>
    </w:p>
    <w:p>
      <w:pPr>
        <w:ind w:left="1820"/>
        <w:spacing w:after="0"/>
        <w:rPr>
          <w:sz w:val="20"/>
          <w:szCs w:val="20"/>
          <w:color w:val="auto"/>
        </w:rPr>
      </w:pPr>
      <w:r>
        <w:rPr>
          <w:rFonts w:ascii="Arial" w:cs="Arial" w:eastAsia="Arial" w:hAnsi="Arial"/>
          <w:sz w:val="21"/>
          <w:szCs w:val="21"/>
          <w:color w:val="auto"/>
        </w:rPr>
        <w:t>If to Participant:</w:t>
      </w:r>
    </w:p>
    <w:p>
      <w:pPr>
        <w:spacing w:after="0" w:line="217" w:lineRule="exact"/>
        <w:rPr>
          <w:sz w:val="20"/>
          <w:szCs w:val="20"/>
          <w:color w:val="auto"/>
        </w:rPr>
      </w:pPr>
    </w:p>
    <w:p>
      <w:pPr>
        <w:ind w:left="1900"/>
        <w:spacing w:after="0"/>
        <w:rPr>
          <w:sz w:val="20"/>
          <w:szCs w:val="20"/>
          <w:color w:val="auto"/>
        </w:rPr>
      </w:pPr>
      <w:r>
        <w:rPr>
          <w:rFonts w:ascii="Arial" w:cs="Arial" w:eastAsia="Arial" w:hAnsi="Arial"/>
          <w:sz w:val="21"/>
          <w:szCs w:val="21"/>
          <w:color w:val="auto"/>
        </w:rPr>
        <w:t>to Participant at his or her most recent home address on file with the Company.</w:t>
      </w:r>
    </w:p>
    <w:p>
      <w:pPr>
        <w:spacing w:after="0" w:line="217" w:lineRule="exact"/>
        <w:rPr>
          <w:sz w:val="20"/>
          <w:szCs w:val="20"/>
          <w:color w:val="auto"/>
        </w:rPr>
      </w:pPr>
    </w:p>
    <w:p>
      <w:pPr>
        <w:ind w:left="1820"/>
        <w:spacing w:after="0"/>
        <w:rPr>
          <w:sz w:val="20"/>
          <w:szCs w:val="20"/>
          <w:color w:val="auto"/>
        </w:rPr>
      </w:pPr>
      <w:r>
        <w:rPr>
          <w:rFonts w:ascii="Arial" w:cs="Arial" w:eastAsia="Arial" w:hAnsi="Arial"/>
          <w:sz w:val="21"/>
          <w:szCs w:val="21"/>
          <w:color w:val="auto"/>
        </w:rPr>
        <w:t>If to the Company or the Employer:</w:t>
      </w:r>
    </w:p>
    <w:p>
      <w:pPr>
        <w:spacing w:after="0" w:line="217" w:lineRule="exact"/>
        <w:rPr>
          <w:sz w:val="20"/>
          <w:szCs w:val="20"/>
          <w:color w:val="auto"/>
        </w:rPr>
      </w:pPr>
    </w:p>
    <w:p>
      <w:pPr>
        <w:ind w:left="1820"/>
        <w:spacing w:after="0"/>
        <w:rPr>
          <w:sz w:val="20"/>
          <w:szCs w:val="20"/>
          <w:color w:val="auto"/>
        </w:rPr>
      </w:pPr>
      <w:r>
        <w:rPr>
          <w:rFonts w:ascii="Arial" w:cs="Arial" w:eastAsia="Arial" w:hAnsi="Arial"/>
          <w:sz w:val="21"/>
          <w:szCs w:val="21"/>
          <w:color w:val="auto"/>
        </w:rPr>
        <w:t>Matrix Service Company</w:t>
      </w:r>
    </w:p>
    <w:p>
      <w:pPr>
        <w:ind w:left="1820"/>
        <w:spacing w:after="0" w:line="221" w:lineRule="auto"/>
        <w:rPr>
          <w:sz w:val="20"/>
          <w:szCs w:val="20"/>
          <w:color w:val="auto"/>
        </w:rPr>
      </w:pPr>
      <w:r>
        <w:rPr>
          <w:rFonts w:ascii="Arial" w:cs="Arial" w:eastAsia="Arial" w:hAnsi="Arial"/>
          <w:sz w:val="21"/>
          <w:szCs w:val="21"/>
          <w:color w:val="auto"/>
        </w:rPr>
        <w:t>5100 E. Skelly Drive, Suite 100</w:t>
      </w:r>
    </w:p>
    <w:p>
      <w:pPr>
        <w:spacing w:after="0" w:line="1" w:lineRule="exact"/>
        <w:rPr>
          <w:sz w:val="20"/>
          <w:szCs w:val="20"/>
          <w:color w:val="auto"/>
        </w:rPr>
      </w:pPr>
    </w:p>
    <w:p>
      <w:pPr>
        <w:ind w:left="1820"/>
        <w:spacing w:after="0"/>
        <w:rPr>
          <w:sz w:val="20"/>
          <w:szCs w:val="20"/>
          <w:color w:val="auto"/>
        </w:rPr>
      </w:pPr>
      <w:r>
        <w:rPr>
          <w:rFonts w:ascii="Arial" w:cs="Arial" w:eastAsia="Arial" w:hAnsi="Arial"/>
          <w:sz w:val="21"/>
          <w:szCs w:val="21"/>
          <w:color w:val="auto"/>
        </w:rPr>
        <w:t>Tulsa, OK 74135</w:t>
      </w:r>
    </w:p>
    <w:p>
      <w:pPr>
        <w:spacing w:after="0" w:line="199" w:lineRule="exact"/>
        <w:rPr>
          <w:sz w:val="20"/>
          <w:szCs w:val="20"/>
          <w:color w:val="auto"/>
        </w:rPr>
      </w:pPr>
    </w:p>
    <w:p>
      <w:pPr>
        <w:ind w:left="1820"/>
        <w:spacing w:after="0"/>
        <w:rPr>
          <w:sz w:val="20"/>
          <w:szCs w:val="20"/>
          <w:color w:val="auto"/>
        </w:rPr>
      </w:pPr>
      <w:r>
        <w:rPr>
          <w:rFonts w:ascii="Arial" w:cs="Arial" w:eastAsia="Arial" w:hAnsi="Arial"/>
          <w:sz w:val="21"/>
          <w:szCs w:val="21"/>
          <w:color w:val="auto"/>
        </w:rPr>
        <w:t>Attention: General Counsel</w:t>
      </w:r>
    </w:p>
    <w:p>
      <w:pPr>
        <w:spacing w:after="0" w:line="213"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or to such other address as either party shall have furnished to the other in writing</w:t>
      </w:r>
      <w:r>
        <w:rPr>
          <w:rFonts w:ascii="Arial" w:cs="Arial" w:eastAsia="Arial" w:hAnsi="Arial"/>
          <w:sz w:val="22"/>
          <w:szCs w:val="22"/>
          <w:color w:val="auto"/>
        </w:rPr>
        <w:t>.</w:t>
      </w:r>
      <w:r>
        <w:rPr>
          <w:rFonts w:ascii="Arial" w:cs="Arial" w:eastAsia="Arial" w:hAnsi="Arial"/>
          <w:sz w:val="21"/>
          <w:szCs w:val="21"/>
          <w:color w:val="auto"/>
        </w:rPr>
        <w:t xml:space="preserve"> Notice and communications shall be effective when actually received by the addressee.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XI. ADMINISTRATION</w:t>
      </w:r>
    </w:p>
    <w:p>
      <w:pPr>
        <w:spacing w:after="0" w:line="217" w:lineRule="exact"/>
        <w:rPr>
          <w:sz w:val="20"/>
          <w:szCs w:val="20"/>
          <w:color w:val="auto"/>
        </w:rPr>
      </w:pPr>
    </w:p>
    <w:p>
      <w:pPr>
        <w:jc w:val="both"/>
        <w:ind w:firstLine="566"/>
        <w:spacing w:after="0" w:line="264" w:lineRule="auto"/>
        <w:rPr>
          <w:sz w:val="20"/>
          <w:szCs w:val="20"/>
          <w:color w:val="auto"/>
        </w:rPr>
      </w:pPr>
      <w:r>
        <w:rPr>
          <w:rFonts w:ascii="Arial" w:cs="Arial" w:eastAsia="Arial" w:hAnsi="Arial"/>
          <w:sz w:val="19"/>
          <w:szCs w:val="19"/>
          <w:color w:val="auto"/>
        </w:rPr>
        <w:t xml:space="preserve">11.1 </w:t>
      </w:r>
      <w:r>
        <w:rPr>
          <w:rFonts w:ascii="Arial" w:cs="Arial" w:eastAsia="Arial" w:hAnsi="Arial"/>
          <w:sz w:val="19"/>
          <w:szCs w:val="19"/>
          <w:b w:val="1"/>
          <w:bCs w:val="1"/>
          <w:color w:val="auto"/>
        </w:rPr>
        <w:t>Fiduciaries.</w:t>
      </w:r>
      <w:r>
        <w:rPr>
          <w:rFonts w:ascii="Arial" w:cs="Arial" w:eastAsia="Arial" w:hAnsi="Arial"/>
          <w:sz w:val="19"/>
          <w:szCs w:val="19"/>
          <w:color w:val="auto"/>
        </w:rPr>
        <w:t xml:space="preserve"> Under certain circumstances, the Board or the Committee may be determined by a court of law to be a fiduciary with respect to a particular action under the Plan. As authorized by ERISA, to prevent any two parties to the Plan from being deemed co-fiduciaries with respect to a particular function, the Plan is intended, and should be construed, to allocate to each party to the Plan only those specific powers, duties, responsibilities, and obligations as are specifically granted to it under the Plan.</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21"/>
          <w:szCs w:val="21"/>
          <w:color w:val="auto"/>
        </w:rPr>
        <w:t xml:space="preserve">11.2 </w:t>
      </w:r>
      <w:r>
        <w:rPr>
          <w:rFonts w:ascii="Arial" w:cs="Arial" w:eastAsia="Arial" w:hAnsi="Arial"/>
          <w:sz w:val="21"/>
          <w:szCs w:val="21"/>
          <w:b w:val="1"/>
          <w:bCs w:val="1"/>
          <w:color w:val="auto"/>
        </w:rPr>
        <w:t>Allocation of Responsibilities</w:t>
      </w:r>
      <w:r>
        <w:rPr>
          <w:rFonts w:ascii="Arial" w:cs="Arial" w:eastAsia="Arial" w:hAnsi="Arial"/>
          <w:sz w:val="21"/>
          <w:szCs w:val="21"/>
          <w:color w:val="auto"/>
        </w:rPr>
        <w:t>.</w:t>
      </w:r>
    </w:p>
    <w:p>
      <w:pPr>
        <w:spacing w:after="0" w:line="204" w:lineRule="exact"/>
        <w:rPr>
          <w:sz w:val="20"/>
          <w:szCs w:val="20"/>
          <w:color w:val="auto"/>
        </w:rPr>
      </w:pPr>
    </w:p>
    <w:p>
      <w:pPr>
        <w:ind w:left="1260"/>
        <w:spacing w:after="0"/>
        <w:rPr>
          <w:sz w:val="20"/>
          <w:szCs w:val="20"/>
          <w:color w:val="auto"/>
        </w:rPr>
      </w:pPr>
      <w:r>
        <w:rPr>
          <w:rFonts w:ascii="Arial" w:cs="Arial" w:eastAsia="Arial" w:hAnsi="Arial"/>
          <w:sz w:val="21"/>
          <w:szCs w:val="21"/>
          <w:color w:val="auto"/>
        </w:rPr>
        <w:t xml:space="preserve">11.2.1 </w:t>
      </w:r>
      <w:r>
        <w:rPr>
          <w:rFonts w:ascii="Arial" w:cs="Arial" w:eastAsia="Arial" w:hAnsi="Arial"/>
          <w:sz w:val="21"/>
          <w:szCs w:val="21"/>
          <w:b w:val="1"/>
          <w:bCs w:val="1"/>
          <w:color w:val="auto"/>
        </w:rPr>
        <w:t>Board of Directors.</w:t>
      </w:r>
      <w:r>
        <w:rPr>
          <w:rFonts w:ascii="Arial" w:cs="Arial" w:eastAsia="Arial" w:hAnsi="Arial"/>
          <w:sz w:val="21"/>
          <w:szCs w:val="21"/>
          <w:color w:val="auto"/>
        </w:rPr>
        <w:t xml:space="preserve"> The Board shall have exclusive authority and responsibility for:</w:t>
      </w:r>
    </w:p>
    <w:p>
      <w:pPr>
        <w:spacing w:after="0" w:line="223" w:lineRule="exact"/>
        <w:rPr>
          <w:sz w:val="20"/>
          <w:szCs w:val="20"/>
          <w:color w:val="auto"/>
        </w:rPr>
      </w:pPr>
    </w:p>
    <w:p>
      <w:pPr>
        <w:ind w:left="2140" w:hanging="247"/>
        <w:spacing w:after="0"/>
        <w:tabs>
          <w:tab w:leader="none" w:pos="2140" w:val="left"/>
        </w:tabs>
        <w:numPr>
          <w:ilvl w:val="0"/>
          <w:numId w:val="316"/>
        </w:numPr>
        <w:rPr>
          <w:rFonts w:ascii="Arial" w:cs="Arial" w:eastAsia="Arial" w:hAnsi="Arial"/>
          <w:sz w:val="21"/>
          <w:szCs w:val="21"/>
          <w:color w:val="auto"/>
        </w:rPr>
      </w:pPr>
      <w:r>
        <w:rPr>
          <w:rFonts w:ascii="Arial" w:cs="Arial" w:eastAsia="Arial" w:hAnsi="Arial"/>
          <w:sz w:val="21"/>
          <w:szCs w:val="21"/>
          <w:color w:val="auto"/>
        </w:rPr>
        <w:t>The amendment or termination of this Plan in accordance with Sections 10.1 and 10.2; and</w:t>
      </w:r>
    </w:p>
    <w:p>
      <w:pPr>
        <w:spacing w:after="0" w:line="217" w:lineRule="exact"/>
        <w:rPr>
          <w:rFonts w:ascii="Arial" w:cs="Arial" w:eastAsia="Arial" w:hAnsi="Arial"/>
          <w:sz w:val="21"/>
          <w:szCs w:val="21"/>
          <w:color w:val="auto"/>
        </w:rPr>
      </w:pPr>
    </w:p>
    <w:p>
      <w:pPr>
        <w:ind w:left="2200" w:hanging="307"/>
        <w:spacing w:after="0"/>
        <w:tabs>
          <w:tab w:leader="none" w:pos="2200" w:val="left"/>
        </w:tabs>
        <w:numPr>
          <w:ilvl w:val="0"/>
          <w:numId w:val="316"/>
        </w:numPr>
        <w:rPr>
          <w:rFonts w:ascii="Arial" w:cs="Arial" w:eastAsia="Arial" w:hAnsi="Arial"/>
          <w:sz w:val="21"/>
          <w:szCs w:val="21"/>
          <w:color w:val="auto"/>
        </w:rPr>
      </w:pPr>
      <w:r>
        <w:rPr>
          <w:rFonts w:ascii="Arial" w:cs="Arial" w:eastAsia="Arial" w:hAnsi="Arial"/>
          <w:sz w:val="21"/>
          <w:szCs w:val="21"/>
          <w:color w:val="auto"/>
        </w:rPr>
        <w:t>The delegation to the Committee of any authority and responsibility reserved herein to the Board.</w:t>
      </w:r>
    </w:p>
    <w:p>
      <w:pPr>
        <w:spacing w:after="0" w:line="211" w:lineRule="exact"/>
        <w:rPr>
          <w:sz w:val="20"/>
          <w:szCs w:val="20"/>
          <w:color w:val="auto"/>
        </w:rPr>
      </w:pPr>
    </w:p>
    <w:p>
      <w:pPr>
        <w:jc w:val="both"/>
        <w:ind w:left="640" w:firstLine="629"/>
        <w:spacing w:after="0" w:line="238" w:lineRule="auto"/>
        <w:rPr>
          <w:sz w:val="20"/>
          <w:szCs w:val="20"/>
          <w:color w:val="auto"/>
        </w:rPr>
      </w:pPr>
      <w:r>
        <w:rPr>
          <w:rFonts w:ascii="Arial" w:cs="Arial" w:eastAsia="Arial" w:hAnsi="Arial"/>
          <w:sz w:val="21"/>
          <w:szCs w:val="21"/>
          <w:color w:val="auto"/>
        </w:rPr>
        <w:t xml:space="preserve">11.2.2 </w:t>
      </w:r>
      <w:r>
        <w:rPr>
          <w:rFonts w:ascii="Arial" w:cs="Arial" w:eastAsia="Arial" w:hAnsi="Arial"/>
          <w:sz w:val="21"/>
          <w:szCs w:val="21"/>
          <w:b w:val="1"/>
          <w:bCs w:val="1"/>
          <w:color w:val="auto"/>
        </w:rPr>
        <w:t>Committee.</w:t>
      </w:r>
      <w:r>
        <w:rPr>
          <w:rFonts w:ascii="Arial" w:cs="Arial" w:eastAsia="Arial" w:hAnsi="Arial"/>
          <w:sz w:val="21"/>
          <w:szCs w:val="21"/>
          <w:color w:val="auto"/>
        </w:rPr>
        <w:t xml:space="preserve"> The Committee shall serve as plan administrator and shall have exclusive authority and responsibility for those functions set forth in Section 11.3, in other provisions of this Plan, and in provisions of a trust used to pay benefits under this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14</w:t>
      </w:r>
    </w:p>
    <w:p>
      <w:pPr>
        <w:sectPr>
          <w:pgSz w:w="11900" w:h="16838" w:orient="portrait"/>
          <w:cols w:equalWidth="0" w:num="1">
            <w:col w:w="11240"/>
          </w:cols>
          <w:pgMar w:left="320" w:top="1371" w:right="339" w:bottom="1440" w:gutter="0" w:footer="0" w:header="0"/>
        </w:sectPr>
      </w:pPr>
    </w:p>
    <w:bookmarkStart w:id="325" w:name="page326"/>
    <w:bookmarkEnd w:id="325"/>
    <w:p>
      <w:pPr>
        <w:ind w:left="640"/>
        <w:spacing w:after="0"/>
        <w:rPr>
          <w:sz w:val="20"/>
          <w:szCs w:val="20"/>
          <w:color w:val="auto"/>
        </w:rPr>
      </w:pPr>
      <w:r>
        <w:rPr>
          <w:rFonts w:ascii="Arial" w:cs="Arial" w:eastAsia="Arial" w:hAnsi="Arial"/>
          <w:sz w:val="21"/>
          <w:szCs w:val="21"/>
          <w:color w:val="auto"/>
        </w:rPr>
        <w:t xml:space="preserve">11.3 </w:t>
      </w:r>
      <w:r>
        <w:rPr>
          <w:rFonts w:ascii="Arial" w:cs="Arial" w:eastAsia="Arial" w:hAnsi="Arial"/>
          <w:sz w:val="21"/>
          <w:szCs w:val="21"/>
          <w:b w:val="1"/>
          <w:bCs w:val="1"/>
          <w:color w:val="auto"/>
        </w:rPr>
        <w:t>Provisions Concerning the Committee.</w:t>
      </w:r>
    </w:p>
    <w:p>
      <w:pPr>
        <w:spacing w:after="0" w:line="217" w:lineRule="exact"/>
        <w:rPr>
          <w:sz w:val="20"/>
          <w:szCs w:val="20"/>
          <w:color w:val="auto"/>
        </w:rPr>
      </w:pPr>
    </w:p>
    <w:p>
      <w:pPr>
        <w:jc w:val="both"/>
        <w:ind w:left="640" w:firstLine="629"/>
        <w:spacing w:after="0" w:line="227" w:lineRule="auto"/>
        <w:rPr>
          <w:sz w:val="20"/>
          <w:szCs w:val="20"/>
          <w:color w:val="auto"/>
        </w:rPr>
      </w:pPr>
      <w:r>
        <w:rPr>
          <w:rFonts w:ascii="Arial" w:cs="Arial" w:eastAsia="Arial" w:hAnsi="Arial"/>
          <w:sz w:val="21"/>
          <w:szCs w:val="21"/>
          <w:color w:val="auto"/>
        </w:rPr>
        <w:t xml:space="preserve">11.3.1 </w:t>
      </w:r>
      <w:r>
        <w:rPr>
          <w:rFonts w:ascii="Arial" w:cs="Arial" w:eastAsia="Arial" w:hAnsi="Arial"/>
          <w:sz w:val="21"/>
          <w:szCs w:val="21"/>
          <w:b w:val="1"/>
          <w:bCs w:val="1"/>
          <w:color w:val="auto"/>
        </w:rPr>
        <w:t>Membership and Voting</w:t>
      </w:r>
      <w:r>
        <w:rPr>
          <w:rFonts w:ascii="Arial" w:cs="Arial" w:eastAsia="Arial" w:hAnsi="Arial"/>
          <w:sz w:val="21"/>
          <w:szCs w:val="21"/>
          <w:color w:val="auto"/>
        </w:rPr>
        <w:t>. The Committee shall consist of not less than three (3) members. The Committee shall act by a majority of its members at the time in office, and such action may be taken by a vote at a meeting, in writing without a meeting, or by telephonic communications. Attendance at a meeting, in person or by telephone, shall constitute waiver of notice thereof. A member of the Committee who is a Participant of the Plan shall not vote on any question relating specifically to such Participant. Any such action shall be voted or decided by a majority of the remaining members of the Committee. The Committee may designate one of its members as the Chairman and may appoint a Secretary who may, but need not, be a member thereof. The Committee may appoint from its members such subcommittees with such powers as the Committee shall determine.</w:t>
      </w:r>
    </w:p>
    <w:p>
      <w:pPr>
        <w:spacing w:after="0" w:line="192" w:lineRule="exact"/>
        <w:rPr>
          <w:sz w:val="20"/>
          <w:szCs w:val="20"/>
          <w:color w:val="auto"/>
        </w:rPr>
      </w:pPr>
    </w:p>
    <w:p>
      <w:pPr>
        <w:jc w:val="both"/>
        <w:ind w:left="640" w:firstLine="629"/>
        <w:spacing w:after="0" w:line="256" w:lineRule="auto"/>
        <w:rPr>
          <w:sz w:val="20"/>
          <w:szCs w:val="20"/>
          <w:color w:val="auto"/>
        </w:rPr>
      </w:pPr>
      <w:r>
        <w:rPr>
          <w:rFonts w:ascii="Arial" w:cs="Arial" w:eastAsia="Arial" w:hAnsi="Arial"/>
          <w:sz w:val="19"/>
          <w:szCs w:val="19"/>
          <w:color w:val="auto"/>
        </w:rPr>
        <w:t xml:space="preserve">11.3.2 </w:t>
      </w:r>
      <w:r>
        <w:rPr>
          <w:rFonts w:ascii="Arial" w:cs="Arial" w:eastAsia="Arial" w:hAnsi="Arial"/>
          <w:sz w:val="19"/>
          <w:szCs w:val="19"/>
          <w:b w:val="1"/>
          <w:bCs w:val="1"/>
          <w:color w:val="auto"/>
        </w:rPr>
        <w:t>Duties of the Committee.</w:t>
      </w:r>
      <w:r>
        <w:rPr>
          <w:rFonts w:ascii="Arial" w:cs="Arial" w:eastAsia="Arial" w:hAnsi="Arial"/>
          <w:sz w:val="19"/>
          <w:szCs w:val="19"/>
          <w:color w:val="auto"/>
        </w:rPr>
        <w:t xml:space="preserve"> The Committee shall administer the Plan in accordance with its terms and shall have all the powers necessary to carry out such terms. The Committee shall execute any certificate, instrument or other written direction on behalf of the Plan and may make any payment on behalf of the Plan. All interpretations of the Plan, and questions concerning its administration and application, shall be determined by the Committee (or its delegate). The Committee may appoint such accountants, counsel, specialists, and other persons as it deems necessary or desirable in connection with the administration of the Plan. Such accountants and counsel may, but need not, be accountants and counsel for the Company.</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21"/>
          <w:szCs w:val="21"/>
          <w:color w:val="auto"/>
        </w:rPr>
        <w:t xml:space="preserve">11.4 </w:t>
      </w:r>
      <w:r>
        <w:rPr>
          <w:rFonts w:ascii="Arial" w:cs="Arial" w:eastAsia="Arial" w:hAnsi="Arial"/>
          <w:sz w:val="21"/>
          <w:szCs w:val="21"/>
          <w:b w:val="1"/>
          <w:bCs w:val="1"/>
          <w:color w:val="auto"/>
        </w:rPr>
        <w:t>Delegation of Responsibilities; Bonding.</w:t>
      </w:r>
    </w:p>
    <w:p>
      <w:pPr>
        <w:spacing w:after="0" w:line="217" w:lineRule="exact"/>
        <w:rPr>
          <w:sz w:val="20"/>
          <w:szCs w:val="20"/>
          <w:color w:val="auto"/>
        </w:rPr>
      </w:pPr>
    </w:p>
    <w:p>
      <w:pPr>
        <w:jc w:val="both"/>
        <w:ind w:left="640" w:firstLine="629"/>
        <w:spacing w:after="0" w:line="239" w:lineRule="auto"/>
        <w:rPr>
          <w:sz w:val="20"/>
          <w:szCs w:val="20"/>
          <w:color w:val="auto"/>
        </w:rPr>
      </w:pPr>
      <w:r>
        <w:rPr>
          <w:rFonts w:ascii="Arial" w:cs="Arial" w:eastAsia="Arial" w:hAnsi="Arial"/>
          <w:sz w:val="20"/>
          <w:szCs w:val="20"/>
          <w:color w:val="auto"/>
        </w:rPr>
        <w:t xml:space="preserve">11.4.1 </w:t>
      </w:r>
      <w:r>
        <w:rPr>
          <w:rFonts w:ascii="Arial" w:cs="Arial" w:eastAsia="Arial" w:hAnsi="Arial"/>
          <w:sz w:val="20"/>
          <w:szCs w:val="20"/>
          <w:b w:val="1"/>
          <w:bCs w:val="1"/>
          <w:color w:val="auto"/>
        </w:rPr>
        <w:t>Delegation and Allocation.</w:t>
      </w:r>
      <w:r>
        <w:rPr>
          <w:rFonts w:ascii="Arial" w:cs="Arial" w:eastAsia="Arial" w:hAnsi="Arial"/>
          <w:sz w:val="20"/>
          <w:szCs w:val="20"/>
          <w:color w:val="auto"/>
        </w:rPr>
        <w:t xml:space="preserve"> The Board and the Committee, respectively, shall have the authority to delegate or allocate, from time to time, by a written instrument, all or any part of their responsibilities under the Plan to such person or persons as each may deem advisable and in the same manner to revoke any such delegation or allocation of responsibility. Any action of a person in the exercise of such delegated or allocated responsibility shall have the same force and effect for all purposes hereunder as if such action had been taken by the Board or the Committee, as the case may be. Neither the Company, any Employer, the Board, the Committee nor any member thereof shall be liable for any acts or omissions of any such person, who shall periodically report to the Board or the Committee, as applicable, concerning the discharge of the delegated or allocated responsibilities.</w:t>
      </w:r>
    </w:p>
    <w:p>
      <w:pPr>
        <w:spacing w:after="0" w:line="187" w:lineRule="exact"/>
        <w:rPr>
          <w:sz w:val="20"/>
          <w:szCs w:val="20"/>
          <w:color w:val="auto"/>
        </w:rPr>
      </w:pPr>
    </w:p>
    <w:p>
      <w:pPr>
        <w:jc w:val="both"/>
        <w:ind w:left="640" w:firstLine="629"/>
        <w:spacing w:after="0" w:line="252" w:lineRule="auto"/>
        <w:rPr>
          <w:sz w:val="20"/>
          <w:szCs w:val="20"/>
          <w:color w:val="auto"/>
        </w:rPr>
      </w:pPr>
      <w:r>
        <w:rPr>
          <w:rFonts w:ascii="Arial" w:cs="Arial" w:eastAsia="Arial" w:hAnsi="Arial"/>
          <w:sz w:val="21"/>
          <w:szCs w:val="21"/>
          <w:color w:val="auto"/>
        </w:rPr>
        <w:t xml:space="preserve">11.4.2 </w:t>
      </w:r>
      <w:r>
        <w:rPr>
          <w:rFonts w:ascii="Arial" w:cs="Arial" w:eastAsia="Arial" w:hAnsi="Arial"/>
          <w:sz w:val="21"/>
          <w:szCs w:val="21"/>
          <w:b w:val="1"/>
          <w:bCs w:val="1"/>
          <w:color w:val="auto"/>
        </w:rPr>
        <w:t>Bonding.</w:t>
      </w:r>
      <w:r>
        <w:rPr>
          <w:rFonts w:ascii="Arial" w:cs="Arial" w:eastAsia="Arial" w:hAnsi="Arial"/>
          <w:sz w:val="21"/>
          <w:szCs w:val="21"/>
          <w:color w:val="auto"/>
        </w:rPr>
        <w:t xml:space="preserve"> The members of the Committee shall serve without bond (except as expressly required by federal law) and without compensation for their services as such.</w:t>
      </w:r>
    </w:p>
    <w:p>
      <w:pPr>
        <w:spacing w:after="0" w:line="175" w:lineRule="exact"/>
        <w:rPr>
          <w:sz w:val="20"/>
          <w:szCs w:val="20"/>
          <w:color w:val="auto"/>
        </w:rPr>
      </w:pPr>
    </w:p>
    <w:p>
      <w:pPr>
        <w:jc w:val="both"/>
        <w:ind w:firstLine="566"/>
        <w:spacing w:after="0" w:line="231" w:lineRule="auto"/>
        <w:rPr>
          <w:sz w:val="20"/>
          <w:szCs w:val="20"/>
          <w:color w:val="auto"/>
        </w:rPr>
      </w:pPr>
      <w:r>
        <w:rPr>
          <w:rFonts w:ascii="Arial" w:cs="Arial" w:eastAsia="Arial" w:hAnsi="Arial"/>
          <w:sz w:val="21"/>
          <w:szCs w:val="21"/>
          <w:color w:val="auto"/>
        </w:rPr>
        <w:t xml:space="preserve">11.5 </w:t>
      </w:r>
      <w:r>
        <w:rPr>
          <w:rFonts w:ascii="Arial" w:cs="Arial" w:eastAsia="Arial" w:hAnsi="Arial"/>
          <w:sz w:val="21"/>
          <w:szCs w:val="21"/>
          <w:b w:val="1"/>
          <w:bCs w:val="1"/>
          <w:color w:val="auto"/>
        </w:rPr>
        <w:t>No Joint Fiduciary Responsibilities.</w:t>
      </w:r>
      <w:r>
        <w:rPr>
          <w:rFonts w:ascii="Arial" w:cs="Arial" w:eastAsia="Arial" w:hAnsi="Arial"/>
          <w:sz w:val="21"/>
          <w:szCs w:val="21"/>
          <w:color w:val="auto"/>
        </w:rPr>
        <w:t xml:space="preserve"> This Plan is intended to allocate to each named fiduciary the individual responsibility for the prudent execution of the functions assigned to it, and none of such responsibilities and no other responsibility shall be shared by two or more of such named fiduciaries unless such sharing is provided for by a specific provision of the Plan. Whenever one named fiduciary is required herein to follow the directions of another named fiduciary, the two named fiduciaries shall not be deemed to have been assigned a shared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15</w:t>
      </w:r>
    </w:p>
    <w:p>
      <w:pPr>
        <w:sectPr>
          <w:pgSz w:w="11900" w:h="16838" w:orient="portrait"/>
          <w:cols w:equalWidth="0" w:num="1">
            <w:col w:w="11240"/>
          </w:cols>
          <w:pgMar w:left="320" w:top="1371" w:right="339" w:bottom="1440" w:gutter="0" w:footer="0" w:header="0"/>
        </w:sectPr>
      </w:pPr>
    </w:p>
    <w:bookmarkStart w:id="326" w:name="page327"/>
    <w:bookmarkEnd w:id="326"/>
    <w:p>
      <w:pPr>
        <w:jc w:val="both"/>
        <w:spacing w:after="0" w:line="246" w:lineRule="auto"/>
        <w:rPr>
          <w:sz w:val="20"/>
          <w:szCs w:val="20"/>
          <w:color w:val="auto"/>
        </w:rPr>
      </w:pPr>
      <w:r>
        <w:rPr>
          <w:rFonts w:ascii="Arial" w:cs="Arial" w:eastAsia="Arial" w:hAnsi="Arial"/>
          <w:sz w:val="21"/>
          <w:szCs w:val="21"/>
          <w:color w:val="auto"/>
        </w:rPr>
        <w:t>responsibility, but the responsibility of a named fiduciary receiving such directions shall be to follow them insofar as such instructions are on their face proper under applicable law.</w:t>
      </w:r>
    </w:p>
    <w:p>
      <w:pPr>
        <w:spacing w:after="0" w:line="181" w:lineRule="exact"/>
        <w:rPr>
          <w:sz w:val="20"/>
          <w:szCs w:val="20"/>
          <w:color w:val="auto"/>
        </w:rPr>
      </w:pPr>
    </w:p>
    <w:p>
      <w:pPr>
        <w:jc w:val="both"/>
        <w:ind w:firstLine="566"/>
        <w:spacing w:after="0" w:line="252" w:lineRule="auto"/>
        <w:rPr>
          <w:sz w:val="20"/>
          <w:szCs w:val="20"/>
          <w:color w:val="auto"/>
        </w:rPr>
      </w:pPr>
      <w:r>
        <w:rPr>
          <w:rFonts w:ascii="Arial" w:cs="Arial" w:eastAsia="Arial" w:hAnsi="Arial"/>
          <w:sz w:val="21"/>
          <w:szCs w:val="21"/>
          <w:color w:val="auto"/>
        </w:rPr>
        <w:t xml:space="preserve">11.6 </w:t>
      </w:r>
      <w:r>
        <w:rPr>
          <w:rFonts w:ascii="Arial" w:cs="Arial" w:eastAsia="Arial" w:hAnsi="Arial"/>
          <w:sz w:val="21"/>
          <w:szCs w:val="21"/>
          <w:b w:val="1"/>
          <w:bCs w:val="1"/>
          <w:color w:val="auto"/>
        </w:rPr>
        <w:t>Information to be Supplied by Employer.</w:t>
      </w:r>
      <w:r>
        <w:rPr>
          <w:rFonts w:ascii="Arial" w:cs="Arial" w:eastAsia="Arial" w:hAnsi="Arial"/>
          <w:sz w:val="21"/>
          <w:szCs w:val="21"/>
          <w:color w:val="auto"/>
        </w:rPr>
        <w:t xml:space="preserve"> Each Employer shall provide to the Committee or its delegate such information as it shall from time to time need in the discharge of its duties.</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 xml:space="preserve">11.7 </w:t>
      </w:r>
      <w:r>
        <w:rPr>
          <w:rFonts w:ascii="Arial" w:cs="Arial" w:eastAsia="Arial" w:hAnsi="Arial"/>
          <w:sz w:val="19"/>
          <w:szCs w:val="19"/>
          <w:b w:val="1"/>
          <w:bCs w:val="1"/>
          <w:color w:val="auto"/>
        </w:rPr>
        <w:t>Fiduciary Capacity.</w:t>
      </w:r>
      <w:r>
        <w:rPr>
          <w:rFonts w:ascii="Arial" w:cs="Arial" w:eastAsia="Arial" w:hAnsi="Arial"/>
          <w:sz w:val="19"/>
          <w:szCs w:val="19"/>
          <w:color w:val="auto"/>
        </w:rPr>
        <w:t xml:space="preserve"> Any person or group of persons may serve in more than one fiduciary capacity with respect to the</w:t>
      </w:r>
    </w:p>
    <w:p>
      <w:pPr>
        <w:spacing w:after="0" w:line="28" w:lineRule="exact"/>
        <w:rPr>
          <w:sz w:val="20"/>
          <w:szCs w:val="20"/>
          <w:color w:val="auto"/>
        </w:rPr>
      </w:pPr>
    </w:p>
    <w:p>
      <w:pPr>
        <w:spacing w:after="0"/>
        <w:rPr>
          <w:sz w:val="20"/>
          <w:szCs w:val="20"/>
          <w:color w:val="auto"/>
        </w:rPr>
      </w:pPr>
      <w:r>
        <w:rPr>
          <w:rFonts w:ascii="Arial" w:cs="Arial" w:eastAsia="Arial" w:hAnsi="Arial"/>
          <w:sz w:val="21"/>
          <w:szCs w:val="21"/>
          <w:color w:val="auto"/>
        </w:rPr>
        <w:t>Plan.</w:t>
      </w:r>
    </w:p>
    <w:p>
      <w:pPr>
        <w:spacing w:after="0" w:line="193" w:lineRule="exact"/>
        <w:rPr>
          <w:sz w:val="20"/>
          <w:szCs w:val="20"/>
          <w:color w:val="auto"/>
        </w:rPr>
      </w:pPr>
    </w:p>
    <w:p>
      <w:pPr>
        <w:jc w:val="both"/>
        <w:ind w:firstLine="629"/>
        <w:spacing w:after="0" w:line="233" w:lineRule="auto"/>
        <w:rPr>
          <w:sz w:val="20"/>
          <w:szCs w:val="20"/>
          <w:color w:val="auto"/>
        </w:rPr>
      </w:pPr>
      <w:r>
        <w:rPr>
          <w:rFonts w:ascii="Arial" w:cs="Arial" w:eastAsia="Arial" w:hAnsi="Arial"/>
          <w:sz w:val="21"/>
          <w:szCs w:val="21"/>
          <w:color w:val="auto"/>
        </w:rPr>
        <w:t xml:space="preserve">11.8 </w:t>
      </w:r>
      <w:r>
        <w:rPr>
          <w:rFonts w:ascii="Arial" w:cs="Arial" w:eastAsia="Arial" w:hAnsi="Arial"/>
          <w:sz w:val="21"/>
          <w:szCs w:val="21"/>
          <w:b w:val="1"/>
          <w:bCs w:val="1"/>
          <w:color w:val="auto"/>
        </w:rPr>
        <w:t>Claims Procedures.</w:t>
      </w:r>
      <w:r>
        <w:rPr>
          <w:rFonts w:ascii="Arial" w:cs="Arial" w:eastAsia="Arial" w:hAnsi="Arial"/>
          <w:sz w:val="21"/>
          <w:szCs w:val="21"/>
          <w:color w:val="auto"/>
        </w:rPr>
        <w:t xml:space="preserve"> Generally, a Participant will not need to file a claim for a Severance Benefit in order to receive benefits payable under the Plan. If, however, a Participant believes that the Participant has not received Severance Benefits to which the Participant believes the Participant is entitled, including a disagreement with respect to the amount of the Severance Benefit paid, then the Participant may file a claim for benefits as follows below.</w:t>
      </w:r>
    </w:p>
    <w:p>
      <w:pPr>
        <w:spacing w:after="0" w:line="190" w:lineRule="exact"/>
        <w:rPr>
          <w:sz w:val="20"/>
          <w:szCs w:val="20"/>
          <w:color w:val="auto"/>
        </w:rPr>
      </w:pPr>
    </w:p>
    <w:p>
      <w:pPr>
        <w:ind w:left="640" w:firstLine="629"/>
        <w:spacing w:after="0" w:line="252" w:lineRule="auto"/>
        <w:rPr>
          <w:sz w:val="20"/>
          <w:szCs w:val="20"/>
          <w:color w:val="auto"/>
        </w:rPr>
      </w:pPr>
      <w:r>
        <w:rPr>
          <w:rFonts w:ascii="Arial" w:cs="Arial" w:eastAsia="Arial" w:hAnsi="Arial"/>
          <w:sz w:val="21"/>
          <w:szCs w:val="21"/>
          <w:color w:val="auto"/>
        </w:rPr>
        <w:t xml:space="preserve">11.8.1 </w:t>
      </w:r>
      <w:r>
        <w:rPr>
          <w:rFonts w:ascii="Arial" w:cs="Arial" w:eastAsia="Arial" w:hAnsi="Arial"/>
          <w:sz w:val="21"/>
          <w:szCs w:val="21"/>
          <w:b w:val="1"/>
          <w:bCs w:val="1"/>
          <w:color w:val="auto"/>
        </w:rPr>
        <w:t>Definitions.</w:t>
      </w:r>
      <w:r>
        <w:rPr>
          <w:rFonts w:ascii="Arial" w:cs="Arial" w:eastAsia="Arial" w:hAnsi="Arial"/>
          <w:sz w:val="21"/>
          <w:szCs w:val="21"/>
          <w:color w:val="auto"/>
        </w:rPr>
        <w:t xml:space="preserve"> For purposes of this Section 11.8, the following terms, when capitalized, will be defined as follows:</w:t>
      </w:r>
    </w:p>
    <w:p>
      <w:pPr>
        <w:spacing w:after="0" w:line="181" w:lineRule="exact"/>
        <w:rPr>
          <w:sz w:val="20"/>
          <w:szCs w:val="20"/>
          <w:color w:val="auto"/>
        </w:rPr>
      </w:pPr>
    </w:p>
    <w:p>
      <w:pPr>
        <w:jc w:val="both"/>
        <w:ind w:left="1260" w:firstLine="633"/>
        <w:spacing w:after="0" w:line="230" w:lineRule="auto"/>
        <w:tabs>
          <w:tab w:leader="none" w:pos="2383" w:val="left"/>
        </w:tabs>
        <w:numPr>
          <w:ilvl w:val="0"/>
          <w:numId w:val="317"/>
        </w:numPr>
        <w:rPr>
          <w:rFonts w:ascii="Arial" w:cs="Arial" w:eastAsia="Arial" w:hAnsi="Arial"/>
          <w:sz w:val="21"/>
          <w:szCs w:val="21"/>
          <w:color w:val="auto"/>
        </w:rPr>
      </w:pPr>
      <w:r>
        <w:rPr>
          <w:rFonts w:ascii="Arial" w:cs="Arial" w:eastAsia="Arial" w:hAnsi="Arial"/>
          <w:sz w:val="21"/>
          <w:szCs w:val="21"/>
          <w:color w:val="auto"/>
        </w:rPr>
        <w:t>Adverse Benefit Determination: Any denial, reduction or termination of or failure to provide or make payment (in whole or in part) for a Plan benefit, including any denial, reduction, termination or failure to provide or make payment that is based on a determination of a Claimant’s eligibility to participate in the Plan. Further, any invalidation of a claim for failure to comply with the claim submission procedure will be treated as an Adverse Benefit Determination.</w:t>
      </w:r>
    </w:p>
    <w:p>
      <w:pPr>
        <w:spacing w:after="0" w:line="193" w:lineRule="exact"/>
        <w:rPr>
          <w:rFonts w:ascii="Arial" w:cs="Arial" w:eastAsia="Arial" w:hAnsi="Arial"/>
          <w:sz w:val="21"/>
          <w:szCs w:val="21"/>
          <w:color w:val="auto"/>
        </w:rPr>
      </w:pPr>
    </w:p>
    <w:p>
      <w:pPr>
        <w:jc w:val="both"/>
        <w:ind w:left="1260" w:firstLine="633"/>
        <w:spacing w:after="0" w:line="236" w:lineRule="auto"/>
        <w:tabs>
          <w:tab w:leader="none" w:pos="2417" w:val="left"/>
        </w:tabs>
        <w:numPr>
          <w:ilvl w:val="0"/>
          <w:numId w:val="317"/>
        </w:numPr>
        <w:rPr>
          <w:rFonts w:ascii="Arial" w:cs="Arial" w:eastAsia="Arial" w:hAnsi="Arial"/>
          <w:sz w:val="21"/>
          <w:szCs w:val="21"/>
          <w:color w:val="auto"/>
        </w:rPr>
      </w:pPr>
      <w:r>
        <w:rPr>
          <w:rFonts w:ascii="Arial" w:cs="Arial" w:eastAsia="Arial" w:hAnsi="Arial"/>
          <w:sz w:val="21"/>
          <w:szCs w:val="21"/>
          <w:color w:val="auto"/>
        </w:rPr>
        <w:t>Benefits Administrator: The person or office, if any, to whom the Committee has delegated day-to-day Plan administration responsibilities and who, pursuant to such delegation, processes Plan benefit claims in the ordinary course.</w:t>
      </w:r>
    </w:p>
    <w:p>
      <w:pPr>
        <w:spacing w:after="0" w:line="192" w:lineRule="exact"/>
        <w:rPr>
          <w:rFonts w:ascii="Arial" w:cs="Arial" w:eastAsia="Arial" w:hAnsi="Arial"/>
          <w:sz w:val="21"/>
          <w:szCs w:val="21"/>
          <w:color w:val="auto"/>
        </w:rPr>
      </w:pPr>
    </w:p>
    <w:p>
      <w:pPr>
        <w:ind w:left="1260" w:firstLine="633"/>
        <w:spacing w:after="0" w:line="246" w:lineRule="auto"/>
        <w:tabs>
          <w:tab w:leader="none" w:pos="2435" w:val="left"/>
        </w:tabs>
        <w:numPr>
          <w:ilvl w:val="0"/>
          <w:numId w:val="317"/>
        </w:numPr>
        <w:rPr>
          <w:rFonts w:ascii="Arial" w:cs="Arial" w:eastAsia="Arial" w:hAnsi="Arial"/>
          <w:sz w:val="21"/>
          <w:szCs w:val="21"/>
          <w:color w:val="auto"/>
        </w:rPr>
      </w:pPr>
      <w:r>
        <w:rPr>
          <w:rFonts w:ascii="Arial" w:cs="Arial" w:eastAsia="Arial" w:hAnsi="Arial"/>
          <w:sz w:val="21"/>
          <w:szCs w:val="21"/>
          <w:color w:val="auto"/>
        </w:rPr>
        <w:t>Claimant: A Participant or beneficiary or an authorized representative of such Participant or beneficiary who has filed or desires to file a claim for a Plan benefit.</w:t>
      </w:r>
    </w:p>
    <w:p>
      <w:pPr>
        <w:spacing w:after="0" w:line="181" w:lineRule="exact"/>
        <w:rPr>
          <w:sz w:val="20"/>
          <w:szCs w:val="20"/>
          <w:color w:val="auto"/>
        </w:rPr>
      </w:pPr>
    </w:p>
    <w:p>
      <w:pPr>
        <w:jc w:val="both"/>
        <w:ind w:left="640" w:firstLine="629"/>
        <w:spacing w:after="0" w:line="239" w:lineRule="auto"/>
        <w:rPr>
          <w:sz w:val="20"/>
          <w:szCs w:val="20"/>
          <w:color w:val="auto"/>
        </w:rPr>
      </w:pPr>
      <w:r>
        <w:rPr>
          <w:rFonts w:ascii="Arial" w:cs="Arial" w:eastAsia="Arial" w:hAnsi="Arial"/>
          <w:sz w:val="20"/>
          <w:szCs w:val="20"/>
          <w:color w:val="auto"/>
        </w:rPr>
        <w:t xml:space="preserve">11.8.2 </w:t>
      </w:r>
      <w:r>
        <w:rPr>
          <w:rFonts w:ascii="Arial" w:cs="Arial" w:eastAsia="Arial" w:hAnsi="Arial"/>
          <w:sz w:val="20"/>
          <w:szCs w:val="20"/>
          <w:b w:val="1"/>
          <w:bCs w:val="1"/>
          <w:color w:val="auto"/>
        </w:rPr>
        <w:t>Filing of Benefit Claim.</w:t>
      </w:r>
      <w:r>
        <w:rPr>
          <w:rFonts w:ascii="Arial" w:cs="Arial" w:eastAsia="Arial" w:hAnsi="Arial"/>
          <w:sz w:val="20"/>
          <w:szCs w:val="20"/>
          <w:color w:val="auto"/>
        </w:rPr>
        <w:t xml:space="preserve"> A Claimant must file with the Committee (or the Benefits Administrator) a written claim for benefits under the Plan on the form provided by, or in any other manner approved by, the Committee. (For purposes of applying the time periods for benefit determination pursuant to Section 11.8.4, filing a claim with the Benefits Administrator will be treated as filing a claim with the Committee.) In connection with the submission of a claim, the Claimant may examine the Plan and any other relevant documents relating to the claim, and may submit written comments relating to such claim to the Committee coincident with the filing of the benefit claim form. Failure of a Claimant to comply with the claim submission procedure will invalidate such claim unless the Committee in its discretion determines that it was not reasonably possible to provide such proof or comply with such procedure.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16</w:t>
      </w:r>
    </w:p>
    <w:p>
      <w:pPr>
        <w:sectPr>
          <w:pgSz w:w="11900" w:h="16838" w:orient="portrait"/>
          <w:cols w:equalWidth="0" w:num="1">
            <w:col w:w="11240"/>
          </w:cols>
          <w:pgMar w:left="320" w:top="1376" w:right="339" w:bottom="1440" w:gutter="0" w:footer="0" w:header="0"/>
        </w:sectPr>
      </w:pPr>
    </w:p>
    <w:bookmarkStart w:id="327" w:name="page328"/>
    <w:bookmarkEnd w:id="327"/>
    <w:p>
      <w:pPr>
        <w:jc w:val="both"/>
        <w:ind w:firstLine="629"/>
        <w:spacing w:after="0" w:line="229" w:lineRule="auto"/>
        <w:rPr>
          <w:sz w:val="20"/>
          <w:szCs w:val="20"/>
          <w:color w:val="auto"/>
        </w:rPr>
      </w:pPr>
      <w:r>
        <w:rPr>
          <w:rFonts w:ascii="Arial" w:cs="Arial" w:eastAsia="Arial" w:hAnsi="Arial"/>
          <w:sz w:val="21"/>
          <w:szCs w:val="21"/>
          <w:color w:val="auto"/>
        </w:rPr>
        <w:t xml:space="preserve">11.8.3 </w:t>
      </w:r>
      <w:r>
        <w:rPr>
          <w:rFonts w:ascii="Arial" w:cs="Arial" w:eastAsia="Arial" w:hAnsi="Arial"/>
          <w:sz w:val="21"/>
          <w:szCs w:val="21"/>
          <w:b w:val="1"/>
          <w:bCs w:val="1"/>
          <w:color w:val="auto"/>
        </w:rPr>
        <w:t>Processing of Benefit Claim.</w:t>
      </w:r>
      <w:r>
        <w:rPr>
          <w:rFonts w:ascii="Arial" w:cs="Arial" w:eastAsia="Arial" w:hAnsi="Arial"/>
          <w:sz w:val="21"/>
          <w:szCs w:val="21"/>
          <w:color w:val="auto"/>
        </w:rPr>
        <w:t xml:space="preserve"> Upon receipt of fully completed benefit claim forms from a Claimant, the Committee (or the Benefits Administrator) shall process such benefit claim considering (i) all materials submitted by the Claimant in connection with the claim, (ii) all Plan provisions pertaining to the benefit claim, and (iii) where appropriate, all information as to whether such Plan provisions have in the past been consistently applied with respect to other similarly situated Claimants. The Committee (or the Benefits Administrator) shall process the claim within the time frame provided in Section 11.8.4.</w:t>
      </w:r>
    </w:p>
    <w:p>
      <w:pPr>
        <w:spacing w:after="0" w:line="191" w:lineRule="exact"/>
        <w:rPr>
          <w:sz w:val="20"/>
          <w:szCs w:val="20"/>
          <w:color w:val="auto"/>
        </w:rPr>
      </w:pPr>
    </w:p>
    <w:p>
      <w:pPr>
        <w:jc w:val="both"/>
        <w:ind w:firstLine="629"/>
        <w:spacing w:after="0" w:line="254" w:lineRule="auto"/>
        <w:rPr>
          <w:sz w:val="20"/>
          <w:szCs w:val="20"/>
          <w:color w:val="auto"/>
        </w:rPr>
      </w:pPr>
      <w:r>
        <w:rPr>
          <w:rFonts w:ascii="Arial" w:cs="Arial" w:eastAsia="Arial" w:hAnsi="Arial"/>
          <w:sz w:val="19"/>
          <w:szCs w:val="19"/>
          <w:color w:val="auto"/>
        </w:rPr>
        <w:t xml:space="preserve">11.8.4 </w:t>
      </w:r>
      <w:r>
        <w:rPr>
          <w:rFonts w:ascii="Arial" w:cs="Arial" w:eastAsia="Arial" w:hAnsi="Arial"/>
          <w:sz w:val="19"/>
          <w:szCs w:val="19"/>
          <w:b w:val="1"/>
          <w:bCs w:val="1"/>
          <w:color w:val="auto"/>
        </w:rPr>
        <w:t>Notification of Adverse Benefit Determination.</w:t>
      </w:r>
      <w:r>
        <w:rPr>
          <w:rFonts w:ascii="Arial" w:cs="Arial" w:eastAsia="Arial" w:hAnsi="Arial"/>
          <w:sz w:val="19"/>
          <w:szCs w:val="19"/>
          <w:color w:val="auto"/>
        </w:rPr>
        <w:t xml:space="preserve"> In any case of an Adverse Benefit Determination of a claim for a Plan benefit, the Committee shall furnish written notice to the affected Claimant within a reasonable period of time but not later than ninety (90) days after receipt of such claim for Plan benefits (or within one hundred and eighty (180) days if special circumstances necessitate an extension of the ninety (90)-day period and the Claimant is informed of such extension in writing within the ninety (90)-day period and is provided with an extension notice consisting of an explanation of the special circumstances requiring the extension of time and the date by which the benefit determination will be rendered). Any notice that denies a benefit claim of a Claimant in whole or in part shall, in a manner calculated to be understood by the Claimant:</w:t>
      </w:r>
    </w:p>
    <w:p>
      <w:pPr>
        <w:spacing w:after="0" w:line="184" w:lineRule="exact"/>
        <w:rPr>
          <w:sz w:val="20"/>
          <w:szCs w:val="20"/>
          <w:color w:val="auto"/>
        </w:rPr>
      </w:pPr>
    </w:p>
    <w:p>
      <w:pPr>
        <w:ind w:left="1500" w:hanging="247"/>
        <w:spacing w:after="0"/>
        <w:tabs>
          <w:tab w:leader="none" w:pos="1500" w:val="left"/>
        </w:tabs>
        <w:numPr>
          <w:ilvl w:val="0"/>
          <w:numId w:val="318"/>
        </w:numPr>
        <w:rPr>
          <w:rFonts w:ascii="Arial" w:cs="Arial" w:eastAsia="Arial" w:hAnsi="Arial"/>
          <w:sz w:val="21"/>
          <w:szCs w:val="21"/>
          <w:color w:val="auto"/>
        </w:rPr>
      </w:pPr>
      <w:r>
        <w:rPr>
          <w:rFonts w:ascii="Arial" w:cs="Arial" w:eastAsia="Arial" w:hAnsi="Arial"/>
          <w:sz w:val="21"/>
          <w:szCs w:val="21"/>
          <w:color w:val="auto"/>
        </w:rPr>
        <w:t>State the specific reason or reasons for the Adverse Benefit Determination;</w:t>
      </w:r>
    </w:p>
    <w:p>
      <w:pPr>
        <w:spacing w:after="0" w:line="217" w:lineRule="exact"/>
        <w:rPr>
          <w:rFonts w:ascii="Arial" w:cs="Arial" w:eastAsia="Arial" w:hAnsi="Arial"/>
          <w:sz w:val="21"/>
          <w:szCs w:val="21"/>
          <w:color w:val="auto"/>
        </w:rPr>
      </w:pPr>
    </w:p>
    <w:p>
      <w:pPr>
        <w:ind w:left="1580" w:hanging="327"/>
        <w:spacing w:after="0"/>
        <w:tabs>
          <w:tab w:leader="none" w:pos="1580" w:val="left"/>
        </w:tabs>
        <w:numPr>
          <w:ilvl w:val="0"/>
          <w:numId w:val="318"/>
        </w:numPr>
        <w:rPr>
          <w:rFonts w:ascii="Arial" w:cs="Arial" w:eastAsia="Arial" w:hAnsi="Arial"/>
          <w:sz w:val="20"/>
          <w:szCs w:val="20"/>
          <w:color w:val="auto"/>
        </w:rPr>
      </w:pPr>
      <w:r>
        <w:rPr>
          <w:rFonts w:ascii="Arial" w:cs="Arial" w:eastAsia="Arial" w:hAnsi="Arial"/>
          <w:sz w:val="20"/>
          <w:szCs w:val="20"/>
          <w:color w:val="auto"/>
        </w:rPr>
        <w:t>Provide specific reference to pertinent Plan provisions on which the Adverse Benefit Determination is</w:t>
      </w:r>
    </w:p>
    <w:p>
      <w:pPr>
        <w:spacing w:after="0" w:line="11" w:lineRule="exact"/>
        <w:rPr>
          <w:sz w:val="20"/>
          <w:szCs w:val="20"/>
          <w:color w:val="auto"/>
        </w:rPr>
      </w:pPr>
    </w:p>
    <w:p>
      <w:pPr>
        <w:ind w:left="620"/>
        <w:spacing w:after="0"/>
        <w:rPr>
          <w:sz w:val="20"/>
          <w:szCs w:val="20"/>
          <w:color w:val="auto"/>
        </w:rPr>
      </w:pPr>
      <w:r>
        <w:rPr>
          <w:rFonts w:ascii="Arial" w:cs="Arial" w:eastAsia="Arial" w:hAnsi="Arial"/>
          <w:sz w:val="21"/>
          <w:szCs w:val="21"/>
          <w:color w:val="auto"/>
        </w:rPr>
        <w:t>based;</w:t>
      </w:r>
    </w:p>
    <w:p>
      <w:pPr>
        <w:spacing w:after="0" w:line="199" w:lineRule="exact"/>
        <w:rPr>
          <w:sz w:val="20"/>
          <w:szCs w:val="20"/>
          <w:color w:val="auto"/>
        </w:rPr>
      </w:pPr>
    </w:p>
    <w:p>
      <w:pPr>
        <w:ind w:left="620" w:firstLine="633"/>
        <w:spacing w:after="0" w:line="246" w:lineRule="auto"/>
        <w:tabs>
          <w:tab w:leader="none" w:pos="1882" w:val="left"/>
        </w:tabs>
        <w:numPr>
          <w:ilvl w:val="0"/>
          <w:numId w:val="319"/>
        </w:numPr>
        <w:rPr>
          <w:rFonts w:ascii="Arial" w:cs="Arial" w:eastAsia="Arial" w:hAnsi="Arial"/>
          <w:sz w:val="21"/>
          <w:szCs w:val="21"/>
          <w:color w:val="auto"/>
        </w:rPr>
      </w:pPr>
      <w:r>
        <w:rPr>
          <w:rFonts w:ascii="Arial" w:cs="Arial" w:eastAsia="Arial" w:hAnsi="Arial"/>
          <w:sz w:val="21"/>
          <w:szCs w:val="21"/>
          <w:color w:val="auto"/>
        </w:rPr>
        <w:t>Describe any additional material or information necessary for the Claimant to perfect the claim and explain why such material or information is necessary; and</w:t>
      </w:r>
    </w:p>
    <w:p>
      <w:pPr>
        <w:spacing w:after="0" w:line="186" w:lineRule="exact"/>
        <w:rPr>
          <w:rFonts w:ascii="Arial" w:cs="Arial" w:eastAsia="Arial" w:hAnsi="Arial"/>
          <w:sz w:val="21"/>
          <w:szCs w:val="21"/>
          <w:color w:val="auto"/>
        </w:rPr>
      </w:pPr>
    </w:p>
    <w:p>
      <w:pPr>
        <w:jc w:val="both"/>
        <w:ind w:left="620" w:firstLine="633"/>
        <w:spacing w:after="0" w:line="236" w:lineRule="auto"/>
        <w:tabs>
          <w:tab w:leader="none" w:pos="1853" w:val="left"/>
        </w:tabs>
        <w:numPr>
          <w:ilvl w:val="0"/>
          <w:numId w:val="319"/>
        </w:numPr>
        <w:rPr>
          <w:rFonts w:ascii="Arial" w:cs="Arial" w:eastAsia="Arial" w:hAnsi="Arial"/>
          <w:sz w:val="21"/>
          <w:szCs w:val="21"/>
          <w:color w:val="auto"/>
        </w:rPr>
      </w:pPr>
      <w:r>
        <w:rPr>
          <w:rFonts w:ascii="Arial" w:cs="Arial" w:eastAsia="Arial" w:hAnsi="Arial"/>
          <w:sz w:val="21"/>
          <w:szCs w:val="21"/>
          <w:color w:val="auto"/>
        </w:rPr>
        <w:t>Describe the Plan’s review procedures and the time limits applicable to such procedures, including a statement of the Claimant’s right to bring a civil action under Section 502(a) of ERISA following an Adverse Benefit Determination on review.</w:t>
      </w:r>
    </w:p>
    <w:p>
      <w:pPr>
        <w:spacing w:after="0" w:line="186" w:lineRule="exact"/>
        <w:rPr>
          <w:sz w:val="20"/>
          <w:szCs w:val="20"/>
          <w:color w:val="auto"/>
        </w:rPr>
      </w:pPr>
    </w:p>
    <w:p>
      <w:pPr>
        <w:ind w:firstLine="629"/>
        <w:spacing w:after="0" w:line="252" w:lineRule="auto"/>
        <w:rPr>
          <w:sz w:val="20"/>
          <w:szCs w:val="20"/>
          <w:color w:val="auto"/>
        </w:rPr>
      </w:pPr>
      <w:r>
        <w:rPr>
          <w:rFonts w:ascii="Arial" w:cs="Arial" w:eastAsia="Arial" w:hAnsi="Arial"/>
          <w:sz w:val="21"/>
          <w:szCs w:val="21"/>
          <w:color w:val="auto"/>
        </w:rPr>
        <w:t xml:space="preserve">11.8.5 </w:t>
      </w:r>
      <w:r>
        <w:rPr>
          <w:rFonts w:ascii="Arial" w:cs="Arial" w:eastAsia="Arial" w:hAnsi="Arial"/>
          <w:sz w:val="21"/>
          <w:szCs w:val="21"/>
          <w:b w:val="1"/>
          <w:bCs w:val="1"/>
          <w:color w:val="auto"/>
        </w:rPr>
        <w:t>Review of Adverse Benefit Determination.</w:t>
      </w:r>
      <w:r>
        <w:rPr>
          <w:rFonts w:ascii="Arial" w:cs="Arial" w:eastAsia="Arial" w:hAnsi="Arial"/>
          <w:sz w:val="21"/>
          <w:szCs w:val="21"/>
          <w:color w:val="auto"/>
        </w:rPr>
        <w:t xml:space="preserve"> A Claimant has the right to have an Adverse Benefit Determination reviewed in accordance with the following claims review procedure:</w:t>
      </w:r>
    </w:p>
    <w:p>
      <w:pPr>
        <w:spacing w:after="0" w:line="181" w:lineRule="exact"/>
        <w:rPr>
          <w:sz w:val="20"/>
          <w:szCs w:val="20"/>
          <w:color w:val="auto"/>
        </w:rPr>
      </w:pPr>
    </w:p>
    <w:p>
      <w:pPr>
        <w:ind w:left="620" w:firstLine="633"/>
        <w:spacing w:after="0" w:line="246" w:lineRule="auto"/>
        <w:tabs>
          <w:tab w:leader="none" w:pos="1723" w:val="left"/>
        </w:tabs>
        <w:numPr>
          <w:ilvl w:val="0"/>
          <w:numId w:val="320"/>
        </w:numPr>
        <w:rPr>
          <w:rFonts w:ascii="Arial" w:cs="Arial" w:eastAsia="Arial" w:hAnsi="Arial"/>
          <w:sz w:val="21"/>
          <w:szCs w:val="21"/>
          <w:color w:val="auto"/>
        </w:rPr>
      </w:pPr>
      <w:r>
        <w:rPr>
          <w:rFonts w:ascii="Arial" w:cs="Arial" w:eastAsia="Arial" w:hAnsi="Arial"/>
          <w:sz w:val="21"/>
          <w:szCs w:val="21"/>
          <w:color w:val="auto"/>
        </w:rPr>
        <w:t>The Claimant must submit a written request for such review to the Committee not later than sixty (60) days following receipt by the Claimant of the Adverse Benefit Determination notification;</w:t>
      </w:r>
    </w:p>
    <w:p>
      <w:pPr>
        <w:spacing w:after="0" w:line="186" w:lineRule="exact"/>
        <w:rPr>
          <w:rFonts w:ascii="Arial" w:cs="Arial" w:eastAsia="Arial" w:hAnsi="Arial"/>
          <w:sz w:val="21"/>
          <w:szCs w:val="21"/>
          <w:color w:val="auto"/>
        </w:rPr>
      </w:pPr>
    </w:p>
    <w:p>
      <w:pPr>
        <w:ind w:left="620" w:firstLine="633"/>
        <w:spacing w:after="0" w:line="246" w:lineRule="auto"/>
        <w:tabs>
          <w:tab w:leader="none" w:pos="1823" w:val="left"/>
        </w:tabs>
        <w:numPr>
          <w:ilvl w:val="0"/>
          <w:numId w:val="320"/>
        </w:numPr>
        <w:rPr>
          <w:rFonts w:ascii="Arial" w:cs="Arial" w:eastAsia="Arial" w:hAnsi="Arial"/>
          <w:sz w:val="21"/>
          <w:szCs w:val="21"/>
          <w:color w:val="auto"/>
        </w:rPr>
      </w:pPr>
      <w:r>
        <w:rPr>
          <w:rFonts w:ascii="Arial" w:cs="Arial" w:eastAsia="Arial" w:hAnsi="Arial"/>
          <w:sz w:val="21"/>
          <w:szCs w:val="21"/>
          <w:color w:val="auto"/>
        </w:rPr>
        <w:t>The Claimant shall have the opportunity to submit written comments, documents, records, and other information relating to the claim for benefits to the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880"/>
        <w:spacing w:after="0"/>
        <w:rPr>
          <w:sz w:val="20"/>
          <w:szCs w:val="20"/>
          <w:color w:val="auto"/>
        </w:rPr>
      </w:pPr>
      <w:r>
        <w:rPr>
          <w:rFonts w:ascii="Arial" w:cs="Arial" w:eastAsia="Arial" w:hAnsi="Arial"/>
          <w:sz w:val="21"/>
          <w:szCs w:val="21"/>
          <w:color w:val="auto"/>
        </w:rPr>
        <w:t>17</w:t>
      </w:r>
    </w:p>
    <w:p>
      <w:pPr>
        <w:sectPr>
          <w:pgSz w:w="11900" w:h="16838" w:orient="portrait"/>
          <w:cols w:equalWidth="0" w:num="1">
            <w:col w:w="10600"/>
          </w:cols>
          <w:pgMar w:left="960" w:top="1371" w:right="339" w:bottom="1440" w:gutter="0" w:footer="0" w:header="0"/>
        </w:sectPr>
      </w:pPr>
    </w:p>
    <w:bookmarkStart w:id="328" w:name="page329"/>
    <w:bookmarkEnd w:id="328"/>
    <w:p>
      <w:pPr>
        <w:jc w:val="both"/>
        <w:ind w:left="1260" w:firstLine="633"/>
        <w:spacing w:after="0" w:line="271" w:lineRule="auto"/>
        <w:tabs>
          <w:tab w:leader="none" w:pos="2524" w:val="left"/>
        </w:tabs>
        <w:numPr>
          <w:ilvl w:val="0"/>
          <w:numId w:val="321"/>
        </w:numPr>
        <w:rPr>
          <w:rFonts w:ascii="Arial" w:cs="Arial" w:eastAsia="Arial" w:hAnsi="Arial"/>
          <w:sz w:val="19"/>
          <w:szCs w:val="19"/>
          <w:color w:val="auto"/>
        </w:rPr>
      </w:pPr>
      <w:r>
        <w:rPr>
          <w:rFonts w:ascii="Arial" w:cs="Arial" w:eastAsia="Arial" w:hAnsi="Arial"/>
          <w:sz w:val="19"/>
          <w:szCs w:val="19"/>
          <w:color w:val="auto"/>
        </w:rPr>
        <w:t>The Claimant shall have the right to have all comments, documents, records, and other information relating to the claim for benefits that have been submitted by the Claimant considered on review without regard to whether such comments, documents, records or information were considered in the initial benefit determination; and</w:t>
      </w:r>
    </w:p>
    <w:p>
      <w:pPr>
        <w:spacing w:after="0" w:line="164" w:lineRule="exact"/>
        <w:rPr>
          <w:rFonts w:ascii="Arial" w:cs="Arial" w:eastAsia="Arial" w:hAnsi="Arial"/>
          <w:sz w:val="19"/>
          <w:szCs w:val="19"/>
          <w:color w:val="auto"/>
        </w:rPr>
      </w:pPr>
    </w:p>
    <w:p>
      <w:pPr>
        <w:jc w:val="both"/>
        <w:ind w:left="1260" w:firstLine="633"/>
        <w:spacing w:after="0" w:line="228" w:lineRule="auto"/>
        <w:tabs>
          <w:tab w:leader="none" w:pos="2602" w:val="left"/>
        </w:tabs>
        <w:numPr>
          <w:ilvl w:val="0"/>
          <w:numId w:val="321"/>
        </w:numPr>
        <w:rPr>
          <w:rFonts w:ascii="Arial" w:cs="Arial" w:eastAsia="Arial" w:hAnsi="Arial"/>
          <w:sz w:val="21"/>
          <w:szCs w:val="21"/>
          <w:color w:val="auto"/>
        </w:rPr>
      </w:pPr>
      <w:r>
        <w:rPr>
          <w:rFonts w:ascii="Arial" w:cs="Arial" w:eastAsia="Arial" w:hAnsi="Arial"/>
          <w:sz w:val="21"/>
          <w:szCs w:val="21"/>
          <w:color w:val="auto"/>
        </w:rPr>
        <w:t>The Claimant shall have reasonable access to, and copies of, all documents, records, and other information relevant to the claim for benefits free of charge upon request, including (a) documents, records or other information relied upon for the benefit determination, (b) documents, records or other information submitted, considered or generated without regard to whether such documents, records or other information were relied upon in making the benefit determination, and (c) documents, records or other information that demonstrates compliance with the standard claims procedure.</w:t>
      </w:r>
    </w:p>
    <w:p>
      <w:pPr>
        <w:spacing w:after="0" w:line="197"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The decision on review by the Committee will be binding and conclusive upon all persons, and the Claimant shall neither be required nor be permitted to pursue further appeals to the Committee.</w:t>
      </w:r>
    </w:p>
    <w:p>
      <w:pPr>
        <w:spacing w:after="0" w:line="181" w:lineRule="exact"/>
        <w:rPr>
          <w:sz w:val="20"/>
          <w:szCs w:val="20"/>
          <w:color w:val="auto"/>
        </w:rPr>
      </w:pPr>
    </w:p>
    <w:p>
      <w:pPr>
        <w:jc w:val="both"/>
        <w:ind w:firstLine="1132"/>
        <w:spacing w:after="0" w:line="238" w:lineRule="auto"/>
        <w:rPr>
          <w:sz w:val="20"/>
          <w:szCs w:val="20"/>
          <w:color w:val="auto"/>
        </w:rPr>
      </w:pPr>
      <w:r>
        <w:rPr>
          <w:rFonts w:ascii="Arial" w:cs="Arial" w:eastAsia="Arial" w:hAnsi="Arial"/>
          <w:sz w:val="21"/>
          <w:szCs w:val="21"/>
          <w:color w:val="auto"/>
        </w:rPr>
        <w:t xml:space="preserve">11.8.6 </w:t>
      </w:r>
      <w:r>
        <w:rPr>
          <w:rFonts w:ascii="Arial" w:cs="Arial" w:eastAsia="Arial" w:hAnsi="Arial"/>
          <w:sz w:val="21"/>
          <w:szCs w:val="21"/>
          <w:b w:val="1"/>
          <w:bCs w:val="1"/>
          <w:color w:val="auto"/>
        </w:rPr>
        <w:t>Notification of Benefit Determination on Review.</w:t>
      </w:r>
      <w:r>
        <w:rPr>
          <w:rFonts w:ascii="Arial" w:cs="Arial" w:eastAsia="Arial" w:hAnsi="Arial"/>
          <w:sz w:val="21"/>
          <w:szCs w:val="21"/>
          <w:color w:val="auto"/>
        </w:rPr>
        <w:t xml:space="preserve"> Notice of the Committee’s final benefit determination regarding an Adverse Benefit Determination will be furnished in writing or electronically to the Claimant after a full and fair review. Notice of an Adverse Benefit Determination upon review will:</w:t>
      </w:r>
    </w:p>
    <w:p>
      <w:pPr>
        <w:spacing w:after="0" w:line="192" w:lineRule="exact"/>
        <w:rPr>
          <w:sz w:val="20"/>
          <w:szCs w:val="20"/>
          <w:color w:val="auto"/>
        </w:rPr>
      </w:pPr>
    </w:p>
    <w:p>
      <w:pPr>
        <w:ind w:left="2140" w:hanging="247"/>
        <w:spacing w:after="0"/>
        <w:tabs>
          <w:tab w:leader="none" w:pos="2140" w:val="left"/>
        </w:tabs>
        <w:numPr>
          <w:ilvl w:val="0"/>
          <w:numId w:val="322"/>
        </w:numPr>
        <w:rPr>
          <w:rFonts w:ascii="Arial" w:cs="Arial" w:eastAsia="Arial" w:hAnsi="Arial"/>
          <w:sz w:val="21"/>
          <w:szCs w:val="21"/>
          <w:color w:val="auto"/>
        </w:rPr>
      </w:pPr>
      <w:r>
        <w:rPr>
          <w:rFonts w:ascii="Arial" w:cs="Arial" w:eastAsia="Arial" w:hAnsi="Arial"/>
          <w:sz w:val="21"/>
          <w:szCs w:val="21"/>
          <w:color w:val="auto"/>
        </w:rPr>
        <w:t>State the specific reason or reasons for the Adverse Benefit Determination;</w:t>
      </w:r>
    </w:p>
    <w:p>
      <w:pPr>
        <w:spacing w:after="0" w:line="217" w:lineRule="exact"/>
        <w:rPr>
          <w:rFonts w:ascii="Arial" w:cs="Arial" w:eastAsia="Arial" w:hAnsi="Arial"/>
          <w:sz w:val="21"/>
          <w:szCs w:val="21"/>
          <w:color w:val="auto"/>
        </w:rPr>
      </w:pPr>
    </w:p>
    <w:p>
      <w:pPr>
        <w:ind w:left="2440" w:hanging="547"/>
        <w:spacing w:after="0"/>
        <w:tabs>
          <w:tab w:leader="none" w:pos="2440" w:val="left"/>
        </w:tabs>
        <w:numPr>
          <w:ilvl w:val="0"/>
          <w:numId w:val="322"/>
        </w:numPr>
        <w:rPr>
          <w:rFonts w:ascii="Arial" w:cs="Arial" w:eastAsia="Arial" w:hAnsi="Arial"/>
          <w:sz w:val="19"/>
          <w:szCs w:val="19"/>
          <w:color w:val="auto"/>
        </w:rPr>
      </w:pPr>
      <w:r>
        <w:rPr>
          <w:rFonts w:ascii="Arial" w:cs="Arial" w:eastAsia="Arial" w:hAnsi="Arial"/>
          <w:sz w:val="19"/>
          <w:szCs w:val="19"/>
          <w:color w:val="auto"/>
        </w:rPr>
        <w:t>Provide specific reference to pertinent Plan provisions on which the Adverse Benefit Determination is</w:t>
      </w:r>
    </w:p>
    <w:p>
      <w:pPr>
        <w:spacing w:after="0" w:line="22" w:lineRule="exact"/>
        <w:rPr>
          <w:sz w:val="20"/>
          <w:szCs w:val="20"/>
          <w:color w:val="auto"/>
        </w:rPr>
      </w:pPr>
    </w:p>
    <w:p>
      <w:pPr>
        <w:ind w:left="1260"/>
        <w:spacing w:after="0"/>
        <w:rPr>
          <w:sz w:val="20"/>
          <w:szCs w:val="20"/>
          <w:color w:val="auto"/>
        </w:rPr>
      </w:pPr>
      <w:r>
        <w:rPr>
          <w:rFonts w:ascii="Arial" w:cs="Arial" w:eastAsia="Arial" w:hAnsi="Arial"/>
          <w:sz w:val="21"/>
          <w:szCs w:val="21"/>
          <w:color w:val="auto"/>
        </w:rPr>
        <w:t>based;</w:t>
      </w:r>
    </w:p>
    <w:p>
      <w:pPr>
        <w:spacing w:after="0" w:line="199" w:lineRule="exact"/>
        <w:rPr>
          <w:sz w:val="20"/>
          <w:szCs w:val="20"/>
          <w:color w:val="auto"/>
        </w:rPr>
      </w:pPr>
    </w:p>
    <w:p>
      <w:pPr>
        <w:jc w:val="both"/>
        <w:ind w:left="1260" w:firstLine="633"/>
        <w:spacing w:after="0"/>
        <w:tabs>
          <w:tab w:leader="none" w:pos="2449" w:val="left"/>
        </w:tabs>
        <w:numPr>
          <w:ilvl w:val="0"/>
          <w:numId w:val="323"/>
        </w:numPr>
        <w:rPr>
          <w:rFonts w:ascii="Arial" w:cs="Arial" w:eastAsia="Arial" w:hAnsi="Arial"/>
          <w:sz w:val="20"/>
          <w:szCs w:val="20"/>
          <w:color w:val="auto"/>
        </w:rPr>
      </w:pPr>
      <w:r>
        <w:rPr>
          <w:rFonts w:ascii="Arial" w:cs="Arial" w:eastAsia="Arial" w:hAnsi="Arial"/>
          <w:sz w:val="20"/>
          <w:szCs w:val="20"/>
          <w:color w:val="auto"/>
        </w:rPr>
        <w:t>State that the Claimant is entitled to receive, upon request and free of charge, reasonable access to, and copies of, all documents, records, and other information relevant to the Claimant’s claim for benefits including (a) documents, records or other information relied upon for the benefit determination, (b) documents, records or other information submitted, considered or generated without regard to whether such documents, records or other information were relied upon in making the benefit determination, and (c) documents, records or other information that demonstrates compliance with the standard claims procedure; and</w:t>
      </w:r>
    </w:p>
    <w:p>
      <w:pPr>
        <w:spacing w:after="0" w:line="193" w:lineRule="exact"/>
        <w:rPr>
          <w:rFonts w:ascii="Arial" w:cs="Arial" w:eastAsia="Arial" w:hAnsi="Arial"/>
          <w:sz w:val="20"/>
          <w:szCs w:val="20"/>
          <w:color w:val="auto"/>
        </w:rPr>
      </w:pPr>
    </w:p>
    <w:p>
      <w:pPr>
        <w:ind w:left="2400" w:hanging="507"/>
        <w:spacing w:after="0"/>
        <w:tabs>
          <w:tab w:leader="none" w:pos="2400" w:val="left"/>
        </w:tabs>
        <w:numPr>
          <w:ilvl w:val="0"/>
          <w:numId w:val="323"/>
        </w:numPr>
        <w:rPr>
          <w:rFonts w:ascii="Arial" w:cs="Arial" w:eastAsia="Arial" w:hAnsi="Arial"/>
          <w:sz w:val="21"/>
          <w:szCs w:val="21"/>
          <w:color w:val="auto"/>
        </w:rPr>
      </w:pPr>
      <w:r>
        <w:rPr>
          <w:rFonts w:ascii="Arial" w:cs="Arial" w:eastAsia="Arial" w:hAnsi="Arial"/>
          <w:sz w:val="21"/>
          <w:szCs w:val="21"/>
          <w:color w:val="auto"/>
        </w:rPr>
        <w:t>Describe the Claimant’s right to bring an action under Section 502(a) of ERISA.</w:t>
      </w:r>
    </w:p>
    <w:p>
      <w:pPr>
        <w:spacing w:after="0" w:line="217" w:lineRule="exact"/>
        <w:rPr>
          <w:sz w:val="20"/>
          <w:szCs w:val="20"/>
          <w:color w:val="auto"/>
        </w:rPr>
      </w:pPr>
    </w:p>
    <w:p>
      <w:pPr>
        <w:jc w:val="both"/>
        <w:ind w:left="640"/>
        <w:spacing w:after="0" w:line="232" w:lineRule="auto"/>
        <w:rPr>
          <w:sz w:val="20"/>
          <w:szCs w:val="20"/>
          <w:color w:val="auto"/>
        </w:rPr>
      </w:pPr>
      <w:r>
        <w:rPr>
          <w:rFonts w:ascii="Arial" w:cs="Arial" w:eastAsia="Arial" w:hAnsi="Arial"/>
          <w:sz w:val="21"/>
          <w:szCs w:val="21"/>
          <w:color w:val="auto"/>
        </w:rPr>
        <w:t>The Committee shall notify a Claimant of its determination on review with respect to the Adverse Benefit Determination of the Claimant within a reasonable period of time but not later than sixty (60) days after the receipt of the Claimant’s request for review unless the Committee determines that special circumstances require an extension of time for processing the review of the Adverse Benefit Determination. If the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18</w:t>
      </w:r>
    </w:p>
    <w:p>
      <w:pPr>
        <w:sectPr>
          <w:pgSz w:w="11900" w:h="16838" w:orient="portrait"/>
          <w:cols w:equalWidth="0" w:num="1">
            <w:col w:w="11240"/>
          </w:cols>
          <w:pgMar w:left="320" w:top="1377" w:right="339" w:bottom="1440" w:gutter="0" w:footer="0" w:header="0"/>
        </w:sectPr>
      </w:pPr>
    </w:p>
    <w:bookmarkStart w:id="329" w:name="page330"/>
    <w:bookmarkEnd w:id="329"/>
    <w:p>
      <w:pPr>
        <w:jc w:val="both"/>
        <w:spacing w:after="0" w:line="227" w:lineRule="auto"/>
        <w:rPr>
          <w:sz w:val="20"/>
          <w:szCs w:val="20"/>
          <w:color w:val="auto"/>
        </w:rPr>
      </w:pPr>
      <w:r>
        <w:rPr>
          <w:rFonts w:ascii="Arial" w:cs="Arial" w:eastAsia="Arial" w:hAnsi="Arial"/>
          <w:sz w:val="21"/>
          <w:szCs w:val="21"/>
          <w:color w:val="auto"/>
        </w:rPr>
        <w:t>determines that such extension of time is required, written notice of the extension (which shall indicate the special circumstances requiring the extension and the date by which the Committee expects to render the determination on review) shall be furnished to the Claimant prior to the termination of the initial sixty (60)-day review period. In no event shall such extension exceed a period of sixty (60) days from the end of the initial sixty (60)-day review period. In the event such extension is due to the Claimant’s failure to submit necessary information, the period for making the determination on a review will be tolled from the date on which the notification of the extension is sent to the Claimant until the date on which the Claimant responds to the request for additional information.</w:t>
      </w:r>
    </w:p>
    <w:p>
      <w:pPr>
        <w:spacing w:after="0" w:line="192" w:lineRule="exact"/>
        <w:rPr>
          <w:sz w:val="20"/>
          <w:szCs w:val="20"/>
          <w:color w:val="auto"/>
        </w:rPr>
      </w:pPr>
    </w:p>
    <w:p>
      <w:pPr>
        <w:jc w:val="both"/>
        <w:ind w:firstLine="629"/>
        <w:spacing w:after="0" w:line="231" w:lineRule="auto"/>
        <w:rPr>
          <w:sz w:val="20"/>
          <w:szCs w:val="20"/>
          <w:color w:val="auto"/>
        </w:rPr>
      </w:pPr>
      <w:r>
        <w:rPr>
          <w:rFonts w:ascii="Arial" w:cs="Arial" w:eastAsia="Arial" w:hAnsi="Arial"/>
          <w:sz w:val="21"/>
          <w:szCs w:val="21"/>
          <w:color w:val="auto"/>
        </w:rPr>
        <w:t xml:space="preserve">11.8.7 </w:t>
      </w:r>
      <w:r>
        <w:rPr>
          <w:rFonts w:ascii="Arial" w:cs="Arial" w:eastAsia="Arial" w:hAnsi="Arial"/>
          <w:sz w:val="21"/>
          <w:szCs w:val="21"/>
          <w:b w:val="1"/>
          <w:bCs w:val="1"/>
          <w:color w:val="auto"/>
        </w:rPr>
        <w:t>Exhaustion of Administrative Remedies.</w:t>
      </w:r>
      <w:r>
        <w:rPr>
          <w:rFonts w:ascii="Arial" w:cs="Arial" w:eastAsia="Arial" w:hAnsi="Arial"/>
          <w:sz w:val="21"/>
          <w:szCs w:val="21"/>
          <w:color w:val="auto"/>
        </w:rPr>
        <w:t xml:space="preserve"> Completion of the claims procedures described in this Section 11.8 will be a condition precedent to the commencement of any legal or equitable action in connection with a claim for benefits under the Plan by a Claimant or by any other person or entity claiming rights individually or through a Claimant; provided, however, that the Committee may, in its sole discretion, waive compliance with such claims procedures as a condition precedent to any such action.</w:t>
      </w:r>
    </w:p>
    <w:p>
      <w:pPr>
        <w:spacing w:after="0" w:line="189" w:lineRule="exact"/>
        <w:rPr>
          <w:sz w:val="20"/>
          <w:szCs w:val="20"/>
          <w:color w:val="auto"/>
        </w:rPr>
      </w:pPr>
    </w:p>
    <w:p>
      <w:pPr>
        <w:jc w:val="both"/>
        <w:ind w:firstLine="629"/>
        <w:spacing w:after="0" w:line="231" w:lineRule="auto"/>
        <w:rPr>
          <w:sz w:val="20"/>
          <w:szCs w:val="20"/>
          <w:color w:val="auto"/>
        </w:rPr>
      </w:pPr>
      <w:r>
        <w:rPr>
          <w:rFonts w:ascii="Arial" w:cs="Arial" w:eastAsia="Arial" w:hAnsi="Arial"/>
          <w:sz w:val="21"/>
          <w:szCs w:val="21"/>
          <w:color w:val="auto"/>
        </w:rPr>
        <w:t xml:space="preserve">11.8.8 </w:t>
      </w:r>
      <w:r>
        <w:rPr>
          <w:rFonts w:ascii="Arial" w:cs="Arial" w:eastAsia="Arial" w:hAnsi="Arial"/>
          <w:sz w:val="21"/>
          <w:szCs w:val="21"/>
          <w:b w:val="1"/>
          <w:bCs w:val="1"/>
          <w:color w:val="auto"/>
        </w:rPr>
        <w:t>Payment of Benefits.</w:t>
      </w:r>
      <w:r>
        <w:rPr>
          <w:rFonts w:ascii="Arial" w:cs="Arial" w:eastAsia="Arial" w:hAnsi="Arial"/>
          <w:sz w:val="21"/>
          <w:szCs w:val="21"/>
          <w:color w:val="auto"/>
        </w:rPr>
        <w:t xml:space="preserve"> If the Committee (or the Benefits Administrator) determines that a Claimant is entitled to a benefit hereunder, payment of such benefit will be made to such Claimant (or commence, as applicable) as soon as administratively practicable after the date the Committee (or the Benefits Administrator) determines that such Claimant is entitled to such benefit or on such other date as may be established pursuant to the Plan provisions or, as applicable, designated by the Committee.</w:t>
      </w:r>
    </w:p>
    <w:p>
      <w:pPr>
        <w:spacing w:after="0" w:line="189" w:lineRule="exact"/>
        <w:rPr>
          <w:sz w:val="20"/>
          <w:szCs w:val="20"/>
          <w:color w:val="auto"/>
        </w:rPr>
      </w:pPr>
    </w:p>
    <w:p>
      <w:pPr>
        <w:jc w:val="both"/>
        <w:ind w:firstLine="629"/>
        <w:spacing w:after="0" w:line="253" w:lineRule="auto"/>
        <w:rPr>
          <w:sz w:val="20"/>
          <w:szCs w:val="20"/>
          <w:color w:val="auto"/>
        </w:rPr>
      </w:pPr>
      <w:r>
        <w:rPr>
          <w:rFonts w:ascii="Arial" w:cs="Arial" w:eastAsia="Arial" w:hAnsi="Arial"/>
          <w:sz w:val="19"/>
          <w:szCs w:val="19"/>
          <w:color w:val="auto"/>
        </w:rPr>
        <w:t xml:space="preserve">11.8.9 </w:t>
      </w:r>
      <w:r>
        <w:rPr>
          <w:rFonts w:ascii="Arial" w:cs="Arial" w:eastAsia="Arial" w:hAnsi="Arial"/>
          <w:sz w:val="19"/>
          <w:szCs w:val="19"/>
          <w:b w:val="1"/>
          <w:bCs w:val="1"/>
          <w:color w:val="auto"/>
        </w:rPr>
        <w:t>Authorized Representatives.</w:t>
      </w:r>
      <w:r>
        <w:rPr>
          <w:rFonts w:ascii="Arial" w:cs="Arial" w:eastAsia="Arial" w:hAnsi="Arial"/>
          <w:sz w:val="19"/>
          <w:szCs w:val="19"/>
          <w:color w:val="auto"/>
        </w:rPr>
        <w:t xml:space="preserve"> An authorized representative may act on behalf of a Claimant in pursuing a benefit claim or an appeal of an Adverse Benefit Determination. An individual or entity will only be determined to be a Claimant’s authorized representative for such purposes if the Claimant has provided the Committee with a written statement identifying such individual or entity as the Claimant’s authorized representative and describing the scope of the authority of such authorized representative. In the event a Claimant identifies an individual or entity as an authorized representative in writing to the Committee but fails to describe the scope of the authority of such authorized representative, the Committee shall assume that such authorized representative has full powers to act with respect to all matters pertaining to the Claimant’s benefit claim under the Plan or appeal of an Adverse Benefit Determination with respect to such benefit claim.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4880"/>
        <w:spacing w:after="0"/>
        <w:rPr>
          <w:sz w:val="20"/>
          <w:szCs w:val="20"/>
          <w:color w:val="auto"/>
        </w:rPr>
      </w:pPr>
      <w:r>
        <w:rPr>
          <w:rFonts w:ascii="Arial" w:cs="Arial" w:eastAsia="Arial" w:hAnsi="Arial"/>
          <w:sz w:val="21"/>
          <w:szCs w:val="21"/>
          <w:color w:val="auto"/>
        </w:rPr>
        <w:t>19</w:t>
      </w:r>
    </w:p>
    <w:p>
      <w:pPr>
        <w:sectPr>
          <w:pgSz w:w="11900" w:h="16838" w:orient="portrait"/>
          <w:cols w:equalWidth="0" w:num="1">
            <w:col w:w="10600"/>
          </w:cols>
          <w:pgMar w:left="960" w:top="1376" w:right="339" w:bottom="1440" w:gutter="0" w:footer="0" w:header="0"/>
        </w:sectPr>
      </w:pPr>
    </w:p>
    <w:bookmarkStart w:id="330" w:name="page331"/>
    <w:bookmarkEnd w:id="330"/>
    <w:p>
      <w:pPr>
        <w:jc w:val="center"/>
        <w:spacing w:after="0"/>
        <w:rPr>
          <w:sz w:val="20"/>
          <w:szCs w:val="20"/>
          <w:color w:val="auto"/>
        </w:rPr>
      </w:pPr>
      <w:r>
        <w:rPr>
          <w:rFonts w:ascii="Arial" w:cs="Arial" w:eastAsia="Arial" w:hAnsi="Arial"/>
          <w:sz w:val="21"/>
          <w:szCs w:val="21"/>
          <w:b w:val="1"/>
          <w:bCs w:val="1"/>
          <w:color w:val="auto"/>
        </w:rPr>
        <w:t>ARTICLE XII. MISCELLANEOUS</w:t>
      </w:r>
    </w:p>
    <w:p>
      <w:pPr>
        <w:spacing w:after="0" w:line="217" w:lineRule="exact"/>
        <w:rPr>
          <w:sz w:val="20"/>
          <w:szCs w:val="20"/>
          <w:color w:val="auto"/>
        </w:rPr>
      </w:pPr>
    </w:p>
    <w:p>
      <w:pPr>
        <w:jc w:val="both"/>
        <w:ind w:firstLine="566"/>
        <w:spacing w:after="0" w:line="233" w:lineRule="auto"/>
        <w:rPr>
          <w:sz w:val="20"/>
          <w:szCs w:val="20"/>
          <w:color w:val="auto"/>
        </w:rPr>
      </w:pPr>
      <w:r>
        <w:rPr>
          <w:rFonts w:ascii="Arial" w:cs="Arial" w:eastAsia="Arial" w:hAnsi="Arial"/>
          <w:sz w:val="21"/>
          <w:szCs w:val="21"/>
          <w:color w:val="auto"/>
        </w:rPr>
        <w:t xml:space="preserve">12.1 </w:t>
      </w:r>
      <w:r>
        <w:rPr>
          <w:rFonts w:ascii="Arial" w:cs="Arial" w:eastAsia="Arial" w:hAnsi="Arial"/>
          <w:sz w:val="21"/>
          <w:szCs w:val="21"/>
          <w:b w:val="1"/>
          <w:bCs w:val="1"/>
          <w:color w:val="auto"/>
        </w:rPr>
        <w:t>Employment Status.</w:t>
      </w:r>
      <w:r>
        <w:rPr>
          <w:rFonts w:ascii="Arial" w:cs="Arial" w:eastAsia="Arial" w:hAnsi="Arial"/>
          <w:sz w:val="21"/>
          <w:szCs w:val="21"/>
          <w:color w:val="auto"/>
        </w:rPr>
        <w:t xml:space="preserve"> The Plan does not constitute a contract of employment or impose on the Participant or the Participant</w:t>
      </w:r>
      <w:r>
        <w:rPr>
          <w:rFonts w:ascii="Arial" w:cs="Arial" w:eastAsia="Arial" w:hAnsi="Arial"/>
          <w:sz w:val="11"/>
          <w:szCs w:val="11"/>
          <w:color w:val="auto"/>
        </w:rPr>
        <w:t>’</w:t>
      </w:r>
      <w:r>
        <w:rPr>
          <w:rFonts w:ascii="Arial" w:cs="Arial" w:eastAsia="Arial" w:hAnsi="Arial"/>
          <w:sz w:val="21"/>
          <w:szCs w:val="21"/>
          <w:color w:val="auto"/>
        </w:rPr>
        <w:t>s Employer any obligation to retain the Participant as an Employee, any restriction on changing the status of the Participant’s employment, or any restriction on changing the policies of the Company or its Affiliates regarding termination of employment.</w:t>
      </w:r>
    </w:p>
    <w:p>
      <w:pPr>
        <w:spacing w:after="0" w:line="190" w:lineRule="exact"/>
        <w:rPr>
          <w:sz w:val="20"/>
          <w:szCs w:val="20"/>
          <w:color w:val="auto"/>
        </w:rPr>
      </w:pPr>
    </w:p>
    <w:p>
      <w:pPr>
        <w:jc w:val="both"/>
        <w:ind w:firstLine="566"/>
        <w:spacing w:after="0" w:line="238" w:lineRule="auto"/>
        <w:rPr>
          <w:sz w:val="20"/>
          <w:szCs w:val="20"/>
          <w:color w:val="auto"/>
        </w:rPr>
      </w:pPr>
      <w:r>
        <w:rPr>
          <w:rFonts w:ascii="Arial" w:cs="Arial" w:eastAsia="Arial" w:hAnsi="Arial"/>
          <w:sz w:val="21"/>
          <w:szCs w:val="21"/>
          <w:color w:val="auto"/>
        </w:rPr>
        <w:t xml:space="preserve">12.2 </w:t>
      </w:r>
      <w:r>
        <w:rPr>
          <w:rFonts w:ascii="Arial" w:cs="Arial" w:eastAsia="Arial" w:hAnsi="Arial"/>
          <w:sz w:val="21"/>
          <w:szCs w:val="21"/>
          <w:b w:val="1"/>
          <w:bCs w:val="1"/>
          <w:color w:val="auto"/>
        </w:rPr>
        <w:t>Validity and Severability.</w:t>
      </w:r>
      <w:r>
        <w:rPr>
          <w:rFonts w:ascii="Arial" w:cs="Arial" w:eastAsia="Arial" w:hAnsi="Arial"/>
          <w:sz w:val="21"/>
          <w:szCs w:val="21"/>
          <w:color w:val="auto"/>
        </w:rPr>
        <w:t xml:space="preserve"> The invalidity or unenforceability of any provision of the Plan shall not affect the validity or enforceability of any other provision of the Plan, which shall remain in full force and effect, and any prohibition or unenforceability in any jurisdiction shall not invalidate or render unenforceable such provision in any other jurisdiction.</w:t>
      </w:r>
    </w:p>
    <w:p>
      <w:pPr>
        <w:spacing w:after="0" w:line="186" w:lineRule="exact"/>
        <w:rPr>
          <w:sz w:val="20"/>
          <w:szCs w:val="20"/>
          <w:color w:val="auto"/>
        </w:rPr>
      </w:pPr>
    </w:p>
    <w:p>
      <w:pPr>
        <w:jc w:val="both"/>
        <w:ind w:firstLine="566"/>
        <w:spacing w:after="0" w:line="238" w:lineRule="auto"/>
        <w:rPr>
          <w:sz w:val="20"/>
          <w:szCs w:val="20"/>
          <w:color w:val="auto"/>
        </w:rPr>
      </w:pPr>
      <w:r>
        <w:rPr>
          <w:rFonts w:ascii="Arial" w:cs="Arial" w:eastAsia="Arial" w:hAnsi="Arial"/>
          <w:sz w:val="21"/>
          <w:szCs w:val="21"/>
          <w:color w:val="auto"/>
        </w:rPr>
        <w:t xml:space="preserve">12.3 </w:t>
      </w:r>
      <w:r>
        <w:rPr>
          <w:rFonts w:ascii="Arial" w:cs="Arial" w:eastAsia="Arial" w:hAnsi="Arial"/>
          <w:sz w:val="21"/>
          <w:szCs w:val="21"/>
          <w:b w:val="1"/>
          <w:bCs w:val="1"/>
          <w:color w:val="auto"/>
        </w:rPr>
        <w:t>Governing Law.</w:t>
      </w:r>
      <w:r>
        <w:rPr>
          <w:rFonts w:ascii="Arial" w:cs="Arial" w:eastAsia="Arial" w:hAnsi="Arial"/>
          <w:sz w:val="21"/>
          <w:szCs w:val="21"/>
          <w:color w:val="auto"/>
        </w:rPr>
        <w:t xml:space="preserve"> The validity, interpretation, construction and performance of the Plan shall in all respects be governed by the laws of the United States and, to the extent not preempted by such laws, by the laws of the State of Delaware, without regard to choice of law principles.</w:t>
      </w:r>
    </w:p>
    <w:p>
      <w:pPr>
        <w:spacing w:after="0" w:line="186" w:lineRule="exact"/>
        <w:rPr>
          <w:sz w:val="20"/>
          <w:szCs w:val="20"/>
          <w:color w:val="auto"/>
        </w:rPr>
      </w:pPr>
    </w:p>
    <w:p>
      <w:pPr>
        <w:jc w:val="both"/>
        <w:ind w:firstLine="566"/>
        <w:spacing w:after="0" w:line="247" w:lineRule="auto"/>
        <w:rPr>
          <w:sz w:val="20"/>
          <w:szCs w:val="20"/>
          <w:color w:val="auto"/>
        </w:rPr>
      </w:pPr>
      <w:r>
        <w:rPr>
          <w:rFonts w:ascii="Arial" w:cs="Arial" w:eastAsia="Arial" w:hAnsi="Arial"/>
          <w:sz w:val="20"/>
          <w:szCs w:val="20"/>
          <w:color w:val="auto"/>
        </w:rPr>
        <w:t xml:space="preserve">12.4 </w:t>
      </w:r>
      <w:r>
        <w:rPr>
          <w:rFonts w:ascii="Arial" w:cs="Arial" w:eastAsia="Arial" w:hAnsi="Arial"/>
          <w:sz w:val="20"/>
          <w:szCs w:val="20"/>
          <w:b w:val="1"/>
          <w:bCs w:val="1"/>
          <w:color w:val="auto"/>
        </w:rPr>
        <w:t>Withholding and Payment of Taxes.</w:t>
      </w:r>
      <w:r>
        <w:rPr>
          <w:rFonts w:ascii="Arial" w:cs="Arial" w:eastAsia="Arial" w:hAnsi="Arial"/>
          <w:sz w:val="20"/>
          <w:szCs w:val="20"/>
          <w:color w:val="auto"/>
        </w:rPr>
        <w:t xml:space="preserve"> The Company or its Affiliates may withhold from any amounts payable under the Plan all federal, state, local and/or other taxes as shall be legally required. In addition, except as otherwise provided herein, each Participant shall be solely responsible for the payment of all income, excise and other taxes which are individually levied on the Participant by any taxing authority with respect to any amount paid to such Participant under the Plan.</w:t>
      </w:r>
    </w:p>
    <w:p>
      <w:pPr>
        <w:spacing w:after="0" w:line="181" w:lineRule="exact"/>
        <w:rPr>
          <w:sz w:val="20"/>
          <w:szCs w:val="20"/>
          <w:color w:val="auto"/>
        </w:rPr>
      </w:pPr>
    </w:p>
    <w:p>
      <w:pPr>
        <w:jc w:val="both"/>
        <w:ind w:firstLine="566"/>
        <w:spacing w:after="0" w:line="274" w:lineRule="auto"/>
        <w:rPr>
          <w:sz w:val="20"/>
          <w:szCs w:val="20"/>
          <w:color w:val="auto"/>
        </w:rPr>
      </w:pPr>
      <w:r>
        <w:rPr>
          <w:rFonts w:ascii="Arial" w:cs="Arial" w:eastAsia="Arial" w:hAnsi="Arial"/>
          <w:sz w:val="19"/>
          <w:szCs w:val="19"/>
          <w:color w:val="auto"/>
        </w:rPr>
        <w:t xml:space="preserve">12.5 </w:t>
      </w:r>
      <w:r>
        <w:rPr>
          <w:rFonts w:ascii="Arial" w:cs="Arial" w:eastAsia="Arial" w:hAnsi="Arial"/>
          <w:sz w:val="19"/>
          <w:szCs w:val="19"/>
          <w:b w:val="1"/>
          <w:bCs w:val="1"/>
          <w:color w:val="auto"/>
        </w:rPr>
        <w:t>Obligations Unfunded.</w:t>
      </w:r>
      <w:r>
        <w:rPr>
          <w:rFonts w:ascii="Arial" w:cs="Arial" w:eastAsia="Arial" w:hAnsi="Arial"/>
          <w:sz w:val="19"/>
          <w:szCs w:val="19"/>
          <w:color w:val="auto"/>
        </w:rPr>
        <w:t xml:space="preserve"> All benefits due a Participant under the Plan are unfunded and unsecured and are payable out of the general funds of the Employers. One or more Employers may establish a “grantor trust” for the payment of benefits and obligations hereunder, the assets of which shall be at all times subject to the claims of creditors as provided for in such trust.</w:t>
      </w:r>
    </w:p>
    <w:p>
      <w:pPr>
        <w:spacing w:after="0" w:line="157" w:lineRule="exact"/>
        <w:rPr>
          <w:sz w:val="20"/>
          <w:szCs w:val="20"/>
          <w:color w:val="auto"/>
        </w:rPr>
      </w:pPr>
    </w:p>
    <w:p>
      <w:pPr>
        <w:ind w:left="580"/>
        <w:spacing w:after="0"/>
        <w:rPr>
          <w:sz w:val="20"/>
          <w:szCs w:val="20"/>
          <w:color w:val="auto"/>
        </w:rPr>
      </w:pPr>
      <w:r>
        <w:rPr>
          <w:rFonts w:ascii="Arial" w:cs="Arial" w:eastAsia="Arial" w:hAnsi="Arial"/>
          <w:sz w:val="21"/>
          <w:szCs w:val="21"/>
          <w:color w:val="auto"/>
        </w:rPr>
        <w:t xml:space="preserve">12.6 </w:t>
      </w:r>
      <w:r>
        <w:rPr>
          <w:rFonts w:ascii="Arial" w:cs="Arial" w:eastAsia="Arial" w:hAnsi="Arial"/>
          <w:sz w:val="21"/>
          <w:szCs w:val="21"/>
          <w:b w:val="1"/>
          <w:bCs w:val="1"/>
          <w:color w:val="auto"/>
        </w:rPr>
        <w:t>Construction.</w:t>
      </w:r>
      <w:r>
        <w:rPr>
          <w:rFonts w:ascii="Arial" w:cs="Arial" w:eastAsia="Arial" w:hAnsi="Arial"/>
          <w:sz w:val="21"/>
          <w:szCs w:val="21"/>
          <w:color w:val="auto"/>
        </w:rPr>
        <w:t xml:space="preserve"> For purposes of the Plan, the following rules of construction shall apply:</w:t>
      </w:r>
    </w:p>
    <w:p>
      <w:pPr>
        <w:spacing w:after="0" w:line="223" w:lineRule="exact"/>
        <w:rPr>
          <w:sz w:val="20"/>
          <w:szCs w:val="20"/>
          <w:color w:val="auto"/>
        </w:rPr>
      </w:pPr>
    </w:p>
    <w:p>
      <w:pPr>
        <w:ind w:left="1260"/>
        <w:spacing w:after="0"/>
        <w:rPr>
          <w:sz w:val="20"/>
          <w:szCs w:val="20"/>
          <w:color w:val="auto"/>
        </w:rPr>
      </w:pPr>
      <w:r>
        <w:rPr>
          <w:rFonts w:ascii="Arial" w:cs="Arial" w:eastAsia="Arial" w:hAnsi="Arial"/>
          <w:sz w:val="21"/>
          <w:szCs w:val="21"/>
          <w:color w:val="auto"/>
        </w:rPr>
        <w:t>12.6.1 The word “or” is disjunctive but not necessarily exclusive.</w:t>
      </w:r>
    </w:p>
    <w:p>
      <w:pPr>
        <w:spacing w:after="0" w:line="217" w:lineRule="exact"/>
        <w:rPr>
          <w:sz w:val="20"/>
          <w:szCs w:val="20"/>
          <w:color w:val="auto"/>
        </w:rPr>
      </w:pPr>
    </w:p>
    <w:p>
      <w:pPr>
        <w:ind w:left="640" w:firstLine="629"/>
        <w:spacing w:after="0" w:line="246" w:lineRule="auto"/>
        <w:rPr>
          <w:sz w:val="20"/>
          <w:szCs w:val="20"/>
          <w:color w:val="auto"/>
        </w:rPr>
      </w:pPr>
      <w:r>
        <w:rPr>
          <w:rFonts w:ascii="Arial" w:cs="Arial" w:eastAsia="Arial" w:hAnsi="Arial"/>
          <w:sz w:val="21"/>
          <w:szCs w:val="21"/>
          <w:color w:val="auto"/>
        </w:rPr>
        <w:t>12.6.2 Words in the singular include the plural; words in the plural include the singular; and words in the neuter gender include the masculine and feminine genders.</w:t>
      </w:r>
    </w:p>
    <w:p>
      <w:pPr>
        <w:spacing w:after="0" w:line="187" w:lineRule="exact"/>
        <w:rPr>
          <w:sz w:val="20"/>
          <w:szCs w:val="20"/>
          <w:color w:val="auto"/>
        </w:rPr>
      </w:pPr>
    </w:p>
    <w:p>
      <w:pPr>
        <w:jc w:val="center"/>
        <w:ind w:right="2000"/>
        <w:spacing w:after="0"/>
        <w:rPr>
          <w:sz w:val="20"/>
          <w:szCs w:val="20"/>
          <w:color w:val="auto"/>
        </w:rPr>
      </w:pPr>
      <w:r>
        <w:rPr>
          <w:rFonts w:ascii="Arial" w:cs="Arial" w:eastAsia="Arial" w:hAnsi="Arial"/>
          <w:sz w:val="21"/>
          <w:szCs w:val="21"/>
          <w:color w:val="auto"/>
        </w:rPr>
        <w:t>The Plan has been adopted by the Company to be effective as of the 13</w:t>
      </w:r>
      <w:r>
        <w:rPr>
          <w:rFonts w:ascii="Arial" w:cs="Arial" w:eastAsia="Arial" w:hAnsi="Arial"/>
          <w:sz w:val="11"/>
          <w:szCs w:val="11"/>
          <w:color w:val="auto"/>
        </w:rPr>
        <w:t>th</w:t>
      </w:r>
      <w:r>
        <w:rPr>
          <w:rFonts w:ascii="Arial" w:cs="Arial" w:eastAsia="Arial" w:hAnsi="Arial"/>
          <w:sz w:val="21"/>
          <w:szCs w:val="21"/>
          <w:color w:val="auto"/>
        </w:rPr>
        <w:t xml:space="preserve"> day of September 2021.</w:t>
      </w:r>
    </w:p>
    <w:p>
      <w:pPr>
        <w:spacing w:after="0" w:line="211" w:lineRule="exact"/>
        <w:rPr>
          <w:sz w:val="20"/>
          <w:szCs w:val="20"/>
          <w:color w:val="auto"/>
        </w:rPr>
      </w:pPr>
    </w:p>
    <w:p>
      <w:pPr>
        <w:jc w:val="center"/>
        <w:ind w:right="1980"/>
        <w:spacing w:after="0"/>
        <w:rPr>
          <w:sz w:val="20"/>
          <w:szCs w:val="20"/>
          <w:color w:val="auto"/>
        </w:rPr>
      </w:pPr>
      <w:r>
        <w:rPr>
          <w:rFonts w:ascii="Arial" w:cs="Arial" w:eastAsia="Arial" w:hAnsi="Arial"/>
          <w:sz w:val="21"/>
          <w:szCs w:val="21"/>
          <w:b w:val="1"/>
          <w:bCs w:val="1"/>
          <w:color w:val="auto"/>
        </w:rPr>
        <w:t>MATRIX SERVICE COMPANY</w:t>
      </w:r>
    </w:p>
    <w:p>
      <w:pPr>
        <w:spacing w:after="0" w:line="200" w:lineRule="exact"/>
        <w:rPr>
          <w:sz w:val="20"/>
          <w:szCs w:val="20"/>
          <w:color w:val="auto"/>
        </w:rPr>
      </w:pPr>
    </w:p>
    <w:p>
      <w:pPr>
        <w:spacing w:after="0" w:line="259" w:lineRule="exact"/>
        <w:rPr>
          <w:sz w:val="20"/>
          <w:szCs w:val="20"/>
          <w:color w:val="auto"/>
        </w:rPr>
      </w:pPr>
    </w:p>
    <w:p>
      <w:pPr>
        <w:ind w:left="3160"/>
        <w:spacing w:after="0"/>
        <w:rPr>
          <w:sz w:val="20"/>
          <w:szCs w:val="20"/>
          <w:color w:val="auto"/>
        </w:rPr>
      </w:pPr>
      <w:r>
        <w:rPr>
          <w:rFonts w:ascii="Arial" w:cs="Arial" w:eastAsia="Arial" w:hAnsi="Arial"/>
          <w:sz w:val="21"/>
          <w:szCs w:val="21"/>
          <w:color w:val="auto"/>
        </w:rPr>
        <w:t>By: ____________________________________</w:t>
      </w:r>
    </w:p>
    <w:p>
      <w:pPr>
        <w:ind w:left="3160"/>
        <w:spacing w:after="0" w:line="221" w:lineRule="auto"/>
        <w:rPr>
          <w:sz w:val="20"/>
          <w:szCs w:val="20"/>
          <w:color w:val="auto"/>
        </w:rPr>
      </w:pPr>
      <w:r>
        <w:rPr>
          <w:rFonts w:ascii="Arial" w:cs="Arial" w:eastAsia="Arial" w:hAnsi="Arial"/>
          <w:sz w:val="21"/>
          <w:szCs w:val="21"/>
          <w:color w:val="auto"/>
        </w:rPr>
        <w:t>Name: __________________________________</w:t>
      </w:r>
    </w:p>
    <w:p>
      <w:pPr>
        <w:spacing w:after="0" w:line="1" w:lineRule="exact"/>
        <w:rPr>
          <w:sz w:val="20"/>
          <w:szCs w:val="20"/>
          <w:color w:val="auto"/>
        </w:rPr>
      </w:pPr>
    </w:p>
    <w:p>
      <w:pPr>
        <w:ind w:left="3160"/>
        <w:spacing w:after="0"/>
        <w:rPr>
          <w:sz w:val="20"/>
          <w:szCs w:val="20"/>
          <w:color w:val="auto"/>
        </w:rPr>
      </w:pPr>
      <w:r>
        <w:rPr>
          <w:rFonts w:ascii="Arial" w:cs="Arial" w:eastAsia="Arial" w:hAnsi="Arial"/>
          <w:sz w:val="21"/>
          <w:szCs w:val="21"/>
          <w:color w:val="auto"/>
        </w:rPr>
        <w:t>Title: 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20</w:t>
      </w:r>
    </w:p>
    <w:p>
      <w:pPr>
        <w:sectPr>
          <w:pgSz w:w="11900" w:h="16838" w:orient="portrait"/>
          <w:cols w:equalWidth="0" w:num="1">
            <w:col w:w="11240"/>
          </w:cols>
          <w:pgMar w:left="320" w:top="1371" w:right="339" w:bottom="1440" w:gutter="0" w:footer="0" w:header="0"/>
        </w:sectPr>
      </w:pPr>
    </w:p>
    <w:bookmarkStart w:id="331" w:name="page332"/>
    <w:bookmarkEnd w:id="331"/>
    <w:p>
      <w:pPr>
        <w:spacing w:after="0" w:line="167" w:lineRule="exact"/>
        <w:rPr>
          <w:sz w:val="20"/>
          <w:szCs w:val="20"/>
          <w:color w:val="auto"/>
        </w:rPr>
      </w:pPr>
    </w:p>
    <w:p>
      <w:pPr>
        <w:ind w:left="5080"/>
        <w:spacing w:after="0"/>
        <w:rPr>
          <w:sz w:val="20"/>
          <w:szCs w:val="20"/>
          <w:color w:val="auto"/>
        </w:rPr>
      </w:pPr>
      <w:r>
        <w:rPr>
          <w:rFonts w:ascii="Arial" w:cs="Arial" w:eastAsia="Arial" w:hAnsi="Arial"/>
          <w:sz w:val="21"/>
          <w:szCs w:val="21"/>
          <w:b w:val="1"/>
          <w:bCs w:val="1"/>
          <w:color w:val="auto"/>
        </w:rPr>
        <w:t>EXHIBIT A</w:t>
      </w:r>
    </w:p>
    <w:p>
      <w:pPr>
        <w:spacing w:after="0" w:line="217" w:lineRule="exact"/>
        <w:rPr>
          <w:sz w:val="20"/>
          <w:szCs w:val="20"/>
          <w:color w:val="auto"/>
        </w:rPr>
      </w:pPr>
    </w:p>
    <w:p>
      <w:pPr>
        <w:ind w:left="2940"/>
        <w:spacing w:after="0"/>
        <w:rPr>
          <w:sz w:val="20"/>
          <w:szCs w:val="20"/>
          <w:color w:val="auto"/>
        </w:rPr>
      </w:pPr>
      <w:r>
        <w:rPr>
          <w:rFonts w:ascii="Arial" w:cs="Arial" w:eastAsia="Arial" w:hAnsi="Arial"/>
          <w:sz w:val="21"/>
          <w:szCs w:val="21"/>
          <w:b w:val="1"/>
          <w:bCs w:val="1"/>
          <w:color w:val="auto"/>
        </w:rPr>
        <w:t>ADDITIONAL PROVISIONS OF THE SUMMARY PLAN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DESCRIPTION OF THE PLAN</w:t>
      </w:r>
    </w:p>
    <w:p>
      <w:pPr>
        <w:spacing w:after="0" w:line="193" w:lineRule="exact"/>
        <w:rPr>
          <w:sz w:val="20"/>
          <w:szCs w:val="20"/>
          <w:color w:val="auto"/>
        </w:rPr>
      </w:pPr>
    </w:p>
    <w:p>
      <w:pPr>
        <w:ind w:left="340" w:hanging="335"/>
        <w:spacing w:after="0"/>
        <w:tabs>
          <w:tab w:leader="none" w:pos="340" w:val="left"/>
        </w:tabs>
        <w:numPr>
          <w:ilvl w:val="0"/>
          <w:numId w:val="324"/>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General Plan Information:</w:t>
      </w:r>
    </w:p>
    <w:p>
      <w:pPr>
        <w:spacing w:after="0" w:line="217" w:lineRule="exact"/>
        <w:rPr>
          <w:sz w:val="20"/>
          <w:szCs w:val="20"/>
          <w:color w:val="auto"/>
        </w:rPr>
      </w:pPr>
    </w:p>
    <w:p>
      <w:pPr>
        <w:ind w:left="640"/>
        <w:spacing w:after="0"/>
        <w:rPr>
          <w:sz w:val="20"/>
          <w:szCs w:val="20"/>
          <w:color w:val="auto"/>
        </w:rPr>
      </w:pPr>
      <w:r>
        <w:rPr>
          <w:rFonts w:ascii="Arial" w:cs="Arial" w:eastAsia="Arial" w:hAnsi="Arial"/>
          <w:sz w:val="21"/>
          <w:szCs w:val="21"/>
          <w:b w:val="1"/>
          <w:bCs w:val="1"/>
          <w:color w:val="auto"/>
        </w:rPr>
        <w:t xml:space="preserve">Name of Plan: </w:t>
      </w:r>
      <w:r>
        <w:rPr>
          <w:rFonts w:ascii="Arial" w:cs="Arial" w:eastAsia="Arial" w:hAnsi="Arial"/>
          <w:sz w:val="21"/>
          <w:szCs w:val="21"/>
          <w:color w:val="auto"/>
        </w:rPr>
        <w:t>Matrix Service Company 2021 Severance Plan for Executives (the “Plan”)</w:t>
      </w:r>
    </w:p>
    <w:p>
      <w:pPr>
        <w:spacing w:after="0" w:line="309" w:lineRule="exact"/>
        <w:rPr>
          <w:sz w:val="20"/>
          <w:szCs w:val="20"/>
          <w:color w:val="auto"/>
        </w:rPr>
      </w:pPr>
    </w:p>
    <w:p>
      <w:pPr>
        <w:ind w:left="640"/>
        <w:spacing w:after="0"/>
        <w:rPr>
          <w:sz w:val="20"/>
          <w:szCs w:val="20"/>
          <w:color w:val="auto"/>
        </w:rPr>
      </w:pPr>
      <w:r>
        <w:rPr>
          <w:rFonts w:ascii="Arial" w:cs="Arial" w:eastAsia="Arial" w:hAnsi="Arial"/>
          <w:sz w:val="21"/>
          <w:szCs w:val="21"/>
          <w:b w:val="1"/>
          <w:bCs w:val="1"/>
          <w:color w:val="auto"/>
        </w:rPr>
        <w:t>Plan Sponsor and Employer Identification Number:</w:t>
      </w:r>
    </w:p>
    <w:p>
      <w:pPr>
        <w:spacing w:after="0" w:line="92" w:lineRule="exact"/>
        <w:rPr>
          <w:sz w:val="20"/>
          <w:szCs w:val="20"/>
          <w:color w:val="auto"/>
        </w:rPr>
      </w:pPr>
    </w:p>
    <w:p>
      <w:pPr>
        <w:ind w:left="640"/>
        <w:spacing w:after="0"/>
        <w:rPr>
          <w:sz w:val="20"/>
          <w:szCs w:val="20"/>
          <w:color w:val="auto"/>
        </w:rPr>
      </w:pPr>
      <w:r>
        <w:rPr>
          <w:rFonts w:ascii="Arial" w:cs="Arial" w:eastAsia="Arial" w:hAnsi="Arial"/>
          <w:sz w:val="21"/>
          <w:szCs w:val="21"/>
          <w:color w:val="auto"/>
        </w:rPr>
        <w:t>Matrix Service Company</w:t>
      </w:r>
    </w:p>
    <w:p>
      <w:pPr>
        <w:ind w:left="640"/>
        <w:spacing w:after="0" w:line="221" w:lineRule="auto"/>
        <w:rPr>
          <w:sz w:val="20"/>
          <w:szCs w:val="20"/>
          <w:color w:val="auto"/>
        </w:rPr>
      </w:pPr>
      <w:r>
        <w:rPr>
          <w:rFonts w:ascii="Arial" w:cs="Arial" w:eastAsia="Arial" w:hAnsi="Arial"/>
          <w:sz w:val="21"/>
          <w:szCs w:val="21"/>
          <w:color w:val="auto"/>
        </w:rPr>
        <w:t>5100 E. Skelly Drive, Suite 100 Tulsa, OK 74135</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21"/>
          <w:szCs w:val="21"/>
          <w:color w:val="auto"/>
        </w:rPr>
        <w:t>EIN: 73-1352174</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21"/>
          <w:szCs w:val="21"/>
          <w:b w:val="1"/>
          <w:bCs w:val="1"/>
          <w:color w:val="auto"/>
        </w:rPr>
        <w:t xml:space="preserve">Plan Number: </w:t>
      </w:r>
      <w:r>
        <w:rPr>
          <w:rFonts w:ascii="Arial" w:cs="Arial" w:eastAsia="Arial" w:hAnsi="Arial"/>
          <w:sz w:val="21"/>
          <w:szCs w:val="21"/>
          <w:color w:val="auto"/>
        </w:rPr>
        <w:t>Plan #515</w:t>
      </w:r>
    </w:p>
    <w:p>
      <w:pPr>
        <w:spacing w:after="0" w:line="217" w:lineRule="exact"/>
        <w:rPr>
          <w:sz w:val="20"/>
          <w:szCs w:val="20"/>
          <w:color w:val="auto"/>
        </w:rPr>
      </w:pPr>
    </w:p>
    <w:p>
      <w:pPr>
        <w:ind w:left="640"/>
        <w:spacing w:after="0"/>
        <w:rPr>
          <w:sz w:val="20"/>
          <w:szCs w:val="20"/>
          <w:color w:val="auto"/>
        </w:rPr>
      </w:pPr>
      <w:r>
        <w:rPr>
          <w:rFonts w:ascii="Arial" w:cs="Arial" w:eastAsia="Arial" w:hAnsi="Arial"/>
          <w:sz w:val="21"/>
          <w:szCs w:val="21"/>
          <w:b w:val="1"/>
          <w:bCs w:val="1"/>
          <w:color w:val="auto"/>
        </w:rPr>
        <w:t xml:space="preserve">Type of Plan: </w:t>
      </w:r>
      <w:r>
        <w:rPr>
          <w:rFonts w:ascii="Arial" w:cs="Arial" w:eastAsia="Arial" w:hAnsi="Arial"/>
          <w:sz w:val="21"/>
          <w:szCs w:val="21"/>
          <w:color w:val="auto"/>
        </w:rPr>
        <w:t>Welfare Benefits</w:t>
      </w:r>
    </w:p>
    <w:p>
      <w:pPr>
        <w:spacing w:after="0" w:line="217" w:lineRule="exact"/>
        <w:rPr>
          <w:sz w:val="20"/>
          <w:szCs w:val="20"/>
          <w:color w:val="auto"/>
        </w:rPr>
      </w:pPr>
    </w:p>
    <w:p>
      <w:pPr>
        <w:ind w:left="640"/>
        <w:spacing w:after="0"/>
        <w:rPr>
          <w:sz w:val="20"/>
          <w:szCs w:val="20"/>
          <w:color w:val="auto"/>
        </w:rPr>
      </w:pPr>
      <w:r>
        <w:rPr>
          <w:rFonts w:ascii="Arial" w:cs="Arial" w:eastAsia="Arial" w:hAnsi="Arial"/>
          <w:sz w:val="21"/>
          <w:szCs w:val="21"/>
          <w:b w:val="1"/>
          <w:bCs w:val="1"/>
          <w:color w:val="auto"/>
        </w:rPr>
        <w:t xml:space="preserve">Type of Administration: </w:t>
      </w:r>
      <w:r>
        <w:rPr>
          <w:rFonts w:ascii="Arial" w:cs="Arial" w:eastAsia="Arial" w:hAnsi="Arial"/>
          <w:sz w:val="21"/>
          <w:szCs w:val="21"/>
          <w:color w:val="auto"/>
        </w:rPr>
        <w:t>Plan Administrator</w:t>
      </w:r>
    </w:p>
    <w:p>
      <w:pPr>
        <w:spacing w:after="0" w:line="257" w:lineRule="exact"/>
        <w:rPr>
          <w:sz w:val="20"/>
          <w:szCs w:val="20"/>
          <w:color w:val="auto"/>
        </w:rPr>
      </w:pPr>
    </w:p>
    <w:p>
      <w:pPr>
        <w:ind w:left="640"/>
        <w:spacing w:after="0"/>
        <w:rPr>
          <w:sz w:val="20"/>
          <w:szCs w:val="20"/>
          <w:color w:val="auto"/>
        </w:rPr>
      </w:pPr>
      <w:r>
        <w:rPr>
          <w:rFonts w:ascii="Arial" w:cs="Arial" w:eastAsia="Arial" w:hAnsi="Arial"/>
          <w:sz w:val="21"/>
          <w:szCs w:val="21"/>
          <w:b w:val="1"/>
          <w:bCs w:val="1"/>
          <w:color w:val="auto"/>
        </w:rPr>
        <w:t>Plan Administrator (and Agent for Service of Legal Process):</w:t>
      </w:r>
    </w:p>
    <w:p>
      <w:pPr>
        <w:spacing w:after="0" w:line="39" w:lineRule="exact"/>
        <w:rPr>
          <w:sz w:val="20"/>
          <w:szCs w:val="20"/>
          <w:color w:val="auto"/>
        </w:rPr>
      </w:pPr>
    </w:p>
    <w:p>
      <w:pPr>
        <w:ind w:left="640"/>
        <w:spacing w:after="0"/>
        <w:rPr>
          <w:sz w:val="20"/>
          <w:szCs w:val="20"/>
          <w:color w:val="auto"/>
        </w:rPr>
      </w:pPr>
      <w:r>
        <w:rPr>
          <w:rFonts w:ascii="Arial" w:cs="Arial" w:eastAsia="Arial" w:hAnsi="Arial"/>
          <w:sz w:val="21"/>
          <w:szCs w:val="21"/>
          <w:color w:val="auto"/>
        </w:rPr>
        <w:t>Matrix Severance Plan Committee</w:t>
      </w:r>
    </w:p>
    <w:p>
      <w:pPr>
        <w:ind w:left="640"/>
        <w:spacing w:after="0" w:line="221" w:lineRule="auto"/>
        <w:rPr>
          <w:sz w:val="20"/>
          <w:szCs w:val="20"/>
          <w:color w:val="auto"/>
        </w:rPr>
      </w:pPr>
      <w:r>
        <w:rPr>
          <w:rFonts w:ascii="Arial" w:cs="Arial" w:eastAsia="Arial" w:hAnsi="Arial"/>
          <w:sz w:val="21"/>
          <w:szCs w:val="21"/>
          <w:color w:val="auto"/>
        </w:rPr>
        <w:t>5100 E. Skelly Drive, Suite 100</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21"/>
          <w:szCs w:val="21"/>
          <w:color w:val="auto"/>
        </w:rPr>
        <w:t>Tulsa, OK 74135</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21"/>
          <w:szCs w:val="21"/>
          <w:b w:val="1"/>
          <w:bCs w:val="1"/>
          <w:color w:val="auto"/>
        </w:rPr>
        <w:t xml:space="preserve">Plan Year: </w:t>
      </w:r>
      <w:r>
        <w:rPr>
          <w:rFonts w:ascii="Arial" w:cs="Arial" w:eastAsia="Arial" w:hAnsi="Arial"/>
          <w:sz w:val="21"/>
          <w:szCs w:val="21"/>
          <w:color w:val="auto"/>
        </w:rPr>
        <w:t>The Plan Year ends on the 31</w:t>
      </w:r>
      <w:r>
        <w:rPr>
          <w:rFonts w:ascii="Arial" w:cs="Arial" w:eastAsia="Arial" w:hAnsi="Arial"/>
          <w:sz w:val="11"/>
          <w:szCs w:val="11"/>
          <w:color w:val="auto"/>
        </w:rPr>
        <w:t>st</w:t>
      </w:r>
      <w:r>
        <w:rPr>
          <w:rFonts w:ascii="Arial" w:cs="Arial" w:eastAsia="Arial" w:hAnsi="Arial"/>
          <w:sz w:val="21"/>
          <w:szCs w:val="21"/>
          <w:b w:val="1"/>
          <w:bCs w:val="1"/>
          <w:color w:val="auto"/>
        </w:rPr>
        <w:t xml:space="preserve"> </w:t>
      </w:r>
      <w:r>
        <w:rPr>
          <w:rFonts w:ascii="Arial" w:cs="Arial" w:eastAsia="Arial" w:hAnsi="Arial"/>
          <w:sz w:val="21"/>
          <w:szCs w:val="21"/>
          <w:color w:val="auto"/>
        </w:rPr>
        <w:t>day of December of each year.</w:t>
      </w:r>
    </w:p>
    <w:p>
      <w:pPr>
        <w:spacing w:after="0" w:line="217" w:lineRule="exact"/>
        <w:rPr>
          <w:sz w:val="20"/>
          <w:szCs w:val="20"/>
          <w:color w:val="auto"/>
        </w:rPr>
      </w:pPr>
    </w:p>
    <w:p>
      <w:pPr>
        <w:ind w:left="440" w:hanging="435"/>
        <w:spacing w:after="0"/>
        <w:tabs>
          <w:tab w:leader="none" w:pos="440" w:val="left"/>
        </w:tabs>
        <w:numPr>
          <w:ilvl w:val="0"/>
          <w:numId w:val="325"/>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The Statement of ERISA Rights</w:t>
      </w:r>
      <w:r>
        <w:rPr>
          <w:rFonts w:ascii="Arial" w:cs="Arial" w:eastAsia="Arial" w:hAnsi="Arial"/>
          <w:sz w:val="21"/>
          <w:szCs w:val="21"/>
          <w:b w:val="1"/>
          <w:bCs w:val="1"/>
          <w:color w:val="auto"/>
        </w:rPr>
        <w:t>.</w:t>
      </w:r>
    </w:p>
    <w:p>
      <w:pPr>
        <w:spacing w:after="0" w:line="223" w:lineRule="exact"/>
        <w:rPr>
          <w:sz w:val="20"/>
          <w:szCs w:val="20"/>
          <w:color w:val="auto"/>
        </w:rPr>
      </w:pPr>
    </w:p>
    <w:p>
      <w:pPr>
        <w:ind w:firstLine="629"/>
        <w:spacing w:after="0" w:line="246" w:lineRule="auto"/>
        <w:rPr>
          <w:sz w:val="20"/>
          <w:szCs w:val="20"/>
          <w:color w:val="auto"/>
        </w:rPr>
      </w:pPr>
      <w:r>
        <w:rPr>
          <w:rFonts w:ascii="Arial" w:cs="Arial" w:eastAsia="Arial" w:hAnsi="Arial"/>
          <w:sz w:val="21"/>
          <w:szCs w:val="21"/>
          <w:color w:val="auto"/>
        </w:rPr>
        <w:t>As a Participant in the Plan, you are entitled to certain rights and protections under ERISA. ERISA provides that all Plan Participants shall be entitled to:</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21"/>
          <w:szCs w:val="21"/>
          <w:u w:val="single" w:color="auto"/>
          <w:color w:val="auto"/>
        </w:rPr>
        <w:t>Receive Information About Your Plan and Benefits</w:t>
      </w:r>
    </w:p>
    <w:p>
      <w:pPr>
        <w:spacing w:after="0" w:line="217" w:lineRule="exact"/>
        <w:rPr>
          <w:sz w:val="20"/>
          <w:szCs w:val="20"/>
          <w:color w:val="auto"/>
        </w:rPr>
      </w:pPr>
    </w:p>
    <w:p>
      <w:pPr>
        <w:jc w:val="both"/>
        <w:ind w:left="640" w:hanging="6"/>
        <w:spacing w:after="0" w:line="232" w:lineRule="auto"/>
        <w:tabs>
          <w:tab w:leader="none" w:pos="1102" w:val="left"/>
        </w:tabs>
        <w:numPr>
          <w:ilvl w:val="0"/>
          <w:numId w:val="326"/>
        </w:numPr>
        <w:rPr>
          <w:rFonts w:ascii="Arial" w:cs="Arial" w:eastAsia="Arial" w:hAnsi="Arial"/>
          <w:sz w:val="21"/>
          <w:szCs w:val="21"/>
          <w:color w:val="auto"/>
        </w:rPr>
      </w:pPr>
      <w:r>
        <w:rPr>
          <w:rFonts w:ascii="Arial" w:cs="Arial" w:eastAsia="Arial" w:hAnsi="Arial"/>
          <w:sz w:val="21"/>
          <w:szCs w:val="21"/>
          <w:color w:val="auto"/>
        </w:rPr>
        <w:t>Examine, without charge, at the Plan Administrator’s office and at other specified locations, such as worksites, all documents governing the Plan and a copy of the latest annual report (Form 5500 Series), if applicable, filed by the Plan with the U.S. Department of Labor and available at the Public Disclosure Room of the Pension and Welfare Benefit Administration.</w:t>
      </w:r>
    </w:p>
    <w:p>
      <w:pPr>
        <w:spacing w:after="0" w:line="194" w:lineRule="exact"/>
        <w:rPr>
          <w:rFonts w:ascii="Arial" w:cs="Arial" w:eastAsia="Arial" w:hAnsi="Arial"/>
          <w:sz w:val="21"/>
          <w:szCs w:val="21"/>
          <w:color w:val="auto"/>
        </w:rPr>
      </w:pPr>
    </w:p>
    <w:p>
      <w:pPr>
        <w:jc w:val="both"/>
        <w:ind w:left="640" w:hanging="6"/>
        <w:spacing w:after="0" w:line="236" w:lineRule="auto"/>
        <w:tabs>
          <w:tab w:leader="none" w:pos="1052" w:val="left"/>
        </w:tabs>
        <w:numPr>
          <w:ilvl w:val="0"/>
          <w:numId w:val="326"/>
        </w:numPr>
        <w:rPr>
          <w:rFonts w:ascii="Arial" w:cs="Arial" w:eastAsia="Arial" w:hAnsi="Arial"/>
          <w:sz w:val="21"/>
          <w:szCs w:val="21"/>
          <w:color w:val="auto"/>
        </w:rPr>
      </w:pPr>
      <w:r>
        <w:rPr>
          <w:rFonts w:ascii="Arial" w:cs="Arial" w:eastAsia="Arial" w:hAnsi="Arial"/>
          <w:sz w:val="21"/>
          <w:szCs w:val="21"/>
          <w:color w:val="auto"/>
        </w:rPr>
        <w:t>Obtain, upon written request to the Plan Administrator, copies of documents governing the operation of the Plan and copies of the latest annual report (Form 5500 Series), if applicable, and of the updated summary plan description. The Plan Administrator may make a reasonable charge for the copies.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A-1</w:t>
      </w:r>
    </w:p>
    <w:p>
      <w:pPr>
        <w:sectPr>
          <w:pgSz w:w="11900" w:h="16838" w:orient="portrait"/>
          <w:cols w:equalWidth="0" w:num="1">
            <w:col w:w="11240"/>
          </w:cols>
          <w:pgMar w:left="320" w:top="1440" w:right="339" w:bottom="1440" w:gutter="0" w:footer="0" w:header="0"/>
        </w:sectPr>
      </w:pPr>
    </w:p>
    <w:bookmarkStart w:id="332" w:name="page333"/>
    <w:bookmarkEnd w:id="332"/>
    <w:p>
      <w:pPr>
        <w:spacing w:after="0" w:line="173" w:lineRule="exact"/>
        <w:rPr>
          <w:sz w:val="20"/>
          <w:szCs w:val="20"/>
          <w:color w:val="auto"/>
        </w:rPr>
      </w:pPr>
    </w:p>
    <w:p>
      <w:pPr>
        <w:ind w:left="640" w:hanging="6"/>
        <w:spacing w:after="0" w:line="246" w:lineRule="auto"/>
        <w:tabs>
          <w:tab w:leader="none" w:pos="1057" w:val="left"/>
        </w:tabs>
        <w:numPr>
          <w:ilvl w:val="0"/>
          <w:numId w:val="327"/>
        </w:numPr>
        <w:rPr>
          <w:rFonts w:ascii="Arial" w:cs="Arial" w:eastAsia="Arial" w:hAnsi="Arial"/>
          <w:sz w:val="21"/>
          <w:szCs w:val="21"/>
          <w:color w:val="auto"/>
        </w:rPr>
      </w:pPr>
      <w:r>
        <w:rPr>
          <w:rFonts w:ascii="Arial" w:cs="Arial" w:eastAsia="Arial" w:hAnsi="Arial"/>
          <w:sz w:val="21"/>
          <w:szCs w:val="21"/>
          <w:color w:val="auto"/>
        </w:rPr>
        <w:t>Receive a summary of the Plan’s annual financial report, if applicable. The Plan Administrator is required by law to furnish each Participant with a copy of this summary annual report.</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21"/>
          <w:szCs w:val="21"/>
          <w:u w:val="single" w:color="auto"/>
          <w:color w:val="auto"/>
        </w:rPr>
        <w:t>Prudent Actions by Plan Fiduciaries</w:t>
      </w:r>
    </w:p>
    <w:p>
      <w:pPr>
        <w:spacing w:after="0" w:line="217" w:lineRule="exact"/>
        <w:rPr>
          <w:sz w:val="20"/>
          <w:szCs w:val="20"/>
          <w:color w:val="auto"/>
        </w:rPr>
      </w:pPr>
    </w:p>
    <w:p>
      <w:pPr>
        <w:jc w:val="both"/>
        <w:ind w:firstLine="629"/>
        <w:spacing w:after="0" w:line="230" w:lineRule="auto"/>
        <w:rPr>
          <w:sz w:val="20"/>
          <w:szCs w:val="20"/>
          <w:color w:val="auto"/>
        </w:rPr>
      </w:pPr>
      <w:r>
        <w:rPr>
          <w:rFonts w:ascii="Arial" w:cs="Arial" w:eastAsia="Arial" w:hAnsi="Arial"/>
          <w:sz w:val="21"/>
          <w:szCs w:val="21"/>
          <w:color w:val="auto"/>
        </w:rPr>
        <w:t>In addition to creating rights for Plan Participants, ERISA imposes duties upon the people who are responsible for the operation of the employee benefit plan. The people who operate your Plan, called “fiduciaries” of the Plan, have a duty to do so prudently and in the interest of you and other Plan Participants and beneficiaries. No one, including your employer, your union, or any other person, may fire you or otherwise discriminate against you in any way to prevent you from obtaining a welfare benefit or exercising your rights under ERISA.</w:t>
      </w:r>
    </w:p>
    <w:p>
      <w:pPr>
        <w:spacing w:after="0" w:line="194" w:lineRule="exact"/>
        <w:rPr>
          <w:sz w:val="20"/>
          <w:szCs w:val="20"/>
          <w:color w:val="auto"/>
        </w:rPr>
      </w:pPr>
    </w:p>
    <w:p>
      <w:pPr>
        <w:ind w:left="640"/>
        <w:spacing w:after="0"/>
        <w:rPr>
          <w:sz w:val="20"/>
          <w:szCs w:val="20"/>
          <w:color w:val="auto"/>
        </w:rPr>
      </w:pPr>
      <w:r>
        <w:rPr>
          <w:rFonts w:ascii="Arial" w:cs="Arial" w:eastAsia="Arial" w:hAnsi="Arial"/>
          <w:sz w:val="21"/>
          <w:szCs w:val="21"/>
          <w:u w:val="single" w:color="auto"/>
          <w:color w:val="auto"/>
        </w:rPr>
        <w:t>Enforce Your Rights</w:t>
      </w:r>
    </w:p>
    <w:p>
      <w:pPr>
        <w:spacing w:after="0" w:line="217" w:lineRule="exact"/>
        <w:rPr>
          <w:sz w:val="20"/>
          <w:szCs w:val="20"/>
          <w:color w:val="auto"/>
        </w:rPr>
      </w:pPr>
    </w:p>
    <w:p>
      <w:pPr>
        <w:jc w:val="both"/>
        <w:ind w:firstLine="629"/>
        <w:spacing w:after="0" w:line="298" w:lineRule="auto"/>
        <w:rPr>
          <w:sz w:val="20"/>
          <w:szCs w:val="20"/>
          <w:color w:val="auto"/>
        </w:rPr>
      </w:pPr>
      <w:r>
        <w:rPr>
          <w:rFonts w:ascii="Arial" w:cs="Arial" w:eastAsia="Arial" w:hAnsi="Arial"/>
          <w:sz w:val="19"/>
          <w:szCs w:val="19"/>
          <w:color w:val="auto"/>
        </w:rPr>
        <w:t>If your claim for a welfare benefit is denied or ignored, in whole or in part, you have a right to know why this was done, to obtain copies of documents relating to the decision without charge, and to appeal any denial, all within certain time schedules.</w:t>
      </w:r>
    </w:p>
    <w:p>
      <w:pPr>
        <w:spacing w:after="0" w:line="139" w:lineRule="exact"/>
        <w:rPr>
          <w:sz w:val="20"/>
          <w:szCs w:val="20"/>
          <w:color w:val="auto"/>
        </w:rPr>
      </w:pPr>
    </w:p>
    <w:p>
      <w:pPr>
        <w:jc w:val="both"/>
        <w:ind w:firstLine="629"/>
        <w:spacing w:after="0" w:line="237" w:lineRule="auto"/>
        <w:rPr>
          <w:sz w:val="20"/>
          <w:szCs w:val="20"/>
          <w:color w:val="auto"/>
        </w:rPr>
      </w:pPr>
      <w:r>
        <w:rPr>
          <w:rFonts w:ascii="Arial" w:cs="Arial" w:eastAsia="Arial" w:hAnsi="Arial"/>
          <w:sz w:val="20"/>
          <w:szCs w:val="20"/>
          <w:color w:val="auto"/>
        </w:rPr>
        <w:t>Under ERISA, there are steps you can take to enforce the above rights. For instance, if you request a copy of Plan documents or the latest annual report from the Plan and do not receive them within 30 days, you may file suit in a Federal court. In such a case, the court may require the Plan Administrator to provide the materials and pay you up to $110 a day until you receive the materials, unless the materials were not sent because of reasons beyond the control of the Plan Administrator. If you have a claim for benefits which is denied or ignored, in whole or in part, you may file suit in a state or Federal court. If it should happen that Plan fiduciaries misuse the Plan’s money, or if you are discriminated against for asserting your rights, you may seek assistance from the U.S. Department of Labor, or you may file suit in a Federal court. The court will decide who should pay court costs and legal fees. If you are successful, the court may order the person you have sued to pay these costs and fees. If you lose, the court may order you to pay these costs and fees, for example, if it finds your claim is frivolous.</w:t>
      </w:r>
    </w:p>
    <w:p>
      <w:pPr>
        <w:spacing w:after="0" w:line="198" w:lineRule="exact"/>
        <w:rPr>
          <w:sz w:val="20"/>
          <w:szCs w:val="20"/>
          <w:color w:val="auto"/>
        </w:rPr>
      </w:pPr>
    </w:p>
    <w:p>
      <w:pPr>
        <w:ind w:left="640"/>
        <w:spacing w:after="0"/>
        <w:rPr>
          <w:sz w:val="20"/>
          <w:szCs w:val="20"/>
          <w:color w:val="auto"/>
        </w:rPr>
      </w:pPr>
      <w:r>
        <w:rPr>
          <w:rFonts w:ascii="Arial" w:cs="Arial" w:eastAsia="Arial" w:hAnsi="Arial"/>
          <w:sz w:val="21"/>
          <w:szCs w:val="21"/>
          <w:u w:val="single" w:color="auto"/>
          <w:color w:val="auto"/>
        </w:rPr>
        <w:t>Assistance with Your Questions</w:t>
      </w:r>
    </w:p>
    <w:p>
      <w:pPr>
        <w:spacing w:after="0" w:line="217" w:lineRule="exact"/>
        <w:rPr>
          <w:sz w:val="20"/>
          <w:szCs w:val="20"/>
          <w:color w:val="auto"/>
        </w:rPr>
      </w:pPr>
    </w:p>
    <w:p>
      <w:pPr>
        <w:jc w:val="both"/>
        <w:ind w:firstLine="629"/>
        <w:spacing w:after="0" w:line="255" w:lineRule="auto"/>
        <w:rPr>
          <w:sz w:val="20"/>
          <w:szCs w:val="20"/>
          <w:color w:val="auto"/>
        </w:rPr>
      </w:pPr>
      <w:r>
        <w:rPr>
          <w:rFonts w:ascii="Arial" w:cs="Arial" w:eastAsia="Arial" w:hAnsi="Arial"/>
          <w:sz w:val="19"/>
          <w:szCs w:val="19"/>
          <w:color w:val="auto"/>
        </w:rPr>
        <w:t>If you have any questions about your Plan, you should contact the Plan Administrator. If you have any questions about this statement or about your rights under ERISA, or if you need assistance in obtaining documents from the Plan Administrator, then you should contact the nearest office of the Employee Benefits Security Administration, U.S. Department of Labor, listed in your telephone directory or the Division of Technical Assistance and Inquiries, Employee Benefits Security Administration, U.S. Department of Labor, 200 Constitution Avenue N.W., Washington, D.C. 20210. You may also obtain certain publications about your rights and responsibilities under ERISA by calling the publications hotline of the Employee Benefits Security Administration.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A-2</w:t>
      </w:r>
    </w:p>
    <w:p>
      <w:pPr>
        <w:sectPr>
          <w:pgSz w:w="11900" w:h="16838" w:orient="portrait"/>
          <w:cols w:equalWidth="0" w:num="1">
            <w:col w:w="11240"/>
          </w:cols>
          <w:pgMar w:left="320" w:top="1440" w:right="339" w:bottom="1440" w:gutter="0" w:footer="0" w:header="0"/>
        </w:sectPr>
      </w:pPr>
    </w:p>
    <w:bookmarkStart w:id="333" w:name="page334"/>
    <w:bookmarkEnd w:id="333"/>
    <w:p>
      <w:pPr>
        <w:jc w:val="center"/>
        <w:spacing w:after="0"/>
        <w:rPr>
          <w:sz w:val="20"/>
          <w:szCs w:val="20"/>
          <w:color w:val="auto"/>
        </w:rPr>
      </w:pPr>
      <w:r>
        <w:rPr>
          <w:rFonts w:ascii="Arial" w:cs="Arial" w:eastAsia="Arial" w:hAnsi="Arial"/>
          <w:sz w:val="21"/>
          <w:szCs w:val="21"/>
          <w:b w:val="1"/>
          <w:bCs w:val="1"/>
          <w:color w:val="auto"/>
        </w:rPr>
        <w:t>EXHIBIT B</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PARTICIPATION AGREEMENT</w:t>
      </w:r>
    </w:p>
    <w:p>
      <w:pPr>
        <w:spacing w:after="0" w:line="21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Name:</w:t>
      </w:r>
    </w:p>
    <w:p>
      <w:pPr>
        <w:spacing w:after="0" w:line="21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Section 1. ELIGIBILITY.</w:t>
      </w:r>
    </w:p>
    <w:p>
      <w:pPr>
        <w:spacing w:after="0" w:line="223" w:lineRule="exact"/>
        <w:rPr>
          <w:sz w:val="20"/>
          <w:szCs w:val="20"/>
          <w:color w:val="auto"/>
        </w:rPr>
      </w:pPr>
    </w:p>
    <w:p>
      <w:pPr>
        <w:jc w:val="both"/>
        <w:ind w:right="180" w:firstLine="629"/>
        <w:spacing w:after="0" w:line="265" w:lineRule="auto"/>
        <w:rPr>
          <w:sz w:val="20"/>
          <w:szCs w:val="20"/>
          <w:color w:val="auto"/>
        </w:rPr>
      </w:pPr>
      <w:r>
        <w:rPr>
          <w:rFonts w:ascii="Arial" w:cs="Arial" w:eastAsia="Arial" w:hAnsi="Arial"/>
          <w:sz w:val="18"/>
          <w:szCs w:val="18"/>
          <w:color w:val="auto"/>
        </w:rPr>
        <w:t>You have been designated as eligible to participate as a Participant in the Matrix Service Company 2021 Severance Plan for Executives (the “</w:t>
      </w:r>
      <w:r>
        <w:rPr>
          <w:rFonts w:ascii="Arial" w:cs="Arial" w:eastAsia="Arial" w:hAnsi="Arial"/>
          <w:sz w:val="18"/>
          <w:szCs w:val="18"/>
          <w:b w:val="1"/>
          <w:bCs w:val="1"/>
          <w:color w:val="auto"/>
        </w:rPr>
        <w:t>Plan</w:t>
      </w:r>
      <w:r>
        <w:rPr>
          <w:rFonts w:ascii="Arial" w:cs="Arial" w:eastAsia="Arial" w:hAnsi="Arial"/>
          <w:sz w:val="18"/>
          <w:szCs w:val="18"/>
          <w:color w:val="auto"/>
        </w:rPr>
        <w:t>”), a copy of which is attached to this Participation Agreement (the “</w:t>
      </w:r>
      <w:r>
        <w:rPr>
          <w:rFonts w:ascii="Arial" w:cs="Arial" w:eastAsia="Arial" w:hAnsi="Arial"/>
          <w:sz w:val="18"/>
          <w:szCs w:val="18"/>
          <w:b w:val="1"/>
          <w:bCs w:val="1"/>
          <w:color w:val="auto"/>
        </w:rPr>
        <w:t>Participation Agreement</w:t>
      </w:r>
      <w:r>
        <w:rPr>
          <w:rFonts w:ascii="Arial" w:cs="Arial" w:eastAsia="Arial" w:hAnsi="Arial"/>
          <w:sz w:val="18"/>
          <w:szCs w:val="18"/>
          <w:color w:val="auto"/>
        </w:rPr>
        <w:t>”). Capitalized terms not explicitly defined in this Participation Agreement but defined in the Plan shall have the same definitions as in the Plan.</w:t>
      </w:r>
    </w:p>
    <w:p>
      <w:pPr>
        <w:spacing w:after="0" w:line="1" w:lineRule="exact"/>
        <w:rPr>
          <w:sz w:val="20"/>
          <w:szCs w:val="20"/>
          <w:color w:val="auto"/>
        </w:rPr>
      </w:pPr>
    </w:p>
    <w:p>
      <w:pPr>
        <w:ind w:right="120"/>
        <w:spacing w:after="0" w:line="242" w:lineRule="auto"/>
        <w:rPr>
          <w:sz w:val="20"/>
          <w:szCs w:val="20"/>
          <w:color w:val="auto"/>
        </w:rPr>
      </w:pPr>
      <w:r>
        <w:rPr>
          <w:rFonts w:ascii="Arial" w:cs="Arial" w:eastAsia="Arial" w:hAnsi="Arial"/>
          <w:sz w:val="20"/>
          <w:szCs w:val="20"/>
          <w:color w:val="auto"/>
        </w:rPr>
        <w:t>Subject to all of the terms and conditions set forth in the Plan, you will receive the benefits described herein if you meet all the eligibility requirements described in the Plan, including, without limitation, executing and returning this Participation Agreement no later than ___________ and the required Release within the applicable time period set forth therein.</w:t>
      </w:r>
    </w:p>
    <w:p>
      <w:pPr>
        <w:spacing w:after="0" w:line="18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Section 2. CHANGE OF CONTROL SEVERANCE BENEFITS.</w:t>
      </w:r>
    </w:p>
    <w:p>
      <w:pPr>
        <w:spacing w:after="0" w:line="223" w:lineRule="exact"/>
        <w:rPr>
          <w:sz w:val="20"/>
          <w:szCs w:val="20"/>
          <w:color w:val="auto"/>
        </w:rPr>
      </w:pPr>
    </w:p>
    <w:p>
      <w:pPr>
        <w:ind w:right="200" w:firstLine="629"/>
        <w:spacing w:after="0" w:line="232" w:lineRule="auto"/>
        <w:rPr>
          <w:sz w:val="20"/>
          <w:szCs w:val="20"/>
          <w:color w:val="auto"/>
        </w:rPr>
      </w:pPr>
      <w:r>
        <w:rPr>
          <w:rFonts w:ascii="Arial" w:cs="Arial" w:eastAsia="Arial" w:hAnsi="Arial"/>
          <w:sz w:val="21"/>
          <w:szCs w:val="21"/>
          <w:color w:val="auto"/>
        </w:rPr>
        <w:t>If, within two (2) years following a Change of Control, you incur an involuntary Separation from Service by action of the Employer other than for Cause or voluntarily incur a Separation from Service for Good Reason, you shall be entitled to a lump sum cash payment in an amount equal to ________ percent (___[1]%) of your Change of Control Severance Compensation set forth in Section 1.1.8 of the Plan on the Payment Date.</w:t>
      </w:r>
    </w:p>
    <w:p>
      <w:pPr>
        <w:spacing w:after="0" w:line="18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Section 3. NON-CHANGE OF CONTROL SEVERANCE BENEFITS.</w:t>
      </w:r>
    </w:p>
    <w:p>
      <w:pPr>
        <w:spacing w:after="0" w:line="223" w:lineRule="exact"/>
        <w:rPr>
          <w:sz w:val="20"/>
          <w:szCs w:val="20"/>
          <w:color w:val="auto"/>
        </w:rPr>
      </w:pPr>
    </w:p>
    <w:p>
      <w:pPr>
        <w:ind w:right="280" w:firstLine="629"/>
        <w:spacing w:after="0" w:line="236" w:lineRule="auto"/>
        <w:rPr>
          <w:sz w:val="20"/>
          <w:szCs w:val="20"/>
          <w:color w:val="auto"/>
        </w:rPr>
      </w:pPr>
      <w:r>
        <w:rPr>
          <w:rFonts w:ascii="Arial" w:cs="Arial" w:eastAsia="Arial" w:hAnsi="Arial"/>
          <w:sz w:val="21"/>
          <w:szCs w:val="21"/>
          <w:color w:val="auto"/>
        </w:rPr>
        <w:t>If, prior to a Change of Control, you incur an involuntary Separation from Service by action of the Employer other than for Cause, you shall be entitled to a lump sum cash payment in an amount equal to ________ percent (___[2]%) of your General Severance Compensation under Section 1.1.18 of the Plan.</w:t>
      </w:r>
    </w:p>
    <w:p>
      <w:pPr>
        <w:spacing w:after="0" w:line="18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Section 4. ACKNOWLEDGMENTS; INTERACTION WITH PRIOR BENEFITS.</w:t>
      </w:r>
    </w:p>
    <w:p>
      <w:pPr>
        <w:spacing w:after="0" w:line="223" w:lineRule="exact"/>
        <w:rPr>
          <w:sz w:val="20"/>
          <w:szCs w:val="20"/>
          <w:color w:val="auto"/>
        </w:rPr>
      </w:pPr>
    </w:p>
    <w:p>
      <w:pPr>
        <w:ind w:left="640"/>
        <w:spacing w:after="0"/>
        <w:rPr>
          <w:sz w:val="20"/>
          <w:szCs w:val="20"/>
          <w:color w:val="auto"/>
        </w:rPr>
      </w:pPr>
      <w:r>
        <w:rPr>
          <w:rFonts w:ascii="Arial" w:cs="Arial" w:eastAsia="Arial" w:hAnsi="Arial"/>
          <w:sz w:val="21"/>
          <w:szCs w:val="21"/>
          <w:color w:val="auto"/>
        </w:rPr>
        <w:t>As a condition to participation in the Plan, you hereby acknowledge each of the following:</w:t>
      </w:r>
    </w:p>
    <w:p>
      <w:pPr>
        <w:spacing w:after="0" w:line="217" w:lineRule="exact"/>
        <w:rPr>
          <w:sz w:val="20"/>
          <w:szCs w:val="20"/>
          <w:color w:val="auto"/>
        </w:rPr>
      </w:pPr>
    </w:p>
    <w:p>
      <w:pPr>
        <w:ind w:right="340" w:firstLine="1264"/>
        <w:spacing w:after="0" w:line="246" w:lineRule="auto"/>
        <w:tabs>
          <w:tab w:leader="none" w:pos="1556" w:val="left"/>
        </w:tabs>
        <w:numPr>
          <w:ilvl w:val="0"/>
          <w:numId w:val="328"/>
        </w:numPr>
        <w:rPr>
          <w:rFonts w:ascii="Arial" w:cs="Arial" w:eastAsia="Arial" w:hAnsi="Arial"/>
          <w:sz w:val="21"/>
          <w:szCs w:val="21"/>
          <w:b w:val="1"/>
          <w:bCs w:val="1"/>
          <w:color w:val="auto"/>
        </w:rPr>
      </w:pPr>
      <w:r>
        <w:rPr>
          <w:rFonts w:ascii="Arial" w:cs="Arial" w:eastAsia="Arial" w:hAnsi="Arial"/>
          <w:sz w:val="21"/>
          <w:szCs w:val="21"/>
          <w:color w:val="auto"/>
        </w:rPr>
        <w:t>The benefits that may be provided to you under the Plan are subject to certain reductions and termination under Article III of the Plan.</w:t>
      </w:r>
    </w:p>
    <w:p>
      <w:pPr>
        <w:spacing w:after="0" w:line="186" w:lineRule="exact"/>
        <w:rPr>
          <w:rFonts w:ascii="Arial" w:cs="Arial" w:eastAsia="Arial" w:hAnsi="Arial"/>
          <w:sz w:val="21"/>
          <w:szCs w:val="21"/>
          <w:b w:val="1"/>
          <w:bCs w:val="1"/>
          <w:color w:val="auto"/>
        </w:rPr>
      </w:pPr>
    </w:p>
    <w:p>
      <w:pPr>
        <w:ind w:firstLine="1264"/>
        <w:spacing w:after="0" w:line="262" w:lineRule="auto"/>
        <w:tabs>
          <w:tab w:leader="none" w:pos="1568" w:val="left"/>
        </w:tabs>
        <w:numPr>
          <w:ilvl w:val="0"/>
          <w:numId w:val="328"/>
        </w:numPr>
        <w:rPr>
          <w:rFonts w:ascii="Arial" w:cs="Arial" w:eastAsia="Arial" w:hAnsi="Arial"/>
          <w:sz w:val="19"/>
          <w:szCs w:val="19"/>
          <w:b w:val="1"/>
          <w:bCs w:val="1"/>
          <w:color w:val="auto"/>
        </w:rPr>
      </w:pPr>
      <w:r>
        <w:rPr>
          <w:rFonts w:ascii="Arial" w:cs="Arial" w:eastAsia="Arial" w:hAnsi="Arial"/>
          <w:sz w:val="19"/>
          <w:szCs w:val="19"/>
          <w:color w:val="auto"/>
        </w:rPr>
        <w:t>Your eligibility for and receipt of any Severance Benefits to which you may become entitled as described in the Plan is expressly contingent upon your compliance with the terms and conditions of the Plan and your execution and compliance with a waiver and release in form and substance satisfactory to the Company. Severance Benefits under the Plan shall immediately cease in the event of your violation of the provisions of Article VI of the Plan or any other written agreement with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B-1</w:t>
      </w:r>
    </w:p>
    <w:p>
      <w:pPr>
        <w:sectPr>
          <w:pgSz w:w="11900" w:h="16838" w:orient="portrait"/>
          <w:cols w:equalWidth="0" w:num="1">
            <w:col w:w="11240"/>
          </w:cols>
          <w:pgMar w:left="320" w:top="1370" w:right="339" w:bottom="1440" w:gutter="0" w:footer="0" w:header="0"/>
        </w:sectPr>
      </w:pPr>
    </w:p>
    <w:bookmarkStart w:id="334" w:name="page335"/>
    <w:bookmarkEnd w:id="334"/>
    <w:p>
      <w:pPr>
        <w:ind w:firstLine="1264"/>
        <w:spacing w:after="0" w:line="251" w:lineRule="auto"/>
        <w:tabs>
          <w:tab w:leader="none" w:pos="1544" w:val="left"/>
        </w:tabs>
        <w:numPr>
          <w:ilvl w:val="0"/>
          <w:numId w:val="329"/>
        </w:numPr>
        <w:rPr>
          <w:rFonts w:ascii="Arial" w:cs="Arial" w:eastAsia="Arial" w:hAnsi="Arial"/>
          <w:sz w:val="20"/>
          <w:szCs w:val="20"/>
          <w:b w:val="1"/>
          <w:bCs w:val="1"/>
          <w:color w:val="auto"/>
        </w:rPr>
      </w:pPr>
      <w:r>
        <w:rPr>
          <w:rFonts w:ascii="Arial" w:cs="Arial" w:eastAsia="Arial" w:hAnsi="Arial"/>
          <w:sz w:val="20"/>
          <w:szCs w:val="20"/>
          <w:color w:val="auto"/>
        </w:rPr>
        <w:t>As further described in Section 2.3 of the Plan, the Plan supersedes and replaces any change of control or severance benefits previously provided to you, including but not limited to any benefits under a Change of Control or Change of Control/Severance Agreement, and by executing below you expressly agree to such treatment.</w:t>
      </w:r>
    </w:p>
    <w:p>
      <w:pPr>
        <w:spacing w:after="0" w:line="183" w:lineRule="exact"/>
        <w:rPr>
          <w:sz w:val="20"/>
          <w:szCs w:val="20"/>
          <w:color w:val="auto"/>
        </w:rPr>
      </w:pPr>
    </w:p>
    <w:p>
      <w:pPr>
        <w:ind w:right="300" w:firstLine="629"/>
        <w:spacing w:after="0" w:line="328" w:lineRule="auto"/>
        <w:rPr>
          <w:sz w:val="20"/>
          <w:szCs w:val="20"/>
          <w:color w:val="auto"/>
        </w:rPr>
      </w:pPr>
      <w:r>
        <w:rPr>
          <w:rFonts w:ascii="Arial" w:cs="Arial" w:eastAsia="Arial" w:hAnsi="Arial"/>
          <w:sz w:val="18"/>
          <w:szCs w:val="18"/>
          <w:color w:val="auto"/>
        </w:rPr>
        <w:t>To accept the terms of this Participation Agreement and participate in the Plan, please sign and date this Participation Agreement in the space provided below and return it to _____________________ no later than _________, 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459"/>
        <w:spacing w:after="0"/>
        <w:rPr>
          <w:sz w:val="20"/>
          <w:szCs w:val="20"/>
          <w:color w:val="auto"/>
        </w:rPr>
      </w:pPr>
      <w:r>
        <w:rPr>
          <w:rFonts w:ascii="Arial" w:cs="Arial" w:eastAsia="Arial" w:hAnsi="Arial"/>
          <w:sz w:val="21"/>
          <w:szCs w:val="21"/>
          <w:color w:val="auto"/>
        </w:rPr>
        <w:t>B-2</w:t>
      </w:r>
    </w:p>
    <w:p>
      <w:pPr>
        <w:sectPr>
          <w:pgSz w:w="11900" w:h="16838" w:orient="portrait"/>
          <w:cols w:equalWidth="0" w:num="1">
            <w:col w:w="10780"/>
          </w:cols>
          <w:pgMar w:left="320" w:top="1377" w:right="799" w:bottom="1440" w:gutter="0" w:footer="0" w:header="0"/>
        </w:sectPr>
      </w:pPr>
    </w:p>
    <w:bookmarkStart w:id="335" w:name="page336"/>
    <w:bookmarkEnd w:id="33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Matrix Service Company</w:t>
      </w:r>
    </w:p>
    <w:p>
      <w:pPr>
        <w:spacing w:after="0" w:line="223" w:lineRule="exact"/>
        <w:rPr>
          <w:sz w:val="20"/>
          <w:szCs w:val="20"/>
          <w:color w:val="auto"/>
        </w:rPr>
      </w:pPr>
    </w:p>
    <w:p>
      <w:pPr>
        <w:spacing w:after="0"/>
        <w:rPr>
          <w:sz w:val="20"/>
          <w:szCs w:val="20"/>
          <w:color w:val="auto"/>
        </w:rPr>
      </w:pPr>
      <w:r>
        <w:rPr>
          <w:rFonts w:ascii="Arial" w:cs="Arial" w:eastAsia="Arial" w:hAnsi="Arial"/>
          <w:sz w:val="21"/>
          <w:szCs w:val="21"/>
          <w:color w:val="auto"/>
        </w:rPr>
        <w:t>By: ________________________________</w:t>
      </w:r>
    </w:p>
    <w:p>
      <w:pPr>
        <w:spacing w:after="0" w:line="217" w:lineRule="exact"/>
        <w:rPr>
          <w:sz w:val="20"/>
          <w:szCs w:val="20"/>
          <w:color w:val="auto"/>
        </w:rPr>
      </w:pPr>
    </w:p>
    <w:p>
      <w:pPr>
        <w:spacing w:after="0"/>
        <w:rPr>
          <w:sz w:val="20"/>
          <w:szCs w:val="20"/>
          <w:color w:val="auto"/>
        </w:rPr>
      </w:pPr>
      <w:r>
        <w:rPr>
          <w:rFonts w:ascii="Arial" w:cs="Arial" w:eastAsia="Arial" w:hAnsi="Arial"/>
          <w:sz w:val="21"/>
          <w:szCs w:val="21"/>
          <w:color w:val="auto"/>
        </w:rPr>
        <w:t>___________________________________</w:t>
      </w:r>
    </w:p>
    <w:p>
      <w:pPr>
        <w:spacing w:after="0" w:line="217" w:lineRule="exact"/>
        <w:rPr>
          <w:sz w:val="20"/>
          <w:szCs w:val="20"/>
          <w:color w:val="auto"/>
        </w:rPr>
      </w:pPr>
    </w:p>
    <w:p>
      <w:pPr>
        <w:spacing w:after="0"/>
        <w:rPr>
          <w:sz w:val="20"/>
          <w:szCs w:val="20"/>
          <w:color w:val="auto"/>
        </w:rPr>
      </w:pPr>
      <w:r>
        <w:rPr>
          <w:rFonts w:ascii="Arial" w:cs="Arial" w:eastAsia="Arial" w:hAnsi="Arial"/>
          <w:sz w:val="21"/>
          <w:szCs w:val="21"/>
          <w:color w:val="auto"/>
        </w:rPr>
        <w:t>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Participant</w:t>
      </w:r>
    </w:p>
    <w:p>
      <w:pPr>
        <w:spacing w:after="0" w:line="236" w:lineRule="exact"/>
        <w:rPr>
          <w:sz w:val="20"/>
          <w:szCs w:val="20"/>
          <w:color w:val="auto"/>
        </w:rPr>
      </w:pPr>
    </w:p>
    <w:p>
      <w:pPr>
        <w:spacing w:after="0"/>
        <w:rPr>
          <w:sz w:val="20"/>
          <w:szCs w:val="20"/>
          <w:color w:val="auto"/>
        </w:rPr>
      </w:pPr>
      <w:r>
        <w:rPr>
          <w:rFonts w:ascii="Arial" w:cs="Arial" w:eastAsia="Arial" w:hAnsi="Arial"/>
          <w:sz w:val="21"/>
          <w:szCs w:val="21"/>
          <w:color w:val="auto"/>
        </w:rPr>
        <w:t>________________________________</w:t>
      </w:r>
    </w:p>
    <w:p>
      <w:pPr>
        <w:spacing w:after="0"/>
        <w:rPr>
          <w:sz w:val="20"/>
          <w:szCs w:val="20"/>
          <w:color w:val="auto"/>
        </w:rPr>
      </w:pPr>
      <w:r>
        <w:rPr>
          <w:rFonts w:ascii="Arial" w:cs="Arial" w:eastAsia="Arial" w:hAnsi="Arial"/>
          <w:sz w:val="21"/>
          <w:szCs w:val="21"/>
          <w:color w:val="auto"/>
        </w:rPr>
        <w:t>[Insert Name]</w:t>
      </w:r>
    </w:p>
    <w:p>
      <w:pPr>
        <w:spacing w:after="0" w:line="199" w:lineRule="exact"/>
        <w:rPr>
          <w:sz w:val="20"/>
          <w:szCs w:val="20"/>
          <w:color w:val="auto"/>
        </w:rPr>
      </w:pPr>
    </w:p>
    <w:p>
      <w:pPr>
        <w:spacing w:after="0"/>
        <w:rPr>
          <w:sz w:val="20"/>
          <w:szCs w:val="20"/>
          <w:color w:val="auto"/>
        </w:rPr>
      </w:pPr>
      <w:r>
        <w:rPr>
          <w:rFonts w:ascii="Arial" w:cs="Arial" w:eastAsia="Arial" w:hAnsi="Arial"/>
          <w:sz w:val="21"/>
          <w:szCs w:val="21"/>
          <w:color w:val="auto"/>
        </w:rPr>
        <w:t>Date: 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right"/>
        <w:ind w:right="4359"/>
        <w:spacing w:after="0"/>
        <w:rPr>
          <w:sz w:val="20"/>
          <w:szCs w:val="20"/>
          <w:color w:val="auto"/>
        </w:rPr>
      </w:pPr>
      <w:r>
        <w:rPr>
          <w:rFonts w:ascii="Arial" w:cs="Arial" w:eastAsia="Arial" w:hAnsi="Arial"/>
          <w:sz w:val="21"/>
          <w:szCs w:val="21"/>
          <w:color w:val="auto"/>
        </w:rPr>
        <w:t>B-3</w:t>
      </w:r>
    </w:p>
    <w:p>
      <w:pPr>
        <w:sectPr>
          <w:pgSz w:w="11900" w:h="16838" w:orient="portrait"/>
          <w:cols w:equalWidth="0" w:num="1">
            <w:col w:w="10139"/>
          </w:cols>
          <w:pgMar w:left="320" w:top="1440" w:right="1440" w:bottom="1440" w:gutter="0" w:footer="0" w:header="0"/>
        </w:sectPr>
      </w:pPr>
    </w:p>
    <w:bookmarkStart w:id="336" w:name="page337"/>
    <w:bookmarkEnd w:id="336"/>
    <w:p>
      <w:pPr>
        <w:jc w:val="right"/>
        <w:spacing w:after="0"/>
        <w:rPr>
          <w:sz w:val="20"/>
          <w:szCs w:val="20"/>
          <w:color w:val="auto"/>
        </w:rPr>
      </w:pPr>
      <w:r>
        <w:rPr>
          <w:rFonts w:ascii="Arial" w:cs="Arial" w:eastAsia="Arial" w:hAnsi="Arial"/>
          <w:sz w:val="17"/>
          <w:szCs w:val="17"/>
          <w:b w:val="1"/>
          <w:bCs w:val="1"/>
          <w:color w:val="auto"/>
        </w:rPr>
        <w:t>EXHIBIT 21</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Matrix Service Company</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Subsidiaries</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Matrix Service Inc., an Oklahoma corporation</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Matrix Service Canada ULC, an Alberta, Canada unlimited liability corporation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Matrix North American Construction, Inc., an Oklahoma corporation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Matrix North American Construction, Ltd., a Canadian corporation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Matrix North American Construction, LLC, a Delaware limited liability company</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Matrix SME Canada, Inc., a Delaware corporation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Matrix SME Canada ULC, a Nova Scotia, Canada unlimited liability corporation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Matrix PDM Engineering, Inc., a Delaware corporation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Matrix PDM, LLC, an Oklahoma limited liability company</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Matrix Applied Technologies, Inc., a Delaware corporation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Matrix International Holding Company, Ltd., a British corporation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Matrix Applied Technologies, Ltd., a South Korean corporation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Matrix Applied Technologies, Pty. Ltd., an Australian corporation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River Consulting, LLC, a Louisiana limited liability company</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Matrix Products and Services S. de R.L. de C.V., a Mexican limited liability variable stock corporation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Matrix Service VI, LLC, a U.S. Virgin Island limited liability company</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Mobile Aquatic Solutions, Inc., an Oklahoma corporation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MSI Federal Contracting, LLC, a Delaware limited liability company</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Devco USA, LLC, an Oklahoma limited liability company</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Houston Dynamics, LLC, a Qatar limited liability company</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Matrix Service International, LLC, a Delaware limited liability company</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Matrix Applied Technologies FZ-LLC, a UAE free zone company</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Matrix Applied Technologies Pte Ltd, a Singapore limited company</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Matrix PDM Engineering Ltd., a Nova Scotia limited company</w:t>
      </w:r>
    </w:p>
    <w:p>
      <w:pPr>
        <w:sectPr>
          <w:pgSz w:w="11900" w:h="16838" w:orient="portrait"/>
          <w:cols w:equalWidth="0" w:num="1">
            <w:col w:w="11240"/>
          </w:cols>
          <w:pgMar w:left="320" w:top="868" w:right="339" w:bottom="1440" w:gutter="0" w:footer="0" w:header="0"/>
        </w:sectPr>
      </w:pPr>
    </w:p>
    <w:bookmarkStart w:id="337" w:name="page338"/>
    <w:bookmarkEnd w:id="337"/>
    <w:p>
      <w:pPr>
        <w:jc w:val="right"/>
        <w:spacing w:after="0"/>
        <w:rPr>
          <w:sz w:val="20"/>
          <w:szCs w:val="20"/>
          <w:color w:val="auto"/>
        </w:rPr>
      </w:pPr>
      <w:r>
        <w:rPr>
          <w:rFonts w:ascii="Arial" w:cs="Arial" w:eastAsia="Arial" w:hAnsi="Arial"/>
          <w:sz w:val="17"/>
          <w:szCs w:val="17"/>
          <w:b w:val="1"/>
          <w:bCs w:val="1"/>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We consent to the incorporation by reference in the following Registration Statements on Form S-8:</w:t>
      </w:r>
    </w:p>
    <w:p>
      <w:pPr>
        <w:spacing w:after="0" w:line="250" w:lineRule="exact"/>
        <w:rPr>
          <w:sz w:val="20"/>
          <w:szCs w:val="20"/>
          <w:color w:val="auto"/>
        </w:rPr>
      </w:pPr>
    </w:p>
    <w:p>
      <w:pPr>
        <w:ind w:left="320" w:right="780"/>
        <w:spacing w:after="0" w:line="578" w:lineRule="auto"/>
        <w:rPr>
          <w:sz w:val="20"/>
          <w:szCs w:val="20"/>
          <w:color w:val="auto"/>
        </w:rPr>
      </w:pPr>
      <w:r>
        <w:rPr>
          <w:rFonts w:ascii="Arial" w:cs="Arial" w:eastAsia="Arial" w:hAnsi="Arial"/>
          <w:sz w:val="16"/>
          <w:szCs w:val="16"/>
          <w:color w:val="auto"/>
        </w:rPr>
        <w:t>Registration Statement on Form S-8 (File No. 333-249818) related to the Matrix Service Company 2020 Stock and Incentive Compensation Plan Registration Statement on Form S-8 (File No. 333-228052) related to the Matrix Service Company 2018 Stock and Incentive Compensation Plan Registration Statement on Form S-8 (File No. 333-214590) related to the Matrix Service Company 2016 Stock and Incentive Compensation Plan Registration Statement on Form S-8 (File No. 333-171247) related to the Matrix Service Company 2011 Employee Stock Purchase Plan Registration Statement on Form S-8 (File No. 333-171245) related to the Matrix Service Company 2004 Stock Incentive Plan Registration Statement on Form S-8 (File No. 333-119840) related to the Matrix Service Company 2004 Stock Option Plan</w:t>
      </w:r>
    </w:p>
    <w:p>
      <w:pPr>
        <w:spacing w:after="0" w:line="3" w:lineRule="exact"/>
        <w:rPr>
          <w:sz w:val="20"/>
          <w:szCs w:val="20"/>
          <w:color w:val="auto"/>
        </w:rPr>
      </w:pPr>
    </w:p>
    <w:p>
      <w:pPr>
        <w:ind w:right="260"/>
        <w:spacing w:after="0" w:line="257" w:lineRule="auto"/>
        <w:rPr>
          <w:sz w:val="20"/>
          <w:szCs w:val="20"/>
          <w:color w:val="auto"/>
        </w:rPr>
      </w:pPr>
      <w:r>
        <w:rPr>
          <w:rFonts w:ascii="Arial" w:cs="Arial" w:eastAsia="Arial" w:hAnsi="Arial"/>
          <w:sz w:val="17"/>
          <w:szCs w:val="17"/>
          <w:color w:val="auto"/>
        </w:rPr>
        <w:t>of our reports dated September 13, 2021, relating to the financial statements of Matrix Service Company, and the effectiveness of Matrix Service Company’s internal control over financial reporting appearing in this Annual Report on Form 10-K for the year ended June 30, 2021.</w:t>
      </w:r>
    </w:p>
    <w:p>
      <w:pPr>
        <w:spacing w:after="0" w:line="36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 DELOITTE &amp; TOUCHE LLP</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color w:val="auto"/>
        </w:rPr>
        <w:t>Tulsa, Oklahoma</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September 13, 2021</w:t>
      </w:r>
    </w:p>
    <w:p>
      <w:pPr>
        <w:sectPr>
          <w:pgSz w:w="11900" w:h="16838" w:orient="portrait"/>
          <w:cols w:equalWidth="0" w:num="1">
            <w:col w:w="11240"/>
          </w:cols>
          <w:pgMar w:left="320" w:top="960" w:right="339" w:bottom="1440" w:gutter="0" w:footer="0" w:header="0"/>
        </w:sectPr>
      </w:pPr>
    </w:p>
    <w:bookmarkStart w:id="338" w:name="page339"/>
    <w:bookmarkEnd w:id="338"/>
    <w:p>
      <w:pPr>
        <w:jc w:val="right"/>
        <w:spacing w:after="0"/>
        <w:rPr>
          <w:sz w:val="20"/>
          <w:szCs w:val="20"/>
          <w:color w:val="auto"/>
        </w:rPr>
      </w:pPr>
      <w:r>
        <w:rPr>
          <w:rFonts w:ascii="Arial" w:cs="Arial" w:eastAsia="Arial" w:hAnsi="Arial"/>
          <w:sz w:val="17"/>
          <w:szCs w:val="17"/>
          <w:b w:val="1"/>
          <w:bCs w:val="1"/>
          <w:color w:val="auto"/>
        </w:rPr>
        <w:t>Exhibit 31.1</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CERTIFICATIONS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I, John R. Hewitt, certify that:</w:t>
      </w:r>
    </w:p>
    <w:p>
      <w:pPr>
        <w:spacing w:after="0" w:line="172" w:lineRule="exact"/>
        <w:rPr>
          <w:sz w:val="20"/>
          <w:szCs w:val="20"/>
          <w:color w:val="auto"/>
        </w:rPr>
      </w:pPr>
    </w:p>
    <w:p>
      <w:pPr>
        <w:ind w:left="940" w:hanging="306"/>
        <w:spacing w:after="0"/>
        <w:tabs>
          <w:tab w:leader="none" w:pos="940" w:val="left"/>
        </w:tabs>
        <w:numPr>
          <w:ilvl w:val="0"/>
          <w:numId w:val="330"/>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Matrix Service Company;</w:t>
      </w:r>
    </w:p>
    <w:p>
      <w:pPr>
        <w:spacing w:after="0" w:line="171" w:lineRule="exact"/>
        <w:rPr>
          <w:rFonts w:ascii="Arial" w:cs="Arial" w:eastAsia="Arial" w:hAnsi="Arial"/>
          <w:sz w:val="17"/>
          <w:szCs w:val="17"/>
          <w:color w:val="auto"/>
        </w:rPr>
      </w:pPr>
    </w:p>
    <w:p>
      <w:pPr>
        <w:jc w:val="both"/>
        <w:ind w:left="940" w:right="120" w:hanging="306"/>
        <w:spacing w:after="0" w:line="273" w:lineRule="auto"/>
        <w:tabs>
          <w:tab w:leader="none" w:pos="940" w:val="left"/>
        </w:tabs>
        <w:numPr>
          <w:ilvl w:val="0"/>
          <w:numId w:val="330"/>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9" w:lineRule="exact"/>
        <w:rPr>
          <w:rFonts w:ascii="Arial" w:cs="Arial" w:eastAsia="Arial" w:hAnsi="Arial"/>
          <w:sz w:val="17"/>
          <w:szCs w:val="17"/>
          <w:color w:val="auto"/>
        </w:rPr>
      </w:pPr>
    </w:p>
    <w:p>
      <w:pPr>
        <w:ind w:left="940" w:right="80" w:hanging="306"/>
        <w:spacing w:after="0" w:line="289" w:lineRule="auto"/>
        <w:tabs>
          <w:tab w:leader="none" w:pos="940" w:val="left"/>
        </w:tabs>
        <w:numPr>
          <w:ilvl w:val="0"/>
          <w:numId w:val="33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6" w:lineRule="exact"/>
        <w:rPr>
          <w:rFonts w:ascii="Arial" w:cs="Arial" w:eastAsia="Arial" w:hAnsi="Arial"/>
          <w:sz w:val="17"/>
          <w:szCs w:val="17"/>
          <w:color w:val="auto"/>
        </w:rPr>
      </w:pPr>
    </w:p>
    <w:p>
      <w:pPr>
        <w:ind w:left="940" w:right="120" w:hanging="306"/>
        <w:spacing w:after="0" w:line="273" w:lineRule="auto"/>
        <w:tabs>
          <w:tab w:leader="none" w:pos="940" w:val="left"/>
        </w:tabs>
        <w:numPr>
          <w:ilvl w:val="0"/>
          <w:numId w:val="330"/>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9" w:lineRule="exact"/>
        <w:rPr>
          <w:rFonts w:ascii="Arial" w:cs="Arial" w:eastAsia="Arial" w:hAnsi="Arial"/>
          <w:sz w:val="17"/>
          <w:szCs w:val="17"/>
          <w:color w:val="auto"/>
        </w:rPr>
      </w:pPr>
    </w:p>
    <w:p>
      <w:pPr>
        <w:ind w:left="1580" w:right="120" w:hanging="631"/>
        <w:spacing w:after="0" w:line="273" w:lineRule="auto"/>
        <w:tabs>
          <w:tab w:leader="none" w:pos="1570" w:val="left"/>
        </w:tabs>
        <w:numPr>
          <w:ilvl w:val="1"/>
          <w:numId w:val="33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9" w:lineRule="exact"/>
        <w:rPr>
          <w:rFonts w:ascii="Arial" w:cs="Arial" w:eastAsia="Arial" w:hAnsi="Arial"/>
          <w:sz w:val="17"/>
          <w:szCs w:val="17"/>
          <w:color w:val="auto"/>
        </w:rPr>
      </w:pPr>
    </w:p>
    <w:p>
      <w:pPr>
        <w:ind w:left="1580" w:right="60" w:hanging="631"/>
        <w:spacing w:after="0" w:line="273" w:lineRule="auto"/>
        <w:tabs>
          <w:tab w:leader="none" w:pos="1580" w:val="left"/>
        </w:tabs>
        <w:numPr>
          <w:ilvl w:val="1"/>
          <w:numId w:val="33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9" w:lineRule="exact"/>
        <w:rPr>
          <w:rFonts w:ascii="Arial" w:cs="Arial" w:eastAsia="Arial" w:hAnsi="Arial"/>
          <w:sz w:val="17"/>
          <w:szCs w:val="17"/>
          <w:color w:val="auto"/>
        </w:rPr>
      </w:pPr>
    </w:p>
    <w:p>
      <w:pPr>
        <w:jc w:val="both"/>
        <w:ind w:left="1580" w:right="220" w:hanging="631"/>
        <w:spacing w:after="0" w:line="360" w:lineRule="auto"/>
        <w:tabs>
          <w:tab w:leader="none" w:pos="1570" w:val="left"/>
        </w:tabs>
        <w:numPr>
          <w:ilvl w:val="1"/>
          <w:numId w:val="330"/>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9" w:lineRule="exact"/>
        <w:rPr>
          <w:rFonts w:ascii="Arial" w:cs="Arial" w:eastAsia="Arial" w:hAnsi="Arial"/>
          <w:sz w:val="15"/>
          <w:szCs w:val="15"/>
          <w:color w:val="auto"/>
        </w:rPr>
      </w:pPr>
    </w:p>
    <w:p>
      <w:pPr>
        <w:ind w:left="1580" w:right="220" w:hanging="631"/>
        <w:spacing w:after="0" w:line="273" w:lineRule="auto"/>
        <w:tabs>
          <w:tab w:leader="none" w:pos="1580" w:val="left"/>
        </w:tabs>
        <w:numPr>
          <w:ilvl w:val="1"/>
          <w:numId w:val="33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9" w:lineRule="exact"/>
        <w:rPr>
          <w:rFonts w:ascii="Arial" w:cs="Arial" w:eastAsia="Arial" w:hAnsi="Arial"/>
          <w:sz w:val="17"/>
          <w:szCs w:val="17"/>
          <w:color w:val="auto"/>
        </w:rPr>
      </w:pPr>
    </w:p>
    <w:p>
      <w:pPr>
        <w:ind w:left="940" w:right="20" w:hanging="306"/>
        <w:spacing w:after="0" w:line="322" w:lineRule="auto"/>
        <w:tabs>
          <w:tab w:leader="none" w:pos="940" w:val="left"/>
        </w:tabs>
        <w:numPr>
          <w:ilvl w:val="0"/>
          <w:numId w:val="33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3" w:lineRule="exact"/>
        <w:rPr>
          <w:rFonts w:ascii="Arial" w:cs="Arial" w:eastAsia="Arial" w:hAnsi="Arial"/>
          <w:sz w:val="16"/>
          <w:szCs w:val="16"/>
          <w:color w:val="auto"/>
        </w:rPr>
      </w:pPr>
    </w:p>
    <w:p>
      <w:pPr>
        <w:ind w:left="1580" w:right="460" w:hanging="631"/>
        <w:spacing w:after="0" w:line="322" w:lineRule="auto"/>
        <w:tabs>
          <w:tab w:leader="none" w:pos="1570" w:val="left"/>
        </w:tabs>
        <w:numPr>
          <w:ilvl w:val="1"/>
          <w:numId w:val="33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3" w:lineRule="exact"/>
        <w:rPr>
          <w:rFonts w:ascii="Arial" w:cs="Arial" w:eastAsia="Arial" w:hAnsi="Arial"/>
          <w:sz w:val="16"/>
          <w:szCs w:val="16"/>
          <w:color w:val="auto"/>
        </w:rPr>
      </w:pPr>
    </w:p>
    <w:p>
      <w:pPr>
        <w:ind w:left="1580" w:right="140" w:hanging="631"/>
        <w:spacing w:after="0" w:line="289" w:lineRule="auto"/>
        <w:tabs>
          <w:tab w:leader="none" w:pos="1580" w:val="left"/>
        </w:tabs>
        <w:numPr>
          <w:ilvl w:val="1"/>
          <w:numId w:val="330"/>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382" w:lineRule="exact"/>
        <w:rPr>
          <w:sz w:val="20"/>
          <w:szCs w:val="20"/>
          <w:color w:val="auto"/>
        </w:rPr>
      </w:pPr>
    </w:p>
    <w:p>
      <w:pPr>
        <w:ind w:left="20"/>
        <w:spacing w:after="0"/>
        <w:tabs>
          <w:tab w:leader="none" w:pos="600" w:val="left"/>
        </w:tabs>
        <w:rPr>
          <w:sz w:val="20"/>
          <w:szCs w:val="20"/>
          <w:color w:val="auto"/>
        </w:rPr>
      </w:pPr>
      <w:r>
        <w:rPr>
          <w:rFonts w:ascii="Arial" w:cs="Arial" w:eastAsia="Arial" w:hAnsi="Arial"/>
          <w:sz w:val="17"/>
          <w:szCs w:val="17"/>
          <w:color w:val="auto"/>
        </w:rPr>
        <w:t>Date:</w:t>
        <w:tab/>
        <w:t>September 13, 2021</w:t>
      </w:r>
    </w:p>
    <w:p>
      <w:pPr>
        <w:spacing w:after="0" w:line="80" w:lineRule="exact"/>
        <w:rPr>
          <w:sz w:val="20"/>
          <w:szCs w:val="20"/>
          <w:color w:val="auto"/>
        </w:rPr>
      </w:pPr>
    </w:p>
    <w:p>
      <w:pPr>
        <w:ind w:left="20"/>
        <w:spacing w:after="0"/>
        <w:rPr>
          <w:sz w:val="20"/>
          <w:szCs w:val="20"/>
          <w:color w:val="auto"/>
        </w:rPr>
      </w:pPr>
      <w:r>
        <w:rPr>
          <w:rFonts w:ascii="Arial" w:cs="Arial" w:eastAsia="Arial" w:hAnsi="Arial"/>
          <w:sz w:val="17"/>
          <w:szCs w:val="17"/>
          <w:color w:val="auto"/>
        </w:rPr>
        <w:t>/s/ John R. Hewitt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236474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8">
                      <a:extLst>
                        <a:ext uri="{28A0092B-C50C-407E-A947-70E740481C1C}"/>
                      </a:extLst>
                    </a:blip>
                    <a:srcRect/>
                    <a:stretch>
                      <a:fillRect/>
                    </a:stretch>
                  </pic:blipFill>
                  <pic:spPr bwMode="auto">
                    <a:xfrm>
                      <a:off x="0" y="0"/>
                      <a:ext cx="2364740" cy="8255"/>
                    </a:xfrm>
                    <a:prstGeom prst="rect">
                      <a:avLst/>
                    </a:prstGeom>
                    <a:noFill/>
                  </pic:spPr>
                </pic:pic>
              </a:graphicData>
            </a:graphic>
          </wp:anchor>
        </w:drawing>
      </w:r>
    </w:p>
    <w:p>
      <w:pPr>
        <w:spacing w:after="0" w:line="21" w:lineRule="exact"/>
        <w:rPr>
          <w:sz w:val="20"/>
          <w:szCs w:val="20"/>
          <w:color w:val="auto"/>
        </w:rPr>
      </w:pPr>
    </w:p>
    <w:p>
      <w:pPr>
        <w:ind w:left="20"/>
        <w:spacing w:after="0"/>
        <w:rPr>
          <w:sz w:val="20"/>
          <w:szCs w:val="20"/>
          <w:color w:val="auto"/>
        </w:rPr>
      </w:pPr>
      <w:r>
        <w:rPr>
          <w:rFonts w:ascii="Arial" w:cs="Arial" w:eastAsia="Arial" w:hAnsi="Arial"/>
          <w:sz w:val="17"/>
          <w:szCs w:val="17"/>
          <w:color w:val="auto"/>
        </w:rPr>
        <w:t>John R. Hewitt</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7"/>
          <w:szCs w:val="17"/>
          <w:color w:val="auto"/>
        </w:rPr>
        <w:t>President and Chief Executive Officer</w:t>
      </w:r>
    </w:p>
    <w:p>
      <w:pPr>
        <w:sectPr>
          <w:pgSz w:w="11900" w:h="16838" w:orient="portrait"/>
          <w:cols w:equalWidth="0" w:num="1">
            <w:col w:w="11240"/>
          </w:cols>
          <w:pgMar w:left="320" w:top="868" w:right="339" w:bottom="1440" w:gutter="0" w:footer="0" w:header="0"/>
        </w:sectPr>
      </w:pPr>
    </w:p>
    <w:bookmarkStart w:id="339" w:name="page340"/>
    <w:bookmarkEnd w:id="339"/>
    <w:p>
      <w:pPr>
        <w:jc w:val="right"/>
        <w:spacing w:after="0"/>
        <w:rPr>
          <w:sz w:val="20"/>
          <w:szCs w:val="20"/>
          <w:color w:val="auto"/>
        </w:rPr>
      </w:pPr>
      <w:r>
        <w:rPr>
          <w:rFonts w:ascii="Arial" w:cs="Arial" w:eastAsia="Arial" w:hAnsi="Arial"/>
          <w:sz w:val="17"/>
          <w:szCs w:val="17"/>
          <w:b w:val="1"/>
          <w:bCs w:val="1"/>
          <w:color w:val="auto"/>
        </w:rPr>
        <w:t>Exhibit 31.2</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CERTIFICATIONS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I, Kevin S. Cavanah, certify that:</w:t>
      </w:r>
    </w:p>
    <w:p>
      <w:pPr>
        <w:spacing w:after="0" w:line="172" w:lineRule="exact"/>
        <w:rPr>
          <w:sz w:val="20"/>
          <w:szCs w:val="20"/>
          <w:color w:val="auto"/>
        </w:rPr>
      </w:pPr>
    </w:p>
    <w:p>
      <w:pPr>
        <w:ind w:left="940" w:hanging="306"/>
        <w:spacing w:after="0"/>
        <w:tabs>
          <w:tab w:leader="none" w:pos="940" w:val="left"/>
        </w:tabs>
        <w:numPr>
          <w:ilvl w:val="0"/>
          <w:numId w:val="331"/>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Matrix Service Company;</w:t>
      </w:r>
    </w:p>
    <w:p>
      <w:pPr>
        <w:spacing w:after="0" w:line="171" w:lineRule="exact"/>
        <w:rPr>
          <w:rFonts w:ascii="Arial" w:cs="Arial" w:eastAsia="Arial" w:hAnsi="Arial"/>
          <w:sz w:val="17"/>
          <w:szCs w:val="17"/>
          <w:color w:val="auto"/>
        </w:rPr>
      </w:pPr>
    </w:p>
    <w:p>
      <w:pPr>
        <w:jc w:val="both"/>
        <w:ind w:left="940" w:right="120" w:hanging="306"/>
        <w:spacing w:after="0" w:line="273" w:lineRule="auto"/>
        <w:tabs>
          <w:tab w:leader="none" w:pos="940" w:val="left"/>
        </w:tabs>
        <w:numPr>
          <w:ilvl w:val="0"/>
          <w:numId w:val="331"/>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9" w:lineRule="exact"/>
        <w:rPr>
          <w:rFonts w:ascii="Arial" w:cs="Arial" w:eastAsia="Arial" w:hAnsi="Arial"/>
          <w:sz w:val="17"/>
          <w:szCs w:val="17"/>
          <w:color w:val="auto"/>
        </w:rPr>
      </w:pPr>
    </w:p>
    <w:p>
      <w:pPr>
        <w:ind w:left="940" w:right="80" w:hanging="306"/>
        <w:spacing w:after="0" w:line="289" w:lineRule="auto"/>
        <w:tabs>
          <w:tab w:leader="none" w:pos="940" w:val="left"/>
        </w:tabs>
        <w:numPr>
          <w:ilvl w:val="0"/>
          <w:numId w:val="33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6" w:lineRule="exact"/>
        <w:rPr>
          <w:rFonts w:ascii="Arial" w:cs="Arial" w:eastAsia="Arial" w:hAnsi="Arial"/>
          <w:sz w:val="17"/>
          <w:szCs w:val="17"/>
          <w:color w:val="auto"/>
        </w:rPr>
      </w:pPr>
    </w:p>
    <w:p>
      <w:pPr>
        <w:ind w:left="940" w:right="120" w:hanging="306"/>
        <w:spacing w:after="0" w:line="273" w:lineRule="auto"/>
        <w:tabs>
          <w:tab w:leader="none" w:pos="940" w:val="left"/>
        </w:tabs>
        <w:numPr>
          <w:ilvl w:val="0"/>
          <w:numId w:val="331"/>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9" w:lineRule="exact"/>
        <w:rPr>
          <w:rFonts w:ascii="Arial" w:cs="Arial" w:eastAsia="Arial" w:hAnsi="Arial"/>
          <w:sz w:val="17"/>
          <w:szCs w:val="17"/>
          <w:color w:val="auto"/>
        </w:rPr>
      </w:pPr>
    </w:p>
    <w:p>
      <w:pPr>
        <w:ind w:left="1580" w:right="120" w:hanging="631"/>
        <w:spacing w:after="0" w:line="273" w:lineRule="auto"/>
        <w:tabs>
          <w:tab w:leader="none" w:pos="1570" w:val="left"/>
        </w:tabs>
        <w:numPr>
          <w:ilvl w:val="1"/>
          <w:numId w:val="33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9" w:lineRule="exact"/>
        <w:rPr>
          <w:rFonts w:ascii="Arial" w:cs="Arial" w:eastAsia="Arial" w:hAnsi="Arial"/>
          <w:sz w:val="17"/>
          <w:szCs w:val="17"/>
          <w:color w:val="auto"/>
        </w:rPr>
      </w:pPr>
    </w:p>
    <w:p>
      <w:pPr>
        <w:ind w:left="1580" w:right="60" w:hanging="631"/>
        <w:spacing w:after="0" w:line="273" w:lineRule="auto"/>
        <w:tabs>
          <w:tab w:leader="none" w:pos="1580" w:val="left"/>
        </w:tabs>
        <w:numPr>
          <w:ilvl w:val="1"/>
          <w:numId w:val="33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9" w:lineRule="exact"/>
        <w:rPr>
          <w:rFonts w:ascii="Arial" w:cs="Arial" w:eastAsia="Arial" w:hAnsi="Arial"/>
          <w:sz w:val="17"/>
          <w:szCs w:val="17"/>
          <w:color w:val="auto"/>
        </w:rPr>
      </w:pPr>
    </w:p>
    <w:p>
      <w:pPr>
        <w:jc w:val="both"/>
        <w:ind w:left="1580" w:right="220" w:hanging="631"/>
        <w:spacing w:after="0" w:line="360" w:lineRule="auto"/>
        <w:tabs>
          <w:tab w:leader="none" w:pos="1570" w:val="left"/>
        </w:tabs>
        <w:numPr>
          <w:ilvl w:val="1"/>
          <w:numId w:val="331"/>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9" w:lineRule="exact"/>
        <w:rPr>
          <w:rFonts w:ascii="Arial" w:cs="Arial" w:eastAsia="Arial" w:hAnsi="Arial"/>
          <w:sz w:val="15"/>
          <w:szCs w:val="15"/>
          <w:color w:val="auto"/>
        </w:rPr>
      </w:pPr>
    </w:p>
    <w:p>
      <w:pPr>
        <w:ind w:left="1580" w:right="220" w:hanging="631"/>
        <w:spacing w:after="0" w:line="273" w:lineRule="auto"/>
        <w:tabs>
          <w:tab w:leader="none" w:pos="1580" w:val="left"/>
        </w:tabs>
        <w:numPr>
          <w:ilvl w:val="1"/>
          <w:numId w:val="33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9" w:lineRule="exact"/>
        <w:rPr>
          <w:rFonts w:ascii="Arial" w:cs="Arial" w:eastAsia="Arial" w:hAnsi="Arial"/>
          <w:sz w:val="17"/>
          <w:szCs w:val="17"/>
          <w:color w:val="auto"/>
        </w:rPr>
      </w:pPr>
    </w:p>
    <w:p>
      <w:pPr>
        <w:ind w:left="940" w:right="20" w:hanging="306"/>
        <w:spacing w:after="0" w:line="322" w:lineRule="auto"/>
        <w:tabs>
          <w:tab w:leader="none" w:pos="940" w:val="left"/>
        </w:tabs>
        <w:numPr>
          <w:ilvl w:val="0"/>
          <w:numId w:val="33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3" w:lineRule="exact"/>
        <w:rPr>
          <w:rFonts w:ascii="Arial" w:cs="Arial" w:eastAsia="Arial" w:hAnsi="Arial"/>
          <w:sz w:val="16"/>
          <w:szCs w:val="16"/>
          <w:color w:val="auto"/>
        </w:rPr>
      </w:pPr>
    </w:p>
    <w:p>
      <w:pPr>
        <w:ind w:left="1580" w:right="460" w:hanging="631"/>
        <w:spacing w:after="0" w:line="322" w:lineRule="auto"/>
        <w:tabs>
          <w:tab w:leader="none" w:pos="1570" w:val="left"/>
        </w:tabs>
        <w:numPr>
          <w:ilvl w:val="1"/>
          <w:numId w:val="33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3" w:lineRule="exact"/>
        <w:rPr>
          <w:rFonts w:ascii="Arial" w:cs="Arial" w:eastAsia="Arial" w:hAnsi="Arial"/>
          <w:sz w:val="16"/>
          <w:szCs w:val="16"/>
          <w:color w:val="auto"/>
        </w:rPr>
      </w:pPr>
    </w:p>
    <w:p>
      <w:pPr>
        <w:ind w:left="1580" w:right="140" w:hanging="631"/>
        <w:spacing w:after="0" w:line="289" w:lineRule="auto"/>
        <w:tabs>
          <w:tab w:leader="none" w:pos="1580" w:val="left"/>
        </w:tabs>
        <w:numPr>
          <w:ilvl w:val="1"/>
          <w:numId w:val="331"/>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382" w:lineRule="exact"/>
        <w:rPr>
          <w:sz w:val="20"/>
          <w:szCs w:val="20"/>
          <w:color w:val="auto"/>
        </w:rPr>
      </w:pPr>
    </w:p>
    <w:p>
      <w:pPr>
        <w:ind w:left="20"/>
        <w:spacing w:after="0"/>
        <w:tabs>
          <w:tab w:leader="none" w:pos="640" w:val="left"/>
        </w:tabs>
        <w:rPr>
          <w:sz w:val="20"/>
          <w:szCs w:val="20"/>
          <w:color w:val="auto"/>
        </w:rPr>
      </w:pPr>
      <w:r>
        <w:rPr>
          <w:rFonts w:ascii="Arial" w:cs="Arial" w:eastAsia="Arial" w:hAnsi="Arial"/>
          <w:sz w:val="17"/>
          <w:szCs w:val="17"/>
          <w:color w:val="auto"/>
        </w:rPr>
        <w:t>Date:</w:t>
        <w:tab/>
        <w:t>September 13, 2021</w:t>
      </w:r>
    </w:p>
    <w:p>
      <w:pPr>
        <w:spacing w:after="0" w:line="80" w:lineRule="exact"/>
        <w:rPr>
          <w:sz w:val="20"/>
          <w:szCs w:val="20"/>
          <w:color w:val="auto"/>
        </w:rPr>
      </w:pPr>
    </w:p>
    <w:p>
      <w:pPr>
        <w:ind w:left="20"/>
        <w:spacing w:after="0"/>
        <w:rPr>
          <w:sz w:val="20"/>
          <w:szCs w:val="20"/>
          <w:color w:val="auto"/>
        </w:rPr>
      </w:pPr>
      <w:r>
        <w:rPr>
          <w:rFonts w:ascii="Arial" w:cs="Arial" w:eastAsia="Arial" w:hAnsi="Arial"/>
          <w:sz w:val="17"/>
          <w:szCs w:val="17"/>
          <w:color w:val="auto"/>
        </w:rPr>
        <w:t>/s/ Kevin S. Cavanah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273939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9">
                      <a:extLst>
                        <a:ext uri="{28A0092B-C50C-407E-A947-70E740481C1C}"/>
                      </a:extLst>
                    </a:blip>
                    <a:srcRect/>
                    <a:stretch>
                      <a:fillRect/>
                    </a:stretch>
                  </pic:blipFill>
                  <pic:spPr bwMode="auto">
                    <a:xfrm>
                      <a:off x="0" y="0"/>
                      <a:ext cx="2739390" cy="8255"/>
                    </a:xfrm>
                    <a:prstGeom prst="rect">
                      <a:avLst/>
                    </a:prstGeom>
                    <a:noFill/>
                  </pic:spPr>
                </pic:pic>
              </a:graphicData>
            </a:graphic>
          </wp:anchor>
        </w:drawing>
      </w:r>
    </w:p>
    <w:p>
      <w:pPr>
        <w:spacing w:after="0" w:line="21" w:lineRule="exact"/>
        <w:rPr>
          <w:sz w:val="20"/>
          <w:szCs w:val="20"/>
          <w:color w:val="auto"/>
        </w:rPr>
      </w:pPr>
    </w:p>
    <w:p>
      <w:pPr>
        <w:ind w:left="20"/>
        <w:spacing w:after="0"/>
        <w:rPr>
          <w:sz w:val="20"/>
          <w:szCs w:val="20"/>
          <w:color w:val="auto"/>
        </w:rPr>
      </w:pPr>
      <w:r>
        <w:rPr>
          <w:rFonts w:ascii="Arial" w:cs="Arial" w:eastAsia="Arial" w:hAnsi="Arial"/>
          <w:sz w:val="17"/>
          <w:szCs w:val="17"/>
          <w:color w:val="auto"/>
        </w:rPr>
        <w:t>Kevin S. Cavanah</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7"/>
          <w:szCs w:val="17"/>
          <w:color w:val="auto"/>
        </w:rPr>
        <w:t>Vice President and Chief Financial Officer</w:t>
      </w:r>
    </w:p>
    <w:p>
      <w:pPr>
        <w:sectPr>
          <w:pgSz w:w="11900" w:h="16838" w:orient="portrait"/>
          <w:cols w:equalWidth="0" w:num="1">
            <w:col w:w="11240"/>
          </w:cols>
          <w:pgMar w:left="320" w:top="868" w:right="339" w:bottom="1440" w:gutter="0" w:footer="0" w:header="0"/>
        </w:sectPr>
      </w:pPr>
    </w:p>
    <w:bookmarkStart w:id="340" w:name="page341"/>
    <w:bookmarkEnd w:id="340"/>
    <w:p>
      <w:pPr>
        <w:jc w:val="right"/>
        <w:spacing w:after="0"/>
        <w:rPr>
          <w:sz w:val="20"/>
          <w:szCs w:val="20"/>
          <w:color w:val="auto"/>
        </w:rPr>
      </w:pPr>
      <w:r>
        <w:rPr>
          <w:rFonts w:ascii="Arial" w:cs="Arial" w:eastAsia="Arial" w:hAnsi="Arial"/>
          <w:sz w:val="17"/>
          <w:szCs w:val="17"/>
          <w:b w:val="1"/>
          <w:bCs w:val="1"/>
          <w:color w:val="auto"/>
        </w:rPr>
        <w:t>EXHIBIT 32.1</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Certification Pursuant to 18 U.S.C. Section 1350,</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As Adopted Pursuant</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Section 906 of Sarbanes-Oxley Act of 2002</w:t>
      </w:r>
    </w:p>
    <w:p>
      <w:pPr>
        <w:spacing w:after="0" w:line="16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connection with the Annual Report of Matrix Service Company (the “Company”) on Form 10-K for the period ending June 30, 2021 as filed with the Securities and Exchange Commission on the date hereof (the “Report”), I, John R. Hewitt, President and Chief Executive Officer of the Company, certify, pursuant to 18 U.S.C. ss. 1350, as adopted pursuant to ss. 906 of the Sarbanes-Oxley Act of 2002, that based on my knowledge:</w:t>
      </w:r>
    </w:p>
    <w:p>
      <w:pPr>
        <w:spacing w:after="0" w:line="198" w:lineRule="exact"/>
        <w:rPr>
          <w:sz w:val="20"/>
          <w:szCs w:val="20"/>
          <w:color w:val="auto"/>
        </w:rPr>
      </w:pPr>
    </w:p>
    <w:p>
      <w:pPr>
        <w:ind w:left="1260" w:hanging="626"/>
        <w:spacing w:after="0"/>
        <w:tabs>
          <w:tab w:leader="none" w:pos="1260" w:val="left"/>
        </w:tabs>
        <w:numPr>
          <w:ilvl w:val="0"/>
          <w:numId w:val="332"/>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50" w:lineRule="exact"/>
        <w:rPr>
          <w:rFonts w:ascii="Arial" w:cs="Arial" w:eastAsia="Arial" w:hAnsi="Arial"/>
          <w:sz w:val="17"/>
          <w:szCs w:val="17"/>
          <w:color w:val="auto"/>
        </w:rPr>
      </w:pPr>
    </w:p>
    <w:p>
      <w:pPr>
        <w:ind w:left="1260" w:right="600" w:hanging="626"/>
        <w:spacing w:after="0" w:line="289" w:lineRule="auto"/>
        <w:tabs>
          <w:tab w:leader="none" w:pos="1254" w:val="left"/>
        </w:tabs>
        <w:numPr>
          <w:ilvl w:val="0"/>
          <w:numId w:val="33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146" w:lineRule="exact"/>
        <w:rPr>
          <w:sz w:val="20"/>
          <w:szCs w:val="20"/>
          <w:color w:val="auto"/>
        </w:rPr>
      </w:pPr>
    </w:p>
    <w:p>
      <w:pPr>
        <w:ind w:left="20"/>
        <w:spacing w:after="0"/>
        <w:tabs>
          <w:tab w:leader="none" w:pos="600" w:val="left"/>
        </w:tabs>
        <w:rPr>
          <w:sz w:val="20"/>
          <w:szCs w:val="20"/>
          <w:color w:val="auto"/>
        </w:rPr>
      </w:pPr>
      <w:r>
        <w:rPr>
          <w:rFonts w:ascii="Arial" w:cs="Arial" w:eastAsia="Arial" w:hAnsi="Arial"/>
          <w:sz w:val="17"/>
          <w:szCs w:val="17"/>
          <w:color w:val="auto"/>
        </w:rPr>
        <w:t>Date:</w:t>
        <w:tab/>
        <w:t>September 13, 2021</w:t>
      </w:r>
    </w:p>
    <w:p>
      <w:pPr>
        <w:spacing w:after="0" w:line="80" w:lineRule="exact"/>
        <w:rPr>
          <w:sz w:val="20"/>
          <w:szCs w:val="20"/>
          <w:color w:val="auto"/>
        </w:rPr>
      </w:pPr>
    </w:p>
    <w:p>
      <w:pPr>
        <w:ind w:left="20"/>
        <w:spacing w:after="0"/>
        <w:rPr>
          <w:sz w:val="20"/>
          <w:szCs w:val="20"/>
          <w:color w:val="auto"/>
        </w:rPr>
      </w:pPr>
      <w:r>
        <w:rPr>
          <w:rFonts w:ascii="Arial" w:cs="Arial" w:eastAsia="Arial" w:hAnsi="Arial"/>
          <w:sz w:val="17"/>
          <w:szCs w:val="17"/>
          <w:color w:val="auto"/>
        </w:rPr>
        <w:t>/s/ John R. Hewitt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2481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0">
                      <a:extLst>
                        <a:ext uri="{28A0092B-C50C-407E-A947-70E740481C1C}"/>
                      </a:extLst>
                    </a:blip>
                    <a:srcRect/>
                    <a:stretch>
                      <a:fillRect/>
                    </a:stretch>
                  </pic:blipFill>
                  <pic:spPr bwMode="auto">
                    <a:xfrm>
                      <a:off x="0" y="0"/>
                      <a:ext cx="2481580" cy="8255"/>
                    </a:xfrm>
                    <a:prstGeom prst="rect">
                      <a:avLst/>
                    </a:prstGeom>
                    <a:noFill/>
                  </pic:spPr>
                </pic:pic>
              </a:graphicData>
            </a:graphic>
          </wp:anchor>
        </w:drawing>
      </w:r>
    </w:p>
    <w:p>
      <w:pPr>
        <w:spacing w:after="0" w:line="21" w:lineRule="exact"/>
        <w:rPr>
          <w:sz w:val="20"/>
          <w:szCs w:val="20"/>
          <w:color w:val="auto"/>
        </w:rPr>
      </w:pPr>
    </w:p>
    <w:p>
      <w:pPr>
        <w:ind w:left="20"/>
        <w:spacing w:after="0"/>
        <w:rPr>
          <w:sz w:val="20"/>
          <w:szCs w:val="20"/>
          <w:color w:val="auto"/>
        </w:rPr>
      </w:pPr>
      <w:r>
        <w:rPr>
          <w:rFonts w:ascii="Arial" w:cs="Arial" w:eastAsia="Arial" w:hAnsi="Arial"/>
          <w:sz w:val="17"/>
          <w:szCs w:val="17"/>
          <w:color w:val="auto"/>
        </w:rPr>
        <w:t>John R. Hewitt</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7"/>
          <w:szCs w:val="17"/>
          <w:color w:val="auto"/>
        </w:rPr>
        <w:t>President and Chief Executive Officer</w:t>
      </w:r>
    </w:p>
    <w:p>
      <w:pPr>
        <w:sectPr>
          <w:pgSz w:w="11900" w:h="16838" w:orient="portrait"/>
          <w:cols w:equalWidth="0" w:num="1">
            <w:col w:w="11240"/>
          </w:cols>
          <w:pgMar w:left="320" w:top="868" w:right="339" w:bottom="1440" w:gutter="0" w:footer="0" w:header="0"/>
        </w:sectPr>
      </w:pPr>
    </w:p>
    <w:bookmarkStart w:id="341" w:name="page342"/>
    <w:bookmarkEnd w:id="341"/>
    <w:p>
      <w:pPr>
        <w:jc w:val="right"/>
        <w:spacing w:after="0"/>
        <w:rPr>
          <w:sz w:val="20"/>
          <w:szCs w:val="20"/>
          <w:color w:val="auto"/>
        </w:rPr>
      </w:pPr>
      <w:r>
        <w:rPr>
          <w:rFonts w:ascii="Arial" w:cs="Arial" w:eastAsia="Arial" w:hAnsi="Arial"/>
          <w:sz w:val="17"/>
          <w:szCs w:val="17"/>
          <w:b w:val="1"/>
          <w:bCs w:val="1"/>
          <w:color w:val="auto"/>
        </w:rPr>
        <w:t>EXHIBIT 32.2</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Certification Pursuant to 18 U.S.C. Section 1350,</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As Adopted Pursuant</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Section 906 of Sarbanes-Oxley Act of 2002</w:t>
      </w:r>
    </w:p>
    <w:p>
      <w:pPr>
        <w:spacing w:after="0" w:line="16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connection with the Annual Report of Matrix Service Company (the “Company”) on Form 10-K for the period ending June 30, 2021 as filed with the Securities and Exchange Commission on the date hereof (the “Report”), I, Kevin S. Cavanah, Vice President and Chief Financial Officer of the Company, certify, pursuant to 18 U.S.C. ss. 1350, as adopted pursuant to ss. 906 of the Sarbanes-Oxley Act of 2002, that based on my knowledge:</w:t>
      </w:r>
    </w:p>
    <w:p>
      <w:pPr>
        <w:spacing w:after="0" w:line="198" w:lineRule="exact"/>
        <w:rPr>
          <w:sz w:val="20"/>
          <w:szCs w:val="20"/>
          <w:color w:val="auto"/>
        </w:rPr>
      </w:pPr>
    </w:p>
    <w:p>
      <w:pPr>
        <w:ind w:left="1260" w:hanging="626"/>
        <w:spacing w:after="0"/>
        <w:tabs>
          <w:tab w:leader="none" w:pos="1260" w:val="left"/>
        </w:tabs>
        <w:numPr>
          <w:ilvl w:val="0"/>
          <w:numId w:val="333"/>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50" w:lineRule="exact"/>
        <w:rPr>
          <w:rFonts w:ascii="Arial" w:cs="Arial" w:eastAsia="Arial" w:hAnsi="Arial"/>
          <w:sz w:val="17"/>
          <w:szCs w:val="17"/>
          <w:color w:val="auto"/>
        </w:rPr>
      </w:pPr>
    </w:p>
    <w:p>
      <w:pPr>
        <w:ind w:left="1260" w:right="600" w:hanging="626"/>
        <w:spacing w:after="0" w:line="289" w:lineRule="auto"/>
        <w:tabs>
          <w:tab w:leader="none" w:pos="1254" w:val="left"/>
        </w:tabs>
        <w:numPr>
          <w:ilvl w:val="0"/>
          <w:numId w:val="33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146" w:lineRule="exact"/>
        <w:rPr>
          <w:sz w:val="20"/>
          <w:szCs w:val="20"/>
          <w:color w:val="auto"/>
        </w:rPr>
      </w:pPr>
    </w:p>
    <w:p>
      <w:pPr>
        <w:ind w:left="20"/>
        <w:spacing w:after="0"/>
        <w:tabs>
          <w:tab w:leader="none" w:pos="640" w:val="left"/>
        </w:tabs>
        <w:rPr>
          <w:sz w:val="20"/>
          <w:szCs w:val="20"/>
          <w:color w:val="auto"/>
        </w:rPr>
      </w:pPr>
      <w:r>
        <w:rPr>
          <w:rFonts w:ascii="Arial" w:cs="Arial" w:eastAsia="Arial" w:hAnsi="Arial"/>
          <w:sz w:val="17"/>
          <w:szCs w:val="17"/>
          <w:color w:val="auto"/>
        </w:rPr>
        <w:t>Date:</w:t>
        <w:tab/>
        <w:t>September 13, 2021</w:t>
      </w:r>
    </w:p>
    <w:p>
      <w:pPr>
        <w:spacing w:after="0" w:line="80" w:lineRule="exact"/>
        <w:rPr>
          <w:sz w:val="20"/>
          <w:szCs w:val="20"/>
          <w:color w:val="auto"/>
        </w:rPr>
      </w:pPr>
    </w:p>
    <w:p>
      <w:pPr>
        <w:ind w:left="20"/>
        <w:spacing w:after="0"/>
        <w:rPr>
          <w:sz w:val="20"/>
          <w:szCs w:val="20"/>
          <w:color w:val="auto"/>
        </w:rPr>
      </w:pPr>
      <w:r>
        <w:rPr>
          <w:rFonts w:ascii="Arial" w:cs="Arial" w:eastAsia="Arial" w:hAnsi="Arial"/>
          <w:sz w:val="17"/>
          <w:szCs w:val="17"/>
          <w:color w:val="auto"/>
        </w:rPr>
        <w:t>/s/ Kevin S. Cavanah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273939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1">
                      <a:extLst>
                        <a:ext uri="{28A0092B-C50C-407E-A947-70E740481C1C}"/>
                      </a:extLst>
                    </a:blip>
                    <a:srcRect/>
                    <a:stretch>
                      <a:fillRect/>
                    </a:stretch>
                  </pic:blipFill>
                  <pic:spPr bwMode="auto">
                    <a:xfrm>
                      <a:off x="0" y="0"/>
                      <a:ext cx="2739390" cy="8255"/>
                    </a:xfrm>
                    <a:prstGeom prst="rect">
                      <a:avLst/>
                    </a:prstGeom>
                    <a:noFill/>
                  </pic:spPr>
                </pic:pic>
              </a:graphicData>
            </a:graphic>
          </wp:anchor>
        </w:drawing>
      </w:r>
    </w:p>
    <w:p>
      <w:pPr>
        <w:spacing w:after="0" w:line="21" w:lineRule="exact"/>
        <w:rPr>
          <w:sz w:val="20"/>
          <w:szCs w:val="20"/>
          <w:color w:val="auto"/>
        </w:rPr>
      </w:pPr>
    </w:p>
    <w:p>
      <w:pPr>
        <w:ind w:left="20"/>
        <w:spacing w:after="0"/>
        <w:rPr>
          <w:sz w:val="20"/>
          <w:szCs w:val="20"/>
          <w:color w:val="auto"/>
        </w:rPr>
      </w:pPr>
      <w:r>
        <w:rPr>
          <w:rFonts w:ascii="Arial" w:cs="Arial" w:eastAsia="Arial" w:hAnsi="Arial"/>
          <w:sz w:val="17"/>
          <w:szCs w:val="17"/>
          <w:color w:val="auto"/>
        </w:rPr>
        <w:t>Kevin S. Cavanah</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7"/>
          <w:szCs w:val="17"/>
          <w:color w:val="auto"/>
        </w:rPr>
        <w:t>Vice President and Chief Financial Officer</w:t>
      </w:r>
    </w:p>
    <w:p>
      <w:pPr>
        <w:sectPr>
          <w:pgSz w:w="11900" w:h="16838" w:orient="portrait"/>
          <w:cols w:equalWidth="0" w:num="1">
            <w:col w:w="11240"/>
          </w:cols>
          <w:pgMar w:left="320" w:top="868" w:right="339" w:bottom="1440" w:gutter="0" w:footer="0" w:header="0"/>
        </w:sectPr>
      </w:pPr>
    </w:p>
    <w:bookmarkStart w:id="342" w:name="page343"/>
    <w:bookmarkEnd w:id="342"/>
    <w:p>
      <w:pPr>
        <w:jc w:val="right"/>
        <w:spacing w:after="0"/>
        <w:rPr>
          <w:sz w:val="20"/>
          <w:szCs w:val="20"/>
          <w:color w:val="auto"/>
        </w:rPr>
      </w:pPr>
      <w:r>
        <w:rPr>
          <w:rFonts w:ascii="Arial" w:cs="Arial" w:eastAsia="Arial" w:hAnsi="Arial"/>
          <w:sz w:val="17"/>
          <w:szCs w:val="17"/>
          <w:b w:val="1"/>
          <w:bCs w:val="1"/>
          <w:color w:val="auto"/>
        </w:rPr>
        <w:t>Exhibit 95</w:t>
      </w:r>
    </w:p>
    <w:p>
      <w:pPr>
        <w:spacing w:after="0" w:line="200" w:lineRule="exact"/>
        <w:rPr>
          <w:sz w:val="20"/>
          <w:szCs w:val="20"/>
          <w:color w:val="auto"/>
        </w:rPr>
      </w:pPr>
    </w:p>
    <w:p>
      <w:pPr>
        <w:spacing w:after="0" w:line="227"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Section 1503(a) of the Dodd-Frank Wall Street Reform and Consumer Protection Act (the "Dodd-Frank Act") requires domestic mine operators to disclose violations and orders issued under the Federal Mine Safety and Health Act of 1977 (the "Mine Act") by the federal Mine Safety and Health Administration ("MSHA"). We do not act as the owner of any mines, but as a result of our performing services or construction at mine sites as an independent contractor, we are considered an "operator" within the meaning of the Mine Act. The mine data retrieval system maintained by MSHA may show information that is different than what is provided herein. Any such difference may be attributed to the need to update that information on MSHA’s system and/or other factors.</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information for the twelve months ended June 30, 2021:</w:t>
      </w:r>
    </w:p>
    <w:p>
      <w:pPr>
        <w:spacing w:after="0" w:line="203" w:lineRule="exact"/>
        <w:rPr>
          <w:sz w:val="20"/>
          <w:szCs w:val="20"/>
          <w:color w:val="auto"/>
        </w:rPr>
      </w:pPr>
    </w:p>
    <w:tbl>
      <w:tblPr>
        <w:tblLayout w:type="fixed"/>
        <w:tblInd w:w="50" w:type="dxa"/>
        <w:tblCellMar>
          <w:top w:w="0" w:type="dxa"/>
          <w:left w:w="0" w:type="dxa"/>
          <w:bottom w:w="0" w:type="dxa"/>
          <w:right w:w="0" w:type="dxa"/>
        </w:tblCellMar>
      </w:tblPr>
      <w:tr>
        <w:trPr>
          <w:trHeight w:val="174"/>
        </w:trPr>
        <w:tc>
          <w:tcPr>
            <w:tcW w:w="1000" w:type="dxa"/>
            <w:vAlign w:val="bottom"/>
            <w:tcBorders>
              <w:top w:val="single" w:sz="8" w:color="auto"/>
              <w:left w:val="single" w:sz="8" w:color="auto"/>
              <w:right w:val="single" w:sz="8" w:color="auto"/>
            </w:tcBorders>
          </w:tcPr>
          <w:p>
            <w:pPr>
              <w:spacing w:after="0"/>
              <w:rPr>
                <w:sz w:val="15"/>
                <w:szCs w:val="15"/>
                <w:color w:val="auto"/>
              </w:rPr>
            </w:pPr>
          </w:p>
        </w:tc>
        <w:tc>
          <w:tcPr>
            <w:tcW w:w="940" w:type="dxa"/>
            <w:vAlign w:val="bottom"/>
            <w:tcBorders>
              <w:top w:val="single" w:sz="8" w:color="auto"/>
              <w:right w:val="single" w:sz="8" w:color="auto"/>
            </w:tcBorders>
          </w:tcPr>
          <w:p>
            <w:pPr>
              <w:spacing w:after="0"/>
              <w:rPr>
                <w:sz w:val="15"/>
                <w:szCs w:val="15"/>
                <w:color w:val="auto"/>
              </w:rPr>
            </w:pPr>
          </w:p>
        </w:tc>
        <w:tc>
          <w:tcPr>
            <w:tcW w:w="900" w:type="dxa"/>
            <w:vAlign w:val="bottom"/>
            <w:tcBorders>
              <w:top w:val="single" w:sz="8" w:color="auto"/>
              <w:right w:val="single" w:sz="8" w:color="auto"/>
            </w:tcBorders>
          </w:tcPr>
          <w:p>
            <w:pPr>
              <w:spacing w:after="0"/>
              <w:rPr>
                <w:sz w:val="15"/>
                <w:szCs w:val="15"/>
                <w:color w:val="auto"/>
              </w:rPr>
            </w:pPr>
          </w:p>
        </w:tc>
        <w:tc>
          <w:tcPr>
            <w:tcW w:w="740" w:type="dxa"/>
            <w:vAlign w:val="bottom"/>
            <w:tcBorders>
              <w:top w:val="single" w:sz="8" w:color="auto"/>
              <w:right w:val="single" w:sz="8" w:color="auto"/>
            </w:tcBorders>
          </w:tcPr>
          <w:p>
            <w:pPr>
              <w:spacing w:after="0"/>
              <w:rPr>
                <w:sz w:val="15"/>
                <w:szCs w:val="15"/>
                <w:color w:val="auto"/>
              </w:rPr>
            </w:pPr>
          </w:p>
        </w:tc>
        <w:tc>
          <w:tcPr>
            <w:tcW w:w="780" w:type="dxa"/>
            <w:vAlign w:val="bottom"/>
            <w:tcBorders>
              <w:top w:val="single" w:sz="8" w:color="auto"/>
              <w:right w:val="single" w:sz="8" w:color="auto"/>
            </w:tcBorders>
          </w:tcPr>
          <w:p>
            <w:pPr>
              <w:spacing w:after="0"/>
              <w:rPr>
                <w:sz w:val="15"/>
                <w:szCs w:val="15"/>
                <w:color w:val="auto"/>
              </w:rPr>
            </w:pPr>
          </w:p>
        </w:tc>
        <w:tc>
          <w:tcPr>
            <w:tcW w:w="720" w:type="dxa"/>
            <w:vAlign w:val="bottom"/>
            <w:tcBorders>
              <w:top w:val="single" w:sz="8" w:color="auto"/>
              <w:right w:val="single" w:sz="8" w:color="auto"/>
            </w:tcBorders>
          </w:tcPr>
          <w:p>
            <w:pPr>
              <w:spacing w:after="0"/>
              <w:rPr>
                <w:sz w:val="15"/>
                <w:szCs w:val="15"/>
                <w:color w:val="auto"/>
              </w:rPr>
            </w:pPr>
          </w:p>
        </w:tc>
        <w:tc>
          <w:tcPr>
            <w:tcW w:w="1020" w:type="dxa"/>
            <w:vAlign w:val="bottom"/>
            <w:tcBorders>
              <w:top w:val="single" w:sz="8" w:color="auto"/>
              <w:right w:val="single" w:sz="8" w:color="auto"/>
            </w:tcBorders>
          </w:tcPr>
          <w:p>
            <w:pPr>
              <w:spacing w:after="0"/>
              <w:rPr>
                <w:sz w:val="15"/>
                <w:szCs w:val="15"/>
                <w:color w:val="auto"/>
              </w:rPr>
            </w:pPr>
          </w:p>
        </w:tc>
        <w:tc>
          <w:tcPr>
            <w:tcW w:w="760" w:type="dxa"/>
            <w:vAlign w:val="bottom"/>
            <w:tcBorders>
              <w:top w:val="single" w:sz="8" w:color="auto"/>
              <w:right w:val="single" w:sz="8" w:color="auto"/>
            </w:tcBorders>
          </w:tcPr>
          <w:p>
            <w:pPr>
              <w:spacing w:after="0"/>
              <w:rPr>
                <w:sz w:val="15"/>
                <w:szCs w:val="15"/>
                <w:color w:val="auto"/>
              </w:rPr>
            </w:pPr>
          </w:p>
        </w:tc>
        <w:tc>
          <w:tcPr>
            <w:tcW w:w="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96"/>
              </w:rPr>
              <w:t>Received Notice</w:t>
            </w:r>
          </w:p>
        </w:tc>
        <w:tc>
          <w:tcPr>
            <w:tcW w:w="9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96"/>
              </w:rPr>
              <w:t>Received Notice</w:t>
            </w:r>
          </w:p>
        </w:tc>
        <w:tc>
          <w:tcPr>
            <w:tcW w:w="840" w:type="dxa"/>
            <w:vAlign w:val="bottom"/>
            <w:tcBorders>
              <w:top w:val="single" w:sz="8" w:color="auto"/>
              <w:right w:val="single" w:sz="8" w:color="auto"/>
            </w:tcBorders>
          </w:tcPr>
          <w:p>
            <w:pPr>
              <w:spacing w:after="0"/>
              <w:rPr>
                <w:sz w:val="15"/>
                <w:szCs w:val="15"/>
                <w:color w:val="auto"/>
              </w:rPr>
            </w:pPr>
          </w:p>
        </w:tc>
        <w:tc>
          <w:tcPr>
            <w:tcW w:w="840" w:type="dxa"/>
            <w:vAlign w:val="bottom"/>
            <w:tcBorders>
              <w:top w:val="single" w:sz="8" w:color="auto"/>
              <w:right w:val="single" w:sz="8" w:color="auto"/>
            </w:tcBorders>
          </w:tcPr>
          <w:p>
            <w:pPr>
              <w:spacing w:after="0"/>
              <w:rPr>
                <w:sz w:val="15"/>
                <w:szCs w:val="15"/>
                <w:color w:val="auto"/>
              </w:rPr>
            </w:pPr>
          </w:p>
        </w:tc>
        <w:tc>
          <w:tcPr>
            <w:tcW w:w="900" w:type="dxa"/>
            <w:vAlign w:val="bottom"/>
            <w:tcBorders>
              <w:top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1000" w:type="dxa"/>
            <w:vAlign w:val="bottom"/>
            <w:tcBorders>
              <w:left w:val="single" w:sz="8" w:color="auto"/>
              <w:right w:val="single" w:sz="8" w:color="auto"/>
            </w:tcBorders>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5"/>
              </w:rPr>
              <w:t>of Pattern of</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4"/>
              </w:rPr>
              <w:t>of Potential to</w:t>
            </w:r>
          </w:p>
        </w:tc>
        <w:tc>
          <w:tcPr>
            <w:tcW w:w="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0"/>
                <w:szCs w:val="10"/>
                <w:color w:val="auto"/>
                <w:w w:val="94"/>
              </w:rPr>
              <w:t>Total Number of</w:t>
            </w:r>
          </w:p>
        </w:tc>
        <w:tc>
          <w:tcPr>
            <w:tcW w:w="84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6"/>
        </w:trPr>
        <w:tc>
          <w:tcPr>
            <w:tcW w:w="10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0"/>
                <w:szCs w:val="10"/>
                <w:color w:val="auto"/>
                <w:w w:val="97"/>
              </w:rPr>
              <w:t>Mine or Operating</w:t>
            </w:r>
          </w:p>
        </w:tc>
        <w:tc>
          <w:tcPr>
            <w:tcW w:w="940" w:type="dxa"/>
            <w:vAlign w:val="bottom"/>
            <w:tcBorders>
              <w:right w:val="single" w:sz="8" w:color="auto"/>
            </w:tcBorders>
          </w:tcPr>
          <w:p>
            <w:pPr>
              <w:spacing w:after="0"/>
              <w:rPr>
                <w:sz w:val="2"/>
                <w:szCs w:val="2"/>
                <w:color w:val="auto"/>
              </w:rPr>
            </w:pPr>
          </w:p>
        </w:tc>
        <w:tc>
          <w:tcPr>
            <w:tcW w:w="900" w:type="dxa"/>
            <w:vAlign w:val="bottom"/>
            <w:tcBorders>
              <w:right w:val="single" w:sz="8" w:color="auto"/>
            </w:tcBorders>
          </w:tcPr>
          <w:p>
            <w:pPr>
              <w:spacing w:after="0"/>
              <w:rPr>
                <w:sz w:val="2"/>
                <w:szCs w:val="2"/>
                <w:color w:val="auto"/>
              </w:rPr>
            </w:pPr>
          </w:p>
        </w:tc>
        <w:tc>
          <w:tcPr>
            <w:tcW w:w="740" w:type="dxa"/>
            <w:vAlign w:val="bottom"/>
            <w:tcBorders>
              <w:right w:val="single" w:sz="8" w:color="auto"/>
            </w:tcBorders>
          </w:tcPr>
          <w:p>
            <w:pPr>
              <w:spacing w:after="0"/>
              <w:rPr>
                <w:sz w:val="2"/>
                <w:szCs w:val="2"/>
                <w:color w:val="auto"/>
              </w:rPr>
            </w:pPr>
          </w:p>
        </w:tc>
        <w:tc>
          <w:tcPr>
            <w:tcW w:w="780" w:type="dxa"/>
            <w:vAlign w:val="bottom"/>
            <w:tcBorders>
              <w:right w:val="single" w:sz="8" w:color="auto"/>
            </w:tcBorders>
          </w:tcPr>
          <w:p>
            <w:pPr>
              <w:spacing w:after="0"/>
              <w:rPr>
                <w:sz w:val="2"/>
                <w:szCs w:val="2"/>
                <w:color w:val="auto"/>
              </w:rPr>
            </w:pPr>
          </w:p>
        </w:tc>
        <w:tc>
          <w:tcPr>
            <w:tcW w:w="720" w:type="dxa"/>
            <w:vAlign w:val="bottom"/>
            <w:tcBorders>
              <w:right w:val="single" w:sz="8" w:color="auto"/>
            </w:tcBorders>
          </w:tcPr>
          <w:p>
            <w:pPr>
              <w:spacing w:after="0"/>
              <w:rPr>
                <w:sz w:val="2"/>
                <w:szCs w:val="2"/>
                <w:color w:val="auto"/>
              </w:rPr>
            </w:pPr>
          </w:p>
        </w:tc>
        <w:tc>
          <w:tcPr>
            <w:tcW w:w="1020" w:type="dxa"/>
            <w:vAlign w:val="bottom"/>
            <w:tcBorders>
              <w:right w:val="single" w:sz="8" w:color="auto"/>
            </w:tcBorders>
          </w:tcPr>
          <w:p>
            <w:pPr>
              <w:spacing w:after="0"/>
              <w:rPr>
                <w:sz w:val="2"/>
                <w:szCs w:val="2"/>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0"/>
                <w:szCs w:val="10"/>
                <w:color w:val="auto"/>
                <w:w w:val="95"/>
              </w:rPr>
              <w:t>Total Number</w:t>
            </w:r>
          </w:p>
        </w:tc>
        <w:tc>
          <w:tcPr>
            <w:tcW w:w="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0"/>
                <w:szCs w:val="10"/>
                <w:color w:val="auto"/>
              </w:rPr>
              <w:t>Violations</w:t>
            </w: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0"/>
                <w:szCs w:val="10"/>
                <w:color w:val="auto"/>
                <w:w w:val="94"/>
              </w:rPr>
              <w:t>Have Pattern of</w:t>
            </w:r>
          </w:p>
        </w:tc>
        <w:tc>
          <w:tcPr>
            <w:tcW w:w="840" w:type="dxa"/>
            <w:vAlign w:val="bottom"/>
            <w:tcBorders>
              <w:right w:val="single" w:sz="8" w:color="auto"/>
            </w:tcBorders>
            <w:vMerge w:val="continue"/>
          </w:tcPr>
          <w:p>
            <w:pPr>
              <w:spacing w:after="0"/>
              <w:rPr>
                <w:sz w:val="2"/>
                <w:szCs w:val="2"/>
                <w:color w:val="auto"/>
              </w:rPr>
            </w:pPr>
          </w:p>
        </w:tc>
        <w:tc>
          <w:tcPr>
            <w:tcW w:w="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0"/>
                <w:szCs w:val="10"/>
                <w:color w:val="auto"/>
                <w:w w:val="94"/>
              </w:rPr>
              <w:t>Total Number of</w:t>
            </w: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0"/>
                <w:szCs w:val="10"/>
                <w:color w:val="auto"/>
                <w:w w:val="97"/>
              </w:rPr>
              <w:t>Total Number of</w:t>
            </w:r>
          </w:p>
        </w:tc>
        <w:tc>
          <w:tcPr>
            <w:tcW w:w="0" w:type="dxa"/>
            <w:vAlign w:val="bottom"/>
          </w:tcPr>
          <w:p>
            <w:pPr>
              <w:spacing w:after="0" w:line="20" w:lineRule="exact"/>
              <w:rPr>
                <w:sz w:val="1"/>
                <w:szCs w:val="1"/>
                <w:color w:val="auto"/>
              </w:rPr>
            </w:pPr>
          </w:p>
        </w:tc>
      </w:tr>
      <w:tr>
        <w:trPr>
          <w:trHeight w:val="101"/>
        </w:trPr>
        <w:tc>
          <w:tcPr>
            <w:tcW w:w="1000" w:type="dxa"/>
            <w:vAlign w:val="bottom"/>
            <w:tcBorders>
              <w:left w:val="single" w:sz="8" w:color="auto"/>
              <w:right w:val="single" w:sz="8" w:color="auto"/>
            </w:tcBorders>
            <w:vMerge w:val="continue"/>
          </w:tcPr>
          <w:p>
            <w:pPr>
              <w:spacing w:after="0"/>
              <w:rPr>
                <w:sz w:val="8"/>
                <w:szCs w:val="8"/>
                <w:color w:val="auto"/>
              </w:rPr>
            </w:pPr>
          </w:p>
        </w:tc>
        <w:tc>
          <w:tcPr>
            <w:tcW w:w="940" w:type="dxa"/>
            <w:vAlign w:val="bottom"/>
            <w:tcBorders>
              <w:right w:val="single" w:sz="8" w:color="auto"/>
            </w:tcBorders>
          </w:tcPr>
          <w:p>
            <w:pPr>
              <w:spacing w:after="0"/>
              <w:rPr>
                <w:sz w:val="8"/>
                <w:szCs w:val="8"/>
                <w:color w:val="auto"/>
              </w:rPr>
            </w:pPr>
          </w:p>
        </w:tc>
        <w:tc>
          <w:tcPr>
            <w:tcW w:w="900" w:type="dxa"/>
            <w:vAlign w:val="bottom"/>
            <w:tcBorders>
              <w:right w:val="single" w:sz="8" w:color="auto"/>
            </w:tcBorders>
          </w:tcPr>
          <w:p>
            <w:pPr>
              <w:spacing w:after="0"/>
              <w:rPr>
                <w:sz w:val="8"/>
                <w:szCs w:val="8"/>
                <w:color w:val="auto"/>
              </w:rPr>
            </w:pPr>
          </w:p>
        </w:tc>
        <w:tc>
          <w:tcPr>
            <w:tcW w:w="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0"/>
                <w:szCs w:val="10"/>
                <w:color w:val="auto"/>
                <w:w w:val="95"/>
              </w:rPr>
              <w:t>Section 104(d)</w:t>
            </w: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0"/>
                <w:szCs w:val="10"/>
                <w:color w:val="auto"/>
                <w:w w:val="95"/>
              </w:rPr>
              <w:t>Section 110(b)</w:t>
            </w:r>
          </w:p>
        </w:tc>
        <w:tc>
          <w:tcPr>
            <w:tcW w:w="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0"/>
                <w:szCs w:val="10"/>
                <w:color w:val="auto"/>
                <w:w w:val="95"/>
              </w:rPr>
              <w:t>Section</w:t>
            </w:r>
          </w:p>
        </w:tc>
        <w:tc>
          <w:tcPr>
            <w:tcW w:w="1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0"/>
                <w:szCs w:val="10"/>
                <w:color w:val="auto"/>
                <w:w w:val="99"/>
              </w:rPr>
              <w:t>Total Dollar Value of</w:t>
            </w:r>
          </w:p>
        </w:tc>
        <w:tc>
          <w:tcPr>
            <w:tcW w:w="760" w:type="dxa"/>
            <w:vAlign w:val="bottom"/>
            <w:tcBorders>
              <w:right w:val="single" w:sz="8" w:color="auto"/>
            </w:tcBorders>
            <w:vMerge w:val="continue"/>
          </w:tcPr>
          <w:p>
            <w:pPr>
              <w:spacing w:after="0"/>
              <w:rPr>
                <w:sz w:val="8"/>
                <w:szCs w:val="8"/>
                <w:color w:val="auto"/>
              </w:rPr>
            </w:pPr>
          </w:p>
        </w:tc>
        <w:tc>
          <w:tcPr>
            <w:tcW w:w="840" w:type="dxa"/>
            <w:vAlign w:val="bottom"/>
            <w:tcBorders>
              <w:right w:val="single" w:sz="8" w:color="auto"/>
            </w:tcBorders>
            <w:vMerge w:val="continue"/>
          </w:tcPr>
          <w:p>
            <w:pPr>
              <w:spacing w:after="0"/>
              <w:rPr>
                <w:sz w:val="8"/>
                <w:szCs w:val="8"/>
                <w:color w:val="auto"/>
              </w:rPr>
            </w:pPr>
          </w:p>
        </w:tc>
        <w:tc>
          <w:tcPr>
            <w:tcW w:w="920" w:type="dxa"/>
            <w:vAlign w:val="bottom"/>
            <w:tcBorders>
              <w:right w:val="single" w:sz="8" w:color="auto"/>
            </w:tcBorders>
            <w:vMerge w:val="continue"/>
          </w:tcPr>
          <w:p>
            <w:pPr>
              <w:spacing w:after="0"/>
              <w:rPr>
                <w:sz w:val="8"/>
                <w:szCs w:val="8"/>
                <w:color w:val="auto"/>
              </w:rPr>
            </w:pPr>
          </w:p>
        </w:tc>
        <w:tc>
          <w:tcPr>
            <w:tcW w:w="840" w:type="dxa"/>
            <w:vAlign w:val="bottom"/>
            <w:tcBorders>
              <w:right w:val="single" w:sz="8" w:color="auto"/>
            </w:tcBorders>
          </w:tcPr>
          <w:p>
            <w:pPr>
              <w:jc w:val="center"/>
              <w:spacing w:after="0" w:line="102" w:lineRule="exact"/>
              <w:rPr>
                <w:sz w:val="20"/>
                <w:szCs w:val="20"/>
                <w:color w:val="auto"/>
              </w:rPr>
            </w:pPr>
            <w:r>
              <w:rPr>
                <w:rFonts w:ascii="Arial" w:cs="Arial" w:eastAsia="Arial" w:hAnsi="Arial"/>
                <w:sz w:val="10"/>
                <w:szCs w:val="10"/>
                <w:color w:val="auto"/>
                <w:w w:val="99"/>
              </w:rPr>
              <w:t>Legal Actions</w:t>
            </w:r>
          </w:p>
        </w:tc>
        <w:tc>
          <w:tcPr>
            <w:tcW w:w="840" w:type="dxa"/>
            <w:vAlign w:val="bottom"/>
            <w:tcBorders>
              <w:right w:val="single" w:sz="8" w:color="auto"/>
            </w:tcBorders>
            <w:vMerge w:val="continue"/>
          </w:tcPr>
          <w:p>
            <w:pPr>
              <w:spacing w:after="0"/>
              <w:rPr>
                <w:sz w:val="8"/>
                <w:szCs w:val="8"/>
                <w:color w:val="auto"/>
              </w:rPr>
            </w:pPr>
          </w:p>
        </w:tc>
        <w:tc>
          <w:tcPr>
            <w:tcW w:w="9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1000" w:type="dxa"/>
            <w:vAlign w:val="bottom"/>
            <w:tcBorders>
              <w:left w:val="single" w:sz="8" w:color="auto"/>
              <w:right w:val="single" w:sz="8" w:color="auto"/>
            </w:tcBorders>
          </w:tcPr>
          <w:p>
            <w:pPr>
              <w:jc w:val="center"/>
              <w:spacing w:after="0" w:line="105" w:lineRule="exact"/>
              <w:rPr>
                <w:sz w:val="20"/>
                <w:szCs w:val="20"/>
                <w:color w:val="auto"/>
              </w:rPr>
            </w:pPr>
            <w:r>
              <w:rPr>
                <w:rFonts w:ascii="Arial" w:cs="Arial" w:eastAsia="Arial" w:hAnsi="Arial"/>
                <w:sz w:val="10"/>
                <w:szCs w:val="10"/>
                <w:color w:val="auto"/>
                <w:w w:val="99"/>
              </w:rPr>
              <w:t>Name/MSHA</w:t>
            </w:r>
          </w:p>
        </w:tc>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0"/>
                <w:szCs w:val="10"/>
                <w:color w:val="auto"/>
                <w:w w:val="95"/>
              </w:rPr>
              <w:t>Section 104 S&amp;S</w:t>
            </w: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0"/>
                <w:szCs w:val="10"/>
                <w:color w:val="auto"/>
                <w:w w:val="95"/>
              </w:rPr>
              <w:t>Section 104(b)</w:t>
            </w:r>
          </w:p>
        </w:tc>
        <w:tc>
          <w:tcPr>
            <w:tcW w:w="740" w:type="dxa"/>
            <w:vAlign w:val="bottom"/>
            <w:tcBorders>
              <w:right w:val="single" w:sz="8" w:color="auto"/>
            </w:tcBorders>
            <w:vMerge w:val="continue"/>
          </w:tcPr>
          <w:p>
            <w:pPr>
              <w:spacing w:after="0"/>
              <w:rPr>
                <w:sz w:val="9"/>
                <w:szCs w:val="9"/>
                <w:color w:val="auto"/>
              </w:rPr>
            </w:pPr>
          </w:p>
        </w:tc>
        <w:tc>
          <w:tcPr>
            <w:tcW w:w="780" w:type="dxa"/>
            <w:vAlign w:val="bottom"/>
            <w:tcBorders>
              <w:right w:val="single" w:sz="8" w:color="auto"/>
            </w:tcBorders>
            <w:vMerge w:val="continue"/>
          </w:tcPr>
          <w:p>
            <w:pPr>
              <w:spacing w:after="0"/>
              <w:rPr>
                <w:sz w:val="9"/>
                <w:szCs w:val="9"/>
                <w:color w:val="auto"/>
              </w:rPr>
            </w:pPr>
          </w:p>
        </w:tc>
        <w:tc>
          <w:tcPr>
            <w:tcW w:w="720" w:type="dxa"/>
            <w:vAlign w:val="bottom"/>
            <w:tcBorders>
              <w:right w:val="single" w:sz="8" w:color="auto"/>
            </w:tcBorders>
            <w:vMerge w:val="continue"/>
          </w:tcPr>
          <w:p>
            <w:pPr>
              <w:spacing w:after="0"/>
              <w:rPr>
                <w:sz w:val="9"/>
                <w:szCs w:val="9"/>
                <w:color w:val="auto"/>
              </w:rPr>
            </w:pPr>
          </w:p>
        </w:tc>
        <w:tc>
          <w:tcPr>
            <w:tcW w:w="1020" w:type="dxa"/>
            <w:vAlign w:val="bottom"/>
            <w:tcBorders>
              <w:right w:val="single" w:sz="8" w:color="auto"/>
            </w:tcBorders>
            <w:vMerge w:val="continue"/>
          </w:tcPr>
          <w:p>
            <w:pPr>
              <w:spacing w:after="0"/>
              <w:rPr>
                <w:sz w:val="9"/>
                <w:szCs w:val="9"/>
                <w:color w:val="auto"/>
              </w:rPr>
            </w:pPr>
          </w:p>
        </w:tc>
        <w:tc>
          <w:tcPr>
            <w:tcW w:w="760" w:type="dxa"/>
            <w:vAlign w:val="bottom"/>
            <w:tcBorders>
              <w:right w:val="single" w:sz="8" w:color="auto"/>
            </w:tcBorders>
          </w:tcPr>
          <w:p>
            <w:pPr>
              <w:jc w:val="center"/>
              <w:spacing w:after="0" w:line="105" w:lineRule="exact"/>
              <w:rPr>
                <w:sz w:val="20"/>
                <w:szCs w:val="20"/>
                <w:color w:val="auto"/>
              </w:rPr>
            </w:pPr>
            <w:r>
              <w:rPr>
                <w:rFonts w:ascii="Arial" w:cs="Arial" w:eastAsia="Arial" w:hAnsi="Arial"/>
                <w:sz w:val="10"/>
                <w:szCs w:val="10"/>
                <w:color w:val="auto"/>
              </w:rPr>
              <w:t>of Mining</w:t>
            </w:r>
          </w:p>
        </w:tc>
        <w:tc>
          <w:tcPr>
            <w:tcW w:w="840" w:type="dxa"/>
            <w:vAlign w:val="bottom"/>
            <w:tcBorders>
              <w:right w:val="single" w:sz="8" w:color="auto"/>
            </w:tcBorders>
          </w:tcPr>
          <w:p>
            <w:pPr>
              <w:jc w:val="center"/>
              <w:spacing w:after="0" w:line="105" w:lineRule="exact"/>
              <w:rPr>
                <w:sz w:val="20"/>
                <w:szCs w:val="20"/>
                <w:color w:val="auto"/>
              </w:rPr>
            </w:pPr>
            <w:r>
              <w:rPr>
                <w:rFonts w:ascii="Arial" w:cs="Arial" w:eastAsia="Arial" w:hAnsi="Arial"/>
                <w:sz w:val="10"/>
                <w:szCs w:val="10"/>
                <w:color w:val="auto"/>
                <w:w w:val="94"/>
              </w:rPr>
              <w:t>Under Section</w:t>
            </w:r>
          </w:p>
        </w:tc>
        <w:tc>
          <w:tcPr>
            <w:tcW w:w="920" w:type="dxa"/>
            <w:vAlign w:val="bottom"/>
            <w:tcBorders>
              <w:right w:val="single" w:sz="8" w:color="auto"/>
            </w:tcBorders>
          </w:tcPr>
          <w:p>
            <w:pPr>
              <w:jc w:val="center"/>
              <w:spacing w:after="0" w:line="105" w:lineRule="exact"/>
              <w:rPr>
                <w:sz w:val="20"/>
                <w:szCs w:val="20"/>
                <w:color w:val="auto"/>
              </w:rPr>
            </w:pPr>
            <w:r>
              <w:rPr>
                <w:rFonts w:ascii="Arial" w:cs="Arial" w:eastAsia="Arial" w:hAnsi="Arial"/>
                <w:sz w:val="10"/>
                <w:szCs w:val="10"/>
                <w:color w:val="auto"/>
                <w:w w:val="98"/>
              </w:rPr>
              <w:t>Violations Under</w:t>
            </w:r>
          </w:p>
        </w:tc>
        <w:tc>
          <w:tcPr>
            <w:tcW w:w="840" w:type="dxa"/>
            <w:vAlign w:val="bottom"/>
            <w:tcBorders>
              <w:right w:val="single" w:sz="8" w:color="auto"/>
            </w:tcBorders>
          </w:tcPr>
          <w:p>
            <w:pPr>
              <w:jc w:val="center"/>
              <w:spacing w:after="0" w:line="105" w:lineRule="exact"/>
              <w:rPr>
                <w:sz w:val="20"/>
                <w:szCs w:val="20"/>
                <w:color w:val="auto"/>
              </w:rPr>
            </w:pPr>
            <w:r>
              <w:rPr>
                <w:rFonts w:ascii="Arial" w:cs="Arial" w:eastAsia="Arial" w:hAnsi="Arial"/>
                <w:sz w:val="10"/>
                <w:szCs w:val="10"/>
                <w:color w:val="auto"/>
                <w:w w:val="91"/>
              </w:rPr>
              <w:t>Pending as of</w:t>
            </w:r>
          </w:p>
        </w:tc>
        <w:tc>
          <w:tcPr>
            <w:tcW w:w="840" w:type="dxa"/>
            <w:vAlign w:val="bottom"/>
            <w:tcBorders>
              <w:right w:val="single" w:sz="8" w:color="auto"/>
            </w:tcBorders>
          </w:tcPr>
          <w:p>
            <w:pPr>
              <w:jc w:val="center"/>
              <w:spacing w:after="0" w:line="105" w:lineRule="exact"/>
              <w:rPr>
                <w:sz w:val="20"/>
                <w:szCs w:val="20"/>
                <w:color w:val="auto"/>
              </w:rPr>
            </w:pPr>
            <w:r>
              <w:rPr>
                <w:rFonts w:ascii="Arial" w:cs="Arial" w:eastAsia="Arial" w:hAnsi="Arial"/>
                <w:sz w:val="10"/>
                <w:szCs w:val="10"/>
                <w:color w:val="auto"/>
                <w:w w:val="99"/>
              </w:rPr>
              <w:t>Legal Actions</w:t>
            </w:r>
          </w:p>
        </w:tc>
        <w:tc>
          <w:tcPr>
            <w:tcW w:w="900" w:type="dxa"/>
            <w:vAlign w:val="bottom"/>
            <w:tcBorders>
              <w:right w:val="single" w:sz="8" w:color="auto"/>
            </w:tcBorders>
          </w:tcPr>
          <w:p>
            <w:pPr>
              <w:jc w:val="center"/>
              <w:spacing w:after="0" w:line="105" w:lineRule="exact"/>
              <w:rPr>
                <w:sz w:val="20"/>
                <w:szCs w:val="20"/>
                <w:color w:val="auto"/>
              </w:rPr>
            </w:pPr>
            <w:r>
              <w:rPr>
                <w:rFonts w:ascii="Arial" w:cs="Arial" w:eastAsia="Arial" w:hAnsi="Arial"/>
                <w:sz w:val="10"/>
                <w:szCs w:val="10"/>
                <w:color w:val="auto"/>
                <w:w w:val="96"/>
              </w:rPr>
              <w:t>Legal Actions</w:t>
            </w:r>
          </w:p>
        </w:tc>
        <w:tc>
          <w:tcPr>
            <w:tcW w:w="0" w:type="dxa"/>
            <w:vAlign w:val="bottom"/>
          </w:tcPr>
          <w:p>
            <w:pPr>
              <w:spacing w:after="0"/>
              <w:rPr>
                <w:sz w:val="1"/>
                <w:szCs w:val="1"/>
                <w:color w:val="auto"/>
              </w:rPr>
            </w:pPr>
          </w:p>
        </w:tc>
      </w:tr>
      <w:tr>
        <w:trPr>
          <w:trHeight w:val="108"/>
        </w:trPr>
        <w:tc>
          <w:tcPr>
            <w:tcW w:w="1000" w:type="dxa"/>
            <w:vAlign w:val="bottom"/>
            <w:tcBorders>
              <w:left w:val="single" w:sz="8" w:color="auto"/>
              <w:right w:val="single" w:sz="8" w:color="auto"/>
            </w:tcBorders>
          </w:tcPr>
          <w:p>
            <w:pPr>
              <w:jc w:val="center"/>
              <w:spacing w:after="0" w:line="109" w:lineRule="exact"/>
              <w:rPr>
                <w:sz w:val="20"/>
                <w:szCs w:val="20"/>
                <w:color w:val="auto"/>
              </w:rPr>
            </w:pPr>
            <w:r>
              <w:rPr>
                <w:rFonts w:ascii="Arial" w:cs="Arial" w:eastAsia="Arial" w:hAnsi="Arial"/>
                <w:sz w:val="10"/>
                <w:szCs w:val="10"/>
                <w:color w:val="auto"/>
                <w:w w:val="99"/>
              </w:rPr>
              <w:t>Identification</w:t>
            </w:r>
          </w:p>
        </w:tc>
        <w:tc>
          <w:tcPr>
            <w:tcW w:w="940" w:type="dxa"/>
            <w:vAlign w:val="bottom"/>
            <w:tcBorders>
              <w:right w:val="single" w:sz="8" w:color="auto"/>
            </w:tcBorders>
            <w:vMerge w:val="continue"/>
          </w:tcPr>
          <w:p>
            <w:pPr>
              <w:spacing w:after="0"/>
              <w:rPr>
                <w:sz w:val="9"/>
                <w:szCs w:val="9"/>
                <w:color w:val="auto"/>
              </w:rPr>
            </w:pPr>
          </w:p>
        </w:tc>
        <w:tc>
          <w:tcPr>
            <w:tcW w:w="900" w:type="dxa"/>
            <w:vAlign w:val="bottom"/>
            <w:tcBorders>
              <w:right w:val="single" w:sz="8" w:color="auto"/>
            </w:tcBorders>
            <w:vMerge w:val="continue"/>
          </w:tcPr>
          <w:p>
            <w:pPr>
              <w:spacing w:after="0"/>
              <w:rPr>
                <w:sz w:val="9"/>
                <w:szCs w:val="9"/>
                <w:color w:val="auto"/>
              </w:rPr>
            </w:pPr>
          </w:p>
        </w:tc>
        <w:tc>
          <w:tcPr>
            <w:tcW w:w="740" w:type="dxa"/>
            <w:vAlign w:val="bottom"/>
            <w:tcBorders>
              <w:right w:val="single" w:sz="8" w:color="auto"/>
            </w:tcBorders>
          </w:tcPr>
          <w:p>
            <w:pPr>
              <w:jc w:val="center"/>
              <w:spacing w:after="0" w:line="109" w:lineRule="exact"/>
              <w:rPr>
                <w:sz w:val="20"/>
                <w:szCs w:val="20"/>
                <w:color w:val="auto"/>
              </w:rPr>
            </w:pPr>
            <w:r>
              <w:rPr>
                <w:rFonts w:ascii="Arial" w:cs="Arial" w:eastAsia="Arial" w:hAnsi="Arial"/>
                <w:sz w:val="10"/>
                <w:szCs w:val="10"/>
                <w:color w:val="auto"/>
                <w:w w:val="92"/>
              </w:rPr>
              <w:t>Citations and</w:t>
            </w:r>
          </w:p>
        </w:tc>
        <w:tc>
          <w:tcPr>
            <w:tcW w:w="780" w:type="dxa"/>
            <w:vAlign w:val="bottom"/>
            <w:tcBorders>
              <w:right w:val="single" w:sz="8" w:color="auto"/>
            </w:tcBorders>
          </w:tcPr>
          <w:p>
            <w:pPr>
              <w:jc w:val="right"/>
              <w:ind w:right="288"/>
              <w:spacing w:after="0" w:line="109" w:lineRule="exact"/>
              <w:rPr>
                <w:sz w:val="20"/>
                <w:szCs w:val="20"/>
                <w:color w:val="auto"/>
              </w:rPr>
            </w:pPr>
            <w:r>
              <w:rPr>
                <w:rFonts w:ascii="Arial" w:cs="Arial" w:eastAsia="Arial" w:hAnsi="Arial"/>
                <w:sz w:val="10"/>
                <w:szCs w:val="10"/>
                <w:color w:val="auto"/>
              </w:rPr>
              <w:t>(2)</w:t>
            </w:r>
          </w:p>
        </w:tc>
        <w:tc>
          <w:tcPr>
            <w:tcW w:w="720" w:type="dxa"/>
            <w:vAlign w:val="bottom"/>
            <w:tcBorders>
              <w:right w:val="single" w:sz="8" w:color="auto"/>
            </w:tcBorders>
          </w:tcPr>
          <w:p>
            <w:pPr>
              <w:jc w:val="center"/>
              <w:spacing w:after="0" w:line="109" w:lineRule="exact"/>
              <w:rPr>
                <w:sz w:val="20"/>
                <w:szCs w:val="20"/>
                <w:color w:val="auto"/>
              </w:rPr>
            </w:pPr>
            <w:r>
              <w:rPr>
                <w:rFonts w:ascii="Arial" w:cs="Arial" w:eastAsia="Arial" w:hAnsi="Arial"/>
                <w:sz w:val="10"/>
                <w:szCs w:val="10"/>
                <w:color w:val="auto"/>
                <w:w w:val="96"/>
              </w:rPr>
              <w:t>107(a)</w:t>
            </w:r>
          </w:p>
        </w:tc>
        <w:tc>
          <w:tcPr>
            <w:tcW w:w="1020" w:type="dxa"/>
            <w:vAlign w:val="bottom"/>
            <w:tcBorders>
              <w:right w:val="single" w:sz="8" w:color="auto"/>
            </w:tcBorders>
          </w:tcPr>
          <w:p>
            <w:pPr>
              <w:jc w:val="center"/>
              <w:spacing w:after="0" w:line="109" w:lineRule="exact"/>
              <w:rPr>
                <w:sz w:val="20"/>
                <w:szCs w:val="20"/>
                <w:color w:val="auto"/>
              </w:rPr>
            </w:pPr>
            <w:r>
              <w:rPr>
                <w:rFonts w:ascii="Arial" w:cs="Arial" w:eastAsia="Arial" w:hAnsi="Arial"/>
                <w:sz w:val="10"/>
                <w:szCs w:val="10"/>
                <w:color w:val="auto"/>
                <w:w w:val="94"/>
              </w:rPr>
              <w:t>MSHA Assessments</w:t>
            </w:r>
          </w:p>
        </w:tc>
        <w:tc>
          <w:tcPr>
            <w:tcW w:w="760" w:type="dxa"/>
            <w:vAlign w:val="bottom"/>
            <w:tcBorders>
              <w:right w:val="single" w:sz="8" w:color="auto"/>
            </w:tcBorders>
          </w:tcPr>
          <w:p>
            <w:pPr>
              <w:jc w:val="center"/>
              <w:spacing w:after="0" w:line="109" w:lineRule="exact"/>
              <w:rPr>
                <w:sz w:val="20"/>
                <w:szCs w:val="20"/>
                <w:color w:val="auto"/>
              </w:rPr>
            </w:pPr>
            <w:r>
              <w:rPr>
                <w:rFonts w:ascii="Arial" w:cs="Arial" w:eastAsia="Arial" w:hAnsi="Arial"/>
                <w:sz w:val="10"/>
                <w:szCs w:val="10"/>
                <w:color w:val="auto"/>
                <w:w w:val="92"/>
              </w:rPr>
              <w:t>Related</w:t>
            </w:r>
          </w:p>
        </w:tc>
        <w:tc>
          <w:tcPr>
            <w:tcW w:w="840" w:type="dxa"/>
            <w:vAlign w:val="bottom"/>
            <w:tcBorders>
              <w:right w:val="single" w:sz="8" w:color="auto"/>
            </w:tcBorders>
          </w:tcPr>
          <w:p>
            <w:pPr>
              <w:jc w:val="center"/>
              <w:spacing w:after="0" w:line="109" w:lineRule="exact"/>
              <w:rPr>
                <w:sz w:val="20"/>
                <w:szCs w:val="20"/>
                <w:color w:val="auto"/>
              </w:rPr>
            </w:pPr>
            <w:r>
              <w:rPr>
                <w:rFonts w:ascii="Arial" w:cs="Arial" w:eastAsia="Arial" w:hAnsi="Arial"/>
                <w:sz w:val="10"/>
                <w:szCs w:val="10"/>
                <w:color w:val="auto"/>
                <w:w w:val="92"/>
              </w:rPr>
              <w:t>104(e)</w:t>
            </w:r>
            <w:r>
              <w:rPr>
                <w:rFonts w:ascii="Arial" w:cs="Arial" w:eastAsia="Arial" w:hAnsi="Arial"/>
                <w:sz w:val="12"/>
                <w:szCs w:val="12"/>
                <w:color w:val="auto"/>
                <w:w w:val="92"/>
                <w:vertAlign w:val="superscript"/>
              </w:rPr>
              <w:t>(6)</w:t>
            </w:r>
          </w:p>
        </w:tc>
        <w:tc>
          <w:tcPr>
            <w:tcW w:w="920" w:type="dxa"/>
            <w:vAlign w:val="bottom"/>
            <w:tcBorders>
              <w:right w:val="single" w:sz="8" w:color="auto"/>
            </w:tcBorders>
          </w:tcPr>
          <w:p>
            <w:pPr>
              <w:jc w:val="center"/>
              <w:spacing w:after="0" w:line="109" w:lineRule="exact"/>
              <w:rPr>
                <w:sz w:val="20"/>
                <w:szCs w:val="20"/>
                <w:color w:val="auto"/>
              </w:rPr>
            </w:pPr>
            <w:r>
              <w:rPr>
                <w:rFonts w:ascii="Arial" w:cs="Arial" w:eastAsia="Arial" w:hAnsi="Arial"/>
                <w:sz w:val="10"/>
                <w:szCs w:val="10"/>
                <w:color w:val="auto"/>
                <w:w w:val="93"/>
              </w:rPr>
              <w:t>Section 104(e)</w:t>
            </w:r>
            <w:r>
              <w:rPr>
                <w:rFonts w:ascii="Arial" w:cs="Arial" w:eastAsia="Arial" w:hAnsi="Arial"/>
                <w:sz w:val="12"/>
                <w:szCs w:val="12"/>
                <w:color w:val="auto"/>
                <w:w w:val="93"/>
                <w:vertAlign w:val="superscript"/>
              </w:rPr>
              <w:t>(7)</w:t>
            </w:r>
          </w:p>
        </w:tc>
        <w:tc>
          <w:tcPr>
            <w:tcW w:w="840" w:type="dxa"/>
            <w:vAlign w:val="bottom"/>
            <w:tcBorders>
              <w:right w:val="single" w:sz="8" w:color="auto"/>
            </w:tcBorders>
          </w:tcPr>
          <w:p>
            <w:pPr>
              <w:jc w:val="center"/>
              <w:spacing w:after="0" w:line="109" w:lineRule="exact"/>
              <w:rPr>
                <w:sz w:val="20"/>
                <w:szCs w:val="20"/>
                <w:color w:val="auto"/>
              </w:rPr>
            </w:pPr>
            <w:r>
              <w:rPr>
                <w:rFonts w:ascii="Arial" w:cs="Arial" w:eastAsia="Arial" w:hAnsi="Arial"/>
                <w:sz w:val="10"/>
                <w:szCs w:val="10"/>
                <w:color w:val="auto"/>
                <w:w w:val="94"/>
              </w:rPr>
              <w:t>Last Day of</w:t>
            </w:r>
          </w:p>
        </w:tc>
        <w:tc>
          <w:tcPr>
            <w:tcW w:w="840" w:type="dxa"/>
            <w:vAlign w:val="bottom"/>
            <w:tcBorders>
              <w:right w:val="single" w:sz="8" w:color="auto"/>
            </w:tcBorders>
          </w:tcPr>
          <w:p>
            <w:pPr>
              <w:jc w:val="center"/>
              <w:spacing w:after="0" w:line="109" w:lineRule="exact"/>
              <w:rPr>
                <w:sz w:val="20"/>
                <w:szCs w:val="20"/>
                <w:color w:val="auto"/>
              </w:rPr>
            </w:pPr>
            <w:r>
              <w:rPr>
                <w:rFonts w:ascii="Arial" w:cs="Arial" w:eastAsia="Arial" w:hAnsi="Arial"/>
                <w:sz w:val="10"/>
                <w:szCs w:val="10"/>
                <w:color w:val="auto"/>
              </w:rPr>
              <w:t>Initiated During</w:t>
            </w:r>
          </w:p>
        </w:tc>
        <w:tc>
          <w:tcPr>
            <w:tcW w:w="900" w:type="dxa"/>
            <w:vAlign w:val="bottom"/>
            <w:tcBorders>
              <w:right w:val="single" w:sz="8" w:color="auto"/>
            </w:tcBorders>
          </w:tcPr>
          <w:p>
            <w:pPr>
              <w:jc w:val="center"/>
              <w:spacing w:after="0" w:line="109" w:lineRule="exact"/>
              <w:rPr>
                <w:sz w:val="20"/>
                <w:szCs w:val="20"/>
                <w:color w:val="auto"/>
              </w:rPr>
            </w:pPr>
            <w:r>
              <w:rPr>
                <w:rFonts w:ascii="Arial" w:cs="Arial" w:eastAsia="Arial" w:hAnsi="Arial"/>
                <w:sz w:val="10"/>
                <w:szCs w:val="10"/>
                <w:color w:val="auto"/>
                <w:w w:val="94"/>
              </w:rPr>
              <w:t>Resolved During</w:t>
            </w:r>
          </w:p>
        </w:tc>
        <w:tc>
          <w:tcPr>
            <w:tcW w:w="0" w:type="dxa"/>
            <w:vAlign w:val="bottom"/>
          </w:tcPr>
          <w:p>
            <w:pPr>
              <w:spacing w:after="0"/>
              <w:rPr>
                <w:sz w:val="1"/>
                <w:szCs w:val="1"/>
                <w:color w:val="auto"/>
              </w:rPr>
            </w:pPr>
          </w:p>
        </w:tc>
      </w:tr>
      <w:tr>
        <w:trPr>
          <w:trHeight w:val="190"/>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95"/>
              </w:rPr>
              <w:t>Number</w:t>
            </w: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88"/>
              </w:rPr>
              <w:t>Citations</w:t>
            </w:r>
            <w:r>
              <w:rPr>
                <w:rFonts w:ascii="Arial" w:cs="Arial" w:eastAsia="Arial" w:hAnsi="Arial"/>
                <w:sz w:val="13"/>
                <w:szCs w:val="13"/>
                <w:color w:val="auto"/>
                <w:w w:val="88"/>
                <w:vertAlign w:val="superscript"/>
              </w:rPr>
              <w:t>(1)</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92"/>
              </w:rPr>
              <w:t>Orders</w:t>
            </w:r>
            <w:r>
              <w:rPr>
                <w:rFonts w:ascii="Arial" w:cs="Arial" w:eastAsia="Arial" w:hAnsi="Arial"/>
                <w:sz w:val="13"/>
                <w:szCs w:val="13"/>
                <w:color w:val="auto"/>
                <w:w w:val="92"/>
                <w:vertAlign w:val="superscript"/>
              </w:rPr>
              <w:t>(2)</w:t>
            </w: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92"/>
              </w:rPr>
              <w:t>Orders</w:t>
            </w:r>
            <w:r>
              <w:rPr>
                <w:rFonts w:ascii="Arial" w:cs="Arial" w:eastAsia="Arial" w:hAnsi="Arial"/>
                <w:sz w:val="13"/>
                <w:szCs w:val="13"/>
                <w:color w:val="auto"/>
                <w:w w:val="92"/>
                <w:vertAlign w:val="superscript"/>
              </w:rPr>
              <w:t>(3)</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92"/>
              </w:rPr>
              <w:t>Violations</w:t>
            </w:r>
            <w:r>
              <w:rPr>
                <w:rFonts w:ascii="Arial" w:cs="Arial" w:eastAsia="Arial" w:hAnsi="Arial"/>
                <w:sz w:val="13"/>
                <w:szCs w:val="13"/>
                <w:color w:val="auto"/>
                <w:w w:val="92"/>
                <w:vertAlign w:val="superscript"/>
              </w:rPr>
              <w:t>(4)</w:t>
            </w:r>
          </w:p>
        </w:tc>
        <w:tc>
          <w:tcPr>
            <w:tcW w:w="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87"/>
              </w:rPr>
              <w:t>Orders</w:t>
            </w:r>
            <w:r>
              <w:rPr>
                <w:rFonts w:ascii="Arial" w:cs="Arial" w:eastAsia="Arial" w:hAnsi="Arial"/>
                <w:sz w:val="13"/>
                <w:szCs w:val="13"/>
                <w:color w:val="auto"/>
                <w:w w:val="87"/>
                <w:vertAlign w:val="superscript"/>
              </w:rPr>
              <w:t>(5)</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93"/>
              </w:rPr>
              <w:t>Proposed ($)</w:t>
            </w:r>
          </w:p>
        </w:tc>
        <w:tc>
          <w:tcPr>
            <w:tcW w:w="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94"/>
              </w:rPr>
              <w:t>Fatalities</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93"/>
              </w:rPr>
              <w:t>(yes/no)</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93"/>
              </w:rPr>
              <w:t>(yes/no)</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96"/>
              </w:rPr>
              <w:t>Period</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96"/>
              </w:rPr>
              <w:t>Period</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89"/>
              </w:rPr>
              <w:t>Period</w:t>
            </w:r>
          </w:p>
        </w:tc>
        <w:tc>
          <w:tcPr>
            <w:tcW w:w="0" w:type="dxa"/>
            <w:vAlign w:val="bottom"/>
          </w:tcPr>
          <w:p>
            <w:pPr>
              <w:spacing w:after="0"/>
              <w:rPr>
                <w:sz w:val="1"/>
                <w:szCs w:val="1"/>
                <w:color w:val="auto"/>
              </w:rPr>
            </w:pPr>
          </w:p>
        </w:tc>
      </w:tr>
      <w:tr>
        <w:trPr>
          <w:trHeight w:val="105"/>
        </w:trPr>
        <w:tc>
          <w:tcPr>
            <w:tcW w:w="1000" w:type="dxa"/>
            <w:vAlign w:val="bottom"/>
            <w:tcBorders>
              <w:left w:val="single" w:sz="8" w:color="auto"/>
              <w:right w:val="single" w:sz="8" w:color="auto"/>
            </w:tcBorders>
          </w:tcPr>
          <w:p>
            <w:pPr>
              <w:jc w:val="center"/>
              <w:spacing w:after="0" w:line="105" w:lineRule="exact"/>
              <w:rPr>
                <w:sz w:val="20"/>
                <w:szCs w:val="20"/>
                <w:color w:val="auto"/>
              </w:rPr>
            </w:pPr>
            <w:r>
              <w:rPr>
                <w:rFonts w:ascii="Arial" w:cs="Arial" w:eastAsia="Arial" w:hAnsi="Arial"/>
                <w:sz w:val="10"/>
                <w:szCs w:val="10"/>
                <w:color w:val="auto"/>
                <w:w w:val="96"/>
              </w:rPr>
              <w:t>Castle Mountain</w:t>
            </w:r>
          </w:p>
        </w:tc>
        <w:tc>
          <w:tcPr>
            <w:tcW w:w="940" w:type="dxa"/>
            <w:vAlign w:val="bottom"/>
            <w:tcBorders>
              <w:right w:val="single" w:sz="8" w:color="auto"/>
            </w:tcBorders>
          </w:tcPr>
          <w:p>
            <w:pPr>
              <w:spacing w:after="0"/>
              <w:rPr>
                <w:sz w:val="9"/>
                <w:szCs w:val="9"/>
                <w:color w:val="auto"/>
              </w:rPr>
            </w:pPr>
          </w:p>
        </w:tc>
        <w:tc>
          <w:tcPr>
            <w:tcW w:w="900" w:type="dxa"/>
            <w:vAlign w:val="bottom"/>
            <w:tcBorders>
              <w:right w:val="single" w:sz="8" w:color="auto"/>
            </w:tcBorders>
          </w:tcPr>
          <w:p>
            <w:pPr>
              <w:spacing w:after="0"/>
              <w:rPr>
                <w:sz w:val="9"/>
                <w:szCs w:val="9"/>
                <w:color w:val="auto"/>
              </w:rPr>
            </w:pPr>
          </w:p>
        </w:tc>
        <w:tc>
          <w:tcPr>
            <w:tcW w:w="740" w:type="dxa"/>
            <w:vAlign w:val="bottom"/>
            <w:tcBorders>
              <w:right w:val="single" w:sz="8" w:color="auto"/>
            </w:tcBorders>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720" w:type="dxa"/>
            <w:vAlign w:val="bottom"/>
            <w:tcBorders>
              <w:right w:val="single" w:sz="8" w:color="auto"/>
            </w:tcBorders>
          </w:tcPr>
          <w:p>
            <w:pPr>
              <w:spacing w:after="0"/>
              <w:rPr>
                <w:sz w:val="9"/>
                <w:szCs w:val="9"/>
                <w:color w:val="auto"/>
              </w:rPr>
            </w:pPr>
          </w:p>
        </w:tc>
        <w:tc>
          <w:tcPr>
            <w:tcW w:w="1020" w:type="dxa"/>
            <w:vAlign w:val="bottom"/>
            <w:tcBorders>
              <w:right w:val="single" w:sz="8" w:color="auto"/>
            </w:tcBorders>
          </w:tcPr>
          <w:p>
            <w:pPr>
              <w:spacing w:after="0"/>
              <w:rPr>
                <w:sz w:val="9"/>
                <w:szCs w:val="9"/>
                <w:color w:val="auto"/>
              </w:rPr>
            </w:pPr>
          </w:p>
        </w:tc>
        <w:tc>
          <w:tcPr>
            <w:tcW w:w="760" w:type="dxa"/>
            <w:vAlign w:val="bottom"/>
            <w:tcBorders>
              <w:right w:val="single" w:sz="8" w:color="auto"/>
            </w:tcBorders>
          </w:tcPr>
          <w:p>
            <w:pPr>
              <w:spacing w:after="0"/>
              <w:rPr>
                <w:sz w:val="9"/>
                <w:szCs w:val="9"/>
                <w:color w:val="auto"/>
              </w:rPr>
            </w:pPr>
          </w:p>
        </w:tc>
        <w:tc>
          <w:tcPr>
            <w:tcW w:w="840" w:type="dxa"/>
            <w:vAlign w:val="bottom"/>
            <w:tcBorders>
              <w:right w:val="single" w:sz="8" w:color="auto"/>
            </w:tcBorders>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840" w:type="dxa"/>
            <w:vAlign w:val="bottom"/>
            <w:tcBorders>
              <w:right w:val="single" w:sz="8" w:color="auto"/>
            </w:tcBorders>
          </w:tcPr>
          <w:p>
            <w:pPr>
              <w:spacing w:after="0"/>
              <w:rPr>
                <w:sz w:val="9"/>
                <w:szCs w:val="9"/>
                <w:color w:val="auto"/>
              </w:rPr>
            </w:pPr>
          </w:p>
        </w:tc>
        <w:tc>
          <w:tcPr>
            <w:tcW w:w="840" w:type="dxa"/>
            <w:vAlign w:val="bottom"/>
            <w:tcBorders>
              <w:right w:val="single" w:sz="8" w:color="auto"/>
            </w:tcBorders>
          </w:tcPr>
          <w:p>
            <w:pPr>
              <w:spacing w:after="0"/>
              <w:rPr>
                <w:sz w:val="9"/>
                <w:szCs w:val="9"/>
                <w:color w:val="auto"/>
              </w:rPr>
            </w:pPr>
          </w:p>
        </w:tc>
        <w:tc>
          <w:tcPr>
            <w:tcW w:w="9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000" w:type="dxa"/>
            <w:vAlign w:val="bottom"/>
            <w:tcBorders>
              <w:left w:val="single" w:sz="8" w:color="auto"/>
              <w:right w:val="single" w:sz="8" w:color="auto"/>
            </w:tcBorders>
          </w:tcPr>
          <w:p>
            <w:pPr>
              <w:jc w:val="center"/>
              <w:spacing w:after="0" w:line="113" w:lineRule="exact"/>
              <w:rPr>
                <w:sz w:val="20"/>
                <w:szCs w:val="20"/>
                <w:color w:val="auto"/>
              </w:rPr>
            </w:pPr>
            <w:r>
              <w:rPr>
                <w:rFonts w:ascii="Arial" w:cs="Arial" w:eastAsia="Arial" w:hAnsi="Arial"/>
                <w:sz w:val="10"/>
                <w:szCs w:val="10"/>
                <w:color w:val="auto"/>
                <w:w w:val="98"/>
              </w:rPr>
              <w:t>Gold Mine, Equinox</w:t>
            </w:r>
          </w:p>
        </w:tc>
        <w:tc>
          <w:tcPr>
            <w:tcW w:w="940" w:type="dxa"/>
            <w:vAlign w:val="bottom"/>
            <w:tcBorders>
              <w:right w:val="single" w:sz="8" w:color="auto"/>
            </w:tcBorders>
          </w:tcPr>
          <w:p>
            <w:pPr>
              <w:jc w:val="center"/>
              <w:spacing w:after="0" w:line="113" w:lineRule="exact"/>
              <w:rPr>
                <w:sz w:val="20"/>
                <w:szCs w:val="20"/>
                <w:color w:val="auto"/>
              </w:rPr>
            </w:pPr>
            <w:r>
              <w:rPr>
                <w:rFonts w:ascii="Arial" w:cs="Arial" w:eastAsia="Arial" w:hAnsi="Arial"/>
                <w:sz w:val="10"/>
                <w:szCs w:val="10"/>
                <w:color w:val="auto"/>
              </w:rPr>
              <w:t>—</w:t>
            </w:r>
          </w:p>
        </w:tc>
        <w:tc>
          <w:tcPr>
            <w:tcW w:w="900" w:type="dxa"/>
            <w:vAlign w:val="bottom"/>
            <w:tcBorders>
              <w:right w:val="single" w:sz="8" w:color="auto"/>
            </w:tcBorders>
          </w:tcPr>
          <w:p>
            <w:pPr>
              <w:jc w:val="center"/>
              <w:spacing w:after="0" w:line="113" w:lineRule="exact"/>
              <w:rPr>
                <w:sz w:val="20"/>
                <w:szCs w:val="20"/>
                <w:color w:val="auto"/>
              </w:rPr>
            </w:pPr>
            <w:r>
              <w:rPr>
                <w:rFonts w:ascii="Arial" w:cs="Arial" w:eastAsia="Arial" w:hAnsi="Arial"/>
                <w:sz w:val="10"/>
                <w:szCs w:val="10"/>
                <w:color w:val="auto"/>
                <w:w w:val="99"/>
              </w:rPr>
              <w:t>—</w:t>
            </w:r>
          </w:p>
        </w:tc>
        <w:tc>
          <w:tcPr>
            <w:tcW w:w="740" w:type="dxa"/>
            <w:vAlign w:val="bottom"/>
            <w:tcBorders>
              <w:right w:val="single" w:sz="8" w:color="auto"/>
            </w:tcBorders>
          </w:tcPr>
          <w:p>
            <w:pPr>
              <w:jc w:val="center"/>
              <w:spacing w:after="0" w:line="113" w:lineRule="exact"/>
              <w:rPr>
                <w:sz w:val="20"/>
                <w:szCs w:val="20"/>
                <w:color w:val="auto"/>
              </w:rPr>
            </w:pPr>
            <w:r>
              <w:rPr>
                <w:rFonts w:ascii="Arial" w:cs="Arial" w:eastAsia="Arial" w:hAnsi="Arial"/>
                <w:sz w:val="10"/>
                <w:szCs w:val="10"/>
                <w:color w:val="auto"/>
                <w:w w:val="99"/>
              </w:rPr>
              <w:t>—</w:t>
            </w:r>
          </w:p>
        </w:tc>
        <w:tc>
          <w:tcPr>
            <w:tcW w:w="780" w:type="dxa"/>
            <w:vAlign w:val="bottom"/>
            <w:tcBorders>
              <w:right w:val="single" w:sz="8" w:color="auto"/>
            </w:tcBorders>
          </w:tcPr>
          <w:p>
            <w:pPr>
              <w:jc w:val="center"/>
              <w:spacing w:after="0" w:line="113" w:lineRule="exact"/>
              <w:rPr>
                <w:sz w:val="20"/>
                <w:szCs w:val="20"/>
                <w:color w:val="auto"/>
              </w:rPr>
            </w:pPr>
            <w:r>
              <w:rPr>
                <w:rFonts w:ascii="Arial" w:cs="Arial" w:eastAsia="Arial" w:hAnsi="Arial"/>
                <w:sz w:val="10"/>
                <w:szCs w:val="10"/>
                <w:color w:val="auto"/>
                <w:w w:val="99"/>
              </w:rPr>
              <w:t>—</w:t>
            </w:r>
          </w:p>
        </w:tc>
        <w:tc>
          <w:tcPr>
            <w:tcW w:w="720" w:type="dxa"/>
            <w:vAlign w:val="bottom"/>
            <w:tcBorders>
              <w:right w:val="single" w:sz="8" w:color="auto"/>
            </w:tcBorders>
          </w:tcPr>
          <w:p>
            <w:pPr>
              <w:jc w:val="center"/>
              <w:spacing w:after="0" w:line="113" w:lineRule="exact"/>
              <w:rPr>
                <w:sz w:val="20"/>
                <w:szCs w:val="20"/>
                <w:color w:val="auto"/>
              </w:rPr>
            </w:pPr>
            <w:r>
              <w:rPr>
                <w:rFonts w:ascii="Arial" w:cs="Arial" w:eastAsia="Arial" w:hAnsi="Arial"/>
                <w:sz w:val="10"/>
                <w:szCs w:val="10"/>
                <w:color w:val="auto"/>
              </w:rPr>
              <w:t>—</w:t>
            </w:r>
          </w:p>
        </w:tc>
        <w:tc>
          <w:tcPr>
            <w:tcW w:w="1020" w:type="dxa"/>
            <w:vAlign w:val="bottom"/>
            <w:tcBorders>
              <w:right w:val="single" w:sz="8" w:color="auto"/>
            </w:tcBorders>
          </w:tcPr>
          <w:p>
            <w:pPr>
              <w:jc w:val="center"/>
              <w:spacing w:after="0" w:line="113" w:lineRule="exact"/>
              <w:rPr>
                <w:sz w:val="20"/>
                <w:szCs w:val="20"/>
                <w:color w:val="auto"/>
              </w:rPr>
            </w:pPr>
            <w:r>
              <w:rPr>
                <w:rFonts w:ascii="Arial" w:cs="Arial" w:eastAsia="Arial" w:hAnsi="Arial"/>
                <w:sz w:val="10"/>
                <w:szCs w:val="10"/>
                <w:color w:val="auto"/>
                <w:w w:val="99"/>
              </w:rPr>
              <w:t>—</w:t>
            </w:r>
          </w:p>
        </w:tc>
        <w:tc>
          <w:tcPr>
            <w:tcW w:w="760" w:type="dxa"/>
            <w:vAlign w:val="bottom"/>
            <w:tcBorders>
              <w:right w:val="single" w:sz="8" w:color="auto"/>
            </w:tcBorders>
          </w:tcPr>
          <w:p>
            <w:pPr>
              <w:jc w:val="center"/>
              <w:spacing w:after="0" w:line="113" w:lineRule="exact"/>
              <w:rPr>
                <w:sz w:val="20"/>
                <w:szCs w:val="20"/>
                <w:color w:val="auto"/>
              </w:rPr>
            </w:pPr>
            <w:r>
              <w:rPr>
                <w:rFonts w:ascii="Arial" w:cs="Arial" w:eastAsia="Arial" w:hAnsi="Arial"/>
                <w:sz w:val="10"/>
                <w:szCs w:val="10"/>
                <w:color w:val="auto"/>
                <w:w w:val="99"/>
              </w:rPr>
              <w:t>—</w:t>
            </w:r>
          </w:p>
        </w:tc>
        <w:tc>
          <w:tcPr>
            <w:tcW w:w="840" w:type="dxa"/>
            <w:vAlign w:val="bottom"/>
            <w:tcBorders>
              <w:right w:val="single" w:sz="8" w:color="auto"/>
            </w:tcBorders>
          </w:tcPr>
          <w:p>
            <w:pPr>
              <w:jc w:val="center"/>
              <w:spacing w:after="0" w:line="113" w:lineRule="exact"/>
              <w:rPr>
                <w:sz w:val="20"/>
                <w:szCs w:val="20"/>
                <w:color w:val="auto"/>
              </w:rPr>
            </w:pPr>
            <w:r>
              <w:rPr>
                <w:rFonts w:ascii="Arial" w:cs="Arial" w:eastAsia="Arial" w:hAnsi="Arial"/>
                <w:sz w:val="10"/>
                <w:szCs w:val="10"/>
                <w:color w:val="auto"/>
                <w:w w:val="93"/>
              </w:rPr>
              <w:t>No</w:t>
            </w:r>
          </w:p>
        </w:tc>
        <w:tc>
          <w:tcPr>
            <w:tcW w:w="920" w:type="dxa"/>
            <w:vAlign w:val="bottom"/>
            <w:tcBorders>
              <w:right w:val="single" w:sz="8" w:color="auto"/>
            </w:tcBorders>
          </w:tcPr>
          <w:p>
            <w:pPr>
              <w:jc w:val="center"/>
              <w:spacing w:after="0" w:line="113" w:lineRule="exact"/>
              <w:rPr>
                <w:sz w:val="20"/>
                <w:szCs w:val="20"/>
                <w:color w:val="auto"/>
              </w:rPr>
            </w:pPr>
            <w:r>
              <w:rPr>
                <w:rFonts w:ascii="Arial" w:cs="Arial" w:eastAsia="Arial" w:hAnsi="Arial"/>
                <w:sz w:val="10"/>
                <w:szCs w:val="10"/>
                <w:color w:val="auto"/>
              </w:rPr>
              <w:t>No</w:t>
            </w:r>
          </w:p>
        </w:tc>
        <w:tc>
          <w:tcPr>
            <w:tcW w:w="840" w:type="dxa"/>
            <w:vAlign w:val="bottom"/>
            <w:tcBorders>
              <w:right w:val="single" w:sz="8" w:color="auto"/>
            </w:tcBorders>
          </w:tcPr>
          <w:p>
            <w:pPr>
              <w:jc w:val="center"/>
              <w:spacing w:after="0" w:line="113" w:lineRule="exact"/>
              <w:rPr>
                <w:sz w:val="20"/>
                <w:szCs w:val="20"/>
                <w:color w:val="auto"/>
              </w:rPr>
            </w:pPr>
            <w:r>
              <w:rPr>
                <w:rFonts w:ascii="Arial" w:cs="Arial" w:eastAsia="Arial" w:hAnsi="Arial"/>
                <w:sz w:val="10"/>
                <w:szCs w:val="10"/>
                <w:color w:val="auto"/>
              </w:rPr>
              <w:t>—</w:t>
            </w:r>
          </w:p>
        </w:tc>
        <w:tc>
          <w:tcPr>
            <w:tcW w:w="840" w:type="dxa"/>
            <w:vAlign w:val="bottom"/>
            <w:tcBorders>
              <w:right w:val="single" w:sz="8" w:color="auto"/>
            </w:tcBorders>
          </w:tcPr>
          <w:p>
            <w:pPr>
              <w:jc w:val="center"/>
              <w:spacing w:after="0" w:line="113" w:lineRule="exact"/>
              <w:rPr>
                <w:sz w:val="20"/>
                <w:szCs w:val="20"/>
                <w:color w:val="auto"/>
              </w:rPr>
            </w:pPr>
            <w:r>
              <w:rPr>
                <w:rFonts w:ascii="Arial" w:cs="Arial" w:eastAsia="Arial" w:hAnsi="Arial"/>
                <w:sz w:val="10"/>
                <w:szCs w:val="10"/>
                <w:color w:val="auto"/>
              </w:rPr>
              <w:t>—</w:t>
            </w:r>
          </w:p>
        </w:tc>
        <w:tc>
          <w:tcPr>
            <w:tcW w:w="900" w:type="dxa"/>
            <w:vAlign w:val="bottom"/>
            <w:tcBorders>
              <w:right w:val="single" w:sz="8" w:color="auto"/>
            </w:tcBorders>
          </w:tcPr>
          <w:p>
            <w:pPr>
              <w:jc w:val="center"/>
              <w:spacing w:after="0" w:line="113" w:lineRule="exact"/>
              <w:rPr>
                <w:sz w:val="20"/>
                <w:szCs w:val="20"/>
                <w:color w:val="auto"/>
              </w:rPr>
            </w:pPr>
            <w:r>
              <w:rPr>
                <w:rFonts w:ascii="Arial" w:cs="Arial" w:eastAsia="Arial" w:hAnsi="Arial"/>
                <w:sz w:val="10"/>
                <w:szCs w:val="10"/>
                <w:color w:val="auto"/>
                <w:w w:val="99"/>
              </w:rPr>
              <w:t>—</w:t>
            </w:r>
          </w:p>
        </w:tc>
        <w:tc>
          <w:tcPr>
            <w:tcW w:w="0" w:type="dxa"/>
            <w:vAlign w:val="bottom"/>
          </w:tcPr>
          <w:p>
            <w:pPr>
              <w:spacing w:after="0"/>
              <w:rPr>
                <w:sz w:val="1"/>
                <w:szCs w:val="1"/>
                <w:color w:val="auto"/>
              </w:rPr>
            </w:pPr>
          </w:p>
        </w:tc>
      </w:tr>
      <w:tr>
        <w:trPr>
          <w:trHeight w:val="131"/>
        </w:trPr>
        <w:tc>
          <w:tcPr>
            <w:tcW w:w="10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96"/>
              </w:rPr>
              <w:t>Gold 04-04918</w:t>
            </w:r>
          </w:p>
        </w:tc>
        <w:tc>
          <w:tcPr>
            <w:tcW w:w="94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1000" w:type="dxa"/>
            <w:vAlign w:val="bottom"/>
            <w:tcBorders>
              <w:left w:val="single" w:sz="8" w:color="auto"/>
              <w:bottom w:val="single" w:sz="8" w:color="auto"/>
              <w:right w:val="single" w:sz="8" w:color="auto"/>
            </w:tcBorders>
          </w:tcPr>
          <w:p>
            <w:pPr>
              <w:spacing w:after="0"/>
              <w:rPr>
                <w:sz w:val="4"/>
                <w:szCs w:val="4"/>
                <w:color w:val="auto"/>
              </w:rPr>
            </w:pPr>
          </w:p>
        </w:tc>
        <w:tc>
          <w:tcPr>
            <w:tcW w:w="94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74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84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840" w:type="dxa"/>
            <w:vAlign w:val="bottom"/>
            <w:tcBorders>
              <w:bottom w:val="single" w:sz="8" w:color="auto"/>
              <w:right w:val="single" w:sz="8" w:color="auto"/>
            </w:tcBorders>
          </w:tcPr>
          <w:p>
            <w:pPr>
              <w:spacing w:after="0"/>
              <w:rPr>
                <w:sz w:val="4"/>
                <w:szCs w:val="4"/>
                <w:color w:val="auto"/>
              </w:rPr>
            </w:pPr>
          </w:p>
        </w:tc>
        <w:tc>
          <w:tcPr>
            <w:tcW w:w="84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1" w:lineRule="exact"/>
        <w:rPr>
          <w:sz w:val="20"/>
          <w:szCs w:val="20"/>
          <w:color w:val="auto"/>
        </w:rPr>
      </w:pPr>
    </w:p>
    <w:p>
      <w:pPr>
        <w:ind w:left="240" w:right="60" w:hanging="196"/>
        <w:spacing w:after="0" w:line="319" w:lineRule="auto"/>
        <w:tabs>
          <w:tab w:leader="none" w:pos="241" w:val="left"/>
        </w:tabs>
        <w:numPr>
          <w:ilvl w:val="1"/>
          <w:numId w:val="334"/>
        </w:numPr>
        <w:rPr>
          <w:rFonts w:ascii="Arial" w:cs="Arial" w:eastAsia="Arial" w:hAnsi="Arial"/>
          <w:sz w:val="14"/>
          <w:szCs w:val="14"/>
          <w:color w:val="auto"/>
        </w:rPr>
      </w:pPr>
      <w:r>
        <w:rPr>
          <w:rFonts w:ascii="Arial" w:cs="Arial" w:eastAsia="Arial" w:hAnsi="Arial"/>
          <w:sz w:val="14"/>
          <w:szCs w:val="14"/>
          <w:color w:val="auto"/>
        </w:rPr>
        <w:t>The total number of citations issued under section 104 of the Mine Act for violations of mandatory health or safety standards that could significantly and substantially contribute to a serious injury if left unabated.</w:t>
      </w:r>
    </w:p>
    <w:p>
      <w:pPr>
        <w:spacing w:after="0" w:line="4" w:lineRule="exact"/>
        <w:rPr>
          <w:rFonts w:ascii="Arial" w:cs="Arial" w:eastAsia="Arial" w:hAnsi="Arial"/>
          <w:sz w:val="14"/>
          <w:szCs w:val="14"/>
          <w:color w:val="auto"/>
        </w:rPr>
      </w:pPr>
    </w:p>
    <w:p>
      <w:pPr>
        <w:ind w:left="240" w:hanging="196"/>
        <w:spacing w:after="0"/>
        <w:tabs>
          <w:tab w:leader="none" w:pos="240" w:val="left"/>
        </w:tabs>
        <w:numPr>
          <w:ilvl w:val="1"/>
          <w:numId w:val="334"/>
        </w:numPr>
        <w:rPr>
          <w:rFonts w:ascii="Arial" w:cs="Arial" w:eastAsia="Arial" w:hAnsi="Arial"/>
          <w:sz w:val="13"/>
          <w:szCs w:val="13"/>
          <w:color w:val="auto"/>
        </w:rPr>
      </w:pPr>
      <w:r>
        <w:rPr>
          <w:rFonts w:ascii="Arial" w:cs="Arial" w:eastAsia="Arial" w:hAnsi="Arial"/>
          <w:sz w:val="13"/>
          <w:szCs w:val="13"/>
          <w:color w:val="auto"/>
        </w:rPr>
        <w:t>The total number of orders issued under section 104(b) of the Mine Act, which represents a failure to abate a citation under section 104(a) within the period of time prescribed by MSHA.</w:t>
      </w:r>
    </w:p>
    <w:p>
      <w:pPr>
        <w:spacing w:after="0" w:line="86" w:lineRule="exact"/>
        <w:rPr>
          <w:rFonts w:ascii="Arial" w:cs="Arial" w:eastAsia="Arial" w:hAnsi="Arial"/>
          <w:sz w:val="13"/>
          <w:szCs w:val="13"/>
          <w:color w:val="auto"/>
        </w:rPr>
      </w:pPr>
    </w:p>
    <w:p>
      <w:pPr>
        <w:ind w:left="240" w:hanging="196"/>
        <w:spacing w:after="0"/>
        <w:tabs>
          <w:tab w:leader="none" w:pos="240" w:val="left"/>
        </w:tabs>
        <w:numPr>
          <w:ilvl w:val="1"/>
          <w:numId w:val="334"/>
        </w:numPr>
        <w:rPr>
          <w:rFonts w:ascii="Arial" w:cs="Arial" w:eastAsia="Arial" w:hAnsi="Arial"/>
          <w:sz w:val="14"/>
          <w:szCs w:val="14"/>
          <w:color w:val="auto"/>
        </w:rPr>
      </w:pPr>
      <w:r>
        <w:rPr>
          <w:rFonts w:ascii="Arial" w:cs="Arial" w:eastAsia="Arial" w:hAnsi="Arial"/>
          <w:sz w:val="14"/>
          <w:szCs w:val="14"/>
          <w:color w:val="auto"/>
        </w:rPr>
        <w:t>The total number of citations and orders issued by MSHA under section 104(d) of the Mine Act for unwarrantable failure to comply with mandatory health or safety standards.</w:t>
      </w:r>
    </w:p>
    <w:p>
      <w:pPr>
        <w:spacing w:after="0" w:line="61" w:lineRule="exact"/>
        <w:rPr>
          <w:rFonts w:ascii="Arial" w:cs="Arial" w:eastAsia="Arial" w:hAnsi="Arial"/>
          <w:sz w:val="14"/>
          <w:szCs w:val="14"/>
          <w:color w:val="auto"/>
        </w:rPr>
      </w:pPr>
    </w:p>
    <w:p>
      <w:pPr>
        <w:ind w:left="200" w:hanging="195"/>
        <w:spacing w:after="0"/>
        <w:tabs>
          <w:tab w:leader="none" w:pos="200" w:val="left"/>
        </w:tabs>
        <w:numPr>
          <w:ilvl w:val="0"/>
          <w:numId w:val="335"/>
        </w:numPr>
        <w:rPr>
          <w:rFonts w:ascii="Arial" w:cs="Arial" w:eastAsia="Arial" w:hAnsi="Arial"/>
          <w:sz w:val="14"/>
          <w:szCs w:val="14"/>
          <w:color w:val="auto"/>
        </w:rPr>
      </w:pPr>
      <w:r>
        <w:rPr>
          <w:rFonts w:ascii="Arial" w:cs="Arial" w:eastAsia="Arial" w:hAnsi="Arial"/>
          <w:sz w:val="14"/>
          <w:szCs w:val="14"/>
          <w:color w:val="auto"/>
        </w:rPr>
        <w:t>The total number of flagrant violations identified under section 110(b)(2) of the Mine Act.</w:t>
      </w:r>
    </w:p>
    <w:p>
      <w:pPr>
        <w:spacing w:after="0" w:line="75" w:lineRule="exact"/>
        <w:rPr>
          <w:rFonts w:ascii="Arial" w:cs="Arial" w:eastAsia="Arial" w:hAnsi="Arial"/>
          <w:sz w:val="14"/>
          <w:szCs w:val="14"/>
          <w:color w:val="auto"/>
        </w:rPr>
      </w:pPr>
    </w:p>
    <w:p>
      <w:pPr>
        <w:ind w:left="200" w:hanging="195"/>
        <w:spacing w:after="0"/>
        <w:tabs>
          <w:tab w:leader="none" w:pos="200" w:val="left"/>
        </w:tabs>
        <w:numPr>
          <w:ilvl w:val="0"/>
          <w:numId w:val="335"/>
        </w:numPr>
        <w:rPr>
          <w:rFonts w:ascii="Arial" w:cs="Arial" w:eastAsia="Arial" w:hAnsi="Arial"/>
          <w:sz w:val="14"/>
          <w:szCs w:val="14"/>
          <w:color w:val="auto"/>
        </w:rPr>
      </w:pPr>
      <w:r>
        <w:rPr>
          <w:rFonts w:ascii="Arial" w:cs="Arial" w:eastAsia="Arial" w:hAnsi="Arial"/>
          <w:sz w:val="14"/>
          <w:szCs w:val="14"/>
          <w:color w:val="auto"/>
        </w:rPr>
        <w:t>The total number of orders issued under section 107(a) of the Mine Act for situations in which MSHA determined an imminent danger existed.</w:t>
      </w:r>
    </w:p>
    <w:p>
      <w:pPr>
        <w:spacing w:after="0" w:line="75" w:lineRule="exact"/>
        <w:rPr>
          <w:rFonts w:ascii="Arial" w:cs="Arial" w:eastAsia="Arial" w:hAnsi="Arial"/>
          <w:sz w:val="14"/>
          <w:szCs w:val="14"/>
          <w:color w:val="auto"/>
        </w:rPr>
      </w:pPr>
    </w:p>
    <w:p>
      <w:pPr>
        <w:ind w:left="200" w:hanging="195"/>
        <w:spacing w:after="0"/>
        <w:tabs>
          <w:tab w:leader="none" w:pos="200" w:val="left"/>
        </w:tabs>
        <w:numPr>
          <w:ilvl w:val="0"/>
          <w:numId w:val="335"/>
        </w:numPr>
        <w:rPr>
          <w:rFonts w:ascii="Arial" w:cs="Arial" w:eastAsia="Arial" w:hAnsi="Arial"/>
          <w:sz w:val="14"/>
          <w:szCs w:val="14"/>
          <w:color w:val="auto"/>
        </w:rPr>
      </w:pPr>
      <w:r>
        <w:rPr>
          <w:rFonts w:ascii="Arial" w:cs="Arial" w:eastAsia="Arial" w:hAnsi="Arial"/>
          <w:sz w:val="14"/>
          <w:szCs w:val="14"/>
          <w:color w:val="auto"/>
        </w:rPr>
        <w:t>A written notice from the MSHA regarding a pattern of violations under section 104(e) of the Mine Act.</w:t>
      </w:r>
    </w:p>
    <w:p>
      <w:pPr>
        <w:spacing w:after="0" w:line="61" w:lineRule="exact"/>
        <w:rPr>
          <w:rFonts w:ascii="Arial" w:cs="Arial" w:eastAsia="Arial" w:hAnsi="Arial"/>
          <w:sz w:val="14"/>
          <w:szCs w:val="14"/>
          <w:color w:val="auto"/>
        </w:rPr>
      </w:pPr>
    </w:p>
    <w:p>
      <w:pPr>
        <w:ind w:left="200" w:hanging="195"/>
        <w:spacing w:after="0"/>
        <w:tabs>
          <w:tab w:leader="none" w:pos="200" w:val="left"/>
        </w:tabs>
        <w:numPr>
          <w:ilvl w:val="0"/>
          <w:numId w:val="335"/>
        </w:numPr>
        <w:rPr>
          <w:rFonts w:ascii="Arial" w:cs="Arial" w:eastAsia="Arial" w:hAnsi="Arial"/>
          <w:sz w:val="14"/>
          <w:szCs w:val="14"/>
          <w:color w:val="auto"/>
        </w:rPr>
      </w:pPr>
      <w:r>
        <w:rPr>
          <w:rFonts w:ascii="Arial" w:cs="Arial" w:eastAsia="Arial" w:hAnsi="Arial"/>
          <w:sz w:val="14"/>
          <w:szCs w:val="14"/>
          <w:color w:val="auto"/>
        </w:rPr>
        <w:t>A written notice from the MSHA regarding a potential to have a pattern of violations under section 104(e) of the Mine Act.</w:t>
      </w:r>
    </w:p>
    <w:sectPr>
      <w:pgSz w:w="11900" w:h="16838" w:orient="portrait"/>
      <w:cols w:equalWidth="0" w:num="1">
        <w:col w:w="11240"/>
      </w:cols>
      <w:pgMar w:left="320" w:top="89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05A34"/>
    <w:multiLevelType w:val="hybridMultilevel"/>
    <w:lvl w:ilvl="0">
      <w:lvlJc w:val="left"/>
      <w:lvlText w:val="☒"/>
      <w:numFmt w:val="bullet"/>
      <w:start w:val="1"/>
    </w:lvl>
  </w:abstractNum>
  <w:abstractNum w:abstractNumId="1">
    <w:nsid w:val="32794FF7"/>
    <w:multiLevelType w:val="hybridMultilevel"/>
    <w:lvl w:ilvl="0">
      <w:lvlJc w:val="left"/>
      <w:lvlText w:val="☐"/>
      <w:numFmt w:val="bullet"/>
      <w:start w:val="1"/>
    </w:lvl>
  </w:abstractNum>
  <w:abstractNum w:abstractNumId="2">
    <w:nsid w:val="5454945E"/>
    <w:multiLevelType w:val="hybridMultilevel"/>
    <w:lvl w:ilvl="0">
      <w:lvlJc w:val="left"/>
      <w:lvlText w:val="•"/>
      <w:numFmt w:val="bullet"/>
      <w:start w:val="1"/>
    </w:lvl>
  </w:abstractNum>
  <w:abstractNum w:abstractNumId="3">
    <w:nsid w:val="4DEFDFA0"/>
    <w:multiLevelType w:val="hybridMultilevel"/>
    <w:lvl w:ilvl="0">
      <w:lvlJc w:val="left"/>
      <w:lvlText w:val="•"/>
      <w:numFmt w:val="bullet"/>
      <w:start w:val="1"/>
    </w:lvl>
  </w:abstractNum>
  <w:abstractNum w:abstractNumId="4">
    <w:nsid w:val="2123D5F2"/>
    <w:multiLevelType w:val="hybridMultilevel"/>
    <w:lvl w:ilvl="0">
      <w:lvlJc w:val="left"/>
      <w:lvlText w:val="•"/>
      <w:numFmt w:val="bullet"/>
      <w:start w:val="1"/>
    </w:lvl>
  </w:abstractNum>
  <w:abstractNum w:abstractNumId="5">
    <w:nsid w:val="135B8110"/>
    <w:multiLevelType w:val="hybridMultilevel"/>
    <w:lvl w:ilvl="0">
      <w:lvlJc w:val="left"/>
      <w:lvlText w:val="•"/>
      <w:numFmt w:val="bullet"/>
      <w:start w:val="1"/>
    </w:lvl>
  </w:abstractNum>
  <w:abstractNum w:abstractNumId="6">
    <w:nsid w:val="94927A8"/>
    <w:multiLevelType w:val="hybridMultilevel"/>
    <w:lvl w:ilvl="0">
      <w:lvlJc w:val="left"/>
      <w:lvlText w:val="•"/>
      <w:numFmt w:val="bullet"/>
      <w:start w:val="1"/>
    </w:lvl>
  </w:abstractNum>
  <w:abstractNum w:abstractNumId="7">
    <w:nsid w:val="DCDF8F6"/>
    <w:multiLevelType w:val="hybridMultilevel"/>
    <w:lvl w:ilvl="0">
      <w:lvlJc w:val="left"/>
      <w:lvlText w:val="(%1)"/>
      <w:numFmt w:val="decimal"/>
      <w:start w:val="1"/>
    </w:lvl>
  </w:abstractNum>
  <w:abstractNum w:abstractNumId="8">
    <w:nsid w:val="52D7B105"/>
    <w:multiLevelType w:val="hybridMultilevel"/>
    <w:lvl w:ilvl="0">
      <w:lvlJc w:val="left"/>
      <w:lvlText w:val="•"/>
      <w:numFmt w:val="bullet"/>
      <w:start w:val="1"/>
    </w:lvl>
  </w:abstractNum>
  <w:abstractNum w:abstractNumId="9">
    <w:nsid w:val="2E8A6394"/>
    <w:multiLevelType w:val="hybridMultilevel"/>
    <w:lvl w:ilvl="0">
      <w:lvlJc w:val="left"/>
      <w:lvlText w:val="•"/>
      <w:numFmt w:val="bullet"/>
      <w:start w:val="1"/>
    </w:lvl>
  </w:abstractNum>
  <w:abstractNum w:abstractNumId="10">
    <w:nsid w:val="24E60401"/>
    <w:multiLevelType w:val="hybridMultilevel"/>
    <w:lvl w:ilvl="0">
      <w:lvlJc w:val="left"/>
      <w:lvlText w:val="•"/>
      <w:numFmt w:val="bullet"/>
      <w:start w:val="1"/>
    </w:lvl>
  </w:abstractNum>
  <w:abstractNum w:abstractNumId="11">
    <w:nsid w:val="2A6AD9BE"/>
    <w:multiLevelType w:val="hybridMultilevel"/>
    <w:lvl w:ilvl="0">
      <w:lvlJc w:val="left"/>
      <w:lvlText w:val="•"/>
      <w:numFmt w:val="bullet"/>
      <w:start w:val="1"/>
    </w:lvl>
  </w:abstractNum>
  <w:abstractNum w:abstractNumId="12">
    <w:nsid w:val="BAAC1B4"/>
    <w:multiLevelType w:val="hybridMultilevel"/>
    <w:lvl w:ilvl="0">
      <w:lvlJc w:val="left"/>
      <w:lvlText w:val="•"/>
      <w:numFmt w:val="bullet"/>
      <w:start w:val="1"/>
    </w:lvl>
  </w:abstractNum>
  <w:abstractNum w:abstractNumId="13">
    <w:nsid w:val="36B2ACBC"/>
    <w:multiLevelType w:val="hybridMultilevel"/>
    <w:lvl w:ilvl="0">
      <w:lvlJc w:val="left"/>
      <w:lvlText w:val="•"/>
      <w:numFmt w:val="bullet"/>
      <w:start w:val="1"/>
    </w:lvl>
  </w:abstractNum>
  <w:abstractNum w:abstractNumId="14">
    <w:nsid w:val="779D8544"/>
    <w:multiLevelType w:val="hybridMultilevel"/>
    <w:lvl w:ilvl="0">
      <w:lvlJc w:val="left"/>
      <w:lvlText w:val="•"/>
      <w:numFmt w:val="bullet"/>
      <w:start w:val="1"/>
    </w:lvl>
  </w:abstractNum>
  <w:abstractNum w:abstractNumId="15">
    <w:nsid w:val="4AB26E78"/>
    <w:multiLevelType w:val="hybridMultilevel"/>
    <w:lvl w:ilvl="0">
      <w:lvlJc w:val="left"/>
      <w:lvlText w:val="•"/>
      <w:numFmt w:val="bullet"/>
      <w:start w:val="1"/>
    </w:lvl>
  </w:abstractNum>
  <w:abstractNum w:abstractNumId="16">
    <w:nsid w:val="21FAA2FA"/>
    <w:multiLevelType w:val="hybridMultilevel"/>
    <w:lvl w:ilvl="0">
      <w:lvlJc w:val="left"/>
      <w:lvlText w:val="(%1)"/>
      <w:numFmt w:val="decimal"/>
      <w:start w:val="1"/>
    </w:lvl>
  </w:abstractNum>
  <w:abstractNum w:abstractNumId="17">
    <w:nsid w:val="5451CF49"/>
    <w:multiLevelType w:val="hybridMultilevel"/>
    <w:lvl w:ilvl="0">
      <w:lvlJc w:val="left"/>
      <w:lvlText w:val="•"/>
      <w:numFmt w:val="bullet"/>
      <w:start w:val="1"/>
    </w:lvl>
  </w:abstractNum>
  <w:abstractNum w:abstractNumId="18">
    <w:nsid w:val="6181EF69"/>
    <w:multiLevelType w:val="hybridMultilevel"/>
    <w:lvl w:ilvl="0">
      <w:lvlJc w:val="left"/>
      <w:lvlText w:val="(%1)"/>
      <w:numFmt w:val="decimal"/>
      <w:start w:val="1"/>
    </w:lvl>
  </w:abstractNum>
  <w:abstractNum w:abstractNumId="19">
    <w:nsid w:val="3E6400E6"/>
    <w:multiLevelType w:val="hybridMultilevel"/>
    <w:lvl w:ilvl="0">
      <w:lvlJc w:val="left"/>
      <w:lvlText w:val="(%1)"/>
      <w:numFmt w:val="decimal"/>
      <w:start w:val="1"/>
    </w:lvl>
    <w:lvl w:ilvl="1">
      <w:lvlJc w:val="left"/>
      <w:lvlText w:val="•"/>
      <w:numFmt w:val="bullet"/>
      <w:start w:val="1"/>
    </w:lvl>
  </w:abstractNum>
  <w:abstractNum w:abstractNumId="20">
    <w:nsid w:val="14217E23"/>
    <w:multiLevelType w:val="hybridMultilevel"/>
    <w:lvl w:ilvl="0">
      <w:lvlJc w:val="left"/>
      <w:lvlText w:val="•"/>
      <w:numFmt w:val="bullet"/>
      <w:start w:val="1"/>
    </w:lvl>
  </w:abstractNum>
  <w:abstractNum w:abstractNumId="21">
    <w:nsid w:val="710757D0"/>
    <w:multiLevelType w:val="hybridMultilevel"/>
    <w:lvl w:ilvl="0">
      <w:lvlJc w:val="left"/>
      <w:lvlText w:val="•"/>
      <w:numFmt w:val="bullet"/>
      <w:start w:val="1"/>
    </w:lvl>
  </w:abstractNum>
  <w:abstractNum w:abstractNumId="22">
    <w:nsid w:val="5015CD1A"/>
    <w:multiLevelType w:val="hybridMultilevel"/>
    <w:lvl w:ilvl="0">
      <w:lvlJc w:val="left"/>
      <w:lvlText w:val="•"/>
      <w:numFmt w:val="bullet"/>
      <w:start w:val="1"/>
    </w:lvl>
    <w:lvl w:ilvl="1">
      <w:lvlJc w:val="left"/>
      <w:lvlText w:val="◦"/>
      <w:numFmt w:val="bullet"/>
      <w:start w:val="1"/>
    </w:lvl>
  </w:abstractNum>
  <w:abstractNum w:abstractNumId="23">
    <w:nsid w:val="424479DA"/>
    <w:multiLevelType w:val="hybridMultilevel"/>
    <w:lvl w:ilvl="0">
      <w:lvlJc w:val="left"/>
      <w:lvlText w:val="•"/>
      <w:numFmt w:val="bullet"/>
      <w:start w:val="1"/>
    </w:lvl>
  </w:abstractNum>
  <w:abstractNum w:abstractNumId="24">
    <w:nsid w:val="1A9A9E69"/>
    <w:multiLevelType w:val="hybridMultilevel"/>
    <w:lvl w:ilvl="0">
      <w:lvlJc w:val="left"/>
      <w:lvlText w:val="•"/>
      <w:numFmt w:val="bullet"/>
      <w:start w:val="1"/>
    </w:lvl>
  </w:abstractNum>
  <w:abstractNum w:abstractNumId="25">
    <w:nsid w:val="475E256A"/>
    <w:multiLevelType w:val="hybridMultilevel"/>
    <w:lvl w:ilvl="0">
      <w:lvlJc w:val="left"/>
      <w:lvlText w:val="•"/>
      <w:numFmt w:val="bullet"/>
      <w:start w:val="1"/>
    </w:lvl>
  </w:abstractNum>
  <w:abstractNum w:abstractNumId="26">
    <w:nsid w:val="368DB37E"/>
    <w:multiLevelType w:val="hybridMultilevel"/>
    <w:lvl w:ilvl="0">
      <w:lvlJc w:val="left"/>
      <w:lvlText w:val="(%1)"/>
      <w:numFmt w:val="lowerRoman"/>
      <w:start w:val="2"/>
    </w:lvl>
  </w:abstractNum>
  <w:abstractNum w:abstractNumId="27">
    <w:nsid w:val="6A3B714C"/>
    <w:multiLevelType w:val="hybridMultilevel"/>
    <w:lvl w:ilvl="0">
      <w:lvlJc w:val="left"/>
      <w:lvlText w:val="(%1)"/>
      <w:numFmt w:val="decimal"/>
      <w:start w:val="1"/>
    </w:lvl>
  </w:abstractNum>
  <w:abstractNum w:abstractNumId="28">
    <w:nsid w:val="327B517E"/>
    <w:multiLevelType w:val="hybridMultilevel"/>
    <w:lvl w:ilvl="0">
      <w:lvlJc w:val="left"/>
      <w:lvlText w:val="•"/>
      <w:numFmt w:val="bullet"/>
      <w:start w:val="1"/>
    </w:lvl>
    <w:lvl w:ilvl="1">
      <w:lvlJc w:val="left"/>
      <w:lvlText w:val="◦"/>
      <w:numFmt w:val="bullet"/>
      <w:start w:val="1"/>
    </w:lvl>
  </w:abstractNum>
  <w:abstractNum w:abstractNumId="29">
    <w:nsid w:val="1F461B51"/>
    <w:multiLevelType w:val="hybridMultilevel"/>
    <w:lvl w:ilvl="0">
      <w:lvlJc w:val="left"/>
      <w:lvlText w:val="•"/>
      <w:numFmt w:val="bullet"/>
      <w:start w:val="1"/>
    </w:lvl>
    <w:lvl w:ilvl="1">
      <w:lvlJc w:val="left"/>
      <w:lvlText w:val="◦"/>
      <w:numFmt w:val="bullet"/>
      <w:start w:val="1"/>
    </w:lvl>
  </w:abstractNum>
  <w:abstractNum w:abstractNumId="30">
    <w:nsid w:val="29BACF25"/>
    <w:multiLevelType w:val="hybridMultilevel"/>
    <w:lvl w:ilvl="0">
      <w:lvlJc w:val="left"/>
      <w:lvlText w:val="•"/>
      <w:numFmt w:val="bullet"/>
      <w:start w:val="1"/>
    </w:lvl>
  </w:abstractNum>
  <w:abstractNum w:abstractNumId="31">
    <w:nsid w:val="5D5BABB3"/>
    <w:multiLevelType w:val="hybridMultilevel"/>
    <w:lvl w:ilvl="0">
      <w:lvlJc w:val="left"/>
      <w:lvlText w:val="•"/>
      <w:numFmt w:val="bullet"/>
      <w:start w:val="1"/>
    </w:lvl>
  </w:abstractNum>
  <w:abstractNum w:abstractNumId="32">
    <w:nsid w:val="51BF6B48"/>
    <w:multiLevelType w:val="hybridMultilevel"/>
    <w:lvl w:ilvl="0">
      <w:lvlJc w:val="left"/>
      <w:lvlText w:val="(%1)"/>
      <w:numFmt w:val="decimal"/>
      <w:start w:val="1"/>
    </w:lvl>
  </w:abstractNum>
  <w:abstractNum w:abstractNumId="33">
    <w:nsid w:val="7E0F6384"/>
    <w:multiLevelType w:val="hybridMultilevel"/>
    <w:lvl w:ilvl="0">
      <w:lvlJc w:val="left"/>
      <w:lvlText w:val="(%1)"/>
      <w:numFmt w:val="lowerRoman"/>
      <w:start w:val="2"/>
    </w:lvl>
  </w:abstractNum>
  <w:abstractNum w:abstractNumId="34">
    <w:nsid w:val="2B4B8B53"/>
    <w:multiLevelType w:val="hybridMultilevel"/>
    <w:lvl w:ilvl="0">
      <w:lvlJc w:val="left"/>
      <w:lvlText w:val="•"/>
      <w:numFmt w:val="bullet"/>
      <w:start w:val="1"/>
    </w:lvl>
  </w:abstractNum>
  <w:abstractNum w:abstractNumId="35">
    <w:nsid w:val="72E3413A"/>
    <w:multiLevelType w:val="hybridMultilevel"/>
    <w:lvl w:ilvl="0">
      <w:lvlJc w:val="left"/>
      <w:lvlText w:val="(%1)"/>
      <w:numFmt w:val="decimal"/>
      <w:start w:val="1"/>
    </w:lvl>
  </w:abstractNum>
  <w:abstractNum w:abstractNumId="36">
    <w:nsid w:val="116AE494"/>
    <w:multiLevelType w:val="hybridMultilevel"/>
    <w:lvl w:ilvl="0">
      <w:lvlJc w:val="left"/>
      <w:lvlText w:val="(%1)"/>
      <w:numFmt w:val="decimal"/>
      <w:start w:val="1"/>
    </w:lvl>
  </w:abstractNum>
  <w:abstractNum w:abstractNumId="37">
    <w:nsid w:val="3494B2FB"/>
    <w:multiLevelType w:val="hybridMultilevel"/>
    <w:lvl w:ilvl="0">
      <w:lvlJc w:val="left"/>
      <w:lvlText w:val="•"/>
      <w:numFmt w:val="bullet"/>
      <w:start w:val="1"/>
    </w:lvl>
  </w:abstractNum>
  <w:abstractNum w:abstractNumId="38">
    <w:nsid w:val="B13A31"/>
    <w:multiLevelType w:val="hybridMultilevel"/>
    <w:lvl w:ilvl="0">
      <w:lvlJc w:val="left"/>
      <w:lvlText w:val="•"/>
      <w:numFmt w:val="bullet"/>
      <w:start w:val="1"/>
    </w:lvl>
  </w:abstractNum>
  <w:abstractNum w:abstractNumId="39">
    <w:nsid w:val="64429599"/>
    <w:multiLevelType w:val="hybridMultilevel"/>
    <w:lvl w:ilvl="0">
      <w:lvlJc w:val="left"/>
      <w:lvlText w:val="•"/>
      <w:numFmt w:val="bullet"/>
      <w:start w:val="1"/>
    </w:lvl>
  </w:abstractNum>
  <w:abstractNum w:abstractNumId="40">
    <w:nsid w:val="631F1690"/>
    <w:multiLevelType w:val="hybridMultilevel"/>
    <w:lvl w:ilvl="0">
      <w:lvlJc w:val="left"/>
      <w:lvlText w:val="(%1)"/>
      <w:numFmt w:val="decimal"/>
      <w:start w:val="1"/>
    </w:lvl>
  </w:abstractNum>
  <w:abstractNum w:abstractNumId="41">
    <w:nsid w:val="25973E32"/>
    <w:multiLevelType w:val="hybridMultilevel"/>
    <w:lvl w:ilvl="0">
      <w:lvlJc w:val="left"/>
      <w:lvlText w:val="•"/>
      <w:numFmt w:val="bullet"/>
      <w:start w:val="1"/>
    </w:lvl>
  </w:abstractNum>
  <w:abstractNum w:abstractNumId="42">
    <w:nsid w:val="EAD6F57"/>
    <w:multiLevelType w:val="hybridMultilevel"/>
    <w:lvl w:ilvl="0">
      <w:lvlJc w:val="left"/>
      <w:lvlText w:val="•"/>
      <w:numFmt w:val="bullet"/>
      <w:start w:val="1"/>
    </w:lvl>
  </w:abstractNum>
  <w:abstractNum w:abstractNumId="43">
    <w:nsid w:val="6EC9D844"/>
    <w:multiLevelType w:val="hybridMultilevel"/>
    <w:lvl w:ilvl="0">
      <w:lvlJc w:val="left"/>
      <w:lvlText w:val="(%1)"/>
      <w:numFmt w:val="upperLetter"/>
      <w:start w:val="1"/>
    </w:lvl>
  </w:abstractNum>
  <w:abstractNum w:abstractNumId="44">
    <w:nsid w:val="5C49EAEE"/>
    <w:multiLevelType w:val="hybridMultilevel"/>
    <w:lvl w:ilvl="0">
      <w:lvlJc w:val="left"/>
      <w:lvlText w:val="(%1)"/>
      <w:numFmt w:val="decimal"/>
      <w:start w:val="3"/>
    </w:lvl>
  </w:abstractNum>
  <w:abstractNum w:abstractNumId="45">
    <w:nsid w:val="64AF49B"/>
    <w:multiLevelType w:val="hybridMultilevel"/>
    <w:lvl w:ilvl="0">
      <w:lvlJc w:val="left"/>
      <w:lvlText w:val="%1."/>
      <w:numFmt w:val="decimal"/>
      <w:start w:val="1"/>
    </w:lvl>
    <w:lvl w:ilvl="1">
      <w:lvlJc w:val="left"/>
      <w:lvlText w:val="%2."/>
      <w:numFmt w:val="decimal"/>
      <w:start w:val="2"/>
    </w:lvl>
    <w:lvl w:ilvl="2">
      <w:lvlJc w:val="left"/>
      <w:lvlText w:val="(%3)"/>
      <w:numFmt w:val="lowerLetter"/>
      <w:start w:val="1"/>
    </w:lvl>
  </w:abstractNum>
  <w:abstractNum w:abstractNumId="46">
    <w:nsid w:val="397C46BC"/>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3"/>
    </w:lvl>
    <w:lvl w:ilvl="3">
      <w:lvlJc w:val="left"/>
      <w:lvlText w:val="%4"/>
      <w:numFmt w:val="lowerRoman"/>
      <w:start w:val="1"/>
    </w:lvl>
    <w:lvl w:ilvl="4">
      <w:lvlJc w:val="left"/>
      <w:lvlText w:val="%5"/>
      <w:numFmt w:val="upperLetter"/>
      <w:start w:val="1"/>
    </w:lvl>
  </w:abstractNum>
  <w:abstractNum w:abstractNumId="47">
    <w:nsid w:val="7E448DE9"/>
    <w:multiLevelType w:val="hybridMultilevel"/>
    <w:lvl w:ilvl="0">
      <w:lvlJc w:val="left"/>
      <w:lvlText w:val="(%1)"/>
      <w:numFmt w:val="lowerLetter"/>
      <w:start w:val="4"/>
    </w:lvl>
    <w:lvl w:ilvl="1">
      <w:lvlJc w:val="left"/>
      <w:lvlText w:val="%2"/>
      <w:numFmt w:val="lowerLetter"/>
      <w:start w:val="1"/>
    </w:lvl>
    <w:lvl w:ilvl="2">
      <w:lvlJc w:val="left"/>
      <w:lvlText w:val="%3"/>
      <w:numFmt w:val="lowerLetter"/>
      <w:start w:val="1"/>
    </w:lvl>
    <w:lvl w:ilvl="3">
      <w:lvlJc w:val="left"/>
      <w:lvlText w:val="(%4)"/>
      <w:numFmt w:val="lowerRoman"/>
      <w:start w:val="1"/>
    </w:lvl>
    <w:lvl w:ilvl="4">
      <w:lvlJc w:val="left"/>
      <w:lvlText w:val="(%5)"/>
      <w:numFmt w:val="upperLetter"/>
      <w:start w:val="1"/>
    </w:lvl>
  </w:abstractNum>
  <w:abstractNum w:abstractNumId="48">
    <w:nsid w:val="5A9CC3E5"/>
    <w:multiLevelType w:val="hybridMultilevel"/>
    <w:lvl w:ilvl="0">
      <w:lvlJc w:val="left"/>
      <w:lvlText w:val="(%1)"/>
      <w:numFmt w:val="lowerRoman"/>
      <w:start w:val="2"/>
    </w:lvl>
  </w:abstractNum>
  <w:abstractNum w:abstractNumId="49">
    <w:nsid w:val="1AFE3625"/>
    <w:multiLevelType w:val="hybridMultilevel"/>
    <w:lvl w:ilvl="0">
      <w:lvlJc w:val="left"/>
      <w:lvlText w:val="(%1)"/>
      <w:numFmt w:val="lowerRoman"/>
      <w:start w:val="3"/>
    </w:lvl>
  </w:abstractNum>
  <w:abstractNum w:abstractNumId="50">
    <w:nsid w:val="3CA88ECF"/>
    <w:multiLevelType w:val="hybridMultilevel"/>
    <w:lvl w:ilvl="0">
      <w:lvlJc w:val="left"/>
      <w:lvlText w:val="(%1)"/>
      <w:numFmt w:val="lowerRoman"/>
      <w:start w:val="4"/>
    </w:lvl>
  </w:abstractNum>
  <w:abstractNum w:abstractNumId="51">
    <w:nsid w:val="6EBE4208"/>
    <w:multiLevelType w:val="hybridMultilevel"/>
    <w:lvl w:ilvl="0">
      <w:lvlJc w:val="left"/>
      <w:lvlText w:val="(%1)"/>
      <w:numFmt w:val="lowerRoman"/>
      <w:start w:val="5"/>
    </w:lvl>
  </w:abstractNum>
  <w:abstractNum w:abstractNumId="52">
    <w:nsid w:val="C058DF5"/>
    <w:multiLevelType w:val="hybridMultilevel"/>
    <w:lvl w:ilvl="0">
      <w:lvlJc w:val="left"/>
      <w:lvlText w:val="(%1)"/>
      <w:numFmt w:val="lowerRoman"/>
      <w:start w:val="6"/>
    </w:lvl>
  </w:abstractNum>
  <w:abstractNum w:abstractNumId="53">
    <w:nsid w:val="CBE5BE9"/>
    <w:multiLevelType w:val="hybridMultilevel"/>
    <w:lvl w:ilvl="0">
      <w:lvlJc w:val="left"/>
      <w:lvlText w:val="(%1)"/>
      <w:numFmt w:val="upperLetter"/>
      <w:start w:val="1"/>
    </w:lvl>
  </w:abstractNum>
  <w:abstractNum w:abstractNumId="54">
    <w:nsid w:val="3102BBE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7"/>
    </w:lvl>
  </w:abstractNum>
  <w:abstractNum w:abstractNumId="55">
    <w:nsid w:val="26A02C5E"/>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56">
    <w:nsid w:val="541C8153"/>
    <w:multiLevelType w:val="hybridMultilevel"/>
    <w:lvl w:ilvl="0">
      <w:lvlJc w:val="left"/>
      <w:lvlText w:val="%1."/>
      <w:numFmt w:val="decimal"/>
      <w:start w:val="4"/>
    </w:lvl>
  </w:abstractNum>
  <w:abstractNum w:abstractNumId="57">
    <w:nsid w:val="67906F60"/>
    <w:multiLevelType w:val="hybridMultilevel"/>
    <w:lvl w:ilvl="0">
      <w:lvlJc w:val="left"/>
      <w:lvlText w:val="%1."/>
      <w:numFmt w:val="decimal"/>
      <w:start w:val="6"/>
    </w:lvl>
    <w:lvl w:ilvl="1">
      <w:lvlJc w:val="left"/>
      <w:lvlText w:val="(%2)"/>
      <w:numFmt w:val="lowerLetter"/>
      <w:start w:val="1"/>
    </w:lvl>
  </w:abstractNum>
  <w:abstractNum w:abstractNumId="58">
    <w:nsid w:val="10DB9DAA"/>
    <w:multiLevelType w:val="hybridMultilevel"/>
    <w:lvl w:ilvl="0">
      <w:lvlJc w:val="left"/>
      <w:lvlText w:val="%1."/>
      <w:numFmt w:val="decimal"/>
      <w:start w:val="7"/>
    </w:lvl>
    <w:lvl w:ilvl="1">
      <w:lvlJc w:val="left"/>
      <w:lvlText w:val="(%2)"/>
      <w:numFmt w:val="lowerLetter"/>
      <w:start w:val="1"/>
    </w:lvl>
  </w:abstractNum>
  <w:abstractNum w:abstractNumId="59">
    <w:nsid w:val="697D2D2"/>
    <w:multiLevelType w:val="hybridMultilevel"/>
    <w:lvl w:ilvl="0">
      <w:lvlJc w:val="left"/>
      <w:lvlText w:val="%1."/>
      <w:numFmt w:val="decimal"/>
      <w:start w:val="9"/>
    </w:lvl>
  </w:abstractNum>
  <w:abstractNum w:abstractNumId="60">
    <w:nsid w:val="6D68AB2"/>
    <w:multiLevelType w:val="hybridMultilevel"/>
    <w:lvl w:ilvl="0">
      <w:lvlJc w:val="left"/>
      <w:lvlText w:val="%1."/>
      <w:numFmt w:val="decimal"/>
      <w:start w:val="1"/>
    </w:lvl>
    <w:lvl w:ilvl="1">
      <w:lvlJc w:val="left"/>
      <w:lvlText w:val="%2."/>
      <w:numFmt w:val="decimal"/>
      <w:start w:val="2"/>
    </w:lvl>
    <w:lvl w:ilvl="2">
      <w:lvlJc w:val="left"/>
      <w:lvlText w:val="(%3)"/>
      <w:numFmt w:val="lowerLetter"/>
      <w:start w:val="1"/>
    </w:lvl>
  </w:abstractNum>
  <w:abstractNum w:abstractNumId="61">
    <w:nsid w:val="3A966CD0"/>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lvl w:ilvl="3">
      <w:lvlJc w:val="left"/>
      <w:lvlText w:val="(%4)"/>
      <w:numFmt w:val="upperLetter"/>
      <w:start w:val="1"/>
    </w:lvl>
  </w:abstractNum>
  <w:abstractNum w:abstractNumId="62">
    <w:nsid w:val="63F37E85"/>
    <w:multiLevelType w:val="hybridMultilevel"/>
    <w:lvl w:ilvl="0">
      <w:lvlJc w:val="left"/>
      <w:lvlText w:val="(%1)"/>
      <w:numFmt w:val="lowerLetter"/>
      <w:start w:val="5"/>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63">
    <w:nsid w:val="5895F5FA"/>
    <w:multiLevelType w:val="hybridMultilevel"/>
    <w:lvl w:ilvl="0">
      <w:lvlJc w:val="left"/>
      <w:lvlText w:val="(%1)"/>
      <w:numFmt w:val="lowerRoman"/>
      <w:start w:val="2"/>
    </w:lvl>
  </w:abstractNum>
  <w:abstractNum w:abstractNumId="64">
    <w:nsid w:val="38A5D054"/>
    <w:multiLevelType w:val="hybridMultilevel"/>
    <w:lvl w:ilvl="0">
      <w:lvlJc w:val="left"/>
      <w:lvlText w:val="(%1)"/>
      <w:numFmt w:val="lowerRoman"/>
      <w:start w:val="3"/>
    </w:lvl>
  </w:abstractNum>
  <w:abstractNum w:abstractNumId="65">
    <w:nsid w:val="F3F09D8"/>
    <w:multiLevelType w:val="hybridMultilevel"/>
    <w:lvl w:ilvl="0">
      <w:lvlJc w:val="left"/>
      <w:lvlText w:val="(%1)"/>
      <w:numFmt w:val="lowerRoman"/>
      <w:start w:val="4"/>
    </w:lvl>
  </w:abstractNum>
  <w:abstractNum w:abstractNumId="66">
    <w:nsid w:val="4B793735"/>
    <w:multiLevelType w:val="hybridMultilevel"/>
    <w:lvl w:ilvl="0">
      <w:lvlJc w:val="left"/>
      <w:lvlText w:val="(%1)"/>
      <w:numFmt w:val="upperLetter"/>
      <w:start w:val="1"/>
    </w:lvl>
  </w:abstractNum>
  <w:abstractNum w:abstractNumId="67">
    <w:nsid w:val="4A10B4E8"/>
    <w:multiLevelType w:val="hybridMultilevel"/>
    <w:lvl w:ilvl="0">
      <w:lvlJc w:val="left"/>
      <w:lvlText w:val="(%1)"/>
      <w:numFmt w:val="upperLetter"/>
      <w:start w:val="2"/>
    </w:lvl>
  </w:abstractNum>
  <w:abstractNum w:abstractNumId="68">
    <w:nsid w:val="43D3BCD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5"/>
    </w:lvl>
  </w:abstractNum>
  <w:abstractNum w:abstractNumId="69">
    <w:nsid w:val="4C2A7166"/>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70">
    <w:nsid w:val="2E534A82"/>
    <w:multiLevelType w:val="hybridMultilevel"/>
    <w:lvl w:ilvl="0">
      <w:lvlJc w:val="left"/>
      <w:lvlText w:val="%1"/>
      <w:numFmt w:val="decimal"/>
      <w:start w:val="1"/>
    </w:lvl>
    <w:lvl w:ilvl="1">
      <w:lvlJc w:val="left"/>
      <w:lvlText w:val="(%2)"/>
      <w:numFmt w:val="lowerLetter"/>
      <w:start w:val="2"/>
    </w:lvl>
  </w:abstractNum>
  <w:abstractNum w:abstractNumId="71">
    <w:nsid w:val="26F2D364"/>
    <w:multiLevelType w:val="hybridMultilevel"/>
    <w:lvl w:ilvl="0">
      <w:lvlJc w:val="left"/>
      <w:lvlText w:val="%1."/>
      <w:numFmt w:val="decimal"/>
      <w:start w:val="4"/>
    </w:lvl>
    <w:lvl w:ilvl="1">
      <w:lvlJc w:val="left"/>
      <w:lvlText w:val="%2"/>
      <w:numFmt w:val="lowerLetter"/>
      <w:start w:val="1"/>
    </w:lvl>
  </w:abstractNum>
  <w:abstractNum w:abstractNumId="72">
    <w:nsid w:val="71C1AF98"/>
    <w:multiLevelType w:val="hybridMultilevel"/>
    <w:lvl w:ilvl="0">
      <w:lvlJc w:val="left"/>
      <w:lvlText w:val="%1."/>
      <w:numFmt w:val="decimal"/>
      <w:start w:val="6"/>
    </w:lvl>
    <w:lvl w:ilvl="1">
      <w:lvlJc w:val="left"/>
      <w:lvlText w:val="%2."/>
      <w:numFmt w:val="decimal"/>
      <w:start w:val="7"/>
    </w:lvl>
    <w:lvl w:ilvl="2">
      <w:lvlJc w:val="left"/>
      <w:lvlText w:val="(%3)"/>
      <w:numFmt w:val="lowerLetter"/>
      <w:start w:val="1"/>
    </w:lvl>
  </w:abstractNum>
  <w:abstractNum w:abstractNumId="73">
    <w:nsid w:val="3D00B9D9"/>
    <w:multiLevelType w:val="hybridMultilevel"/>
    <w:lvl w:ilvl="0">
      <w:lvlJc w:val="left"/>
      <w:lvlText w:val="%1"/>
      <w:numFmt w:val="decimal"/>
      <w:start w:val="1"/>
    </w:lvl>
    <w:lvl w:ilvl="1">
      <w:lvlJc w:val="left"/>
      <w:lvlText w:val="(%2)"/>
      <w:numFmt w:val="lowerLetter"/>
      <w:start w:val="2"/>
    </w:lvl>
  </w:abstractNum>
  <w:abstractNum w:abstractNumId="74">
    <w:nsid w:val="15BCABA8"/>
    <w:multiLevelType w:val="hybridMultilevel"/>
    <w:lvl w:ilvl="0">
      <w:lvlJc w:val="left"/>
      <w:lvlText w:val="%1."/>
      <w:numFmt w:val="decimal"/>
      <w:start w:val="8"/>
    </w:lvl>
    <w:lvl w:ilvl="1">
      <w:lvlJc w:val="left"/>
      <w:lvlText w:val="%2"/>
      <w:numFmt w:val="lowerLetter"/>
      <w:start w:val="1"/>
    </w:lvl>
  </w:abstractNum>
  <w:abstractNum w:abstractNumId="75">
    <w:nsid w:val="4E0B9A87"/>
    <w:multiLevelType w:val="hybridMultilevel"/>
    <w:lvl w:ilvl="0">
      <w:lvlJc w:val="left"/>
      <w:lvlText w:val="%1."/>
      <w:numFmt w:val="decimal"/>
      <w:start w:val="9"/>
    </w:lvl>
  </w:abstractNum>
  <w:abstractNum w:abstractNumId="76">
    <w:nsid w:val="434BAE75"/>
    <w:multiLevelType w:val="hybridMultilevel"/>
    <w:lvl w:ilvl="0">
      <w:lvlJc w:val="left"/>
      <w:lvlText w:val="%1."/>
      <w:numFmt w:val="upperLetter"/>
      <w:start w:val="1"/>
    </w:lvl>
  </w:abstractNum>
  <w:abstractNum w:abstractNumId="77">
    <w:nsid w:val="4F38F265"/>
    <w:multiLevelType w:val="hybridMultilevel"/>
    <w:lvl w:ilvl="0">
      <w:lvlJc w:val="left"/>
      <w:lvlText w:val="(%1)"/>
      <w:numFmt w:val="decimal"/>
      <w:start w:val="1"/>
    </w:lvl>
    <w:lvl w:ilvl="1">
      <w:lvlJc w:val="left"/>
      <w:lvlText w:val="(%2)"/>
      <w:numFmt w:val="lowerLetter"/>
      <w:start w:val="1"/>
    </w:lvl>
  </w:abstractNum>
  <w:abstractNum w:abstractNumId="78">
    <w:nsid w:val="4C502870"/>
    <w:multiLevelType w:val="hybridMultilevel"/>
    <w:lvl w:ilvl="0">
      <w:lvlJc w:val="left"/>
      <w:lvlText w:val="(%1)"/>
      <w:numFmt w:val="lowerLetter"/>
      <w:start w:val="1"/>
    </w:lvl>
  </w:abstractNum>
  <w:abstractNum w:abstractNumId="79">
    <w:nsid w:val="1DE8725A"/>
    <w:multiLevelType w:val="hybridMultilevel"/>
    <w:lvl w:ilvl="0">
      <w:lvlJc w:val="left"/>
      <w:lvlText w:val="(%1)"/>
      <w:numFmt w:val="lowerLetter"/>
      <w:start w:val="3"/>
    </w:lvl>
  </w:abstractNum>
  <w:abstractNum w:abstractNumId="80">
    <w:nsid w:val="6A37288A"/>
    <w:multiLevelType w:val="hybridMultilevel"/>
    <w:lvl w:ilvl="0">
      <w:lvlJc w:val="left"/>
      <w:lvlText w:val="(%1)"/>
      <w:numFmt w:val="lowerLetter"/>
      <w:start w:val="1"/>
    </w:lvl>
  </w:abstractNum>
  <w:abstractNum w:abstractNumId="81">
    <w:nsid w:val="8F8B73F"/>
    <w:multiLevelType w:val="hybridMultilevel"/>
    <w:lvl w:ilvl="0">
      <w:lvlJc w:val="left"/>
      <w:lvlText w:val="(%1)"/>
      <w:numFmt w:val="lowerLetter"/>
      <w:start w:val="1"/>
    </w:lvl>
  </w:abstractNum>
  <w:abstractNum w:abstractNumId="82">
    <w:nsid w:val="CA6B462"/>
    <w:multiLevelType w:val="hybridMultilevel"/>
    <w:lvl w:ilvl="0">
      <w:lvlJc w:val="left"/>
      <w:lvlText w:val="(%1)"/>
      <w:numFmt w:val="lowerLetter"/>
      <w:start w:val="2"/>
    </w:lvl>
  </w:abstractNum>
  <w:abstractNum w:abstractNumId="83">
    <w:nsid w:val="763CB680"/>
    <w:multiLevelType w:val="hybridMultilevel"/>
    <w:lvl w:ilvl="0">
      <w:lvlJc w:val="left"/>
      <w:lvlText w:val="(%1)"/>
      <w:numFmt w:val="decimal"/>
      <w:start w:val="1"/>
    </w:lvl>
  </w:abstractNum>
  <w:abstractNum w:abstractNumId="84">
    <w:nsid w:val="15B71329"/>
    <w:multiLevelType w:val="hybridMultilevel"/>
    <w:lvl w:ilvl="0">
      <w:lvlJc w:val="left"/>
      <w:lvlText w:val="(%1)"/>
      <w:numFmt w:val="lowerLetter"/>
      <w:start w:val="1"/>
    </w:lvl>
  </w:abstractNum>
  <w:abstractNum w:abstractNumId="85">
    <w:nsid w:val="3DA97044"/>
    <w:multiLevelType w:val="hybridMultilevel"/>
    <w:lvl w:ilvl="0">
      <w:lvlJc w:val="left"/>
      <w:lvlText w:val="(%1)"/>
      <w:numFmt w:val="lowerLetter"/>
      <w:start w:val="6"/>
    </w:lvl>
  </w:abstractNum>
  <w:abstractNum w:abstractNumId="86">
    <w:nsid w:val="1CDCE2DE"/>
    <w:multiLevelType w:val="hybridMultilevel"/>
    <w:lvl w:ilvl="0">
      <w:lvlJc w:val="left"/>
      <w:lvlText w:val="(%1)"/>
      <w:numFmt w:val="lowerLetter"/>
      <w:start w:val="16"/>
    </w:lvl>
  </w:abstractNum>
  <w:abstractNum w:abstractNumId="87">
    <w:nsid w:val="69D3947C"/>
    <w:multiLevelType w:val="hybridMultilevel"/>
    <w:lvl w:ilvl="0">
      <w:lvlJc w:val="left"/>
      <w:lvlText w:val="(%1)"/>
      <w:numFmt w:val="lowerLetter"/>
      <w:start w:val="27"/>
    </w:lvl>
  </w:abstractNum>
  <w:abstractNum w:abstractNumId="88">
    <w:nsid w:val="2539DFA5"/>
    <w:multiLevelType w:val="hybridMultilevel"/>
    <w:lvl w:ilvl="0">
      <w:lvlJc w:val="left"/>
      <w:lvlText w:val="(%1)"/>
      <w:numFmt w:val="lowerLetter"/>
      <w:start w:val="1"/>
    </w:lvl>
  </w:abstractNum>
  <w:abstractNum w:abstractNumId="89">
    <w:nsid w:val="2DB88089"/>
    <w:multiLevelType w:val="hybridMultilevel"/>
    <w:lvl w:ilvl="0">
      <w:lvlJc w:val="left"/>
      <w:lvlText w:val="(%1)"/>
      <w:numFmt w:val="lowerLetter"/>
      <w:start w:val="5"/>
    </w:lvl>
  </w:abstractNum>
  <w:abstractNum w:abstractNumId="90">
    <w:nsid w:val="706B674E"/>
    <w:multiLevelType w:val="hybridMultilevel"/>
    <w:lvl w:ilvl="0">
      <w:lvlJc w:val="left"/>
      <w:lvlText w:val="(%1)"/>
      <w:numFmt w:val="lowerLetter"/>
      <w:start w:val="1"/>
    </w:lvl>
  </w:abstractNum>
  <w:abstractNum w:abstractNumId="91">
    <w:nsid w:val="2C106A57"/>
    <w:multiLevelType w:val="hybridMultilevel"/>
    <w:lvl w:ilvl="0">
      <w:lvlJc w:val="left"/>
      <w:lvlText w:val="(%1)"/>
      <w:numFmt w:val="lowerLetter"/>
      <w:start w:val="8"/>
    </w:lvl>
  </w:abstractNum>
  <w:abstractNum w:abstractNumId="92">
    <w:nsid w:val="684EED59"/>
    <w:multiLevelType w:val="hybridMultilevel"/>
    <w:lvl w:ilvl="0">
      <w:lvlJc w:val="left"/>
      <w:lvlText w:val="(%1)"/>
      <w:numFmt w:val="lowerLetter"/>
      <w:start w:val="9"/>
    </w:lvl>
    <w:lvl w:ilvl="1">
      <w:lvlJc w:val="left"/>
      <w:lvlText w:val="(%2)"/>
      <w:numFmt w:val="lowerLetter"/>
      <w:start w:val="1"/>
    </w:lvl>
  </w:abstractNum>
  <w:abstractNum w:abstractNumId="93">
    <w:nsid w:val="545EE5D3"/>
    <w:multiLevelType w:val="hybridMultilevel"/>
    <w:lvl w:ilvl="0">
      <w:lvlJc w:val="left"/>
      <w:lvlText w:val="(%1)"/>
      <w:numFmt w:val="lowerLetter"/>
      <w:start w:val="3"/>
    </w:lvl>
  </w:abstractNum>
  <w:abstractNum w:abstractNumId="94">
    <w:nsid w:val="4A66051"/>
    <w:multiLevelType w:val="hybridMultilevel"/>
    <w:lvl w:ilvl="0">
      <w:lvlJc w:val="left"/>
      <w:lvlText w:val="(%1)"/>
      <w:numFmt w:val="lowerLetter"/>
      <w:start w:val="4"/>
    </w:lvl>
  </w:abstractNum>
  <w:abstractNum w:abstractNumId="95">
    <w:nsid w:val="20F4BDAD"/>
    <w:multiLevelType w:val="hybridMultilevel"/>
    <w:lvl w:ilvl="0">
      <w:lvlJc w:val="left"/>
      <w:lvlText w:val="(%1)"/>
      <w:numFmt w:val="lowerLetter"/>
      <w:start w:val="1"/>
    </w:lvl>
    <w:lvl w:ilvl="1">
      <w:lvlJc w:val="left"/>
      <w:lvlText w:val="(%2)"/>
      <w:numFmt w:val="lowerRoman"/>
      <w:start w:val="1"/>
    </w:lvl>
  </w:abstractNum>
  <w:abstractNum w:abstractNumId="96">
    <w:nsid w:val="639DEFAC"/>
    <w:multiLevelType w:val="hybridMultilevel"/>
    <w:lvl w:ilvl="0">
      <w:lvlJc w:val="left"/>
      <w:lvlText w:val="1"/>
      <w:numFmt w:val="bullet"/>
      <w:start w:val="1"/>
    </w:lvl>
  </w:abstractNum>
  <w:abstractNum w:abstractNumId="97">
    <w:nsid w:val="501F9786"/>
    <w:multiLevelType w:val="hybridMultilevel"/>
    <w:lvl w:ilvl="0">
      <w:lvlJc w:val="left"/>
      <w:lvlText w:val="(%1)"/>
      <w:numFmt w:val="lowerLetter"/>
      <w:start w:val="4"/>
    </w:lvl>
  </w:abstractNum>
  <w:abstractNum w:abstractNumId="98">
    <w:nsid w:val="6B057295"/>
    <w:multiLevelType w:val="hybridMultilevel"/>
    <w:lvl w:ilvl="0">
      <w:lvlJc w:val="left"/>
      <w:lvlText w:val="(%1)"/>
      <w:numFmt w:val="lowerLetter"/>
      <w:start w:val="2"/>
    </w:lvl>
  </w:abstractNum>
  <w:abstractNum w:abstractNumId="99">
    <w:nsid w:val="2771AC80"/>
    <w:multiLevelType w:val="hybridMultilevel"/>
    <w:lvl w:ilvl="0">
      <w:lvlJc w:val="left"/>
      <w:lvlText w:val="(%1)"/>
      <w:numFmt w:val="lowerRoman"/>
      <w:start w:val="3"/>
    </w:lvl>
  </w:abstractNum>
  <w:abstractNum w:abstractNumId="100">
    <w:nsid w:val="1C4A08EC"/>
    <w:multiLevelType w:val="hybridMultilevel"/>
    <w:lvl w:ilvl="0">
      <w:lvlJc w:val="left"/>
      <w:lvlText w:val="(%1)"/>
      <w:numFmt w:val="lowerRoman"/>
      <w:start w:val="2"/>
    </w:lvl>
  </w:abstractNum>
  <w:abstractNum w:abstractNumId="101">
    <w:nsid w:val="1958BD17"/>
    <w:multiLevelType w:val="hybridMultilevel"/>
    <w:lvl w:ilvl="0">
      <w:lvlJc w:val="left"/>
      <w:lvlText w:val="(%1)"/>
      <w:numFmt w:val="lowerLetter"/>
      <w:start w:val="1"/>
    </w:lvl>
  </w:abstractNum>
  <w:abstractNum w:abstractNumId="102">
    <w:nsid w:val="4E647FE4"/>
    <w:multiLevelType w:val="hybridMultilevel"/>
    <w:lvl w:ilvl="0">
      <w:lvlJc w:val="left"/>
      <w:lvlText w:val="(%1)"/>
      <w:numFmt w:val="lowerLetter"/>
      <w:start w:val="1"/>
    </w:lvl>
  </w:abstractNum>
  <w:abstractNum w:abstractNumId="103">
    <w:nsid w:val="E0BB885"/>
    <w:multiLevelType w:val="hybridMultilevel"/>
    <w:lvl w:ilvl="0">
      <w:lvlJc w:val="left"/>
      <w:lvlText w:val="(%1)"/>
      <w:numFmt w:val="lowerLetter"/>
      <w:start w:val="1"/>
    </w:lvl>
  </w:abstractNum>
  <w:abstractNum w:abstractNumId="104">
    <w:nsid w:val="565976F1"/>
    <w:multiLevelType w:val="hybridMultilevel"/>
    <w:lvl w:ilvl="0">
      <w:lvlJc w:val="left"/>
      <w:lvlText w:val="(%1)"/>
      <w:numFmt w:val="lowerLetter"/>
      <w:start w:val="6"/>
    </w:lvl>
  </w:abstractNum>
  <w:abstractNum w:abstractNumId="105">
    <w:nsid w:val="64212B8C"/>
    <w:multiLevelType w:val="hybridMultilevel"/>
    <w:lvl w:ilvl="0">
      <w:lvlJc w:val="left"/>
      <w:lvlText w:val="(%1)"/>
      <w:numFmt w:val="lowerLetter"/>
      <w:start w:val="1"/>
    </w:lvl>
  </w:abstractNum>
  <w:abstractNum w:abstractNumId="106">
    <w:nsid w:val="5C17530C"/>
    <w:multiLevelType w:val="hybridMultilevel"/>
    <w:lvl w:ilvl="0">
      <w:lvlJc w:val="left"/>
      <w:lvlText w:val="(%1)"/>
      <w:numFmt w:val="lowerLetter"/>
      <w:start w:val="2"/>
    </w:lvl>
  </w:abstractNum>
  <w:abstractNum w:abstractNumId="107">
    <w:nsid w:val="19A52566"/>
    <w:multiLevelType w:val="hybridMultilevel"/>
    <w:lvl w:ilvl="0">
      <w:lvlJc w:val="left"/>
      <w:lvlText w:val="(%1)"/>
      <w:numFmt w:val="lowerLetter"/>
      <w:start w:val="1"/>
    </w:lvl>
  </w:abstractNum>
  <w:abstractNum w:abstractNumId="108">
    <w:nsid w:val="335A1DF1"/>
    <w:multiLevelType w:val="hybridMultilevel"/>
    <w:lvl w:ilvl="0">
      <w:lvlJc w:val="left"/>
      <w:lvlText w:val="(%1)"/>
      <w:numFmt w:val="lowerLetter"/>
      <w:start w:val="4"/>
    </w:lvl>
  </w:abstractNum>
  <w:abstractNum w:abstractNumId="109">
    <w:nsid w:val="28677B7C"/>
    <w:multiLevelType w:val="hybridMultilevel"/>
    <w:lvl w:ilvl="0">
      <w:lvlJc w:val="left"/>
      <w:lvlText w:val="(%1)"/>
      <w:numFmt w:val="lowerLetter"/>
      <w:start w:val="1"/>
    </w:lvl>
  </w:abstractNum>
  <w:abstractNum w:abstractNumId="110">
    <w:nsid w:val="378D97C0"/>
    <w:multiLevelType w:val="hybridMultilevel"/>
    <w:lvl w:ilvl="0">
      <w:lvlJc w:val="left"/>
      <w:lvlText w:val="(%1)"/>
      <w:numFmt w:val="lowerLetter"/>
      <w:start w:val="1"/>
    </w:lvl>
  </w:abstractNum>
  <w:abstractNum w:abstractNumId="111">
    <w:nsid w:val="1D91467C"/>
    <w:multiLevelType w:val="hybridMultilevel"/>
    <w:lvl w:ilvl="0">
      <w:lvlJc w:val="left"/>
      <w:lvlText w:val="(%1)"/>
      <w:numFmt w:val="lowerLetter"/>
      <w:start w:val="3"/>
    </w:lvl>
  </w:abstractNum>
  <w:abstractNum w:abstractNumId="112">
    <w:nsid w:val="316032BB"/>
    <w:multiLevelType w:val="hybridMultilevel"/>
    <w:lvl w:ilvl="0">
      <w:lvlJc w:val="left"/>
      <w:lvlText w:val="(%1)"/>
      <w:numFmt w:val="lowerRoman"/>
      <w:start w:val="2"/>
    </w:lvl>
  </w:abstractNum>
  <w:abstractNum w:abstractNumId="113">
    <w:nsid w:val="44344C22"/>
    <w:multiLevelType w:val="hybridMultilevel"/>
    <w:lvl w:ilvl="0">
      <w:lvlJc w:val="left"/>
      <w:lvlText w:val="(%1)"/>
      <w:numFmt w:val="lowerLetter"/>
      <w:start w:val="2"/>
    </w:lvl>
  </w:abstractNum>
  <w:abstractNum w:abstractNumId="114">
    <w:nsid w:val="13CDFCFC"/>
    <w:multiLevelType w:val="hybridMultilevel"/>
    <w:lvl w:ilvl="0">
      <w:lvlJc w:val="left"/>
      <w:lvlText w:val="(%1)"/>
      <w:numFmt w:val="lowerLetter"/>
      <w:start w:val="2"/>
    </w:lvl>
  </w:abstractNum>
  <w:abstractNum w:abstractNumId="115">
    <w:nsid w:val="471745E4"/>
    <w:multiLevelType w:val="hybridMultilevel"/>
    <w:lvl w:ilvl="0">
      <w:lvlJc w:val="left"/>
      <w:lvlText w:val="(%1)"/>
      <w:numFmt w:val="lowerRoman"/>
      <w:start w:val="3"/>
    </w:lvl>
  </w:abstractNum>
  <w:abstractNum w:abstractNumId="116">
    <w:nsid w:val="1DDBC66"/>
    <w:multiLevelType w:val="hybridMultilevel"/>
    <w:lvl w:ilvl="0">
      <w:lvlJc w:val="left"/>
      <w:lvlText w:val="(%1)"/>
      <w:numFmt w:val="lowerRoman"/>
      <w:start w:val="1"/>
    </w:lvl>
  </w:abstractNum>
  <w:abstractNum w:abstractNumId="117">
    <w:nsid w:val="30AADFDA"/>
    <w:multiLevelType w:val="hybridMultilevel"/>
    <w:lvl w:ilvl="0">
      <w:lvlJc w:val="left"/>
      <w:lvlText w:val="%1"/>
      <w:numFmt w:val="lowerLetter"/>
      <w:start w:val="1"/>
    </w:lvl>
    <w:lvl w:ilvl="1">
      <w:lvlJc w:val="left"/>
      <w:lvlText w:val="(%2)"/>
      <w:numFmt w:val="lowerLetter"/>
      <w:start w:val="1"/>
    </w:lvl>
  </w:abstractNum>
  <w:abstractNum w:abstractNumId="118">
    <w:nsid w:val="30EADA61"/>
    <w:multiLevelType w:val="hybridMultilevel"/>
    <w:lvl w:ilvl="0">
      <w:lvlJc w:val="left"/>
      <w:lvlText w:val="(%1)"/>
      <w:numFmt w:val="lowerLetter"/>
      <w:start w:val="61"/>
    </w:lvl>
    <w:lvl w:ilvl="1">
      <w:lvlJc w:val="left"/>
      <w:lvlText w:val="%2"/>
      <w:numFmt w:val="lowerLetter"/>
      <w:start w:val="1"/>
    </w:lvl>
  </w:abstractNum>
  <w:abstractNum w:abstractNumId="119">
    <w:nsid w:val="27179C0B"/>
    <w:multiLevelType w:val="hybridMultilevel"/>
    <w:lvl w:ilvl="0">
      <w:lvlJc w:val="left"/>
      <w:lvlText w:val="(%1)"/>
      <w:numFmt w:val="lowerLetter"/>
      <w:start w:val="2"/>
    </w:lvl>
  </w:abstractNum>
  <w:abstractNum w:abstractNumId="120">
    <w:nsid w:val="5E636063"/>
    <w:multiLevelType w:val="hybridMultilevel"/>
    <w:lvl w:ilvl="0">
      <w:lvlJc w:val="left"/>
      <w:lvlText w:val="(%1)"/>
      <w:numFmt w:val="lowerLetter"/>
      <w:start w:val="1"/>
    </w:lvl>
  </w:abstractNum>
  <w:abstractNum w:abstractNumId="121">
    <w:nsid w:val="215641AF"/>
    <w:multiLevelType w:val="hybridMultilevel"/>
    <w:lvl w:ilvl="0">
      <w:lvlJc w:val="left"/>
      <w:lvlText w:val="(%1)"/>
      <w:numFmt w:val="lowerLetter"/>
      <w:start w:val="3"/>
    </w:lvl>
  </w:abstractNum>
  <w:abstractNum w:abstractNumId="122">
    <w:nsid w:val="53280662"/>
    <w:multiLevelType w:val="hybridMultilevel"/>
    <w:lvl w:ilvl="0">
      <w:lvlJc w:val="left"/>
      <w:lvlText w:val="(%1)"/>
      <w:numFmt w:val="lowerLetter"/>
      <w:start w:val="1"/>
    </w:lvl>
  </w:abstractNum>
  <w:abstractNum w:abstractNumId="123">
    <w:nsid w:val="46B24DBC"/>
    <w:multiLevelType w:val="hybridMultilevel"/>
    <w:lvl w:ilvl="0">
      <w:lvlJc w:val="left"/>
      <w:lvlText w:val="(%1)"/>
      <w:numFmt w:val="lowerLetter"/>
      <w:start w:val="19"/>
    </w:lvl>
  </w:abstractNum>
  <w:abstractNum w:abstractNumId="124">
    <w:nsid w:val="75B52783"/>
    <w:multiLevelType w:val="hybridMultilevel"/>
    <w:lvl w:ilvl="0">
      <w:lvlJc w:val="left"/>
      <w:lvlText w:val="(%1)"/>
      <w:numFmt w:val="lowerLetter"/>
      <w:start w:val="1"/>
    </w:lvl>
  </w:abstractNum>
  <w:abstractNum w:abstractNumId="125">
    <w:nsid w:val="57CE66B4"/>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26">
    <w:nsid w:val="67A70B69"/>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127">
    <w:nsid w:val="5953172F"/>
    <w:multiLevelType w:val="hybridMultilevel"/>
    <w:lvl w:ilvl="0">
      <w:lvlJc w:val="left"/>
      <w:lvlText w:val="(%1)"/>
      <w:numFmt w:val="lowerLetter"/>
      <w:start w:val="4"/>
    </w:lvl>
    <w:lvl w:ilvl="1">
      <w:lvlJc w:val="left"/>
      <w:lvlText w:val="(%2)"/>
      <w:numFmt w:val="lowerLetter"/>
      <w:start w:val="9"/>
    </w:lvl>
    <w:lvl w:ilvl="2">
      <w:lvlJc w:val="left"/>
      <w:lvlText w:val="%3"/>
      <w:numFmt w:val="upperLetter"/>
      <w:start w:val="1"/>
    </w:lvl>
  </w:abstractNum>
  <w:abstractNum w:abstractNumId="128">
    <w:nsid w:val="27EDFE3A"/>
    <w:multiLevelType w:val="hybridMultilevel"/>
    <w:lvl w:ilvl="0">
      <w:lvlJc w:val="left"/>
      <w:lvlText w:val="%1"/>
      <w:numFmt w:val="upperLetter"/>
      <w:start w:val="1"/>
    </w:lvl>
    <w:lvl w:ilvl="1">
      <w:lvlJc w:val="left"/>
      <w:lvlText w:val="(%2)"/>
      <w:numFmt w:val="lowerRoman"/>
      <w:start w:val="2"/>
    </w:lvl>
  </w:abstractNum>
  <w:abstractNum w:abstractNumId="129">
    <w:nsid w:val="52AC7DFF"/>
    <w:multiLevelType w:val="hybridMultilevel"/>
    <w:lvl w:ilvl="0">
      <w:lvlJc w:val="left"/>
      <w:lvlText w:val="(%1)"/>
      <w:numFmt w:val="upperLetter"/>
      <w:start w:val="2"/>
    </w:lvl>
    <w:lvl w:ilvl="1">
      <w:lvlJc w:val="left"/>
      <w:lvlText w:val="%2"/>
      <w:numFmt w:val="lowerRoman"/>
      <w:start w:val="1"/>
    </w:lvl>
  </w:abstractNum>
  <w:abstractNum w:abstractNumId="130">
    <w:nsid w:val="C4C3AF"/>
    <w:multiLevelType w:val="hybridMultilevel"/>
    <w:lvl w:ilvl="0">
      <w:lvlJc w:val="left"/>
      <w:lvlText w:val="(%1)"/>
      <w:numFmt w:val="lowerLetter"/>
      <w:start w:val="1"/>
    </w:lvl>
  </w:abstractNum>
  <w:abstractNum w:abstractNumId="131">
    <w:nsid w:val="44380727"/>
    <w:multiLevelType w:val="hybridMultilevel"/>
    <w:lvl w:ilvl="0">
      <w:lvlJc w:val="left"/>
      <w:lvlText w:val="(%1)"/>
      <w:numFmt w:val="lowerLetter"/>
      <w:start w:val="2"/>
    </w:lvl>
  </w:abstractNum>
  <w:abstractNum w:abstractNumId="132">
    <w:nsid w:val="6C053B16"/>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33">
    <w:nsid w:val="4F294393"/>
    <w:multiLevelType w:val="hybridMultilevel"/>
    <w:lvl w:ilvl="0">
      <w:lvlJc w:val="left"/>
      <w:lvlText w:val="(%1)"/>
      <w:numFmt w:val="lowerRoman"/>
      <w:start w:val="3"/>
    </w:lvl>
    <w:lvl w:ilvl="1">
      <w:lvlJc w:val="left"/>
      <w:lvlText w:val="(%2)"/>
      <w:numFmt w:val="upperLetter"/>
      <w:start w:val="1"/>
    </w:lvl>
  </w:abstractNum>
  <w:abstractNum w:abstractNumId="134">
    <w:nsid w:val="5243BFAC"/>
    <w:multiLevelType w:val="hybridMultilevel"/>
    <w:lvl w:ilvl="0">
      <w:lvlJc w:val="left"/>
      <w:lvlText w:val="(%1)"/>
      <w:numFmt w:val="lowerLetter"/>
      <w:start w:val="2"/>
    </w:lvl>
    <w:lvl w:ilvl="1">
      <w:lvlJc w:val="left"/>
      <w:lvlText w:val="(%2)"/>
      <w:numFmt w:val="lowerRoman"/>
      <w:start w:val="1"/>
    </w:lvl>
  </w:abstractNum>
  <w:abstractNum w:abstractNumId="135">
    <w:nsid w:val="425EB207"/>
    <w:multiLevelType w:val="hybridMultilevel"/>
    <w:lvl w:ilvl="0">
      <w:lvlJc w:val="left"/>
      <w:lvlText w:val="%1"/>
      <w:numFmt w:val="lowerRoman"/>
      <w:start w:val="1"/>
    </w:lvl>
    <w:lvl w:ilvl="1">
      <w:lvlJc w:val="left"/>
      <w:lvlText w:val="(%2)"/>
      <w:numFmt w:val="lowerRoman"/>
      <w:start w:val="3"/>
    </w:lvl>
  </w:abstractNum>
  <w:abstractNum w:abstractNumId="136">
    <w:nsid w:val="334A6F1F"/>
    <w:multiLevelType w:val="hybridMultilevel"/>
    <w:lvl w:ilvl="0">
      <w:lvlJc w:val="left"/>
      <w:lvlText w:val="(%1)"/>
      <w:numFmt w:val="lowerRoman"/>
      <w:start w:val="3"/>
    </w:lvl>
    <w:lvl w:ilvl="1">
      <w:lvlJc w:val="left"/>
      <w:lvlText w:val="(%2)"/>
      <w:numFmt w:val="lowerRoman"/>
      <w:start w:val="4"/>
    </w:lvl>
  </w:abstractNum>
  <w:abstractNum w:abstractNumId="137">
    <w:nsid w:val="2E5B12B8"/>
    <w:multiLevelType w:val="hybridMultilevel"/>
    <w:lvl w:ilvl="0">
      <w:lvlJc w:val="left"/>
      <w:lvlText w:val="(%1)"/>
      <w:numFmt w:val="lowerLetter"/>
      <w:start w:val="3"/>
    </w:lvl>
    <w:lvl w:ilvl="1">
      <w:lvlJc w:val="left"/>
      <w:lvlText w:val="(%2)"/>
      <w:numFmt w:val="lowerLetter"/>
      <w:start w:val="9"/>
    </w:lvl>
  </w:abstractNum>
  <w:abstractNum w:abstractNumId="138">
    <w:nsid w:val="5C03D76D"/>
    <w:multiLevelType w:val="hybridMultilevel"/>
    <w:lvl w:ilvl="0">
      <w:lvlJc w:val="left"/>
      <w:lvlText w:val="(%1)"/>
      <w:numFmt w:val="lowerRoman"/>
      <w:start w:val="2"/>
    </w:lvl>
  </w:abstractNum>
  <w:abstractNum w:abstractNumId="139">
    <w:nsid w:val="66A48D11"/>
    <w:multiLevelType w:val="hybridMultilevel"/>
    <w:lvl w:ilvl="0">
      <w:lvlJc w:val="left"/>
      <w:lvlText w:val="%1"/>
      <w:numFmt w:val="lowerLetter"/>
      <w:start w:val="1"/>
    </w:lvl>
    <w:lvl w:ilvl="1">
      <w:lvlJc w:val="left"/>
      <w:lvlText w:val="(%2)"/>
      <w:numFmt w:val="lowerRoman"/>
      <w:start w:val="6"/>
    </w:lvl>
  </w:abstractNum>
  <w:abstractNum w:abstractNumId="140">
    <w:nsid w:val="56C28E34"/>
    <w:multiLevelType w:val="hybridMultilevel"/>
    <w:lvl w:ilvl="0">
      <w:lvlJc w:val="left"/>
      <w:lvlText w:val="(%1)"/>
      <w:numFmt w:val="lowerLetter"/>
      <w:start w:val="4"/>
    </w:lvl>
    <w:lvl w:ilvl="1">
      <w:lvlJc w:val="left"/>
      <w:lvlText w:val="(%2)"/>
      <w:numFmt w:val="lowerRoman"/>
      <w:start w:val="1"/>
    </w:lvl>
  </w:abstractNum>
  <w:abstractNum w:abstractNumId="141">
    <w:nsid w:val="13916F2D"/>
    <w:multiLevelType w:val="hybridMultilevel"/>
    <w:lvl w:ilvl="0">
      <w:lvlJc w:val="left"/>
      <w:lvlText w:val="%1"/>
      <w:numFmt w:val="lowerLetter"/>
      <w:start w:val="1"/>
    </w:lvl>
    <w:lvl w:ilvl="1">
      <w:lvlJc w:val="left"/>
      <w:lvlText w:val="(%2)"/>
      <w:numFmt w:val="lowerRoman"/>
      <w:start w:val="5"/>
    </w:lvl>
  </w:abstractNum>
  <w:abstractNum w:abstractNumId="142">
    <w:nsid w:val="435D38D"/>
    <w:multiLevelType w:val="hybridMultilevel"/>
    <w:lvl w:ilvl="0">
      <w:lvlJc w:val="left"/>
      <w:lvlText w:val="(%1)"/>
      <w:numFmt w:val="lowerLetter"/>
      <w:start w:val="6"/>
    </w:lvl>
    <w:lvl w:ilvl="1">
      <w:lvlJc w:val="left"/>
      <w:lvlText w:val="%2"/>
      <w:numFmt w:val="lowerRoman"/>
      <w:start w:val="1"/>
    </w:lvl>
  </w:abstractNum>
  <w:abstractNum w:abstractNumId="143">
    <w:nsid w:val="822C0EF"/>
    <w:multiLevelType w:val="hybridMultilevel"/>
    <w:lvl w:ilvl="0">
      <w:lvlJc w:val="left"/>
      <w:lvlText w:val="(%1)"/>
      <w:numFmt w:val="lowerLetter"/>
      <w:start w:val="9"/>
    </w:lvl>
  </w:abstractNum>
  <w:abstractNum w:abstractNumId="144">
    <w:nsid w:val="57C5BB4F"/>
    <w:multiLevelType w:val="hybridMultilevel"/>
    <w:lvl w:ilvl="0">
      <w:lvlJc w:val="left"/>
      <w:lvlText w:val="(%1)"/>
      <w:numFmt w:val="lowerLetter"/>
      <w:start w:val="1"/>
    </w:lvl>
  </w:abstractNum>
  <w:abstractNum w:abstractNumId="145">
    <w:nsid w:val="1803D089"/>
    <w:multiLevelType w:val="hybridMultilevel"/>
    <w:lvl w:ilvl="0">
      <w:lvlJc w:val="left"/>
      <w:lvlText w:val="(%1)"/>
      <w:numFmt w:val="lowerLetter"/>
      <w:start w:val="3"/>
    </w:lvl>
    <w:lvl w:ilvl="1">
      <w:lvlJc w:val="left"/>
      <w:lvlText w:val="(%2)"/>
      <w:numFmt w:val="lowerRoman"/>
      <w:start w:val="1"/>
    </w:lvl>
  </w:abstractNum>
  <w:abstractNum w:abstractNumId="146">
    <w:nsid w:val="4F3A06D4"/>
    <w:multiLevelType w:val="hybridMultilevel"/>
    <w:lvl w:ilvl="0">
      <w:lvlJc w:val="left"/>
      <w:lvlText w:val="%1"/>
      <w:numFmt w:val="lowerLetter"/>
      <w:start w:val="1"/>
    </w:lvl>
    <w:lvl w:ilvl="1">
      <w:lvlJc w:val="left"/>
      <w:lvlText w:val="(%2)"/>
      <w:numFmt w:val="lowerRoman"/>
      <w:start w:val="4"/>
    </w:lvl>
  </w:abstractNum>
  <w:abstractNum w:abstractNumId="147">
    <w:nsid w:val="59A377B6"/>
    <w:multiLevelType w:val="hybridMultilevel"/>
    <w:lvl w:ilvl="0">
      <w:lvlJc w:val="left"/>
      <w:lvlText w:val="(%1)"/>
      <w:numFmt w:val="lowerLetter"/>
      <w:start w:val="4"/>
    </w:lvl>
    <w:lvl w:ilvl="1">
      <w:lvlJc w:val="left"/>
      <w:lvlText w:val="%2"/>
      <w:numFmt w:val="lowerRoman"/>
      <w:start w:val="1"/>
    </w:lvl>
  </w:abstractNum>
  <w:abstractNum w:abstractNumId="148">
    <w:nsid w:val="48AEB063"/>
    <w:multiLevelType w:val="hybridMultilevel"/>
    <w:lvl w:ilvl="0">
      <w:lvlJc w:val="left"/>
      <w:lvlText w:val="(%1)"/>
      <w:numFmt w:val="lowerLetter"/>
      <w:start w:val="1"/>
    </w:lvl>
  </w:abstractNum>
  <w:abstractNum w:abstractNumId="149">
    <w:nsid w:val="24E135"/>
    <w:multiLevelType w:val="hybridMultilevel"/>
    <w:lvl w:ilvl="0">
      <w:lvlJc w:val="left"/>
      <w:lvlText w:val="(%1)"/>
      <w:numFmt w:val="lowerLetter"/>
      <w:start w:val="3"/>
    </w:lvl>
  </w:abstractNum>
  <w:abstractNum w:abstractNumId="150">
    <w:nsid w:val="BB13C1"/>
    <w:multiLevelType w:val="hybridMultilevel"/>
    <w:lvl w:ilvl="0">
      <w:lvlJc w:val="left"/>
      <w:lvlText w:val="(%1)"/>
      <w:numFmt w:val="lowerLetter"/>
      <w:start w:val="1"/>
    </w:lvl>
    <w:lvl w:ilvl="1">
      <w:lvlJc w:val="left"/>
      <w:lvlText w:val="(%2)"/>
      <w:numFmt w:val="lowerRoman"/>
      <w:start w:val="1"/>
    </w:lvl>
  </w:abstractNum>
  <w:abstractNum w:abstractNumId="151">
    <w:nsid w:val="271210C7"/>
    <w:multiLevelType w:val="hybridMultilevel"/>
    <w:lvl w:ilvl="0">
      <w:lvlJc w:val="left"/>
      <w:lvlText w:val="(%1)"/>
      <w:numFmt w:val="lowerLetter"/>
      <w:start w:val="2"/>
    </w:lvl>
    <w:lvl w:ilvl="1">
      <w:lvlJc w:val="left"/>
      <w:lvlText w:val="(%2)"/>
      <w:numFmt w:val="lowerRoman"/>
      <w:start w:val="1"/>
    </w:lvl>
  </w:abstractNum>
  <w:abstractNum w:abstractNumId="152">
    <w:nsid w:val="217B22E4"/>
    <w:multiLevelType w:val="hybridMultilevel"/>
    <w:lvl w:ilvl="0">
      <w:lvlJc w:val="left"/>
      <w:lvlText w:val="%1"/>
      <w:numFmt w:val="lowerLetter"/>
      <w:start w:val="1"/>
    </w:lvl>
    <w:lvl w:ilvl="1">
      <w:lvlJc w:val="left"/>
      <w:lvlText w:val="(%2)"/>
      <w:numFmt w:val="lowerRoman"/>
      <w:start w:val="7"/>
    </w:lvl>
  </w:abstractNum>
  <w:abstractNum w:abstractNumId="153">
    <w:nsid w:val="53E31A24"/>
    <w:multiLevelType w:val="hybridMultilevel"/>
    <w:lvl w:ilvl="0">
      <w:lvlJc w:val="left"/>
      <w:lvlText w:val="(%1)"/>
      <w:numFmt w:val="lowerLetter"/>
      <w:start w:val="3"/>
    </w:lvl>
    <w:lvl w:ilvl="1">
      <w:lvlJc w:val="left"/>
      <w:lvlText w:val="(%2)"/>
      <w:numFmt w:val="lowerRoman"/>
      <w:start w:val="1"/>
    </w:lvl>
  </w:abstractNum>
  <w:abstractNum w:abstractNumId="154">
    <w:nsid w:val="6DC45E83"/>
    <w:multiLevelType w:val="hybridMultilevel"/>
    <w:lvl w:ilvl="0">
      <w:lvlJc w:val="left"/>
      <w:lvlText w:val="(%1)"/>
      <w:numFmt w:val="lowerLetter"/>
      <w:start w:val="1"/>
    </w:lvl>
  </w:abstractNum>
  <w:abstractNum w:abstractNumId="155">
    <w:nsid w:val="17304A67"/>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156">
    <w:nsid w:val="2BB180D8"/>
    <w:multiLevelType w:val="hybridMultilevel"/>
    <w:lvl w:ilvl="0">
      <w:lvlJc w:val="left"/>
      <w:lvlText w:val="(%1)"/>
      <w:numFmt w:val="lowerRoman"/>
      <w:start w:val="4"/>
    </w:lvl>
    <w:lvl w:ilvl="1">
      <w:lvlJc w:val="left"/>
      <w:lvlText w:val="(%2)"/>
      <w:numFmt w:val="lowerLetter"/>
      <w:start w:val="2"/>
    </w:lvl>
    <w:lvl w:ilvl="2">
      <w:lvlJc w:val="left"/>
      <w:lvlText w:val="(%3)"/>
      <w:numFmt w:val="lowerRoman"/>
      <w:start w:val="2"/>
    </w:lvl>
  </w:abstractNum>
  <w:abstractNum w:abstractNumId="157">
    <w:nsid w:val="556B69ED"/>
    <w:multiLevelType w:val="hybridMultilevel"/>
    <w:lvl w:ilvl="0">
      <w:lvlJc w:val="left"/>
      <w:lvlText w:val="(%1)"/>
      <w:numFmt w:val="lowerLetter"/>
      <w:start w:val="3"/>
    </w:lvl>
    <w:lvl w:ilvl="1">
      <w:lvlJc w:val="left"/>
      <w:lvlText w:val="(%2)"/>
      <w:numFmt w:val="lowerRoman"/>
      <w:start w:val="1"/>
    </w:lvl>
  </w:abstractNum>
  <w:abstractNum w:abstractNumId="158">
    <w:nsid w:val="70836196"/>
    <w:multiLevelType w:val="hybridMultilevel"/>
    <w:lvl w:ilvl="0">
      <w:lvlJc w:val="left"/>
      <w:lvlText w:val="(%1)"/>
      <w:numFmt w:val="lowerLetter"/>
      <w:start w:val="1"/>
    </w:lvl>
  </w:abstractNum>
  <w:abstractNum w:abstractNumId="159">
    <w:nsid w:val="539F7F12"/>
    <w:multiLevelType w:val="hybridMultilevel"/>
    <w:lvl w:ilvl="0">
      <w:lvlJc w:val="left"/>
      <w:lvlText w:val="(%1)"/>
      <w:numFmt w:val="lowerLetter"/>
      <w:start w:val="2"/>
    </w:lvl>
  </w:abstractNum>
  <w:abstractNum w:abstractNumId="160">
    <w:nsid w:val="2817E7EC"/>
    <w:multiLevelType w:val="hybridMultilevel"/>
    <w:lvl w:ilvl="0">
      <w:lvlJc w:val="left"/>
      <w:lvlText w:val="(%1)"/>
      <w:numFmt w:val="lowerLetter"/>
      <w:start w:val="1"/>
    </w:lvl>
  </w:abstractNum>
  <w:abstractNum w:abstractNumId="161">
    <w:nsid w:val="71482545"/>
    <w:multiLevelType w:val="hybridMultilevel"/>
    <w:lvl w:ilvl="0">
      <w:lvlJc w:val="left"/>
      <w:lvlText w:val="(%1)"/>
      <w:numFmt w:val="lowerLetter"/>
      <w:start w:val="2"/>
    </w:lvl>
  </w:abstractNum>
  <w:abstractNum w:abstractNumId="162">
    <w:nsid w:val="17D78639"/>
    <w:multiLevelType w:val="hybridMultilevel"/>
    <w:lvl w:ilvl="0">
      <w:lvlJc w:val="left"/>
      <w:lvlText w:val="(%1)"/>
      <w:numFmt w:val="lowerLetter"/>
      <w:start w:val="1"/>
    </w:lvl>
    <w:lvl w:ilvl="1">
      <w:lvlJc w:val="left"/>
      <w:lvlText w:val="(%2)"/>
      <w:numFmt w:val="lowerLetter"/>
      <w:start w:val="9"/>
    </w:lvl>
  </w:abstractNum>
  <w:abstractNum w:abstractNumId="163">
    <w:nsid w:val="141D2302"/>
    <w:multiLevelType w:val="hybridMultilevel"/>
    <w:lvl w:ilvl="0">
      <w:lvlJc w:val="left"/>
      <w:lvlText w:val="(%1)"/>
      <w:numFmt w:val="lowerRoman"/>
      <w:start w:val="2"/>
    </w:lvl>
  </w:abstractNum>
  <w:abstractNum w:abstractNumId="164">
    <w:nsid w:val="407168D8"/>
    <w:multiLevelType w:val="hybridMultilevel"/>
    <w:lvl w:ilvl="0">
      <w:lvlJc w:val="left"/>
      <w:lvlText w:val="(%1)"/>
      <w:numFmt w:val="lowerLetter"/>
      <w:start w:val="3"/>
    </w:lvl>
  </w:abstractNum>
  <w:abstractNum w:abstractNumId="165">
    <w:nsid w:val="6A1B45E5"/>
    <w:multiLevelType w:val="hybridMultilevel"/>
    <w:lvl w:ilvl="0">
      <w:lvlJc w:val="left"/>
      <w:lvlText w:val="(%1)"/>
      <w:numFmt w:val="lowerLetter"/>
      <w:start w:val="4"/>
    </w:lvl>
  </w:abstractNum>
  <w:abstractNum w:abstractNumId="166">
    <w:nsid w:val="567BD50A"/>
    <w:multiLevelType w:val="hybridMultilevel"/>
    <w:lvl w:ilvl="0">
      <w:lvlJc w:val="left"/>
      <w:lvlText w:val="(%1)"/>
      <w:numFmt w:val="upperLetter"/>
      <w:start w:val="1"/>
    </w:lvl>
    <w:lvl w:ilvl="1">
      <w:lvlJc w:val="left"/>
      <w:lvlText w:val="(%2)"/>
      <w:numFmt w:val="lowerRoman"/>
      <w:start w:val="1"/>
    </w:lvl>
  </w:abstractNum>
  <w:abstractNum w:abstractNumId="167">
    <w:nsid w:val="73BBD7F8"/>
    <w:multiLevelType w:val="hybridMultilevel"/>
    <w:lvl w:ilvl="0">
      <w:lvlJc w:val="left"/>
      <w:lvlText w:val="(%1)"/>
      <w:numFmt w:val="lowerLetter"/>
      <w:start w:val="1"/>
    </w:lvl>
  </w:abstractNum>
  <w:abstractNum w:abstractNumId="168">
    <w:nsid w:val="1876589D"/>
    <w:multiLevelType w:val="hybridMultilevel"/>
    <w:lvl w:ilvl="0">
      <w:lvlJc w:val="left"/>
      <w:lvlText w:val="(%1)"/>
      <w:numFmt w:val="lowerLetter"/>
      <w:start w:val="1"/>
    </w:lvl>
  </w:abstractNum>
  <w:abstractNum w:abstractNumId="169">
    <w:nsid w:val="327FAC77"/>
    <w:multiLevelType w:val="hybridMultilevel"/>
    <w:lvl w:ilvl="0">
      <w:lvlJc w:val="left"/>
      <w:lvlText w:val="(%1)"/>
      <w:numFmt w:val="lowerLetter"/>
      <w:start w:val="2"/>
    </w:lvl>
    <w:lvl w:ilvl="1">
      <w:lvlJc w:val="left"/>
      <w:lvlText w:val="(%2)"/>
      <w:numFmt w:val="lowerRoman"/>
      <w:start w:val="1"/>
    </w:lvl>
  </w:abstractNum>
  <w:abstractNum w:abstractNumId="170">
    <w:nsid w:val="5A606509"/>
    <w:multiLevelType w:val="hybridMultilevel"/>
    <w:lvl w:ilvl="0">
      <w:lvlJc w:val="left"/>
      <w:lvlText w:val="(%1)"/>
      <w:numFmt w:val="lowerLetter"/>
      <w:start w:val="3"/>
    </w:lvl>
    <w:lvl w:ilvl="1">
      <w:lvlJc w:val="left"/>
      <w:lvlText w:val="(%2)"/>
      <w:numFmt w:val="lowerRoman"/>
      <w:start w:val="1"/>
    </w:lvl>
  </w:abstractNum>
  <w:abstractNum w:abstractNumId="171">
    <w:nsid w:val="6F38E6D1"/>
    <w:multiLevelType w:val="hybridMultilevel"/>
    <w:lvl w:ilvl="0">
      <w:lvlJc w:val="left"/>
      <w:lvlText w:val="(%1)"/>
      <w:numFmt w:val="lowerLetter"/>
      <w:start w:val="5"/>
    </w:lvl>
    <w:lvl w:ilvl="1">
      <w:lvlJc w:val="left"/>
      <w:lvlText w:val="(%2)"/>
      <w:numFmt w:val="lowerRoman"/>
      <w:start w:val="1"/>
    </w:lvl>
  </w:abstractNum>
  <w:abstractNum w:abstractNumId="172">
    <w:nsid w:val="46111BA5"/>
    <w:multiLevelType w:val="hybridMultilevel"/>
    <w:lvl w:ilvl="0">
      <w:lvlJc w:val="left"/>
      <w:lvlText w:val="(%1)"/>
      <w:numFmt w:val="lowerLetter"/>
      <w:start w:val="1"/>
    </w:lvl>
  </w:abstractNum>
  <w:abstractNum w:abstractNumId="173">
    <w:nsid w:val="5E963896"/>
    <w:multiLevelType w:val="hybridMultilevel"/>
    <w:lvl w:ilvl="0">
      <w:lvlJc w:val="left"/>
      <w:lvlText w:val="(%1)"/>
      <w:numFmt w:val="lowerLetter"/>
      <w:start w:val="1"/>
    </w:lvl>
    <w:lvl w:ilvl="1">
      <w:lvlJc w:val="left"/>
      <w:lvlText w:val="(%2)"/>
      <w:numFmt w:val="lowerRoman"/>
      <w:start w:val="1"/>
    </w:lvl>
  </w:abstractNum>
  <w:abstractNum w:abstractNumId="174">
    <w:nsid w:val="775BA7C1"/>
    <w:multiLevelType w:val="hybridMultilevel"/>
    <w:lvl w:ilvl="0">
      <w:lvlJc w:val="left"/>
      <w:lvlText w:val="%1"/>
      <w:numFmt w:val="upperLetter"/>
      <w:start w:val="1"/>
    </w:lvl>
    <w:lvl w:ilvl="1">
      <w:lvlJc w:val="left"/>
      <w:lvlText w:val="(%2)"/>
      <w:numFmt w:val="lowerRoman"/>
      <w:start w:val="3"/>
    </w:lvl>
  </w:abstractNum>
  <w:abstractNum w:abstractNumId="175">
    <w:nsid w:val="1DD6D6F4"/>
    <w:multiLevelType w:val="hybridMultilevel"/>
    <w:lvl w:ilvl="0">
      <w:lvlJc w:val="left"/>
      <w:lvlText w:val="(%1)"/>
      <w:numFmt w:val="upperLetter"/>
      <w:start w:val="1"/>
    </w:lvl>
    <w:lvl w:ilvl="1">
      <w:lvlJc w:val="left"/>
      <w:lvlText w:val="(%2)"/>
      <w:numFmt w:val="lowerRoman"/>
      <w:start w:val="4"/>
    </w:lvl>
  </w:abstractNum>
  <w:abstractNum w:abstractNumId="176">
    <w:nsid w:val="769A091F"/>
    <w:multiLevelType w:val="hybridMultilevel"/>
    <w:lvl w:ilvl="0">
      <w:lvlJc w:val="left"/>
      <w:lvlText w:val="(%1)"/>
      <w:numFmt w:val="lowerLetter"/>
      <w:start w:val="2"/>
    </w:lvl>
  </w:abstractNum>
  <w:abstractNum w:abstractNumId="177">
    <w:nsid w:val="4695AE95"/>
    <w:multiLevelType w:val="hybridMultilevel"/>
    <w:lvl w:ilvl="0">
      <w:lvlJc w:val="left"/>
      <w:lvlText w:val="(%1)"/>
      <w:numFmt w:val="lowerLetter"/>
      <w:start w:val="1"/>
    </w:lvl>
  </w:abstractNum>
  <w:abstractNum w:abstractNumId="178">
    <w:nsid w:val="777A4EAA"/>
    <w:multiLevelType w:val="hybridMultilevel"/>
    <w:lvl w:ilvl="0">
      <w:lvlJc w:val="left"/>
      <w:lvlText w:val="%1"/>
      <w:numFmt w:val="lowerLetter"/>
      <w:start w:val="1"/>
    </w:lvl>
    <w:lvl w:ilvl="1">
      <w:lvlJc w:val="left"/>
      <w:lvlText w:val="(%2)"/>
      <w:numFmt w:val="lowerLetter"/>
      <w:start w:val="5"/>
    </w:lvl>
  </w:abstractNum>
  <w:abstractNum w:abstractNumId="179">
    <w:nsid w:val="3F48B982"/>
    <w:multiLevelType w:val="hybridMultilevel"/>
    <w:lvl w:ilvl="0">
      <w:lvlJc w:val="left"/>
      <w:lvlText w:val="(%1)"/>
      <w:numFmt w:val="lowerLetter"/>
      <w:start w:val="1"/>
    </w:lvl>
    <w:lvl w:ilvl="1">
      <w:lvlJc w:val="left"/>
      <w:lvlText w:val="(%2)"/>
      <w:numFmt w:val="lowerLetter"/>
      <w:start w:val="6"/>
    </w:lvl>
  </w:abstractNum>
  <w:abstractNum w:abstractNumId="180">
    <w:nsid w:val="46BA8FCA"/>
    <w:multiLevelType w:val="hybridMultilevel"/>
    <w:lvl w:ilvl="0">
      <w:lvlJc w:val="left"/>
      <w:lvlText w:val="(%1)"/>
      <w:numFmt w:val="lowerLetter"/>
      <w:start w:val="1"/>
    </w:lvl>
    <w:lvl w:ilvl="1">
      <w:lvlJc w:val="left"/>
      <w:lvlText w:val="(%2)"/>
      <w:numFmt w:val="lowerRoman"/>
      <w:start w:val="1"/>
    </w:lvl>
  </w:abstractNum>
  <w:abstractNum w:abstractNumId="181">
    <w:nsid w:val="7835626C"/>
    <w:multiLevelType w:val="hybridMultilevel"/>
    <w:lvl w:ilvl="0">
      <w:lvlJc w:val="left"/>
      <w:lvlText w:val="(%1)"/>
      <w:numFmt w:val="lowerLetter"/>
      <w:start w:val="2"/>
    </w:lvl>
    <w:lvl w:ilvl="1">
      <w:lvlJc w:val="left"/>
      <w:lvlText w:val="(%2)"/>
      <w:numFmt w:val="lowerRoman"/>
      <w:start w:val="1"/>
    </w:lvl>
  </w:abstractNum>
  <w:abstractNum w:abstractNumId="182">
    <w:nsid w:val="665ACA49"/>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lvl w:ilvl="3">
      <w:lvlJc w:val="left"/>
      <w:lvlText w:val="(%4)"/>
      <w:numFmt w:val="upperLetter"/>
      <w:start w:val="9"/>
    </w:lvl>
  </w:abstractNum>
  <w:abstractNum w:abstractNumId="183">
    <w:nsid w:val="6835B2AE"/>
    <w:multiLevelType w:val="hybridMultilevel"/>
    <w:lvl w:ilvl="0">
      <w:lvlJc w:val="left"/>
      <w:lvlText w:val="(%1)"/>
      <w:numFmt w:val="upperLetter"/>
      <w:start w:val="35"/>
    </w:lvl>
  </w:abstractNum>
  <w:abstractNum w:abstractNumId="184">
    <w:nsid w:val="4C187C90"/>
    <w:multiLevelType w:val="hybridMultilevel"/>
    <w:lvl w:ilvl="0">
      <w:lvlJc w:val="left"/>
      <w:lvlText w:val="(%1)"/>
      <w:numFmt w:val="upperLetter"/>
      <w:start w:val="61"/>
    </w:lvl>
  </w:abstractNum>
  <w:abstractNum w:abstractNumId="185">
    <w:nsid w:val="541F28CD"/>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1"/>
    </w:lvl>
    <w:lvl w:ilvl="3">
      <w:lvlJc w:val="left"/>
      <w:lvlText w:val="(%4)"/>
      <w:numFmt w:val="upperLetter"/>
      <w:start w:val="22"/>
    </w:lvl>
  </w:abstractNum>
  <w:abstractNum w:abstractNumId="186">
    <w:nsid w:val="7F65FD16"/>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3"/>
    </w:lvl>
    <w:lvl w:ilvl="3">
      <w:lvlJc w:val="left"/>
      <w:lvlText w:val="%4"/>
      <w:numFmt w:val="upperLetter"/>
      <w:start w:val="1"/>
    </w:lvl>
  </w:abstractNum>
  <w:abstractNum w:abstractNumId="187">
    <w:nsid w:val="77C9FD68"/>
    <w:multiLevelType w:val="hybridMultilevel"/>
    <w:lvl w:ilvl="0">
      <w:lvlJc w:val="left"/>
      <w:lvlText w:val="%1"/>
      <w:numFmt w:val="lowerLetter"/>
      <w:start w:val="1"/>
    </w:lvl>
    <w:lvl w:ilvl="1">
      <w:lvlJc w:val="left"/>
      <w:lvlText w:val="(%2)"/>
      <w:numFmt w:val="lowerLetter"/>
      <w:start w:val="61"/>
    </w:lvl>
    <w:lvl w:ilvl="2">
      <w:lvlJc w:val="left"/>
      <w:lvlText w:val="%3"/>
      <w:numFmt w:val="upperLetter"/>
      <w:start w:val="1"/>
    </w:lvl>
    <w:lvl w:ilvl="3">
      <w:lvlJc w:val="left"/>
      <w:lvlText w:val="%4"/>
      <w:numFmt w:val="upperLetter"/>
      <w:start w:val="1"/>
    </w:lvl>
  </w:abstractNum>
  <w:abstractNum w:abstractNumId="188">
    <w:nsid w:val="298A92BA"/>
    <w:multiLevelType w:val="hybridMultilevel"/>
    <w:lvl w:ilvl="0">
      <w:lvlJc w:val="left"/>
      <w:lvlText w:val="(%1)"/>
      <w:numFmt w:val="lowerLetter"/>
      <w:start w:val="6"/>
    </w:lvl>
    <w:lvl w:ilvl="1">
      <w:lvlJc w:val="left"/>
      <w:lvlText w:val="%2"/>
      <w:numFmt w:val="lowerLetter"/>
      <w:start w:val="1"/>
    </w:lvl>
    <w:lvl w:ilvl="2">
      <w:lvlJc w:val="left"/>
      <w:lvlText w:val="%3"/>
      <w:numFmt w:val="upperLetter"/>
      <w:start w:val="1"/>
    </w:lvl>
    <w:lvl w:ilvl="3">
      <w:lvlJc w:val="left"/>
      <w:lvlText w:val="%4"/>
      <w:numFmt w:val="upperLetter"/>
      <w:start w:val="1"/>
    </w:lvl>
  </w:abstractNum>
  <w:abstractNum w:abstractNumId="189">
    <w:nsid w:val="6FE95EAC"/>
    <w:multiLevelType w:val="hybridMultilevel"/>
    <w:lvl w:ilvl="0">
      <w:lvlJc w:val="left"/>
      <w:lvlText w:val="(%1)"/>
      <w:numFmt w:val="lowerLetter"/>
      <w:start w:val="1"/>
    </w:lvl>
    <w:lvl w:ilvl="1">
      <w:lvlJc w:val="left"/>
      <w:lvlText w:val="(%2)"/>
      <w:numFmt w:val="lowerRoman"/>
      <w:start w:val="1"/>
    </w:lvl>
  </w:abstractNum>
  <w:abstractNum w:abstractNumId="190">
    <w:nsid w:val="4B697C7A"/>
    <w:multiLevelType w:val="hybridMultilevel"/>
    <w:lvl w:ilvl="0">
      <w:lvlJc w:val="left"/>
      <w:lvlText w:val="(%1)"/>
      <w:numFmt w:val="lowerRoman"/>
      <w:start w:val="3"/>
    </w:lvl>
  </w:abstractNum>
  <w:abstractNum w:abstractNumId="191">
    <w:nsid w:val="51A27AA6"/>
    <w:multiLevelType w:val="hybridMultilevel"/>
    <w:lvl w:ilvl="0">
      <w:lvlJc w:val="left"/>
      <w:lvlText w:val="(%1)"/>
      <w:numFmt w:val="lowerRoman"/>
      <w:start w:val="7"/>
    </w:lvl>
  </w:abstractNum>
  <w:abstractNum w:abstractNumId="192">
    <w:nsid w:val="613183F2"/>
    <w:multiLevelType w:val="hybridMultilevel"/>
    <w:lvl w:ilvl="0">
      <w:lvlJc w:val="left"/>
      <w:lvlText w:val="(%1)"/>
      <w:numFmt w:val="lowerLetter"/>
      <w:start w:val="1"/>
    </w:lvl>
    <w:lvl w:ilvl="1">
      <w:lvlJc w:val="left"/>
      <w:lvlText w:val="(%2)"/>
      <w:numFmt w:val="lowerRoman"/>
      <w:start w:val="1"/>
    </w:lvl>
  </w:abstractNum>
  <w:abstractNum w:abstractNumId="193">
    <w:nsid w:val="634102B4"/>
    <w:multiLevelType w:val="hybridMultilevel"/>
    <w:lvl w:ilvl="0">
      <w:lvlJc w:val="left"/>
      <w:lvlText w:val="(%1)"/>
      <w:numFmt w:val="lowerLetter"/>
      <w:start w:val="2"/>
    </w:lvl>
  </w:abstractNum>
  <w:abstractNum w:abstractNumId="194">
    <w:nsid w:val="65BF9DA8"/>
    <w:multiLevelType w:val="hybridMultilevel"/>
    <w:lvl w:ilvl="0">
      <w:lvlJc w:val="left"/>
      <w:lvlText w:val="%1"/>
      <w:numFmt w:val="lowerLetter"/>
      <w:start w:val="1"/>
    </w:lvl>
    <w:lvl w:ilvl="1">
      <w:lvlJc w:val="left"/>
      <w:lvlText w:val="(%2)"/>
      <w:numFmt w:val="lowerLetter"/>
      <w:start w:val="3"/>
    </w:lvl>
  </w:abstractNum>
  <w:abstractNum w:abstractNumId="195">
    <w:nsid w:val="21A2ECCA"/>
    <w:multiLevelType w:val="hybridMultilevel"/>
    <w:lvl w:ilvl="0">
      <w:lvlJc w:val="left"/>
      <w:lvlText w:val="(%1)"/>
      <w:numFmt w:val="lowerLetter"/>
      <w:start w:val="2"/>
    </w:lvl>
    <w:lvl w:ilvl="1">
      <w:lvlJc w:val="left"/>
      <w:lvlText w:val="(%2)"/>
      <w:numFmt w:val="lowerLetter"/>
      <w:start w:val="4"/>
    </w:lvl>
  </w:abstractNum>
  <w:abstractNum w:abstractNumId="196">
    <w:nsid w:val="4D5C4899"/>
    <w:multiLevelType w:val="hybridMultilevel"/>
    <w:lvl w:ilvl="0">
      <w:lvlJc w:val="left"/>
      <w:lvlText w:val="(%1)"/>
      <w:numFmt w:val="lowerLetter"/>
      <w:start w:val="1"/>
    </w:lvl>
  </w:abstractNum>
  <w:abstractNum w:abstractNumId="197">
    <w:nsid w:val="3C3B72B2"/>
    <w:multiLevelType w:val="hybridMultilevel"/>
    <w:lvl w:ilvl="0">
      <w:lvlJc w:val="left"/>
      <w:lvlText w:val="(%1)"/>
      <w:numFmt w:val="lowerLetter"/>
      <w:start w:val="1"/>
    </w:lvl>
  </w:abstractNum>
  <w:abstractNum w:abstractNumId="198">
    <w:nsid w:val="155EC4C2"/>
    <w:multiLevelType w:val="hybridMultilevel"/>
    <w:lvl w:ilvl="0">
      <w:lvlJc w:val="left"/>
      <w:lvlText w:val="(%1)"/>
      <w:numFmt w:val="lowerLetter"/>
      <w:start w:val="1"/>
    </w:lvl>
    <w:lvl w:ilvl="1">
      <w:lvlJc w:val="left"/>
      <w:lvlText w:val="(%2)"/>
      <w:numFmt w:val="lowerRoman"/>
      <w:start w:val="1"/>
    </w:lvl>
  </w:abstractNum>
  <w:abstractNum w:abstractNumId="199">
    <w:nsid w:val="65D2A137"/>
    <w:multiLevelType w:val="hybridMultilevel"/>
    <w:lvl w:ilvl="0">
      <w:lvlJc w:val="left"/>
      <w:lvlText w:val="%1"/>
      <w:numFmt w:val="lowerRoman"/>
      <w:start w:val="1"/>
    </w:lvl>
    <w:lvl w:ilvl="1">
      <w:lvlJc w:val="left"/>
      <w:lvlText w:val="(%2)"/>
      <w:numFmt w:val="lowerRoman"/>
      <w:start w:val="5"/>
    </w:lvl>
  </w:abstractNum>
  <w:abstractNum w:abstractNumId="200">
    <w:nsid w:val="6EBB1F2A"/>
    <w:multiLevelType w:val="hybridMultilevel"/>
    <w:lvl w:ilvl="0">
      <w:lvlJc w:val="left"/>
      <w:lvlText w:val="(%1)"/>
      <w:numFmt w:val="lowerRoman"/>
      <w:start w:val="3"/>
    </w:lvl>
    <w:lvl w:ilvl="1">
      <w:lvlJc w:val="left"/>
      <w:lvlText w:val="%2"/>
      <w:numFmt w:val="lowerRoman"/>
      <w:start w:val="1"/>
    </w:lvl>
  </w:abstractNum>
  <w:abstractNum w:abstractNumId="201">
    <w:nsid w:val="6FBF29CB"/>
    <w:multiLevelType w:val="hybridMultilevel"/>
    <w:lvl w:ilvl="0">
      <w:lvlJc w:val="left"/>
      <w:lvlText w:val="(%1)"/>
      <w:numFmt w:val="lowerLetter"/>
      <w:start w:val="2"/>
    </w:lvl>
    <w:lvl w:ilvl="1">
      <w:lvlJc w:val="left"/>
      <w:lvlText w:val="(%2)"/>
      <w:numFmt w:val="lowerRoman"/>
      <w:start w:val="1"/>
    </w:lvl>
  </w:abstractNum>
  <w:abstractNum w:abstractNumId="202">
    <w:nsid w:val="550B8808"/>
    <w:multiLevelType w:val="hybridMultilevel"/>
    <w:lvl w:ilvl="0">
      <w:lvlJc w:val="left"/>
      <w:lvlText w:val="(%1)"/>
      <w:numFmt w:val="lowerLetter"/>
      <w:start w:val="1"/>
    </w:lvl>
  </w:abstractNum>
  <w:abstractNum w:abstractNumId="203">
    <w:nsid w:val="34CC3ACF"/>
    <w:multiLevelType w:val="hybridMultilevel"/>
    <w:lvl w:ilvl="0">
      <w:lvlJc w:val="left"/>
      <w:lvlText w:val="(%1)"/>
      <w:numFmt w:val="lowerLetter"/>
      <w:start w:val="1"/>
    </w:lvl>
  </w:abstractNum>
  <w:abstractNum w:abstractNumId="204">
    <w:nsid w:val="4E556261"/>
    <w:multiLevelType w:val="hybridMultilevel"/>
    <w:lvl w:ilvl="0">
      <w:lvlJc w:val="left"/>
      <w:lvlText w:val="(%1)"/>
      <w:numFmt w:val="lowerLetter"/>
      <w:start w:val="2"/>
    </w:lvl>
  </w:abstractNum>
  <w:abstractNum w:abstractNumId="205">
    <w:nsid w:val="4C672FC9"/>
    <w:multiLevelType w:val="hybridMultilevel"/>
    <w:lvl w:ilvl="0">
      <w:lvlJc w:val="left"/>
      <w:lvlText w:val="(%1)"/>
      <w:numFmt w:val="lowerLetter"/>
      <w:start w:val="3"/>
    </w:lvl>
  </w:abstractNum>
  <w:abstractNum w:abstractNumId="206">
    <w:nsid w:val="52A311C3"/>
    <w:multiLevelType w:val="hybridMultilevel"/>
    <w:lvl w:ilvl="0">
      <w:lvlJc w:val="left"/>
      <w:lvlText w:val="(%1)"/>
      <w:numFmt w:val="lowerLetter"/>
      <w:start w:val="1"/>
    </w:lvl>
    <w:lvl w:ilvl="1">
      <w:lvlJc w:val="left"/>
      <w:lvlText w:val="(%2)"/>
      <w:numFmt w:val="lowerRoman"/>
      <w:start w:val="1"/>
    </w:lvl>
  </w:abstractNum>
  <w:abstractNum w:abstractNumId="207">
    <w:nsid w:val="44EF6B80"/>
    <w:multiLevelType w:val="hybridMultilevel"/>
    <w:lvl w:ilvl="0">
      <w:lvlJc w:val="left"/>
      <w:lvlText w:val="(%1)"/>
      <w:numFmt w:val="lowerRoman"/>
      <w:start w:val="4"/>
    </w:lvl>
  </w:abstractNum>
  <w:abstractNum w:abstractNumId="208">
    <w:nsid w:val="12FCDE5E"/>
    <w:multiLevelType w:val="hybridMultilevel"/>
    <w:lvl w:ilvl="0">
      <w:lvlJc w:val="left"/>
      <w:lvlText w:val="%1"/>
      <w:numFmt w:val="lowerLetter"/>
      <w:start w:val="1"/>
    </w:lvl>
    <w:lvl w:ilvl="1">
      <w:lvlJc w:val="left"/>
      <w:lvlText w:val="(%2)"/>
      <w:numFmt w:val="lowerRoman"/>
      <w:start w:val="13"/>
    </w:lvl>
  </w:abstractNum>
  <w:abstractNum w:abstractNumId="209">
    <w:nsid w:val="4A1D606E"/>
    <w:multiLevelType w:val="hybridMultilevel"/>
    <w:lvl w:ilvl="0">
      <w:lvlJc w:val="left"/>
      <w:lvlText w:val="(%1)"/>
      <w:numFmt w:val="lowerLetter"/>
      <w:start w:val="2"/>
    </w:lvl>
    <w:lvl w:ilvl="1">
      <w:lvlJc w:val="left"/>
      <w:lvlText w:val="%2"/>
      <w:numFmt w:val="lowerRoman"/>
      <w:start w:val="1"/>
    </w:lvl>
  </w:abstractNum>
  <w:abstractNum w:abstractNumId="210">
    <w:nsid w:val="4382503"/>
    <w:multiLevelType w:val="hybridMultilevel"/>
    <w:lvl w:ilvl="0">
      <w:lvlJc w:val="left"/>
      <w:lvlText w:val="(%1)"/>
      <w:numFmt w:val="lowerLetter"/>
      <w:start w:val="1"/>
    </w:lvl>
  </w:abstractNum>
  <w:abstractNum w:abstractNumId="211">
    <w:nsid w:val="59B76E28"/>
    <w:multiLevelType w:val="hybridMultilevel"/>
    <w:lvl w:ilvl="0">
      <w:lvlJc w:val="left"/>
      <w:lvlText w:val="(%1)"/>
      <w:numFmt w:val="lowerLetter"/>
      <w:start w:val="1"/>
    </w:lvl>
  </w:abstractNum>
  <w:abstractNum w:abstractNumId="212">
    <w:nsid w:val="4252C2DA"/>
    <w:multiLevelType w:val="hybridMultilevel"/>
    <w:lvl w:ilvl="0">
      <w:lvlJc w:val="left"/>
      <w:lvlText w:val="(%1)"/>
      <w:numFmt w:val="lowerLetter"/>
      <w:start w:val="2"/>
    </w:lvl>
  </w:abstractNum>
  <w:abstractNum w:abstractNumId="213">
    <w:nsid w:val="6A92EF4C"/>
    <w:multiLevelType w:val="hybridMultilevel"/>
    <w:lvl w:ilvl="0">
      <w:lvlJc w:val="left"/>
      <w:lvlText w:val="(%1)"/>
      <w:numFmt w:val="lowerLetter"/>
      <w:start w:val="1"/>
    </w:lvl>
  </w:abstractNum>
  <w:abstractNum w:abstractNumId="214">
    <w:nsid w:val="41ED20D7"/>
    <w:multiLevelType w:val="hybridMultilevel"/>
    <w:lvl w:ilvl="0">
      <w:lvlJc w:val="left"/>
      <w:lvlText w:val="(%1)"/>
      <w:numFmt w:val="lowerLetter"/>
      <w:start w:val="1"/>
    </w:lvl>
  </w:abstractNum>
  <w:abstractNum w:abstractNumId="215">
    <w:nsid w:val="E6B3F6A"/>
    <w:multiLevelType w:val="hybridMultilevel"/>
    <w:lvl w:ilvl="0">
      <w:lvlJc w:val="left"/>
      <w:lvlText w:val="(%1)"/>
      <w:numFmt w:val="lowerLetter"/>
      <w:start w:val="1"/>
    </w:lvl>
  </w:abstractNum>
  <w:abstractNum w:abstractNumId="216">
    <w:nsid w:val="3EB21819"/>
    <w:multiLevelType w:val="hybridMultilevel"/>
    <w:lvl w:ilvl="0">
      <w:lvlJc w:val="left"/>
      <w:lvlText w:val="(%1)"/>
      <w:numFmt w:val="lowerLetter"/>
      <w:start w:val="4"/>
    </w:lvl>
    <w:lvl w:ilvl="1">
      <w:lvlJc w:val="left"/>
      <w:lvlText w:val="(%2)"/>
      <w:numFmt w:val="lowerRoman"/>
      <w:start w:val="1"/>
    </w:lvl>
  </w:abstractNum>
  <w:abstractNum w:abstractNumId="217">
    <w:nsid w:val="41531DED"/>
    <w:multiLevelType w:val="hybridMultilevel"/>
    <w:lvl w:ilvl="0">
      <w:lvlJc w:val="left"/>
      <w:lvlText w:val="%1"/>
      <w:numFmt w:val="lowerRoman"/>
      <w:start w:val="1"/>
    </w:lvl>
    <w:lvl w:ilvl="1">
      <w:lvlJc w:val="left"/>
      <w:lvlText w:val="(%2)"/>
      <w:numFmt w:val="lowerRoman"/>
      <w:start w:val="1"/>
    </w:lvl>
  </w:abstractNum>
  <w:abstractNum w:abstractNumId="218">
    <w:nsid w:val="6353CD2"/>
    <w:multiLevelType w:val="hybridMultilevel"/>
    <w:lvl w:ilvl="0">
      <w:lvlJc w:val="left"/>
      <w:lvlText w:val="(%1)"/>
      <w:numFmt w:val="lowerRoman"/>
      <w:start w:val="2"/>
    </w:lvl>
    <w:lvl w:ilvl="1">
      <w:lvlJc w:val="left"/>
      <w:lvlText w:val="%2"/>
      <w:numFmt w:val="lowerRoman"/>
      <w:start w:val="1"/>
    </w:lvl>
  </w:abstractNum>
  <w:abstractNum w:abstractNumId="219">
    <w:nsid w:val="683CAAD3"/>
    <w:multiLevelType w:val="hybridMultilevel"/>
    <w:lvl w:ilvl="0">
      <w:lvlJc w:val="left"/>
      <w:lvlText w:val="(%1)"/>
      <w:numFmt w:val="lowerLetter"/>
      <w:start w:val="10"/>
    </w:lvl>
  </w:abstractNum>
  <w:abstractNum w:abstractNumId="220">
    <w:nsid w:val="313C7C99"/>
    <w:multiLevelType w:val="hybridMultilevel"/>
    <w:lvl w:ilvl="0">
      <w:lvlJc w:val="left"/>
      <w:lvlText w:val="(%1)"/>
      <w:numFmt w:val="lowerLetter"/>
      <w:start w:val="1"/>
    </w:lvl>
  </w:abstractNum>
  <w:abstractNum w:abstractNumId="221">
    <w:nsid w:val="519EB94C"/>
    <w:multiLevelType w:val="hybridMultilevel"/>
    <w:lvl w:ilvl="0">
      <w:lvlJc w:val="left"/>
      <w:lvlText w:val="(%1)"/>
      <w:numFmt w:val="lowerLetter"/>
      <w:start w:val="1"/>
    </w:lvl>
  </w:abstractNum>
  <w:abstractNum w:abstractNumId="222">
    <w:nsid w:val="39DF2579"/>
    <w:multiLevelType w:val="hybridMultilevel"/>
    <w:lvl w:ilvl="0">
      <w:lvlJc w:val="left"/>
      <w:lvlText w:val="(%1)"/>
      <w:numFmt w:val="lowerLetter"/>
      <w:start w:val="1"/>
    </w:lvl>
  </w:abstractNum>
  <w:abstractNum w:abstractNumId="223">
    <w:nsid w:val="126E008B"/>
    <w:multiLevelType w:val="hybridMultilevel"/>
    <w:lvl w:ilvl="0">
      <w:lvlJc w:val="left"/>
      <w:lvlText w:val="(%1)"/>
      <w:numFmt w:val="lowerLetter"/>
      <w:start w:val="1"/>
    </w:lvl>
  </w:abstractNum>
  <w:abstractNum w:abstractNumId="224">
    <w:nsid w:val="34DFBC00"/>
    <w:multiLevelType w:val="hybridMultilevel"/>
    <w:lvl w:ilvl="0">
      <w:lvlJc w:val="left"/>
      <w:lvlText w:val="%1"/>
      <w:numFmt w:val="lowerLetter"/>
      <w:start w:val="1"/>
    </w:lvl>
    <w:lvl w:ilvl="1">
      <w:lvlJc w:val="left"/>
      <w:lvlText w:val="(%2)"/>
      <w:numFmt w:val="lowerLetter"/>
      <w:start w:val="2"/>
    </w:lvl>
  </w:abstractNum>
  <w:abstractNum w:abstractNumId="225">
    <w:nsid w:val="1F9EC322"/>
    <w:multiLevelType w:val="hybridMultilevel"/>
    <w:lvl w:ilvl="0">
      <w:lvlJc w:val="left"/>
      <w:lvlText w:val="(%1)"/>
      <w:numFmt w:val="lowerLetter"/>
      <w:start w:val="9"/>
    </w:lvl>
    <w:lvl w:ilvl="1">
      <w:lvlJc w:val="left"/>
      <w:lvlText w:val="%2"/>
      <w:numFmt w:val="lowerLetter"/>
      <w:start w:val="1"/>
    </w:lvl>
  </w:abstractNum>
  <w:abstractNum w:abstractNumId="226">
    <w:nsid w:val="3410ED56"/>
    <w:multiLevelType w:val="hybridMultilevel"/>
    <w:lvl w:ilvl="0">
      <w:lvlJc w:val="left"/>
      <w:lvlText w:val="(%1)"/>
      <w:numFmt w:val="lowerLetter"/>
      <w:start w:val="1"/>
    </w:lvl>
  </w:abstractNum>
  <w:abstractNum w:abstractNumId="227">
    <w:nsid w:val="23C049A"/>
    <w:multiLevelType w:val="hybridMultilevel"/>
    <w:lvl w:ilvl="0">
      <w:lvlJc w:val="left"/>
      <w:lvlText w:val="(%1)"/>
      <w:numFmt w:val="lowerLetter"/>
      <w:start w:val="3"/>
    </w:lvl>
  </w:abstractNum>
  <w:abstractNum w:abstractNumId="228">
    <w:nsid w:val="5BDA35D4"/>
    <w:multiLevelType w:val="hybridMultilevel"/>
    <w:lvl w:ilvl="0">
      <w:lvlJc w:val="left"/>
      <w:lvlText w:val="(%1)"/>
      <w:numFmt w:val="lowerLetter"/>
      <w:start w:val="1"/>
    </w:lvl>
    <w:lvl w:ilvl="1">
      <w:lvlJc w:val="left"/>
      <w:lvlText w:val="(%2)"/>
      <w:numFmt w:val="lowerRoman"/>
      <w:start w:val="1"/>
    </w:lvl>
  </w:abstractNum>
  <w:abstractNum w:abstractNumId="229">
    <w:nsid w:val="496FB218"/>
    <w:multiLevelType w:val="hybridMultilevel"/>
    <w:lvl w:ilvl="0">
      <w:lvlJc w:val="left"/>
      <w:lvlText w:val="%1"/>
      <w:numFmt w:val="lowerLetter"/>
      <w:start w:val="1"/>
    </w:lvl>
    <w:lvl w:ilvl="1">
      <w:lvlJc w:val="left"/>
      <w:lvlText w:val="(%2)"/>
      <w:numFmt w:val="lowerRoman"/>
      <w:start w:val="3"/>
    </w:lvl>
  </w:abstractNum>
  <w:abstractNum w:abstractNumId="230">
    <w:nsid w:val="680EA5D1"/>
    <w:multiLevelType w:val="hybridMultilevel"/>
    <w:lvl w:ilvl="0">
      <w:lvlJc w:val="left"/>
      <w:lvlText w:val="(%1)"/>
      <w:numFmt w:val="lowerLetter"/>
      <w:start w:val="2"/>
    </w:lvl>
    <w:lvl w:ilvl="1">
      <w:lvlJc w:val="left"/>
      <w:lvlText w:val="(%2)"/>
      <w:numFmt w:val="lowerRoman"/>
      <w:start w:val="1"/>
    </w:lvl>
  </w:abstractNum>
  <w:abstractNum w:abstractNumId="231">
    <w:nsid w:val="4A9554FE"/>
    <w:multiLevelType w:val="hybridMultilevel"/>
    <w:lvl w:ilvl="0">
      <w:lvlJc w:val="left"/>
      <w:lvlText w:val="(%1)"/>
      <w:numFmt w:val="lowerRoman"/>
      <w:start w:val="12"/>
    </w:lvl>
  </w:abstractNum>
  <w:abstractNum w:abstractNumId="232">
    <w:nsid w:val="392EDBE4"/>
    <w:multiLevelType w:val="hybridMultilevel"/>
    <w:lvl w:ilvl="0">
      <w:lvlJc w:val="left"/>
      <w:lvlText w:val="(%1)"/>
      <w:numFmt w:val="lowerLetter"/>
      <w:start w:val="1"/>
    </w:lvl>
  </w:abstractNum>
  <w:abstractNum w:abstractNumId="233">
    <w:nsid w:val="3D1A2DD9"/>
    <w:multiLevelType w:val="hybridMultilevel"/>
    <w:lvl w:ilvl="0">
      <w:lvlJc w:val="left"/>
      <w:lvlText w:val="(%1)"/>
      <w:numFmt w:val="lowerLetter"/>
      <w:start w:val="2"/>
    </w:lvl>
  </w:abstractNum>
  <w:abstractNum w:abstractNumId="234">
    <w:nsid w:val="7F618FCD"/>
    <w:multiLevelType w:val="hybridMultilevel"/>
    <w:lvl w:ilvl="0">
      <w:lvlJc w:val="left"/>
      <w:lvlText w:val="(%1)"/>
      <w:numFmt w:val="lowerLetter"/>
      <w:start w:val="1"/>
    </w:lvl>
  </w:abstractNum>
  <w:abstractNum w:abstractNumId="235">
    <w:nsid w:val="7843E45"/>
    <w:multiLevelType w:val="hybridMultilevel"/>
    <w:lvl w:ilvl="0">
      <w:lvlJc w:val="left"/>
      <w:lvlText w:val="(%1)"/>
      <w:numFmt w:val="lowerLetter"/>
      <w:start w:val="1"/>
    </w:lvl>
  </w:abstractNum>
  <w:abstractNum w:abstractNumId="236">
    <w:nsid w:val="9815DA3"/>
    <w:multiLevelType w:val="hybridMultilevel"/>
    <w:lvl w:ilvl="0">
      <w:lvlJc w:val="left"/>
      <w:lvlText w:val="(%1)"/>
      <w:numFmt w:val="lowerLetter"/>
      <w:start w:val="2"/>
    </w:lvl>
  </w:abstractNum>
  <w:abstractNum w:abstractNumId="237">
    <w:nsid w:val="5204A191"/>
    <w:multiLevelType w:val="hybridMultilevel"/>
    <w:lvl w:ilvl="0">
      <w:lvlJc w:val="left"/>
      <w:lvlText w:val="(%1)"/>
      <w:numFmt w:val="lowerRoman"/>
      <w:start w:val="2"/>
    </w:lvl>
  </w:abstractNum>
  <w:abstractNum w:abstractNumId="238">
    <w:nsid w:val="4C73A9C6"/>
    <w:multiLevelType w:val="hybridMultilevel"/>
    <w:lvl w:ilvl="0">
      <w:lvlJc w:val="left"/>
      <w:lvlText w:val="(%1)"/>
      <w:numFmt w:val="lowerLetter"/>
      <w:start w:val="1"/>
    </w:lvl>
  </w:abstractNum>
  <w:abstractNum w:abstractNumId="239">
    <w:nsid w:val="1C7E3C01"/>
    <w:multiLevelType w:val="hybridMultilevel"/>
    <w:lvl w:ilvl="0">
      <w:lvlJc w:val="left"/>
      <w:lvlText w:val="(%1)"/>
      <w:numFmt w:val="lowerLetter"/>
      <w:start w:val="4"/>
    </w:lvl>
  </w:abstractNum>
  <w:abstractNum w:abstractNumId="240">
    <w:nsid w:val="1C2201FF"/>
    <w:multiLevelType w:val="hybridMultilevel"/>
    <w:lvl w:ilvl="0">
      <w:lvlJc w:val="left"/>
      <w:lvlText w:val="(%1)"/>
      <w:numFmt w:val="lowerLetter"/>
      <w:start w:val="1"/>
    </w:lvl>
  </w:abstractNum>
  <w:abstractNum w:abstractNumId="241">
    <w:nsid w:val="50ABCEC9"/>
    <w:multiLevelType w:val="hybridMultilevel"/>
    <w:lvl w:ilvl="0">
      <w:lvlJc w:val="left"/>
      <w:lvlText w:val="(%1)"/>
      <w:numFmt w:val="lowerLetter"/>
      <w:start w:val="4"/>
    </w:lvl>
  </w:abstractNum>
  <w:abstractNum w:abstractNumId="242">
    <w:nsid w:val="7635AA2A"/>
    <w:multiLevelType w:val="hybridMultilevel"/>
    <w:lvl w:ilvl="0">
      <w:lvlJc w:val="left"/>
      <w:lvlText w:val="(%1)"/>
      <w:numFmt w:val="lowerLetter"/>
      <w:start w:val="1"/>
    </w:lvl>
  </w:abstractNum>
  <w:abstractNum w:abstractNumId="243">
    <w:nsid w:val="5E74C4D9"/>
    <w:multiLevelType w:val="hybridMultilevel"/>
    <w:lvl w:ilvl="0">
      <w:lvlJc w:val="left"/>
      <w:lvlText w:val="(%1)"/>
      <w:numFmt w:val="lowerLetter"/>
      <w:start w:val="1"/>
    </w:lvl>
  </w:abstractNum>
  <w:abstractNum w:abstractNumId="244">
    <w:nsid w:val="3B3EBE15"/>
    <w:multiLevelType w:val="hybridMultilevel"/>
    <w:lvl w:ilvl="0">
      <w:lvlJc w:val="left"/>
      <w:lvlText w:val="(%1)"/>
      <w:numFmt w:val="lowerLetter"/>
      <w:start w:val="7"/>
    </w:lvl>
  </w:abstractNum>
  <w:abstractNum w:abstractNumId="245">
    <w:nsid w:val="3822CB01"/>
    <w:multiLevelType w:val="hybridMultilevel"/>
    <w:lvl w:ilvl="0">
      <w:lvlJc w:val="left"/>
      <w:lvlText w:val="(%1)"/>
      <w:numFmt w:val="lowerLetter"/>
      <w:start w:val="15"/>
    </w:lvl>
  </w:abstractNum>
  <w:abstractNum w:abstractNumId="246">
    <w:nsid w:val="6CE00443"/>
    <w:multiLevelType w:val="hybridMultilevel"/>
    <w:lvl w:ilvl="0">
      <w:lvlJc w:val="left"/>
      <w:lvlText w:val="(%1)"/>
      <w:numFmt w:val="lowerLetter"/>
      <w:start w:val="1"/>
    </w:lvl>
  </w:abstractNum>
  <w:abstractNum w:abstractNumId="247">
    <w:nsid w:val="79F0D62F"/>
    <w:multiLevelType w:val="hybridMultilevel"/>
    <w:lvl w:ilvl="0">
      <w:lvlJc w:val="left"/>
      <w:lvlText w:val="(%1)"/>
      <w:numFmt w:val="lowerLetter"/>
      <w:start w:val="7"/>
    </w:lvl>
  </w:abstractNum>
  <w:abstractNum w:abstractNumId="248">
    <w:nsid w:val="7975E8EE"/>
    <w:multiLevelType w:val="hybridMultilevel"/>
    <w:lvl w:ilvl="0">
      <w:lvlJc w:val="left"/>
      <w:lvlText w:val="(%1)"/>
      <w:numFmt w:val="lowerLetter"/>
      <w:start w:val="15"/>
    </w:lvl>
  </w:abstractNum>
  <w:abstractNum w:abstractNumId="249">
    <w:nsid w:val="73154115"/>
    <w:multiLevelType w:val="hybridMultilevel"/>
    <w:lvl w:ilvl="0">
      <w:lvlJc w:val="left"/>
      <w:lvlText w:val="(%1)"/>
      <w:numFmt w:val="lowerLetter"/>
      <w:start w:val="1"/>
    </w:lvl>
  </w:abstractNum>
  <w:abstractNum w:abstractNumId="250">
    <w:nsid w:val="622D8102"/>
    <w:multiLevelType w:val="hybridMultilevel"/>
    <w:lvl w:ilvl="0">
      <w:lvlJc w:val="left"/>
      <w:lvlText w:val="(%1)"/>
      <w:numFmt w:val="lowerRoman"/>
      <w:start w:val="1"/>
    </w:lvl>
  </w:abstractNum>
  <w:abstractNum w:abstractNumId="251">
    <w:nsid w:val="2AB26587"/>
    <w:multiLevelType w:val="hybridMultilevel"/>
    <w:lvl w:ilvl="0">
      <w:lvlJc w:val="left"/>
      <w:lvlText w:val="(%1)"/>
      <w:numFmt w:val="lowerLetter"/>
      <w:start w:val="1"/>
    </w:lvl>
  </w:abstractNum>
  <w:abstractNum w:abstractNumId="252">
    <w:nsid w:val="44B3FA61"/>
    <w:multiLevelType w:val="hybridMultilevel"/>
    <w:lvl w:ilvl="0">
      <w:lvlJc w:val="left"/>
      <w:lvlText w:val="(%1)"/>
      <w:numFmt w:val="lowerLetter"/>
      <w:start w:val="1"/>
    </w:lvl>
  </w:abstractNum>
  <w:abstractNum w:abstractNumId="253">
    <w:nsid w:val="1C0CA67C"/>
    <w:multiLevelType w:val="hybridMultilevel"/>
    <w:lvl w:ilvl="0">
      <w:lvlJc w:val="left"/>
      <w:lvlText w:val="(%1)"/>
      <w:numFmt w:val="lowerLetter"/>
      <w:start w:val="3"/>
    </w:lvl>
  </w:abstractNum>
  <w:abstractNum w:abstractNumId="254">
    <w:nsid w:val="3D206613"/>
    <w:multiLevelType w:val="hybridMultilevel"/>
    <w:lvl w:ilvl="0">
      <w:lvlJc w:val="left"/>
      <w:lvlText w:val="(%1)"/>
      <w:numFmt w:val="lowerLetter"/>
      <w:start w:val="1"/>
    </w:lvl>
  </w:abstractNum>
  <w:abstractNum w:abstractNumId="255">
    <w:nsid w:val="7993B662"/>
    <w:multiLevelType w:val="hybridMultilevel"/>
    <w:lvl w:ilvl="0">
      <w:lvlJc w:val="left"/>
      <w:lvlText w:val="(%1)"/>
      <w:numFmt w:val="lowerLetter"/>
      <w:start w:val="3"/>
    </w:lvl>
  </w:abstractNum>
  <w:abstractNum w:abstractNumId="256">
    <w:nsid w:val="3BAB699E"/>
    <w:multiLevelType w:val="hybridMultilevel"/>
    <w:lvl w:ilvl="0">
      <w:lvlJc w:val="left"/>
      <w:lvlText w:val="(%1)"/>
      <w:numFmt w:val="lowerLetter"/>
      <w:start w:val="1"/>
    </w:lvl>
  </w:abstractNum>
  <w:abstractNum w:abstractNumId="257">
    <w:nsid w:val="71315369"/>
    <w:multiLevelType w:val="hybridMultilevel"/>
    <w:lvl w:ilvl="0">
      <w:lvlJc w:val="left"/>
      <w:lvlText w:val="(%1)"/>
      <w:numFmt w:val="lowerLetter"/>
      <w:start w:val="1"/>
    </w:lvl>
  </w:abstractNum>
  <w:abstractNum w:abstractNumId="258">
    <w:nsid w:val="7BCFBAFC"/>
    <w:multiLevelType w:val="hybridMultilevel"/>
    <w:lvl w:ilvl="0">
      <w:lvlJc w:val="left"/>
      <w:lvlText w:val="(%1)"/>
      <w:numFmt w:val="lowerLetter"/>
      <w:start w:val="2"/>
    </w:lvl>
  </w:abstractNum>
  <w:abstractNum w:abstractNumId="259">
    <w:nsid w:val="17859F72"/>
    <w:multiLevelType w:val="hybridMultilevel"/>
    <w:lvl w:ilvl="0">
      <w:lvlJc w:val="left"/>
      <w:lvlText w:val="(%1)"/>
      <w:numFmt w:val="lowerLetter"/>
      <w:start w:val="1"/>
    </w:lvl>
    <w:lvl w:ilvl="1">
      <w:lvlJc w:val="left"/>
      <w:lvlText w:val="(%2)"/>
      <w:numFmt w:val="lowerRoman"/>
      <w:start w:val="1"/>
    </w:lvl>
  </w:abstractNum>
  <w:abstractNum w:abstractNumId="260">
    <w:nsid w:val="3AA10581"/>
    <w:multiLevelType w:val="hybridMultilevel"/>
    <w:lvl w:ilvl="0">
      <w:lvlJc w:val="left"/>
      <w:lvlText w:val="(%1)"/>
      <w:numFmt w:val="lowerLetter"/>
      <w:start w:val="1"/>
    </w:lvl>
  </w:abstractNum>
  <w:abstractNum w:abstractNumId="261">
    <w:nsid w:val="63DE60CD"/>
    <w:multiLevelType w:val="hybridMultilevel"/>
    <w:lvl w:ilvl="0">
      <w:lvlJc w:val="left"/>
      <w:lvlText w:val="(%1)"/>
      <w:numFmt w:val="lowerLetter"/>
      <w:start w:val="1"/>
    </w:lvl>
  </w:abstractNum>
  <w:abstractNum w:abstractNumId="262">
    <w:nsid w:val="621AF471"/>
    <w:multiLevelType w:val="hybridMultilevel"/>
    <w:lvl w:ilvl="0">
      <w:lvlJc w:val="left"/>
      <w:lvlText w:val="%1"/>
      <w:numFmt w:val="upperLetter"/>
      <w:start w:val="1"/>
    </w:lvl>
    <w:lvl w:ilvl="1">
      <w:lvlJc w:val="left"/>
      <w:lvlText w:val="(%2)"/>
      <w:numFmt w:val="lowerLetter"/>
      <w:start w:val="4"/>
    </w:lvl>
  </w:abstractNum>
  <w:abstractNum w:abstractNumId="263">
    <w:nsid w:val="73CFE165"/>
    <w:multiLevelType w:val="hybridMultilevel"/>
    <w:lvl w:ilvl="0">
      <w:lvlJc w:val="left"/>
      <w:lvlText w:val="(%1)"/>
      <w:numFmt w:val="upperLetter"/>
      <w:start w:val="1"/>
    </w:lvl>
    <w:lvl w:ilvl="1">
      <w:lvlJc w:val="left"/>
      <w:lvlText w:val="(%2)"/>
      <w:numFmt w:val="lowerLetter"/>
      <w:start w:val="6"/>
    </w:lvl>
  </w:abstractNum>
  <w:abstractNum w:abstractNumId="264">
    <w:nsid w:val="20F88EA6"/>
    <w:multiLevelType w:val="hybridMultilevel"/>
    <w:lvl w:ilvl="0">
      <w:lvlJc w:val="left"/>
      <w:lvlText w:val="%1"/>
      <w:numFmt w:val="upperLetter"/>
      <w:start w:val="1"/>
    </w:lvl>
    <w:lvl w:ilvl="1">
      <w:lvlJc w:val="left"/>
      <w:lvlText w:val="(%2)"/>
      <w:numFmt w:val="lowerLetter"/>
      <w:start w:val="9"/>
    </w:lvl>
  </w:abstractNum>
  <w:abstractNum w:abstractNumId="265">
    <w:nsid w:val="617C843E"/>
    <w:multiLevelType w:val="hybridMultilevel"/>
    <w:lvl w:ilvl="0">
      <w:lvlJc w:val="left"/>
      <w:lvlText w:val="(%1)"/>
      <w:numFmt w:val="upperLetter"/>
      <w:start w:val="2"/>
    </w:lvl>
    <w:lvl w:ilvl="1">
      <w:lvlJc w:val="left"/>
      <w:lvlText w:val="%2"/>
      <w:numFmt w:val="lowerLetter"/>
      <w:start w:val="1"/>
    </w:lvl>
  </w:abstractNum>
  <w:abstractNum w:abstractNumId="266">
    <w:nsid w:val="7B541FAB"/>
    <w:multiLevelType w:val="hybridMultilevel"/>
    <w:lvl w:ilvl="0">
      <w:lvlJc w:val="left"/>
      <w:lvlText w:val="(%1)"/>
      <w:numFmt w:val="lowerLetter"/>
      <w:start w:val="13"/>
    </w:lvl>
  </w:abstractNum>
  <w:abstractNum w:abstractNumId="267">
    <w:nsid w:val="2A79EC49"/>
    <w:multiLevelType w:val="hybridMultilevel"/>
    <w:lvl w:ilvl="0">
      <w:lvlJc w:val="left"/>
      <w:lvlText w:val="(%1)"/>
      <w:numFmt w:val="lowerLetter"/>
      <w:start w:val="1"/>
    </w:lvl>
  </w:abstractNum>
  <w:abstractNum w:abstractNumId="268">
    <w:nsid w:val="338125CF"/>
    <w:multiLevelType w:val="hybridMultilevel"/>
    <w:lvl w:ilvl="0">
      <w:lvlJc w:val="left"/>
      <w:lvlText w:val="(%1)"/>
      <w:numFmt w:val="lowerLetter"/>
      <w:start w:val="1"/>
    </w:lvl>
  </w:abstractNum>
  <w:abstractNum w:abstractNumId="269">
    <w:nsid w:val="47C7C971"/>
    <w:multiLevelType w:val="hybridMultilevel"/>
    <w:lvl w:ilvl="0">
      <w:lvlJc w:val="left"/>
      <w:lvlText w:val="%1"/>
      <w:numFmt w:val="lowerLetter"/>
      <w:start w:val="1"/>
    </w:lvl>
    <w:lvl w:ilvl="1">
      <w:lvlJc w:val="left"/>
      <w:lvlText w:val="(%2)"/>
      <w:numFmt w:val="lowerLetter"/>
      <w:start w:val="3"/>
    </w:lvl>
  </w:abstractNum>
  <w:abstractNum w:abstractNumId="270">
    <w:nsid w:val="46F8284B"/>
    <w:multiLevelType w:val="hybridMultilevel"/>
    <w:lvl w:ilvl="0">
      <w:lvlJc w:val="left"/>
      <w:lvlText w:val="(%1)"/>
      <w:numFmt w:val="lowerLetter"/>
      <w:start w:val="35"/>
    </w:lvl>
    <w:lvl w:ilvl="1">
      <w:lvlJc w:val="left"/>
      <w:lvlText w:val="(%2)"/>
      <w:numFmt w:val="lowerLetter"/>
      <w:start w:val="4"/>
    </w:lvl>
  </w:abstractNum>
  <w:abstractNum w:abstractNumId="271">
    <w:nsid w:val="4FA327CE"/>
    <w:multiLevelType w:val="hybridMultilevel"/>
    <w:lvl w:ilvl="0">
      <w:lvlJc w:val="left"/>
      <w:lvlText w:val="(%1)"/>
      <w:numFmt w:val="lowerLetter"/>
      <w:start w:val="1"/>
    </w:lvl>
  </w:abstractNum>
  <w:abstractNum w:abstractNumId="272">
    <w:nsid w:val="1873983A"/>
    <w:multiLevelType w:val="hybridMultilevel"/>
    <w:lvl w:ilvl="0">
      <w:lvlJc w:val="left"/>
      <w:lvlText w:val="(%1)"/>
      <w:numFmt w:val="lowerLetter"/>
      <w:start w:val="2"/>
    </w:lvl>
  </w:abstractNum>
  <w:abstractNum w:abstractNumId="273">
    <w:nsid w:val="3D2DD275"/>
    <w:multiLevelType w:val="hybridMultilevel"/>
    <w:lvl w:ilvl="0">
      <w:lvlJc w:val="left"/>
      <w:lvlText w:val="(%1)"/>
      <w:numFmt w:val="lowerLetter"/>
      <w:start w:val="1"/>
    </w:lvl>
  </w:abstractNum>
  <w:abstractNum w:abstractNumId="274">
    <w:nsid w:val="2E17ECA7"/>
    <w:multiLevelType w:val="hybridMultilevel"/>
    <w:lvl w:ilvl="0">
      <w:lvlJc w:val="left"/>
      <w:lvlText w:val="(%1)"/>
      <w:numFmt w:val="lowerLetter"/>
      <w:start w:val="1"/>
    </w:lvl>
  </w:abstractNum>
  <w:abstractNum w:abstractNumId="275">
    <w:nsid w:val="53B2564F"/>
    <w:multiLevelType w:val="hybridMultilevel"/>
    <w:lvl w:ilvl="0">
      <w:lvlJc w:val="left"/>
      <w:lvlText w:val="(%1)"/>
      <w:numFmt w:val="lowerLetter"/>
      <w:start w:val="1"/>
    </w:lvl>
  </w:abstractNum>
  <w:abstractNum w:abstractNumId="276">
    <w:nsid w:val="75509D76"/>
    <w:multiLevelType w:val="hybridMultilevel"/>
    <w:lvl w:ilvl="0">
      <w:lvlJc w:val="left"/>
      <w:lvlText w:val="(%1)"/>
      <w:numFmt w:val="lowerLetter"/>
      <w:start w:val="1"/>
    </w:lvl>
  </w:abstractNum>
  <w:abstractNum w:abstractNumId="277">
    <w:nsid w:val="1AF7F0EA"/>
    <w:multiLevelType w:val="hybridMultilevel"/>
    <w:lvl w:ilvl="0">
      <w:lvlJc w:val="left"/>
      <w:lvlText w:val="(%1)"/>
      <w:numFmt w:val="lowerLetter"/>
      <w:start w:val="2"/>
    </w:lvl>
  </w:abstractNum>
  <w:abstractNum w:abstractNumId="278">
    <w:nsid w:val="4DA32C7E"/>
    <w:multiLevelType w:val="hybridMultilevel"/>
    <w:lvl w:ilvl="0">
      <w:lvlJc w:val="left"/>
      <w:lvlText w:val="(%1)"/>
      <w:numFmt w:val="lowerLetter"/>
      <w:start w:val="1"/>
    </w:lvl>
    <w:lvl w:ilvl="1">
      <w:lvlJc w:val="left"/>
      <w:lvlText w:val="(%2)"/>
      <w:numFmt w:val="lowerRoman"/>
      <w:start w:val="1"/>
    </w:lvl>
  </w:abstractNum>
  <w:abstractNum w:abstractNumId="279">
    <w:nsid w:val="6EC68664"/>
    <w:multiLevelType w:val="hybridMultilevel"/>
    <w:lvl w:ilvl="0">
      <w:lvlJc w:val="left"/>
      <w:lvlText w:val="(%1)"/>
      <w:numFmt w:val="lowerLetter"/>
      <w:start w:val="2"/>
    </w:lvl>
    <w:lvl w:ilvl="1">
      <w:lvlJc w:val="left"/>
      <w:lvlText w:val="(%2)"/>
      <w:numFmt w:val="lowerRoman"/>
      <w:start w:val="1"/>
    </w:lvl>
  </w:abstractNum>
  <w:abstractNum w:abstractNumId="280">
    <w:nsid w:val="E0D31FF"/>
    <w:multiLevelType w:val="hybridMultilevel"/>
    <w:lvl w:ilvl="0">
      <w:lvlJc w:val="left"/>
      <w:lvlText w:val="(%1)"/>
      <w:numFmt w:val="lowerLetter"/>
      <w:start w:val="1"/>
    </w:lvl>
    <w:lvl w:ilvl="1">
      <w:lvlJc w:val="left"/>
      <w:lvlText w:val="(%2)"/>
      <w:numFmt w:val="lowerRoman"/>
      <w:start w:val="1"/>
    </w:lvl>
  </w:abstractNum>
  <w:abstractNum w:abstractNumId="281">
    <w:nsid w:val="2FD0AD81"/>
    <w:multiLevelType w:val="hybridMultilevel"/>
    <w:lvl w:ilvl="0">
      <w:lvlJc w:val="left"/>
      <w:lvlText w:val="%1"/>
      <w:numFmt w:val="lowerLetter"/>
      <w:start w:val="1"/>
    </w:lvl>
    <w:lvl w:ilvl="1">
      <w:lvlJc w:val="left"/>
      <w:lvlText w:val="(%2)"/>
      <w:numFmt w:val="lowerRoman"/>
      <w:start w:val="3"/>
    </w:lvl>
  </w:abstractNum>
  <w:abstractNum w:abstractNumId="282">
    <w:nsid w:val="1978EBEB"/>
    <w:multiLevelType w:val="hybridMultilevel"/>
    <w:lvl w:ilvl="0">
      <w:lvlJc w:val="left"/>
      <w:lvlText w:val="(%1)"/>
      <w:numFmt w:val="lowerLetter"/>
      <w:start w:val="2"/>
    </w:lvl>
    <w:lvl w:ilvl="1">
      <w:lvlJc w:val="left"/>
      <w:lvlText w:val="%2"/>
      <w:numFmt w:val="lowerRoman"/>
      <w:start w:val="1"/>
    </w:lvl>
  </w:abstractNum>
  <w:abstractNum w:abstractNumId="283">
    <w:nsid w:val="52C12C61"/>
    <w:multiLevelType w:val="hybridMultilevel"/>
    <w:lvl w:ilvl="0">
      <w:lvlJc w:val="left"/>
      <w:lvlText w:val="(%1)"/>
      <w:numFmt w:val="lowerLetter"/>
      <w:start w:val="3"/>
    </w:lvl>
  </w:abstractNum>
  <w:abstractNum w:abstractNumId="284">
    <w:nsid w:val="4BDD53FD"/>
    <w:multiLevelType w:val="hybridMultilevel"/>
    <w:lvl w:ilvl="0">
      <w:lvlJc w:val="left"/>
      <w:lvlText w:val="(%1)"/>
      <w:numFmt w:val="lowerLetter"/>
      <w:start w:val="6"/>
    </w:lvl>
  </w:abstractNum>
  <w:abstractNum w:abstractNumId="285">
    <w:nsid w:val="569951FE"/>
    <w:multiLevelType w:val="hybridMultilevel"/>
    <w:lvl w:ilvl="0">
      <w:lvlJc w:val="left"/>
      <w:lvlText w:val="(%1)"/>
      <w:numFmt w:val="lowerLetter"/>
      <w:start w:val="1"/>
    </w:lvl>
    <w:lvl w:ilvl="1">
      <w:lvlJc w:val="left"/>
      <w:lvlText w:val="(%2)"/>
      <w:numFmt w:val="lowerRoman"/>
      <w:start w:val="1"/>
    </w:lvl>
  </w:abstractNum>
  <w:abstractNum w:abstractNumId="286">
    <w:nsid w:val="4C54E2C3"/>
    <w:multiLevelType w:val="hybridMultilevel"/>
    <w:lvl w:ilvl="0">
      <w:lvlJc w:val="left"/>
      <w:lvlText w:val="(%1)"/>
      <w:numFmt w:val="lowerLetter"/>
      <w:start w:val="2"/>
    </w:lvl>
  </w:abstractNum>
  <w:abstractNum w:abstractNumId="287">
    <w:nsid w:val="788BD9B"/>
    <w:multiLevelType w:val="hybridMultilevel"/>
    <w:lvl w:ilvl="0">
      <w:lvlJc w:val="left"/>
      <w:lvlText w:val="(%1)"/>
      <w:numFmt w:val="lowerLetter"/>
      <w:start w:val="3"/>
    </w:lvl>
  </w:abstractNum>
  <w:abstractNum w:abstractNumId="288">
    <w:nsid w:val="47CAA567"/>
    <w:multiLevelType w:val="hybridMultilevel"/>
    <w:lvl w:ilvl="0">
      <w:lvlJc w:val="left"/>
      <w:lvlText w:val="(%1)"/>
      <w:numFmt w:val="lowerLetter"/>
      <w:start w:val="4"/>
    </w:lvl>
  </w:abstractNum>
  <w:abstractNum w:abstractNumId="289">
    <w:nsid w:val="48249DBF"/>
    <w:multiLevelType w:val="hybridMultilevel"/>
    <w:lvl w:ilvl="0">
      <w:lvlJc w:val="left"/>
      <w:lvlText w:val="(%1)"/>
      <w:numFmt w:val="lowerLetter"/>
      <w:start w:val="1"/>
    </w:lvl>
  </w:abstractNum>
  <w:abstractNum w:abstractNumId="290">
    <w:nsid w:val="1F0E5D0D"/>
    <w:multiLevelType w:val="hybridMultilevel"/>
    <w:lvl w:ilvl="0">
      <w:lvlJc w:val="left"/>
      <w:lvlText w:val="(%1)"/>
      <w:numFmt w:val="lowerLetter"/>
      <w:start w:val="3"/>
    </w:lvl>
  </w:abstractNum>
  <w:abstractNum w:abstractNumId="291">
    <w:nsid w:val="26BAAE9"/>
    <w:multiLevelType w:val="hybridMultilevel"/>
    <w:lvl w:ilvl="0">
      <w:lvlJc w:val="left"/>
      <w:lvlText w:val="(%1)"/>
      <w:numFmt w:val="lowerLetter"/>
      <w:start w:val="6"/>
    </w:lvl>
  </w:abstractNum>
  <w:abstractNum w:abstractNumId="292">
    <w:nsid w:val="2C02FE8C"/>
    <w:multiLevelType w:val="hybridMultilevel"/>
    <w:lvl w:ilvl="0">
      <w:lvlJc w:val="left"/>
      <w:lvlText w:val="(%1)"/>
      <w:numFmt w:val="lowerLetter"/>
      <w:start w:val="1"/>
    </w:lvl>
  </w:abstractNum>
  <w:abstractNum w:abstractNumId="293">
    <w:nsid w:val="129517E"/>
    <w:multiLevelType w:val="hybridMultilevel"/>
    <w:lvl w:ilvl="0">
      <w:lvlJc w:val="left"/>
      <w:lvlText w:val="%1"/>
      <w:numFmt w:val="lowerLetter"/>
      <w:start w:val="1"/>
    </w:lvl>
    <w:lvl w:ilvl="1">
      <w:lvlJc w:val="left"/>
      <w:lvlText w:val="(%2)"/>
      <w:numFmt w:val="lowerLetter"/>
      <w:start w:val="1"/>
    </w:lvl>
  </w:abstractNum>
  <w:abstractNum w:abstractNumId="294">
    <w:nsid w:val="763B8C4E"/>
    <w:multiLevelType w:val="hybridMultilevel"/>
    <w:lvl w:ilvl="0">
      <w:lvlJc w:val="left"/>
      <w:lvlText w:val="(%1)"/>
      <w:numFmt w:val="lowerLetter"/>
      <w:start w:val="6"/>
    </w:lvl>
    <w:lvl w:ilvl="1">
      <w:lvlJc w:val="left"/>
      <w:lvlText w:val="(%2)"/>
      <w:numFmt w:val="lowerLetter"/>
      <w:start w:val="2"/>
    </w:lvl>
  </w:abstractNum>
  <w:abstractNum w:abstractNumId="295">
    <w:nsid w:val="4CFB8D32"/>
    <w:multiLevelType w:val="hybridMultilevel"/>
    <w:lvl w:ilvl="0">
      <w:lvlJc w:val="left"/>
      <w:lvlText w:val="(%1)"/>
      <w:numFmt w:val="lowerRoman"/>
      <w:start w:val="1"/>
    </w:lvl>
  </w:abstractNum>
  <w:abstractNum w:abstractNumId="296">
    <w:nsid w:val="62A5D5BD"/>
    <w:multiLevelType w:val="hybridMultilevel"/>
    <w:lvl w:ilvl="0">
      <w:lvlJc w:val="left"/>
      <w:lvlText w:val="%1"/>
      <w:numFmt w:val="lowerLetter"/>
      <w:start w:val="1"/>
    </w:lvl>
    <w:lvl w:ilvl="1">
      <w:lvlJc w:val="left"/>
      <w:lvlText w:val="(%2)"/>
      <w:numFmt w:val="lowerRoman"/>
      <w:start w:val="6"/>
    </w:lvl>
  </w:abstractNum>
  <w:abstractNum w:abstractNumId="297">
    <w:nsid w:val="718FABF9"/>
    <w:multiLevelType w:val="hybridMultilevel"/>
    <w:lvl w:ilvl="0">
      <w:lvlJc w:val="left"/>
      <w:lvlText w:val="(%1)"/>
      <w:numFmt w:val="lowerLetter"/>
      <w:start w:val="4"/>
    </w:lvl>
    <w:lvl w:ilvl="1">
      <w:lvlJc w:val="left"/>
      <w:lvlText w:val="%2"/>
      <w:numFmt w:val="lowerRoman"/>
      <w:start w:val="1"/>
    </w:lvl>
  </w:abstractNum>
  <w:abstractNum w:abstractNumId="298">
    <w:nsid w:val="7775797C"/>
    <w:multiLevelType w:val="hybridMultilevel"/>
    <w:lvl w:ilvl="0">
      <w:lvlJc w:val="left"/>
      <w:lvlText w:val="(%1)"/>
      <w:numFmt w:val="lowerLetter"/>
      <w:start w:val="6"/>
    </w:lvl>
  </w:abstractNum>
  <w:abstractNum w:abstractNumId="299">
    <w:nsid w:val="1626FB8C"/>
    <w:multiLevelType w:val="hybridMultilevel"/>
    <w:lvl w:ilvl="0">
      <w:lvlJc w:val="left"/>
      <w:lvlText w:val="(%1)"/>
      <w:numFmt w:val="lowerRoman"/>
      <w:start w:val="1"/>
    </w:lvl>
  </w:abstractNum>
  <w:abstractNum w:abstractNumId="300">
    <w:nsid w:val="3957756A"/>
    <w:multiLevelType w:val="hybridMultilevel"/>
    <w:lvl w:ilvl="0">
      <w:lvlJc w:val="left"/>
      <w:lvlText w:val="(%1)"/>
      <w:numFmt w:val="lowerLetter"/>
      <w:start w:val="1"/>
    </w:lvl>
    <w:lvl w:ilvl="1">
      <w:lvlJc w:val="left"/>
      <w:lvlText w:val="(%2)"/>
      <w:numFmt w:val="lowerRoman"/>
      <w:start w:val="1"/>
    </w:lvl>
  </w:abstractNum>
  <w:abstractNum w:abstractNumId="301">
    <w:nsid w:val="3E6DA1C7"/>
    <w:multiLevelType w:val="hybridMultilevel"/>
    <w:lvl w:ilvl="0">
      <w:lvlJc w:val="left"/>
      <w:lvlText w:val="(%1)"/>
      <w:numFmt w:val="lowerLetter"/>
      <w:start w:val="4"/>
    </w:lvl>
  </w:abstractNum>
  <w:abstractNum w:abstractNumId="302">
    <w:nsid w:val="65CA235B"/>
    <w:multiLevelType w:val="hybridMultilevel"/>
    <w:lvl w:ilvl="0">
      <w:lvlJc w:val="left"/>
      <w:lvlText w:val="(%1)"/>
      <w:numFmt w:val="lowerLetter"/>
      <w:start w:val="1"/>
    </w:lvl>
  </w:abstractNum>
  <w:abstractNum w:abstractNumId="303">
    <w:nsid w:val="51CB0DA4"/>
    <w:multiLevelType w:val="hybridMultilevel"/>
    <w:lvl w:ilvl="0">
      <w:lvlJc w:val="left"/>
      <w:lvlText w:val="(%1)"/>
      <w:numFmt w:val="lowerLetter"/>
      <w:start w:val="4"/>
    </w:lvl>
  </w:abstractNum>
  <w:abstractNum w:abstractNumId="304">
    <w:nsid w:val="7B9B743C"/>
    <w:multiLevelType w:val="hybridMultilevel"/>
    <w:lvl w:ilvl="0">
      <w:lvlJc w:val="left"/>
      <w:lvlText w:val="(%1)"/>
      <w:numFmt w:val="lowerLetter"/>
      <w:start w:val="1"/>
    </w:lvl>
    <w:lvl w:ilvl="1">
      <w:lvlJc w:val="left"/>
      <w:lvlText w:val="(%2)"/>
      <w:numFmt w:val="lowerRoman"/>
      <w:start w:val="1"/>
    </w:lvl>
  </w:abstractNum>
  <w:abstractNum w:abstractNumId="305">
    <w:nsid w:val="13E21002"/>
    <w:multiLevelType w:val="hybridMultilevel"/>
    <w:lvl w:ilvl="0">
      <w:lvlJc w:val="left"/>
      <w:lvlText w:val="(%1)"/>
      <w:numFmt w:val="lowerLetter"/>
      <w:start w:val="1"/>
    </w:lvl>
  </w:abstractNum>
  <w:abstractNum w:abstractNumId="306">
    <w:nsid w:val="257D63F4"/>
    <w:multiLevelType w:val="hybridMultilevel"/>
    <w:lvl w:ilvl="0">
      <w:lvlJc w:val="left"/>
      <w:lvlText w:val="(%1)"/>
      <w:numFmt w:val="lowerLetter"/>
      <w:start w:val="6"/>
    </w:lvl>
  </w:abstractNum>
  <w:abstractNum w:abstractNumId="307">
    <w:nsid w:val="70EC11B2"/>
    <w:multiLevelType w:val="hybridMultilevel"/>
    <w:lvl w:ilvl="0">
      <w:lvlJc w:val="left"/>
      <w:lvlText w:val="(%1)"/>
      <w:numFmt w:val="lowerRoman"/>
      <w:start w:val="1"/>
    </w:lvl>
  </w:abstractNum>
  <w:abstractNum w:abstractNumId="308">
    <w:nsid w:val="2EDA00ED"/>
    <w:multiLevelType w:val="hybridMultilevel"/>
    <w:lvl w:ilvl="0">
      <w:lvlJc w:val="left"/>
      <w:lvlText w:val="(%1)"/>
      <w:numFmt w:val="lowerLetter"/>
      <w:start w:val="1"/>
    </w:lvl>
    <w:lvl w:ilvl="1">
      <w:lvlJc w:val="left"/>
      <w:lvlText w:val="(%2)"/>
      <w:numFmt w:val="lowerRoman"/>
      <w:start w:val="1"/>
    </w:lvl>
  </w:abstractNum>
  <w:abstractNum w:abstractNumId="309">
    <w:nsid w:val="73209072"/>
    <w:multiLevelType w:val="hybridMultilevel"/>
    <w:lvl w:ilvl="0">
      <w:lvlJc w:val="left"/>
      <w:lvlText w:val="%1"/>
      <w:numFmt w:val="lowerLetter"/>
      <w:start w:val="1"/>
    </w:lvl>
    <w:lvl w:ilvl="1">
      <w:lvlJc w:val="left"/>
      <w:lvlText w:val="(%2)"/>
      <w:numFmt w:val="lowerRoman"/>
      <w:start w:val="3"/>
    </w:lvl>
  </w:abstractNum>
  <w:abstractNum w:abstractNumId="310">
    <w:nsid w:val="5FB29816"/>
    <w:multiLevelType w:val="hybridMultilevel"/>
    <w:lvl w:ilvl="0">
      <w:lvlJc w:val="left"/>
      <w:lvlText w:val="(%1)"/>
      <w:numFmt w:val="lowerLetter"/>
      <w:start w:val="2"/>
    </w:lvl>
    <w:lvl w:ilvl="1">
      <w:lvlJc w:val="left"/>
      <w:lvlText w:val="(%2)"/>
      <w:numFmt w:val="lowerRoman"/>
      <w:start w:val="1"/>
    </w:lvl>
  </w:abstractNum>
  <w:abstractNum w:abstractNumId="311">
    <w:nsid w:val="3CE732EC"/>
    <w:multiLevelType w:val="hybridMultilevel"/>
    <w:lvl w:ilvl="0">
      <w:lvlJc w:val="left"/>
      <w:lvlText w:val="(%1)"/>
      <w:numFmt w:val="lowerLetter"/>
      <w:start w:val="2"/>
    </w:lvl>
  </w:abstractNum>
  <w:abstractNum w:abstractNumId="312">
    <w:nsid w:val="22F13DF3"/>
    <w:multiLevelType w:val="hybridMultilevel"/>
    <w:lvl w:ilvl="0">
      <w:lvlJc w:val="left"/>
      <w:lvlText w:val="(%1)"/>
      <w:numFmt w:val="lowerLetter"/>
      <w:start w:val="1"/>
    </w:lvl>
  </w:abstractNum>
  <w:abstractNum w:abstractNumId="313">
    <w:nsid w:val="792B8401"/>
    <w:multiLevelType w:val="hybridMultilevel"/>
    <w:lvl w:ilvl="0">
      <w:lvlJc w:val="left"/>
      <w:lvlText w:val="(%1)"/>
      <w:numFmt w:val="lowerRoman"/>
      <w:start w:val="1"/>
    </w:lvl>
  </w:abstractNum>
  <w:abstractNum w:abstractNumId="314">
    <w:nsid w:val="FA85F4D"/>
    <w:multiLevelType w:val="hybridMultilevel"/>
    <w:lvl w:ilvl="0">
      <w:lvlJc w:val="left"/>
      <w:lvlText w:val="(%1)"/>
      <w:numFmt w:val="lowerRoman"/>
      <w:start w:val="5"/>
    </w:lvl>
  </w:abstractNum>
  <w:abstractNum w:abstractNumId="315">
    <w:nsid w:val="6ECE91F0"/>
    <w:multiLevelType w:val="hybridMultilevel"/>
    <w:lvl w:ilvl="0">
      <w:lvlJc w:val="left"/>
      <w:lvlText w:val="(%1)"/>
      <w:numFmt w:val="lowerRoman"/>
      <w:start w:val="1"/>
    </w:lvl>
  </w:abstractNum>
  <w:abstractNum w:abstractNumId="316">
    <w:nsid w:val="4FC4D600"/>
    <w:multiLevelType w:val="hybridMultilevel"/>
    <w:lvl w:ilvl="0">
      <w:lvlJc w:val="left"/>
      <w:lvlText w:val="(%1)"/>
      <w:numFmt w:val="lowerRoman"/>
      <w:start w:val="1"/>
    </w:lvl>
  </w:abstractNum>
  <w:abstractNum w:abstractNumId="317">
    <w:nsid w:val="5BFD4210"/>
    <w:multiLevelType w:val="hybridMultilevel"/>
    <w:lvl w:ilvl="0">
      <w:lvlJc w:val="left"/>
      <w:lvlText w:val="(%1)"/>
      <w:numFmt w:val="lowerRoman"/>
      <w:start w:val="1"/>
    </w:lvl>
  </w:abstractNum>
  <w:abstractNum w:abstractNumId="318">
    <w:nsid w:val="76574F8B"/>
    <w:multiLevelType w:val="hybridMultilevel"/>
    <w:lvl w:ilvl="0">
      <w:lvlJc w:val="left"/>
      <w:lvlText w:val="(%1)"/>
      <w:numFmt w:val="lowerRoman"/>
      <w:start w:val="3"/>
    </w:lvl>
  </w:abstractNum>
  <w:abstractNum w:abstractNumId="319">
    <w:nsid w:val="178F7B67"/>
    <w:multiLevelType w:val="hybridMultilevel"/>
    <w:lvl w:ilvl="0">
      <w:lvlJc w:val="left"/>
      <w:lvlText w:val="(%1)"/>
      <w:numFmt w:val="lowerRoman"/>
      <w:start w:val="1"/>
    </w:lvl>
  </w:abstractNum>
  <w:abstractNum w:abstractNumId="320">
    <w:nsid w:val="2421DFCF"/>
    <w:multiLevelType w:val="hybridMultilevel"/>
    <w:lvl w:ilvl="0">
      <w:lvlJc w:val="left"/>
      <w:lvlText w:val="(%1)"/>
      <w:numFmt w:val="lowerRoman"/>
      <w:start w:val="3"/>
    </w:lvl>
  </w:abstractNum>
  <w:abstractNum w:abstractNumId="321">
    <w:nsid w:val="1565AC99"/>
    <w:multiLevelType w:val="hybridMultilevel"/>
    <w:lvl w:ilvl="0">
      <w:lvlJc w:val="left"/>
      <w:lvlText w:val="(%1)"/>
      <w:numFmt w:val="lowerRoman"/>
      <w:start w:val="1"/>
    </w:lvl>
  </w:abstractNum>
  <w:abstractNum w:abstractNumId="322">
    <w:nsid w:val="19FB2650"/>
    <w:multiLevelType w:val="hybridMultilevel"/>
    <w:lvl w:ilvl="0">
      <w:lvlJc w:val="left"/>
      <w:lvlText w:val="(%1)"/>
      <w:numFmt w:val="lowerRoman"/>
      <w:start w:val="3"/>
    </w:lvl>
  </w:abstractNum>
  <w:abstractNum w:abstractNumId="323">
    <w:nsid w:val="5024DE5B"/>
    <w:multiLevelType w:val="hybridMultilevel"/>
    <w:lvl w:ilvl="0">
      <w:lvlJc w:val="left"/>
      <w:lvlText w:val="%1."/>
      <w:numFmt w:val="upperLetter"/>
      <w:start w:val="9"/>
    </w:lvl>
  </w:abstractNum>
  <w:abstractNum w:abstractNumId="324">
    <w:nsid w:val="168EFE17"/>
    <w:multiLevelType w:val="hybridMultilevel"/>
    <w:lvl w:ilvl="0">
      <w:lvlJc w:val="left"/>
      <w:lvlText w:val="%1."/>
      <w:numFmt w:val="upperLetter"/>
      <w:start w:val="35"/>
    </w:lvl>
  </w:abstractNum>
  <w:abstractNum w:abstractNumId="325">
    <w:nsid w:val="1036B29F"/>
    <w:multiLevelType w:val="hybridMultilevel"/>
    <w:lvl w:ilvl="0">
      <w:lvlJc w:val="left"/>
      <w:lvlText w:val="*"/>
      <w:numFmt w:val="bullet"/>
      <w:start w:val="1"/>
    </w:lvl>
  </w:abstractNum>
  <w:abstractNum w:abstractNumId="326">
    <w:nsid w:val="1D206B8E"/>
    <w:multiLevelType w:val="hybridMultilevel"/>
    <w:lvl w:ilvl="0">
      <w:lvlJc w:val="left"/>
      <w:lvlText w:val="*"/>
      <w:numFmt w:val="bullet"/>
      <w:start w:val="1"/>
    </w:lvl>
  </w:abstractNum>
  <w:abstractNum w:abstractNumId="327">
    <w:nsid w:val="7934D3D4"/>
    <w:multiLevelType w:val="hybridMultilevel"/>
    <w:lvl w:ilvl="0">
      <w:lvlJc w:val="left"/>
      <w:lvlText w:val="(%1)"/>
      <w:numFmt w:val="lowerLetter"/>
      <w:start w:val="1"/>
    </w:lvl>
  </w:abstractNum>
  <w:abstractNum w:abstractNumId="328">
    <w:nsid w:val="1C65E98"/>
    <w:multiLevelType w:val="hybridMultilevel"/>
    <w:lvl w:ilvl="0">
      <w:lvlJc w:val="left"/>
      <w:lvlText w:val="(%1)"/>
      <w:numFmt w:val="lowerLetter"/>
      <w:start w:val="3"/>
    </w:lvl>
  </w:abstractNum>
  <w:abstractNum w:abstractNumId="329">
    <w:nsid w:val="1495E50A"/>
    <w:multiLevelType w:val="hybridMultilevel"/>
    <w:lvl w:ilvl="0">
      <w:lvlJc w:val="left"/>
      <w:lvlText w:val="%1."/>
      <w:numFmt w:val="decimal"/>
      <w:start w:val="1"/>
    </w:lvl>
    <w:lvl w:ilvl="1">
      <w:lvlJc w:val="left"/>
      <w:lvlText w:val="%2."/>
      <w:numFmt w:val="lowerLetter"/>
      <w:start w:val="1"/>
    </w:lvl>
  </w:abstractNum>
  <w:abstractNum w:abstractNumId="330">
    <w:nsid w:val="F5BCF61"/>
    <w:multiLevelType w:val="hybridMultilevel"/>
    <w:lvl w:ilvl="0">
      <w:lvlJc w:val="left"/>
      <w:lvlText w:val="%1."/>
      <w:numFmt w:val="decimal"/>
      <w:start w:val="1"/>
    </w:lvl>
    <w:lvl w:ilvl="1">
      <w:lvlJc w:val="left"/>
      <w:lvlText w:val="%2."/>
      <w:numFmt w:val="lowerLetter"/>
      <w:start w:val="1"/>
    </w:lvl>
  </w:abstractNum>
  <w:abstractNum w:abstractNumId="331">
    <w:nsid w:val="3B1DD403"/>
    <w:multiLevelType w:val="hybridMultilevel"/>
    <w:lvl w:ilvl="0">
      <w:lvlJc w:val="left"/>
      <w:lvlText w:val="(%1)"/>
      <w:numFmt w:val="decimal"/>
      <w:start w:val="1"/>
    </w:lvl>
  </w:abstractNum>
  <w:abstractNum w:abstractNumId="332">
    <w:nsid w:val="530386D1"/>
    <w:multiLevelType w:val="hybridMultilevel"/>
    <w:lvl w:ilvl="0">
      <w:lvlJc w:val="left"/>
      <w:lvlText w:val="(%1)"/>
      <w:numFmt w:val="decimal"/>
      <w:start w:val="1"/>
    </w:lvl>
  </w:abstractNum>
  <w:abstractNum w:abstractNumId="333">
    <w:nsid w:val="7525F2BC"/>
    <w:multiLevelType w:val="hybridMultilevel"/>
    <w:lvl w:ilvl="0">
      <w:lvlJc w:val="left"/>
      <w:lvlText w:val="%1"/>
      <w:numFmt w:val="decimal"/>
      <w:start w:val="1"/>
    </w:lvl>
    <w:lvl w:ilvl="1">
      <w:lvlJc w:val="left"/>
      <w:lvlText w:val="(%2)"/>
      <w:numFmt w:val="decimal"/>
      <w:start w:val="1"/>
    </w:lvl>
  </w:abstractNum>
  <w:abstractNum w:abstractNumId="334">
    <w:nsid w:val="CE8E1A7"/>
    <w:multiLevelType w:val="hybridMultilevel"/>
    <w:lvl w:ilvl="0">
      <w:lvlJc w:val="left"/>
      <w:lvlText w:val="(%1)"/>
      <w:numFmt w:val="decimal"/>
      <w:start w:val="4"/>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58" Type="http://schemas.openxmlformats.org/officeDocument/2006/relationships/image" Target="media/image133.png"/><Relationship Id="rId159" Type="http://schemas.openxmlformats.org/officeDocument/2006/relationships/image" Target="media/image134.png"/><Relationship Id="rId160" Type="http://schemas.openxmlformats.org/officeDocument/2006/relationships/image" Target="media/image135.png"/><Relationship Id="rId161" Type="http://schemas.openxmlformats.org/officeDocument/2006/relationships/image" Target="media/image136.png"/><Relationship Id="rId162" Type="http://schemas.openxmlformats.org/officeDocument/2006/relationships/image" Target="media/image137.png"/><Relationship Id="rId163" Type="http://schemas.openxmlformats.org/officeDocument/2006/relationships/image" Target="media/image138.png"/><Relationship Id="rId164" Type="http://schemas.openxmlformats.org/officeDocument/2006/relationships/image" Target="media/image139.png"/><Relationship Id="rId165" Type="http://schemas.openxmlformats.org/officeDocument/2006/relationships/image" Target="media/image140.png"/><Relationship Id="rId166" Type="http://schemas.openxmlformats.org/officeDocument/2006/relationships/image" Target="media/image141.png"/><Relationship Id="rId167" Type="http://schemas.openxmlformats.org/officeDocument/2006/relationships/image" Target="media/image142.jpeg"/><Relationship Id="rId168" Type="http://schemas.openxmlformats.org/officeDocument/2006/relationships/image" Target="media/image143.png"/><Relationship Id="rId169" Type="http://schemas.openxmlformats.org/officeDocument/2006/relationships/image" Target="media/image144.png"/><Relationship Id="rId170" Type="http://schemas.openxmlformats.org/officeDocument/2006/relationships/image" Target="media/image145.png"/><Relationship Id="rId171" Type="http://schemas.openxmlformats.org/officeDocument/2006/relationships/image" Target="media/image146.png"/><Relationship Id="rId140" Type="http://schemas.openxmlformats.org/officeDocument/2006/relationships/hyperlink" Target="http://www.sec.gov/Archives/edgar/data/866273/000086627316000233/proxystatementfiscal2016de.htm" TargetMode="External"/><Relationship Id="rId141" Type="http://schemas.openxmlformats.org/officeDocument/2006/relationships/hyperlink" Target="http://www.sec.gov/Archives/edgar/data/866273/000086627317000018/exhibit31secondamendedandr.htm" TargetMode="External"/><Relationship Id="rId142" Type="http://schemas.openxmlformats.org/officeDocument/2006/relationships/hyperlink" Target="http://www.sec.gov/Archives/edgar/data/866273/000086627319000094/exhibit42descriptionofthec.htm" TargetMode="External"/><Relationship Id="rId143" Type="http://schemas.openxmlformats.org/officeDocument/2006/relationships/hyperlink" Target="http://www.sec.gov/Archives/edgar/data/866273/000119312506191449/ddef14a.htm" TargetMode="External"/><Relationship Id="rId144" Type="http://schemas.openxmlformats.org/officeDocument/2006/relationships/hyperlink" Target="http://www.sec.gov/Archives/edgar/data/866273/000119312506202415/dex10.htm" TargetMode="External"/><Relationship Id="rId145" Type="http://schemas.openxmlformats.org/officeDocument/2006/relationships/hyperlink" Target="http://www.sec.gov/Archives/edgar/data/866273/000119312508166640/dex106.htm" TargetMode="External"/><Relationship Id="rId146" Type="http://schemas.openxmlformats.org/officeDocument/2006/relationships/hyperlink" Target="http://www.sec.gov/Archives/edgar/data/866273/000119312509190436/ddef14a.htm" TargetMode="External"/><Relationship Id="rId147" Type="http://schemas.openxmlformats.org/officeDocument/2006/relationships/hyperlink" Target="http://www.sec.gov/Archives/edgar/data/866273/000086627317000006/exhibit102-mtrxx2016x12x31.htm" TargetMode="External"/><Relationship Id="rId148" Type="http://schemas.openxmlformats.org/officeDocument/2006/relationships/hyperlink" Target="http://www.sec.gov/Archives/edgar/data/866273/000086627318000092/exhibit1011-mtrxx2018x06x3.htm" TargetMode="External"/><Relationship Id="rId149" Type="http://schemas.openxmlformats.org/officeDocument/2006/relationships/hyperlink" Target="http://www.sec.gov/Archives/edgar/data/866273/000086627318000095/proxystatementfiscal2018de.htm" TargetMode="External"/><Relationship Id="rId150" Type="http://schemas.openxmlformats.org/officeDocument/2006/relationships/hyperlink" Target="http://www.sec.gov/Archives/edgar/data/866273/000086627318000128/exhibit10-nonxemployeedire.htm" TargetMode="External"/><Relationship Id="rId151" Type="http://schemas.openxmlformats.org/officeDocument/2006/relationships/hyperlink" Target="http://www.sec.gov/Archives/edgar/data/866273/000086627320000109/exhibit1014.htm" TargetMode="External"/><Relationship Id="rId152" Type="http://schemas.openxmlformats.org/officeDocument/2006/relationships/hyperlink" Target="http://www.sec.gov/Archives/edgar/data/866273/000086627320000109/exhibit1015.htm" TargetMode="External"/><Relationship Id="rId153" Type="http://schemas.openxmlformats.org/officeDocument/2006/relationships/hyperlink" Target="http://www.sec.gov/Archives/edgar/data/866273/000086627316000248/exhibit10-formofamendedand.htm" TargetMode="External"/><Relationship Id="rId154" Type="http://schemas.openxmlformats.org/officeDocument/2006/relationships/hyperlink" Target="http://www.sec.gov/Archives/edgar/data/866273/000119312509003061/dex101.htm" TargetMode="External"/><Relationship Id="rId155" Type="http://schemas.openxmlformats.org/officeDocument/2006/relationships/hyperlink" Target="http://www.sec.gov/Archives/edgar/data/866273/000119312512462895/d411459dex10.htm" TargetMode="External"/><Relationship Id="rId156" Type="http://schemas.openxmlformats.org/officeDocument/2006/relationships/hyperlink" Target="http://www.sec.gov/Archives/edgar/data/866273/000114036120021431/nc10015074x1_def14a.htm" TargetMode="External"/><Relationship Id="rId157" Type="http://schemas.openxmlformats.org/officeDocument/2006/relationships/hyperlink" Target="http://www.sec.gov/Archives/edgar/data/866273/000086627319000117/exhibit10-indemnifica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2021-09-13T15:28:14Z</dcterms:created>
  <dcterms:modified xsi:type="dcterms:W3CDTF">2021-09-13T15:28:14Z</dcterms:modified>
</cp:coreProperties>
</file>