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34237.xml.htm"/>
      <w:bookmarkStart w:id="1" w:name="kswkform4_17885342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DAVID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15333 JOHN F KENNEDY BOULEVARD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MATRIX SERVICE CO</w:t>
              </w:r>
            </w:hyperlink>
            <w:r>
              <w:rPr/>
              <w:t xml:space="preserve"> [ </w:t>
            </w:r>
            <w:r>
              <w:rPr>
                <w:rFonts w:ascii="Times;serif" w:hAnsi="Times;serif"/>
                <w:color w:val="0000FF"/>
                <w:sz w:val="24"/>
                <w:shd w:fill="FFFFFF" w:val="clear"/>
              </w:rPr>
              <w:t>MTRX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&amp; 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5,432</w:t>
            </w:r>
            <w:r>
              <w:rPr>
                <w:rFonts w:ascii="Times;serif" w:hAnsi="Times;serif"/>
                <w:color w:val="008000"/>
                <w:position w:val="7"/>
                <w:sz w:val="16"/>
                <w:sz w:val="20"/>
                <w:shd w:fill="FFFFFF" w:val="clear"/>
              </w:rPr>
              <w:t>(1)</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25,979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27,681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25,979</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669</w:t>
            </w:r>
            <w:r>
              <w:rPr>
                <w:rFonts w:ascii="Times;serif" w:hAnsi="Times;serif"/>
                <w:color w:val="008000"/>
                <w:position w:val="7"/>
                <w:sz w:val="16"/>
                <w:sz w:val="20"/>
                <w:shd w:fill="FFFFFF" w:val="clear"/>
              </w:rPr>
              <w:t>(3)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25,310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26,917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25,310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632</w:t>
            </w:r>
            <w:r>
              <w:rPr>
                <w:rFonts w:ascii="Times;serif" w:hAnsi="Times;serif"/>
                <w:color w:val="008000"/>
                <w:position w:val="7"/>
                <w:sz w:val="16"/>
                <w:sz w:val="20"/>
                <w:shd w:fill="FFFFFF" w:val="clear"/>
              </w:rPr>
              <w:t>(3)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24,678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27,048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24,678</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w:t>
            </w:r>
            <w:r>
              <w:rPr>
                <w:rFonts w:ascii="Times;serif" w:hAnsi="Times;serif"/>
                <w:color w:val="008000"/>
                <w:position w:val="7"/>
                <w:sz w:val="16"/>
                <w:sz w:val="20"/>
                <w:shd w:fill="FFFFFF" w:val="clear"/>
              </w:rPr>
              <w:t>(3)</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23,746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24,713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23,746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380</w:t>
            </w:r>
            <w:r>
              <w:rPr>
                <w:rFonts w:ascii="Times;serif" w:hAnsi="Times;serif"/>
                <w:color w:val="008000"/>
                <w:position w:val="7"/>
                <w:sz w:val="16"/>
                <w:sz w:val="20"/>
                <w:shd w:fill="FFFFFF" w:val="clear"/>
              </w:rPr>
              <w:t>(3)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23,366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66"/>
        <w:gridCol w:w="606"/>
        <w:gridCol w:w="906"/>
        <w:gridCol w:w="801"/>
        <w:gridCol w:w="891"/>
        <w:gridCol w:w="68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5,432</w:t>
            </w:r>
            <w:r>
              <w:rPr>
                <w:rFonts w:ascii="Times;serif" w:hAnsi="Times;serif"/>
                <w:color w:val="008000"/>
                <w:position w:val="7"/>
                <w:sz w:val="16"/>
                <w:sz w:val="20"/>
                <w:shd w:fill="FFFFFF" w:val="clear"/>
              </w:rPr>
              <w:t>(4)</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08/25/2029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5,432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08/27/2025</w:t>
            </w: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08/27/2026</w:t>
            </w: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4,819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08/29/2024</w:t>
            </w:r>
            <w:r>
              <w:rPr>
                <w:rFonts w:ascii="Times;serif" w:hAnsi="Times;serif"/>
                <w:color w:val="008000"/>
                <w:position w:val="7"/>
                <w:sz w:val="16"/>
                <w:sz w:val="20"/>
                <w:shd w:fill="FFFFFF" w:val="clear"/>
              </w:rPr>
              <w:t>(7)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08/29/2027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08/30/2023</w:t>
            </w: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 - each unit will entitle the reporting person to one share of Matrix Service Company Common Stock if and when the conditions of the restriction have been satisfied. For this grant, one-third will vest each year for the next three years on the anniversary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is the economic equivalent of one share of Matrix Service Company Common Stock. All Restricted Stock Units are settled solely in Cash when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disposed to satisfy tax obligation due on vest date for Stock-Settled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unit will entitle the reporting person to the Cash equivalent of one share of Matrix Service Company Common Stock if and when the conditions of the restriction have been satisfied. For this grant, one-third will vest each year for the next three years on the anniversary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For this service-based award of Cash-Settled Restricted Stock Units, 25% will vest each year from August 27, 2025 to August 27,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For this service-based award of Cash-Settled Restricted Stock Units, 25% will vest each year from August 27, 2026 to August 27,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For this service-based award of Cash-Settled Restricted Stock Units, 25% will vest each year from August 29, 2024 to August 29,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For this service-based award of Cash-Settled Restricted Stock Units, 25% will vest each year from August 30, 2023 to August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J.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3371" TargetMode="External"/><Relationship Id="rId5" Type="http://schemas.openxmlformats.org/officeDocument/2006/relationships/hyperlink" Target="http://www.sec.gov/cgi-bin/browse-edgar?action=getcompany&amp;CIK=0000866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985</Words>
  <Characters>5139</Characters>
  <CharactersWithSpaces>5892</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