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02"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spacing w:after="0" w:line="10"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ind w:left="4140"/>
        <w:spacing w:after="0"/>
        <w:rPr>
          <w:sz w:val="20"/>
          <w:szCs w:val="20"/>
          <w:color w:val="auto"/>
        </w:rPr>
      </w:pPr>
      <w:r>
        <w:rPr>
          <w:rFonts w:ascii="Arial" w:cs="Arial" w:eastAsia="Arial" w:hAnsi="Arial"/>
          <w:sz w:val="16"/>
          <w:szCs w:val="16"/>
          <w:b w:val="1"/>
          <w:bCs w:val="1"/>
          <w:color w:val="auto"/>
        </w:rPr>
        <w:t>_______________________________________</w:t>
      </w:r>
    </w:p>
    <w:p>
      <w:pPr>
        <w:spacing w:after="0" w:line="24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78" w:lineRule="exact"/>
        <w:rPr>
          <w:sz w:val="24"/>
          <w:szCs w:val="24"/>
          <w:color w:val="auto"/>
        </w:rPr>
      </w:pPr>
    </w:p>
    <w:p>
      <w:pPr>
        <w:ind w:left="4140"/>
        <w:spacing w:after="0"/>
        <w:rPr>
          <w:sz w:val="20"/>
          <w:szCs w:val="20"/>
          <w:color w:val="auto"/>
        </w:rPr>
      </w:pPr>
      <w:r>
        <w:rPr>
          <w:rFonts w:ascii="Arial" w:cs="Arial" w:eastAsia="Arial" w:hAnsi="Arial"/>
          <w:sz w:val="16"/>
          <w:szCs w:val="16"/>
          <w:b w:val="1"/>
          <w:bCs w:val="1"/>
          <w:color w:val="auto"/>
        </w:rPr>
        <w:t>_______________________________________</w:t>
      </w:r>
    </w:p>
    <w:p>
      <w:pPr>
        <w:spacing w:after="0" w:line="12"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142" w:lineRule="exact"/>
        <w:rPr>
          <w:sz w:val="24"/>
          <w:szCs w:val="24"/>
          <w:color w:val="auto"/>
        </w:rPr>
      </w:pPr>
    </w:p>
    <w:p>
      <w:pPr>
        <w:ind w:left="720" w:hanging="422"/>
        <w:spacing w:after="0"/>
        <w:tabs>
          <w:tab w:leader="none" w:pos="720" w:val="left"/>
        </w:tabs>
        <w:numPr>
          <w:ilvl w:val="0"/>
          <w:numId w:val="1"/>
        </w:numPr>
        <w:rPr>
          <w:rFonts w:ascii="Arial" w:cs="Arial" w:eastAsia="Arial" w:hAnsi="Arial"/>
          <w:sz w:val="19"/>
          <w:szCs w:val="19"/>
          <w:color w:val="auto"/>
        </w:rPr>
      </w:pPr>
      <w:r>
        <w:rPr>
          <w:rFonts w:ascii="Arial" w:cs="Arial" w:eastAsia="Arial" w:hAnsi="Arial"/>
          <w:sz w:val="19"/>
          <w:szCs w:val="19"/>
          <w:b w:val="1"/>
          <w:bCs w:val="1"/>
          <w:color w:val="auto"/>
        </w:rPr>
        <w:t>Quarterly Report Pursuant to Section 13 or 15(d) of the Securities Exchange Act of 1934</w:t>
      </w:r>
    </w:p>
    <w:p>
      <w:pPr>
        <w:spacing w:after="0" w:line="22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For the quarterly period ended March 31, 2013</w:t>
      </w:r>
    </w:p>
    <w:p>
      <w:pPr>
        <w:spacing w:after="0" w:line="22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162" w:lineRule="exact"/>
        <w:rPr>
          <w:sz w:val="24"/>
          <w:szCs w:val="24"/>
          <w:color w:val="auto"/>
        </w:rPr>
      </w:pPr>
    </w:p>
    <w:p>
      <w:pPr>
        <w:ind w:left="720" w:hanging="449"/>
        <w:spacing w:after="0"/>
        <w:tabs>
          <w:tab w:leader="none" w:pos="720" w:val="left"/>
        </w:tabs>
        <w:numPr>
          <w:ilvl w:val="0"/>
          <w:numId w:val="2"/>
        </w:numPr>
        <w:rPr>
          <w:rFonts w:ascii="Arial" w:cs="Arial" w:eastAsia="Arial" w:hAnsi="Arial"/>
          <w:sz w:val="19"/>
          <w:szCs w:val="19"/>
          <w:color w:val="auto"/>
        </w:rPr>
      </w:pPr>
      <w:r>
        <w:rPr>
          <w:rFonts w:ascii="Arial" w:cs="Arial" w:eastAsia="Arial" w:hAnsi="Arial"/>
          <w:sz w:val="19"/>
          <w:szCs w:val="19"/>
          <w:b w:val="1"/>
          <w:bCs w:val="1"/>
          <w:color w:val="auto"/>
        </w:rPr>
        <w:t>Transition Report Pursuant to Section 13 or 15 (d) of the Securities Exchange Act of 1934</w:t>
      </w:r>
    </w:p>
    <w:p>
      <w:pPr>
        <w:spacing w:after="0" w:line="277" w:lineRule="exact"/>
        <w:rPr>
          <w:sz w:val="24"/>
          <w:szCs w:val="24"/>
          <w:color w:val="auto"/>
        </w:rPr>
      </w:pPr>
    </w:p>
    <w:p>
      <w:pPr>
        <w:ind w:left="392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3990975</wp:posOffset>
            </wp:positionH>
            <wp:positionV relativeFrom="paragraph">
              <wp:posOffset>-7620</wp:posOffset>
            </wp:positionV>
            <wp:extent cx="7810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81050" cy="8890"/>
                    </a:xfrm>
                    <a:prstGeom prst="rect">
                      <a:avLst/>
                    </a:prstGeom>
                    <a:noFill/>
                  </pic:spPr>
                </pic:pic>
              </a:graphicData>
            </a:graphic>
          </wp:anchor>
        </w:drawing>
      </w:r>
    </w:p>
    <w:p>
      <w:pPr>
        <w:spacing w:after="0" w:line="20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Commission File No. 1-15461</w:t>
      </w:r>
    </w:p>
    <w:p>
      <w:pPr>
        <w:spacing w:after="0" w:line="27" w:lineRule="exact"/>
        <w:rPr>
          <w:sz w:val="24"/>
          <w:szCs w:val="24"/>
          <w:color w:val="auto"/>
        </w:rPr>
      </w:pPr>
    </w:p>
    <w:p>
      <w:pPr>
        <w:ind w:left="4020"/>
        <w:spacing w:after="0"/>
        <w:rPr>
          <w:sz w:val="20"/>
          <w:szCs w:val="20"/>
          <w:color w:val="auto"/>
        </w:rPr>
      </w:pPr>
      <w:r>
        <w:rPr>
          <w:rFonts w:ascii="Arial" w:cs="Arial" w:eastAsia="Arial" w:hAnsi="Arial"/>
          <w:sz w:val="16"/>
          <w:szCs w:val="16"/>
          <w:b w:val="1"/>
          <w:bCs w:val="1"/>
          <w:color w:val="auto"/>
        </w:rPr>
        <w:t>__________________________________________</w:t>
      </w:r>
    </w:p>
    <w:p>
      <w:pPr>
        <w:spacing w:after="0" w:line="52" w:lineRule="exact"/>
        <w:rPr>
          <w:sz w:val="24"/>
          <w:szCs w:val="24"/>
          <w:color w:val="auto"/>
        </w:rPr>
      </w:pPr>
    </w:p>
    <w:p>
      <w:pPr>
        <w:jc w:val="center"/>
        <w:ind w:right="-39"/>
        <w:spacing w:after="0"/>
        <w:rPr>
          <w:sz w:val="20"/>
          <w:szCs w:val="20"/>
          <w:color w:val="auto"/>
        </w:rPr>
      </w:pPr>
      <w:r>
        <w:rPr>
          <w:rFonts w:ascii="Arial" w:cs="Arial" w:eastAsia="Arial" w:hAnsi="Arial"/>
          <w:sz w:val="40"/>
          <w:szCs w:val="40"/>
          <w:b w:val="1"/>
          <w:bCs w:val="1"/>
          <w:color w:val="auto"/>
        </w:rPr>
        <w:t>MATRIX SERVICE COMPANY</w:t>
      </w:r>
    </w:p>
    <w:p>
      <w:pPr>
        <w:spacing w:after="0" w:line="4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7" w:lineRule="exact"/>
        <w:rPr>
          <w:sz w:val="24"/>
          <w:szCs w:val="24"/>
          <w:color w:val="auto"/>
        </w:rPr>
      </w:pPr>
    </w:p>
    <w:p>
      <w:pPr>
        <w:ind w:left="4020"/>
        <w:spacing w:after="0"/>
        <w:rPr>
          <w:sz w:val="20"/>
          <w:szCs w:val="20"/>
          <w:color w:val="auto"/>
        </w:rPr>
      </w:pPr>
      <w:r>
        <w:rPr>
          <w:rFonts w:ascii="Arial" w:cs="Arial" w:eastAsia="Arial" w:hAnsi="Arial"/>
          <w:sz w:val="16"/>
          <w:szCs w:val="16"/>
          <w:b w:val="1"/>
          <w:bCs w:val="1"/>
          <w:color w:val="auto"/>
        </w:rPr>
        <w:t>__________________________________________</w:t>
      </w:r>
    </w:p>
    <w:p>
      <w:pPr>
        <w:sectPr>
          <w:pgSz w:w="11900" w:h="16838" w:orient="portrait"/>
          <w:cols w:equalWidth="0" w:num="1">
            <w:col w:w="11380"/>
          </w:cols>
          <w:pgMar w:left="240" w:top="233" w:right="279" w:bottom="1440" w:gutter="0" w:footer="0" w:header="0"/>
        </w:sectPr>
      </w:pPr>
    </w:p>
    <w:p>
      <w:pPr>
        <w:spacing w:after="0" w:line="149" w:lineRule="exact"/>
        <w:rPr>
          <w:sz w:val="24"/>
          <w:szCs w:val="24"/>
          <w:color w:val="auto"/>
        </w:rPr>
      </w:pPr>
    </w:p>
    <w:p>
      <w:pPr>
        <w:ind w:left="2160"/>
        <w:spacing w:after="0"/>
        <w:rPr>
          <w:sz w:val="20"/>
          <w:szCs w:val="20"/>
          <w:color w:val="auto"/>
        </w:rPr>
      </w:pPr>
      <w:r>
        <w:rPr>
          <w:rFonts w:ascii="Arial" w:cs="Arial" w:eastAsia="Arial" w:hAnsi="Arial"/>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12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73-1352174</w:t>
      </w:r>
    </w:p>
    <w:p>
      <w:pPr>
        <w:spacing w:after="0" w:line="81" w:lineRule="exact"/>
        <w:rPr>
          <w:sz w:val="24"/>
          <w:szCs w:val="24"/>
          <w:color w:val="auto"/>
        </w:rPr>
      </w:pPr>
    </w:p>
    <w:p>
      <w:pPr>
        <w:sectPr>
          <w:pgSz w:w="11900" w:h="16838" w:orient="portrait"/>
          <w:cols w:equalWidth="0" w:num="2">
            <w:col w:w="7080" w:space="720"/>
            <w:col w:w="3580"/>
          </w:cols>
          <w:pgMar w:left="240" w:top="233" w:right="279" w:bottom="1440" w:gutter="0" w:footer="0" w:header="0"/>
          <w:type w:val="continuous"/>
        </w:sectPr>
      </w:pPr>
    </w:p>
    <w:p>
      <w:pPr>
        <w:ind w:left="1940"/>
        <w:spacing w:after="0"/>
        <w:rPr>
          <w:sz w:val="20"/>
          <w:szCs w:val="20"/>
          <w:color w:val="auto"/>
        </w:rPr>
      </w:pPr>
      <w:r>
        <w:rPr>
          <w:rFonts w:ascii="Arial" w:cs="Arial" w:eastAsia="Arial" w:hAnsi="Arial"/>
          <w:sz w:val="13"/>
          <w:szCs w:val="13"/>
          <w:b w:val="1"/>
          <w:bCs w:val="1"/>
          <w:color w:val="auto"/>
        </w:rPr>
        <w:t>(State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(I.R.S. Employer Identification No.)</w:t>
      </w:r>
    </w:p>
    <w:p>
      <w:pPr>
        <w:spacing w:after="0" w:line="193" w:lineRule="exact"/>
        <w:rPr>
          <w:sz w:val="24"/>
          <w:szCs w:val="24"/>
          <w:color w:val="auto"/>
        </w:rPr>
      </w:pPr>
    </w:p>
    <w:p>
      <w:pPr>
        <w:sectPr>
          <w:pgSz w:w="11900" w:h="16838" w:orient="portrait"/>
          <w:cols w:equalWidth="0" w:num="2">
            <w:col w:w="6420" w:space="720"/>
            <w:col w:w="4240"/>
          </w:cols>
          <w:pgMar w:left="240" w:top="233" w:right="279" w:bottom="1440" w:gutter="0" w:footer="0" w:header="0"/>
          <w:type w:val="continuous"/>
        </w:sectPr>
      </w:pPr>
    </w:p>
    <w:p>
      <w:pPr>
        <w:jc w:val="center"/>
        <w:ind w:right="-59"/>
        <w:spacing w:after="0"/>
        <w:rPr>
          <w:sz w:val="20"/>
          <w:szCs w:val="20"/>
          <w:color w:val="auto"/>
        </w:rPr>
      </w:pPr>
      <w:r>
        <w:rPr>
          <w:rFonts w:ascii="Arial" w:cs="Arial" w:eastAsia="Arial" w:hAnsi="Arial"/>
          <w:sz w:val="18"/>
          <w:szCs w:val="18"/>
          <w:b w:val="1"/>
          <w:bCs w:val="1"/>
          <w:color w:val="auto"/>
        </w:rPr>
        <w:t>5100 East Skelly Drive, Suite 700, Tulsa, Oklahoma 74135</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(Address of principal executive offices and zip code)</w:t>
      </w:r>
    </w:p>
    <w:p>
      <w:pPr>
        <w:spacing w:after="0" w:line="152"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Registrant’s telephone number, including area code: (918) 838-8822</w:t>
      </w:r>
    </w:p>
    <w:p>
      <w:pPr>
        <w:spacing w:after="0" w:line="17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9" w:lineRule="exact"/>
        <w:rPr>
          <w:sz w:val="24"/>
          <w:szCs w:val="24"/>
          <w:color w:val="auto"/>
        </w:rPr>
      </w:pPr>
    </w:p>
    <w:p>
      <w:pPr>
        <w:ind w:left="4080"/>
        <w:spacing w:after="0"/>
        <w:rPr>
          <w:sz w:val="20"/>
          <w:szCs w:val="20"/>
          <w:color w:val="auto"/>
        </w:rPr>
      </w:pPr>
      <w:r>
        <w:rPr>
          <w:rFonts w:ascii="Arial" w:cs="Arial" w:eastAsia="Arial" w:hAnsi="Arial"/>
          <w:sz w:val="18"/>
          <w:szCs w:val="18"/>
          <w:color w:val="auto"/>
        </w:rPr>
        <w:t>____________________________________</w:t>
      </w:r>
    </w:p>
    <w:p>
      <w:pPr>
        <w:spacing w:after="0" w:line="74" w:lineRule="exact"/>
        <w:rPr>
          <w:sz w:val="24"/>
          <w:szCs w:val="24"/>
          <w:color w:val="auto"/>
        </w:rPr>
      </w:pPr>
    </w:p>
    <w:p>
      <w:pPr>
        <w:ind w:right="44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 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ind w:right="36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definition of “accelerated filer”, “large accelerated filer”, and “smaller reporting company” in Rule 12b-2 of the Exchange Act.</w:t>
      </w:r>
    </w:p>
    <w:p>
      <w:pPr>
        <w:spacing w:after="0" w:line="60"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2060" w:type="dxa"/>
            <w:vAlign w:val="bottom"/>
          </w:tcPr>
          <w:p>
            <w:pPr>
              <w:ind w:left="40"/>
              <w:spacing w:after="0"/>
              <w:rPr>
                <w:sz w:val="20"/>
                <w:szCs w:val="20"/>
                <w:color w:val="auto"/>
              </w:rPr>
            </w:pPr>
            <w:r>
              <w:rPr>
                <w:rFonts w:ascii="Arial" w:cs="Arial" w:eastAsia="Arial" w:hAnsi="Arial"/>
                <w:sz w:val="18"/>
                <w:szCs w:val="18"/>
                <w:color w:val="auto"/>
              </w:rPr>
              <w:t>Large accelerated filer</w:t>
            </w:r>
          </w:p>
        </w:tc>
        <w:tc>
          <w:tcPr>
            <w:tcW w:w="6220" w:type="dxa"/>
            <w:vAlign w:val="bottom"/>
          </w:tcPr>
          <w:p>
            <w:pPr>
              <w:ind w:left="400"/>
              <w:spacing w:after="0" w:line="181" w:lineRule="exact"/>
              <w:rPr>
                <w:sz w:val="20"/>
                <w:szCs w:val="20"/>
                <w:color w:val="auto"/>
              </w:rPr>
            </w:pPr>
            <w:r>
              <w:rPr>
                <w:rFonts w:ascii="MS PGothic" w:cs="MS PGothic" w:eastAsia="MS PGothic" w:hAnsi="MS PGothic"/>
                <w:sz w:val="18"/>
                <w:szCs w:val="18"/>
                <w:color w:val="auto"/>
              </w:rPr>
              <w:t>☐</w:t>
            </w:r>
          </w:p>
        </w:tc>
        <w:tc>
          <w:tcPr>
            <w:tcW w:w="2460" w:type="dxa"/>
            <w:vAlign w:val="bottom"/>
          </w:tcPr>
          <w:p>
            <w:pPr>
              <w:ind w:left="100"/>
              <w:spacing w:after="0"/>
              <w:rPr>
                <w:sz w:val="20"/>
                <w:szCs w:val="20"/>
                <w:color w:val="auto"/>
              </w:rPr>
            </w:pPr>
            <w:r>
              <w:rPr>
                <w:rFonts w:ascii="Arial" w:cs="Arial" w:eastAsia="Arial" w:hAnsi="Arial"/>
                <w:sz w:val="18"/>
                <w:szCs w:val="18"/>
                <w:color w:val="auto"/>
              </w:rPr>
              <w:t>Accelerated filer</w:t>
            </w:r>
          </w:p>
        </w:tc>
        <w:tc>
          <w:tcPr>
            <w:tcW w:w="540" w:type="dxa"/>
            <w:vAlign w:val="bottom"/>
          </w:tcPr>
          <w:p>
            <w:pPr>
              <w:ind w:left="36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392"/>
        </w:trPr>
        <w:tc>
          <w:tcPr>
            <w:tcW w:w="2060" w:type="dxa"/>
            <w:vAlign w:val="bottom"/>
          </w:tcPr>
          <w:p>
            <w:pPr>
              <w:ind w:left="40"/>
              <w:spacing w:after="0"/>
              <w:rPr>
                <w:sz w:val="20"/>
                <w:szCs w:val="20"/>
                <w:color w:val="auto"/>
              </w:rPr>
            </w:pPr>
            <w:r>
              <w:rPr>
                <w:rFonts w:ascii="Arial" w:cs="Arial" w:eastAsia="Arial" w:hAnsi="Arial"/>
                <w:sz w:val="18"/>
                <w:szCs w:val="18"/>
                <w:color w:val="auto"/>
              </w:rPr>
              <w:t>Non-accelerated filer</w:t>
            </w:r>
          </w:p>
        </w:tc>
        <w:tc>
          <w:tcPr>
            <w:tcW w:w="6220" w:type="dxa"/>
            <w:vAlign w:val="bottom"/>
          </w:tcPr>
          <w:p>
            <w:pPr>
              <w:ind w:left="400"/>
              <w:spacing w:after="0"/>
              <w:rPr>
                <w:sz w:val="20"/>
                <w:szCs w:val="20"/>
                <w:color w:val="auto"/>
              </w:rPr>
            </w:pPr>
            <w:r>
              <w:rPr>
                <w:rFonts w:ascii="Arial" w:cs="Arial" w:eastAsia="Arial" w:hAnsi="Arial"/>
                <w:sz w:val="18"/>
                <w:szCs w:val="18"/>
                <w:color w:val="auto"/>
              </w:rPr>
              <w:t>o</w:t>
            </w:r>
          </w:p>
        </w:tc>
        <w:tc>
          <w:tcPr>
            <w:tcW w:w="2460" w:type="dxa"/>
            <w:vAlign w:val="bottom"/>
          </w:tcPr>
          <w:p>
            <w:pPr>
              <w:ind w:left="100"/>
              <w:spacing w:after="0"/>
              <w:rPr>
                <w:sz w:val="20"/>
                <w:szCs w:val="20"/>
                <w:color w:val="auto"/>
              </w:rPr>
            </w:pPr>
            <w:r>
              <w:rPr>
                <w:rFonts w:ascii="Arial" w:cs="Arial" w:eastAsia="Arial" w:hAnsi="Arial"/>
                <w:sz w:val="18"/>
                <w:szCs w:val="18"/>
                <w:color w:val="auto"/>
              </w:rPr>
              <w:t>Smaller reporting company</w:t>
            </w:r>
          </w:p>
        </w:tc>
        <w:tc>
          <w:tcPr>
            <w:tcW w:w="540" w:type="dxa"/>
            <w:vAlign w:val="bottom"/>
          </w:tcPr>
          <w:p>
            <w:pPr>
              <w:ind w:left="36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405"/>
        </w:trPr>
        <w:tc>
          <w:tcPr>
            <w:tcW w:w="8280" w:type="dxa"/>
            <w:vAlign w:val="bottom"/>
            <w:gridSpan w:val="2"/>
          </w:tcPr>
          <w:p>
            <w:pPr>
              <w:spacing w:after="0"/>
              <w:rPr>
                <w:sz w:val="20"/>
                <w:szCs w:val="20"/>
                <w:color w:val="auto"/>
              </w:rPr>
            </w:pPr>
            <w:r>
              <w:rPr>
                <w:rFonts w:ascii="Arial" w:cs="Arial" w:eastAsia="Arial" w:hAnsi="Arial"/>
                <w:sz w:val="18"/>
                <w:szCs w:val="18"/>
                <w:color w:val="auto"/>
                <w:w w:val="91"/>
              </w:rPr>
              <w:t>Indicate by check mark whether the registrant is a shell company (as defined in Rule 12b-2 of the Exchange Act).</w:t>
            </w:r>
          </w:p>
        </w:tc>
        <w:tc>
          <w:tcPr>
            <w:tcW w:w="246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tc>
        <w:tc>
          <w:tcPr>
            <w:tcW w:w="540" w:type="dxa"/>
            <w:vAlign w:val="bottom"/>
          </w:tcPr>
          <w:p>
            <w:pPr>
              <w:spacing w:after="0"/>
              <w:rPr>
                <w:sz w:val="24"/>
                <w:szCs w:val="24"/>
                <w:color w:val="auto"/>
              </w:rPr>
            </w:pPr>
          </w:p>
        </w:tc>
      </w:tr>
    </w:tbl>
    <w:p>
      <w:pPr>
        <w:spacing w:after="0" w:line="128" w:lineRule="exact"/>
        <w:rPr>
          <w:sz w:val="24"/>
          <w:szCs w:val="24"/>
          <w:color w:val="auto"/>
        </w:rPr>
      </w:pPr>
    </w:p>
    <w:p>
      <w:pPr>
        <w:spacing w:after="0"/>
        <w:rPr>
          <w:sz w:val="20"/>
          <w:szCs w:val="20"/>
          <w:color w:val="auto"/>
        </w:rPr>
      </w:pPr>
      <w:r>
        <w:rPr>
          <w:rFonts w:ascii="Arial" w:cs="Arial" w:eastAsia="Arial" w:hAnsi="Arial"/>
          <w:sz w:val="16"/>
          <w:szCs w:val="16"/>
          <w:color w:val="auto"/>
        </w:rPr>
        <w:t>As of May 1, 2013 there were 27,888,217 shares of the Company’s common stock, $0.01 par value per share, issued and 26,071,061 shares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201295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114935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233" w:right="279" w:bottom="1440" w:gutter="0" w:footer="0" w:header="0"/>
          <w:type w:val="continuous"/>
        </w:sectPr>
      </w:pPr>
    </w:p>
    <w:bookmarkStart w:id="1" w:name="page2"/>
    <w:bookmarkEnd w:id="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TABLE OF CONTENTS</w:t>
      </w:r>
    </w:p>
    <w:p>
      <w:pPr>
        <w:spacing w:after="0" w:line="167"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gridSpan w:val="3"/>
          </w:tcPr>
          <w:p>
            <w:pPr>
              <w:ind w:left="300"/>
              <w:spacing w:after="0"/>
              <w:rPr>
                <w:sz w:val="20"/>
                <w:szCs w:val="20"/>
                <w:color w:val="auto"/>
              </w:rPr>
            </w:pPr>
            <w:r>
              <w:rPr>
                <w:rFonts w:ascii="Arial" w:cs="Arial" w:eastAsia="Arial" w:hAnsi="Arial"/>
                <w:sz w:val="14"/>
                <w:szCs w:val="14"/>
                <w:b w:val="1"/>
                <w:bCs w:val="1"/>
                <w:color w:val="auto"/>
                <w:w w:val="95"/>
              </w:rPr>
              <w:t>PAGE</w:t>
            </w:r>
          </w:p>
        </w:tc>
      </w:tr>
      <w:tr>
        <w:trPr>
          <w:trHeight w:val="215"/>
        </w:trPr>
        <w:tc>
          <w:tcPr>
            <w:tcW w:w="1040" w:type="dxa"/>
            <w:vAlign w:val="bottom"/>
            <w:gridSpan w:val="3"/>
          </w:tcPr>
          <w:p>
            <w:pPr>
              <w:spacing w:after="0"/>
              <w:rPr>
                <w:rFonts w:ascii="Arial" w:cs="Arial" w:eastAsia="Arial" w:hAnsi="Arial"/>
                <w:sz w:val="18"/>
                <w:szCs w:val="18"/>
                <w:b w:val="1"/>
                <w:bCs w:val="1"/>
                <w:color w:val="0000FF"/>
              </w:rPr>
            </w:pPr>
            <w:hyperlink w:anchor="page2">
              <w:r>
                <w:rPr>
                  <w:rFonts w:ascii="Arial" w:cs="Arial" w:eastAsia="Arial" w:hAnsi="Arial"/>
                  <w:sz w:val="18"/>
                  <w:szCs w:val="18"/>
                  <w:b w:val="1"/>
                  <w:bCs w:val="1"/>
                  <w:color w:val="0000FF"/>
                </w:rPr>
                <w:t>PART I</w:t>
              </w:r>
            </w:hyperlink>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140" w:type="dxa"/>
            <w:vAlign w:val="bottom"/>
            <w:gridSpan w:val="10"/>
          </w:tcPr>
          <w:p>
            <w:pPr>
              <w:jc w:val="center"/>
              <w:ind w:right="2240"/>
              <w:spacing w:after="0"/>
              <w:rPr>
                <w:sz w:val="20"/>
                <w:szCs w:val="20"/>
                <w:color w:val="auto"/>
              </w:rPr>
            </w:pPr>
            <w:r>
              <w:rPr>
                <w:rFonts w:ascii="Arial" w:cs="Arial" w:eastAsia="Arial" w:hAnsi="Arial"/>
                <w:sz w:val="18"/>
                <w:szCs w:val="18"/>
                <w:b w:val="1"/>
                <w:bCs w:val="1"/>
                <w:color w:val="auto"/>
              </w:rPr>
              <w:t>FINANCIAL INFORMATION</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372"/>
        </w:trPr>
        <w:tc>
          <w:tcPr>
            <w:tcW w:w="580" w:type="dxa"/>
            <w:vAlign w:val="bottom"/>
            <w:tcBorders>
              <w:top w:val="single" w:sz="8" w:color="0000FF"/>
            </w:tcBorders>
          </w:tcPr>
          <w:p>
            <w:pPr>
              <w:spacing w:after="0"/>
              <w:rPr>
                <w:sz w:val="20"/>
                <w:szCs w:val="20"/>
                <w:color w:val="auto"/>
              </w:rPr>
            </w:pPr>
            <w:r>
              <w:rPr>
                <w:rFonts w:ascii="Arial" w:cs="Arial" w:eastAsia="Arial" w:hAnsi="Arial"/>
                <w:sz w:val="18"/>
                <w:szCs w:val="18"/>
                <w:color w:val="auto"/>
              </w:rPr>
              <w:t>Item 1.</w:t>
            </w:r>
          </w:p>
        </w:tc>
        <w:tc>
          <w:tcPr>
            <w:tcW w:w="460" w:type="dxa"/>
            <w:vAlign w:val="bottom"/>
            <w:gridSpan w:val="2"/>
          </w:tcPr>
          <w:p>
            <w:pPr>
              <w:spacing w:after="0"/>
              <w:rPr>
                <w:sz w:val="24"/>
                <w:szCs w:val="24"/>
                <w:color w:val="auto"/>
              </w:rPr>
            </w:pPr>
          </w:p>
        </w:tc>
        <w:tc>
          <w:tcPr>
            <w:tcW w:w="2420" w:type="dxa"/>
            <w:vAlign w:val="bottom"/>
            <w:tcBorders>
              <w:bottom w:val="single" w:sz="8" w:color="0000FF"/>
            </w:tcBorders>
            <w:gridSpan w:val="7"/>
          </w:tcPr>
          <w:p>
            <w:pPr>
              <w:spacing w:after="0"/>
              <w:rPr>
                <w:rFonts w:ascii="Arial" w:cs="Arial" w:eastAsia="Arial" w:hAnsi="Arial"/>
                <w:sz w:val="18"/>
                <w:szCs w:val="18"/>
                <w:color w:val="0000FF"/>
                <w:w w:val="89"/>
              </w:rPr>
            </w:pPr>
            <w:hyperlink w:anchor="page3">
              <w:r>
                <w:rPr>
                  <w:rFonts w:ascii="Arial" w:cs="Arial" w:eastAsia="Arial" w:hAnsi="Arial"/>
                  <w:sz w:val="18"/>
                  <w:szCs w:val="18"/>
                  <w:color w:val="0000FF"/>
                  <w:w w:val="89"/>
                </w:rPr>
                <w:t>Financial Statements (Unaudited)</w:t>
              </w:r>
            </w:hyperlink>
          </w:p>
        </w:tc>
        <w:tc>
          <w:tcPr>
            <w:tcW w:w="7140" w:type="dxa"/>
            <w:vAlign w:val="bottom"/>
            <w:gridSpan w:val="10"/>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372"/>
        </w:trPr>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560" w:type="dxa"/>
            <w:vAlign w:val="bottom"/>
            <w:gridSpan w:val="17"/>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Condensed Consolidated Statements of Income for the Three and Nine Months Ended March 31, 2013 and 2012</w:t>
              </w:r>
            </w:hyperlink>
          </w:p>
        </w:tc>
        <w:tc>
          <w:tcPr>
            <w:tcW w:w="540" w:type="dxa"/>
            <w:vAlign w:val="bottom"/>
            <w:gridSpan w:val="2"/>
          </w:tcPr>
          <w:p>
            <w:pPr>
              <w:jc w:val="center"/>
              <w:ind w:left="371"/>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1</w:t>
              </w:r>
            </w:hyperlink>
          </w:p>
        </w:tc>
        <w:tc>
          <w:tcPr>
            <w:tcW w:w="160" w:type="dxa"/>
            <w:vAlign w:val="bottom"/>
          </w:tcPr>
          <w:p>
            <w:pPr>
              <w:spacing w:after="0"/>
              <w:rPr>
                <w:sz w:val="24"/>
                <w:szCs w:val="24"/>
                <w:color w:val="auto"/>
              </w:rPr>
            </w:pPr>
          </w:p>
        </w:tc>
      </w:tr>
      <w:tr>
        <w:trPr>
          <w:trHeight w:val="20"/>
        </w:trPr>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66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72"/>
        </w:trPr>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560" w:type="dxa"/>
            <w:vAlign w:val="bottom"/>
            <w:gridSpan w:val="17"/>
          </w:tcPr>
          <w:p>
            <w:pPr>
              <w:spacing w:after="0"/>
              <w:rPr>
                <w:rFonts w:ascii="Arial" w:cs="Arial" w:eastAsia="Arial" w:hAnsi="Arial"/>
                <w:sz w:val="18"/>
                <w:szCs w:val="18"/>
                <w:color w:val="0000FF"/>
                <w:w w:val="92"/>
              </w:rPr>
            </w:pPr>
            <w:hyperlink w:anchor="page3">
              <w:r>
                <w:rPr>
                  <w:rFonts w:ascii="Arial" w:cs="Arial" w:eastAsia="Arial" w:hAnsi="Arial"/>
                  <w:sz w:val="18"/>
                  <w:szCs w:val="18"/>
                  <w:color w:val="0000FF"/>
                  <w:w w:val="92"/>
                </w:rPr>
                <w:t>Condensed Consolidated Statements of Comprehensive Income for the Three and Nine Months Ended March 31, 2013 and 2012</w:t>
              </w:r>
            </w:hyperlink>
          </w:p>
        </w:tc>
        <w:tc>
          <w:tcPr>
            <w:tcW w:w="540" w:type="dxa"/>
            <w:vAlign w:val="bottom"/>
            <w:gridSpan w:val="2"/>
          </w:tcPr>
          <w:p>
            <w:pPr>
              <w:jc w:val="center"/>
              <w:ind w:left="371"/>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2</w:t>
              </w:r>
            </w:hyperlink>
          </w:p>
        </w:tc>
        <w:tc>
          <w:tcPr>
            <w:tcW w:w="160" w:type="dxa"/>
            <w:vAlign w:val="bottom"/>
          </w:tcPr>
          <w:p>
            <w:pPr>
              <w:spacing w:after="0"/>
              <w:rPr>
                <w:sz w:val="24"/>
                <w:szCs w:val="24"/>
                <w:color w:val="auto"/>
              </w:rPr>
            </w:pPr>
          </w:p>
        </w:tc>
      </w:tr>
      <w:tr>
        <w:trPr>
          <w:trHeight w:val="20"/>
        </w:trPr>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66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54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72"/>
        </w:trPr>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60" w:type="dxa"/>
            <w:vAlign w:val="bottom"/>
            <w:gridSpan w:val="16"/>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Condensed Consolidated Balance Sheets as of March 31, 2013 and June 30, 2012</w:t>
              </w:r>
            </w:hyperlink>
          </w:p>
        </w:tc>
        <w:tc>
          <w:tcPr>
            <w:tcW w:w="300" w:type="dxa"/>
            <w:vAlign w:val="bottom"/>
          </w:tcPr>
          <w:p>
            <w:pPr>
              <w:spacing w:after="0"/>
              <w:rPr>
                <w:sz w:val="24"/>
                <w:szCs w:val="24"/>
                <w:color w:val="auto"/>
              </w:rPr>
            </w:pPr>
          </w:p>
        </w:tc>
        <w:tc>
          <w:tcPr>
            <w:tcW w:w="540" w:type="dxa"/>
            <w:vAlign w:val="bottom"/>
            <w:gridSpan w:val="2"/>
          </w:tcPr>
          <w:p>
            <w:pPr>
              <w:jc w:val="center"/>
              <w:ind w:left="371"/>
              <w:spacing w:after="0"/>
              <w:rPr>
                <w:rFonts w:ascii="Arial" w:cs="Arial" w:eastAsia="Arial" w:hAnsi="Arial"/>
                <w:sz w:val="18"/>
                <w:szCs w:val="18"/>
                <w:color w:val="0000FF"/>
                <w:w w:val="79"/>
              </w:rPr>
            </w:pPr>
            <w:hyperlink w:anchor="page4">
              <w:r>
                <w:rPr>
                  <w:rFonts w:ascii="Arial" w:cs="Arial" w:eastAsia="Arial" w:hAnsi="Arial"/>
                  <w:sz w:val="18"/>
                  <w:szCs w:val="18"/>
                  <w:color w:val="0000FF"/>
                  <w:w w:val="79"/>
                </w:rPr>
                <w:t>3</w:t>
              </w:r>
            </w:hyperlink>
          </w:p>
        </w:tc>
        <w:tc>
          <w:tcPr>
            <w:tcW w:w="160" w:type="dxa"/>
            <w:vAlign w:val="bottom"/>
          </w:tcPr>
          <w:p>
            <w:pPr>
              <w:spacing w:after="0"/>
              <w:rPr>
                <w:sz w:val="24"/>
                <w:szCs w:val="24"/>
                <w:color w:val="auto"/>
              </w:rPr>
            </w:pPr>
          </w:p>
        </w:tc>
      </w:tr>
      <w:tr>
        <w:trPr>
          <w:trHeight w:val="20"/>
        </w:trPr>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66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72"/>
        </w:trPr>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560" w:type="dxa"/>
            <w:vAlign w:val="bottom"/>
            <w:gridSpan w:val="17"/>
          </w:tcPr>
          <w:p>
            <w:pPr>
              <w:spacing w:after="0"/>
              <w:rPr>
                <w:rFonts w:ascii="Arial" w:cs="Arial" w:eastAsia="Arial" w:hAnsi="Arial"/>
                <w:sz w:val="18"/>
                <w:szCs w:val="18"/>
                <w:color w:val="0000FF"/>
              </w:rPr>
            </w:pPr>
            <w:hyperlink w:anchor="page6">
              <w:r>
                <w:rPr>
                  <w:rFonts w:ascii="Arial" w:cs="Arial" w:eastAsia="Arial" w:hAnsi="Arial"/>
                  <w:sz w:val="18"/>
                  <w:szCs w:val="18"/>
                  <w:color w:val="0000FF"/>
                </w:rPr>
                <w:t>Condensed Consolidated Statements of Cash Flows for the Nine Months Ended March 31, 2013 and 2012</w:t>
              </w:r>
            </w:hyperlink>
          </w:p>
        </w:tc>
        <w:tc>
          <w:tcPr>
            <w:tcW w:w="540" w:type="dxa"/>
            <w:vAlign w:val="bottom"/>
            <w:gridSpan w:val="2"/>
          </w:tcPr>
          <w:p>
            <w:pPr>
              <w:jc w:val="center"/>
              <w:ind w:left="371"/>
              <w:spacing w:after="0"/>
              <w:rPr>
                <w:rFonts w:ascii="Arial" w:cs="Arial" w:eastAsia="Arial" w:hAnsi="Arial"/>
                <w:sz w:val="18"/>
                <w:szCs w:val="18"/>
                <w:color w:val="0000FF"/>
                <w:w w:val="79"/>
              </w:rPr>
            </w:pPr>
            <w:hyperlink w:anchor="page6">
              <w:r>
                <w:rPr>
                  <w:rFonts w:ascii="Arial" w:cs="Arial" w:eastAsia="Arial" w:hAnsi="Arial"/>
                  <w:sz w:val="18"/>
                  <w:szCs w:val="18"/>
                  <w:color w:val="0000FF"/>
                  <w:w w:val="79"/>
                </w:rPr>
                <w:t>5</w:t>
              </w:r>
            </w:hyperlink>
          </w:p>
        </w:tc>
        <w:tc>
          <w:tcPr>
            <w:tcW w:w="160" w:type="dxa"/>
            <w:vAlign w:val="bottom"/>
          </w:tcPr>
          <w:p>
            <w:pPr>
              <w:spacing w:after="0"/>
              <w:rPr>
                <w:sz w:val="24"/>
                <w:szCs w:val="24"/>
                <w:color w:val="auto"/>
              </w:rPr>
            </w:pPr>
          </w:p>
        </w:tc>
      </w:tr>
      <w:tr>
        <w:trPr>
          <w:trHeight w:val="20"/>
        </w:trPr>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66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72"/>
        </w:trPr>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160" w:type="dxa"/>
            <w:vAlign w:val="bottom"/>
            <w:gridSpan w:val="15"/>
          </w:tcPr>
          <w:p>
            <w:pPr>
              <w:spacing w:after="0"/>
              <w:rPr>
                <w:rFonts w:ascii="Arial" w:cs="Arial" w:eastAsia="Arial" w:hAnsi="Arial"/>
                <w:sz w:val="18"/>
                <w:szCs w:val="18"/>
                <w:color w:val="0000FF"/>
                <w:w w:val="90"/>
              </w:rPr>
            </w:pPr>
            <w:hyperlink w:anchor="page8">
              <w:r>
                <w:rPr>
                  <w:rFonts w:ascii="Arial" w:cs="Arial" w:eastAsia="Arial" w:hAnsi="Arial"/>
                  <w:sz w:val="18"/>
                  <w:szCs w:val="18"/>
                  <w:color w:val="0000FF"/>
                  <w:w w:val="90"/>
                </w:rPr>
                <w:t>Condensed Consolidated Statements of Changes in Stockholders’ Equity for the Nine Months Ended March 31, 2013 and 2012</w:t>
              </w:r>
            </w:hyperlink>
          </w:p>
        </w:tc>
        <w:tc>
          <w:tcPr>
            <w:tcW w:w="400" w:type="dxa"/>
            <w:vAlign w:val="bottom"/>
            <w:gridSpan w:val="2"/>
          </w:tcPr>
          <w:p>
            <w:pPr>
              <w:spacing w:after="0"/>
              <w:rPr>
                <w:sz w:val="24"/>
                <w:szCs w:val="24"/>
                <w:color w:val="auto"/>
              </w:rPr>
            </w:pPr>
          </w:p>
        </w:tc>
        <w:tc>
          <w:tcPr>
            <w:tcW w:w="540" w:type="dxa"/>
            <w:vAlign w:val="bottom"/>
            <w:gridSpan w:val="2"/>
          </w:tcPr>
          <w:p>
            <w:pPr>
              <w:jc w:val="center"/>
              <w:ind w:left="371"/>
              <w:spacing w:after="0"/>
              <w:rPr>
                <w:rFonts w:ascii="Arial" w:cs="Arial" w:eastAsia="Arial" w:hAnsi="Arial"/>
                <w:sz w:val="18"/>
                <w:szCs w:val="18"/>
                <w:color w:val="0000FF"/>
                <w:w w:val="79"/>
              </w:rPr>
            </w:pPr>
            <w:hyperlink w:anchor="page8">
              <w:r>
                <w:rPr>
                  <w:rFonts w:ascii="Arial" w:cs="Arial" w:eastAsia="Arial" w:hAnsi="Arial"/>
                  <w:sz w:val="18"/>
                  <w:szCs w:val="18"/>
                  <w:color w:val="0000FF"/>
                  <w:w w:val="79"/>
                </w:rPr>
                <w:t>7</w:t>
              </w:r>
            </w:hyperlink>
          </w:p>
        </w:tc>
        <w:tc>
          <w:tcPr>
            <w:tcW w:w="160" w:type="dxa"/>
            <w:vAlign w:val="bottom"/>
          </w:tcPr>
          <w:p>
            <w:pPr>
              <w:spacing w:after="0"/>
              <w:rPr>
                <w:sz w:val="24"/>
                <w:szCs w:val="24"/>
                <w:color w:val="auto"/>
              </w:rPr>
            </w:pPr>
          </w:p>
        </w:tc>
      </w:tr>
      <w:tr>
        <w:trPr>
          <w:trHeight w:val="20"/>
        </w:trPr>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66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2700" w:type="dxa"/>
            <w:vAlign w:val="bottom"/>
            <w:gridSpan w:val="3"/>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72"/>
        </w:trPr>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160" w:type="dxa"/>
            <w:vAlign w:val="bottom"/>
            <w:gridSpan w:val="15"/>
          </w:tcPr>
          <w:p>
            <w:pPr>
              <w:spacing w:after="0"/>
              <w:rPr>
                <w:rFonts w:ascii="Arial" w:cs="Arial" w:eastAsia="Arial" w:hAnsi="Arial"/>
                <w:sz w:val="18"/>
                <w:szCs w:val="18"/>
                <w:color w:val="0000FF"/>
              </w:rPr>
            </w:pPr>
            <w:hyperlink w:anchor="page9">
              <w:r>
                <w:rPr>
                  <w:rFonts w:ascii="Arial" w:cs="Arial" w:eastAsia="Arial" w:hAnsi="Arial"/>
                  <w:sz w:val="18"/>
                  <w:szCs w:val="18"/>
                  <w:color w:val="0000FF"/>
                </w:rPr>
                <w:t>Notes to Condensed Consolidated Financial Statements</w:t>
              </w:r>
            </w:hyperlink>
          </w:p>
        </w:tc>
        <w:tc>
          <w:tcPr>
            <w:tcW w:w="400" w:type="dxa"/>
            <w:vAlign w:val="bottom"/>
            <w:gridSpan w:val="2"/>
          </w:tcPr>
          <w:p>
            <w:pPr>
              <w:spacing w:after="0"/>
              <w:rPr>
                <w:sz w:val="24"/>
                <w:szCs w:val="24"/>
                <w:color w:val="auto"/>
              </w:rPr>
            </w:pPr>
          </w:p>
        </w:tc>
        <w:tc>
          <w:tcPr>
            <w:tcW w:w="540" w:type="dxa"/>
            <w:vAlign w:val="bottom"/>
            <w:gridSpan w:val="2"/>
          </w:tcPr>
          <w:p>
            <w:pPr>
              <w:jc w:val="center"/>
              <w:ind w:left="371"/>
              <w:spacing w:after="0"/>
              <w:rPr>
                <w:rFonts w:ascii="Arial" w:cs="Arial" w:eastAsia="Arial" w:hAnsi="Arial"/>
                <w:sz w:val="18"/>
                <w:szCs w:val="18"/>
                <w:color w:val="0000FF"/>
                <w:w w:val="79"/>
              </w:rPr>
            </w:pPr>
            <w:hyperlink w:anchor="page9">
              <w:r>
                <w:rPr>
                  <w:rFonts w:ascii="Arial" w:cs="Arial" w:eastAsia="Arial" w:hAnsi="Arial"/>
                  <w:sz w:val="18"/>
                  <w:szCs w:val="18"/>
                  <w:color w:val="0000FF"/>
                  <w:w w:val="79"/>
                </w:rPr>
                <w:t>8</w:t>
              </w:r>
            </w:hyperlink>
          </w:p>
        </w:tc>
        <w:tc>
          <w:tcPr>
            <w:tcW w:w="160" w:type="dxa"/>
            <w:vAlign w:val="bottom"/>
          </w:tcPr>
          <w:p>
            <w:pPr>
              <w:spacing w:after="0"/>
              <w:rPr>
                <w:sz w:val="24"/>
                <w:szCs w:val="24"/>
                <w:color w:val="auto"/>
              </w:rPr>
            </w:pPr>
          </w:p>
        </w:tc>
      </w:tr>
      <w:tr>
        <w:trPr>
          <w:trHeight w:val="20"/>
        </w:trPr>
        <w:tc>
          <w:tcPr>
            <w:tcW w:w="6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660" w:type="dxa"/>
            <w:vAlign w:val="bottom"/>
            <w:gridSpan w:val="2"/>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100" w:type="dxa"/>
            <w:vAlign w:val="bottom"/>
            <w:gridSpan w:val="5"/>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72"/>
        </w:trPr>
        <w:tc>
          <w:tcPr>
            <w:tcW w:w="1040" w:type="dxa"/>
            <w:vAlign w:val="bottom"/>
            <w:gridSpan w:val="3"/>
          </w:tcPr>
          <w:p>
            <w:pPr>
              <w:spacing w:after="0"/>
              <w:rPr>
                <w:sz w:val="20"/>
                <w:szCs w:val="20"/>
                <w:color w:val="auto"/>
              </w:rPr>
            </w:pPr>
            <w:r>
              <w:rPr>
                <w:rFonts w:ascii="Arial" w:cs="Arial" w:eastAsia="Arial" w:hAnsi="Arial"/>
                <w:sz w:val="18"/>
                <w:szCs w:val="18"/>
                <w:color w:val="auto"/>
              </w:rPr>
              <w:t>Item 2.</w:t>
            </w:r>
          </w:p>
        </w:tc>
        <w:tc>
          <w:tcPr>
            <w:tcW w:w="6460" w:type="dxa"/>
            <w:vAlign w:val="bottom"/>
            <w:tcBorders>
              <w:bottom w:val="single" w:sz="8" w:color="0000FF"/>
            </w:tcBorders>
            <w:gridSpan w:val="12"/>
          </w:tcPr>
          <w:p>
            <w:pPr>
              <w:spacing w:after="0"/>
              <w:rPr>
                <w:rFonts w:ascii="Arial" w:cs="Arial" w:eastAsia="Arial" w:hAnsi="Arial"/>
                <w:sz w:val="18"/>
                <w:szCs w:val="18"/>
                <w:color w:val="0000FF"/>
                <w:w w:val="90"/>
              </w:rPr>
            </w:pPr>
            <w:hyperlink w:anchor="page17">
              <w:r>
                <w:rPr>
                  <w:rFonts w:ascii="Arial" w:cs="Arial" w:eastAsia="Arial" w:hAnsi="Arial"/>
                  <w:sz w:val="18"/>
                  <w:szCs w:val="18"/>
                  <w:color w:val="0000FF"/>
                  <w:w w:val="90"/>
                </w:rPr>
                <w:t>Management’s Discussion and Analysis of Financial Condition and Results of Operations</w:t>
              </w:r>
            </w:hyperlink>
          </w:p>
        </w:tc>
        <w:tc>
          <w:tcPr>
            <w:tcW w:w="3100" w:type="dxa"/>
            <w:vAlign w:val="bottom"/>
            <w:gridSpan w:val="5"/>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Borders>
              <w:bottom w:val="single" w:sz="8" w:color="0000FF"/>
            </w:tcBorders>
          </w:tcPr>
          <w:p>
            <w:pPr>
              <w:jc w:val="center"/>
              <w:spacing w:after="0"/>
              <w:rPr>
                <w:rFonts w:ascii="Arial" w:cs="Arial" w:eastAsia="Arial" w:hAnsi="Arial"/>
                <w:sz w:val="15"/>
                <w:szCs w:val="15"/>
                <w:color w:val="0000FF"/>
                <w:w w:val="71"/>
              </w:rPr>
            </w:pPr>
            <w:hyperlink w:anchor="page17">
              <w:r>
                <w:rPr>
                  <w:rFonts w:ascii="Arial" w:cs="Arial" w:eastAsia="Arial" w:hAnsi="Arial"/>
                  <w:sz w:val="15"/>
                  <w:szCs w:val="15"/>
                  <w:color w:val="0000FF"/>
                  <w:w w:val="71"/>
                </w:rPr>
                <w:t>16</w:t>
              </w:r>
            </w:hyperlink>
          </w:p>
        </w:tc>
        <w:tc>
          <w:tcPr>
            <w:tcW w:w="160" w:type="dxa"/>
            <w:vAlign w:val="bottom"/>
          </w:tcPr>
          <w:p>
            <w:pPr>
              <w:spacing w:after="0"/>
              <w:rPr>
                <w:sz w:val="24"/>
                <w:szCs w:val="24"/>
                <w:color w:val="auto"/>
              </w:rPr>
            </w:pPr>
          </w:p>
        </w:tc>
      </w:tr>
      <w:tr>
        <w:trPr>
          <w:trHeight w:val="372"/>
        </w:trPr>
        <w:tc>
          <w:tcPr>
            <w:tcW w:w="1040" w:type="dxa"/>
            <w:vAlign w:val="bottom"/>
            <w:gridSpan w:val="3"/>
          </w:tcPr>
          <w:p>
            <w:pPr>
              <w:spacing w:after="0"/>
              <w:rPr>
                <w:sz w:val="20"/>
                <w:szCs w:val="20"/>
                <w:color w:val="auto"/>
              </w:rPr>
            </w:pPr>
            <w:r>
              <w:rPr>
                <w:rFonts w:ascii="Arial" w:cs="Arial" w:eastAsia="Arial" w:hAnsi="Arial"/>
                <w:sz w:val="18"/>
                <w:szCs w:val="18"/>
                <w:color w:val="auto"/>
              </w:rPr>
              <w:t>Item 3.</w:t>
            </w:r>
          </w:p>
        </w:tc>
        <w:tc>
          <w:tcPr>
            <w:tcW w:w="4360" w:type="dxa"/>
            <w:vAlign w:val="bottom"/>
            <w:tcBorders>
              <w:bottom w:val="single" w:sz="8" w:color="0000FF"/>
            </w:tcBorders>
            <w:gridSpan w:val="10"/>
          </w:tcPr>
          <w:p>
            <w:pPr>
              <w:spacing w:after="0"/>
              <w:rPr>
                <w:rFonts w:ascii="Arial" w:cs="Arial" w:eastAsia="Arial" w:hAnsi="Arial"/>
                <w:sz w:val="18"/>
                <w:szCs w:val="18"/>
                <w:color w:val="0000FF"/>
                <w:w w:val="92"/>
              </w:rPr>
            </w:pPr>
            <w:hyperlink w:anchor="page26">
              <w:r>
                <w:rPr>
                  <w:rFonts w:ascii="Arial" w:cs="Arial" w:eastAsia="Arial" w:hAnsi="Arial"/>
                  <w:sz w:val="18"/>
                  <w:szCs w:val="18"/>
                  <w:color w:val="0000FF"/>
                  <w:w w:val="92"/>
                </w:rPr>
                <w:t>Quantitative and Qualitative Disclosures About Market Risk</w:t>
              </w:r>
            </w:hyperlink>
          </w:p>
        </w:tc>
        <w:tc>
          <w:tcPr>
            <w:tcW w:w="5200" w:type="dxa"/>
            <w:vAlign w:val="bottom"/>
            <w:gridSpan w:val="7"/>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Borders>
              <w:bottom w:val="single" w:sz="8" w:color="0000FF"/>
            </w:tcBorders>
          </w:tcPr>
          <w:p>
            <w:pPr>
              <w:jc w:val="center"/>
              <w:spacing w:after="0"/>
              <w:rPr>
                <w:rFonts w:ascii="Arial" w:cs="Arial" w:eastAsia="Arial" w:hAnsi="Arial"/>
                <w:sz w:val="15"/>
                <w:szCs w:val="15"/>
                <w:color w:val="0000FF"/>
                <w:w w:val="71"/>
              </w:rPr>
            </w:pPr>
            <w:hyperlink w:anchor="page26">
              <w:r>
                <w:rPr>
                  <w:rFonts w:ascii="Arial" w:cs="Arial" w:eastAsia="Arial" w:hAnsi="Arial"/>
                  <w:sz w:val="15"/>
                  <w:szCs w:val="15"/>
                  <w:color w:val="0000FF"/>
                  <w:w w:val="71"/>
                </w:rPr>
                <w:t>25</w:t>
              </w:r>
            </w:hyperlink>
          </w:p>
        </w:tc>
        <w:tc>
          <w:tcPr>
            <w:tcW w:w="160" w:type="dxa"/>
            <w:vAlign w:val="bottom"/>
          </w:tcPr>
          <w:p>
            <w:pPr>
              <w:spacing w:after="0"/>
              <w:rPr>
                <w:sz w:val="24"/>
                <w:szCs w:val="24"/>
                <w:color w:val="auto"/>
              </w:rPr>
            </w:pPr>
          </w:p>
        </w:tc>
      </w:tr>
      <w:tr>
        <w:trPr>
          <w:trHeight w:val="372"/>
        </w:trPr>
        <w:tc>
          <w:tcPr>
            <w:tcW w:w="1040" w:type="dxa"/>
            <w:vAlign w:val="bottom"/>
            <w:gridSpan w:val="3"/>
          </w:tcPr>
          <w:p>
            <w:pPr>
              <w:spacing w:after="0"/>
              <w:rPr>
                <w:sz w:val="20"/>
                <w:szCs w:val="20"/>
                <w:color w:val="auto"/>
              </w:rPr>
            </w:pPr>
            <w:r>
              <w:rPr>
                <w:rFonts w:ascii="Arial" w:cs="Arial" w:eastAsia="Arial" w:hAnsi="Arial"/>
                <w:sz w:val="18"/>
                <w:szCs w:val="18"/>
                <w:color w:val="auto"/>
              </w:rPr>
              <w:t>Item 4.</w:t>
            </w:r>
          </w:p>
        </w:tc>
        <w:tc>
          <w:tcPr>
            <w:tcW w:w="9560" w:type="dxa"/>
            <w:vAlign w:val="bottom"/>
            <w:gridSpan w:val="17"/>
          </w:tcPr>
          <w:p>
            <w:pPr>
              <w:spacing w:after="0"/>
              <w:rPr>
                <w:rFonts w:ascii="Arial" w:cs="Arial" w:eastAsia="Arial" w:hAnsi="Arial"/>
                <w:sz w:val="18"/>
                <w:szCs w:val="18"/>
                <w:color w:val="0000FF"/>
              </w:rPr>
            </w:pPr>
            <w:hyperlink w:anchor="page27">
              <w:r>
                <w:rPr>
                  <w:rFonts w:ascii="Arial" w:cs="Arial" w:eastAsia="Arial" w:hAnsi="Arial"/>
                  <w:sz w:val="18"/>
                  <w:szCs w:val="18"/>
                  <w:color w:val="0000FF"/>
                </w:rPr>
                <w:t>Controls and Procedures</w:t>
              </w:r>
            </w:hyperlink>
          </w:p>
        </w:tc>
        <w:tc>
          <w:tcPr>
            <w:tcW w:w="540" w:type="dxa"/>
            <w:vAlign w:val="bottom"/>
            <w:gridSpan w:val="2"/>
          </w:tcPr>
          <w:p>
            <w:pPr>
              <w:jc w:val="center"/>
              <w:ind w:left="271"/>
              <w:spacing w:after="0"/>
              <w:rPr>
                <w:rFonts w:ascii="Arial" w:cs="Arial" w:eastAsia="Arial" w:hAnsi="Arial"/>
                <w:sz w:val="18"/>
                <w:szCs w:val="18"/>
                <w:color w:val="0000FF"/>
                <w:w w:val="89"/>
              </w:rPr>
            </w:pPr>
            <w:hyperlink w:anchor="page27">
              <w:r>
                <w:rPr>
                  <w:rFonts w:ascii="Arial" w:cs="Arial" w:eastAsia="Arial" w:hAnsi="Arial"/>
                  <w:sz w:val="18"/>
                  <w:szCs w:val="18"/>
                  <w:color w:val="0000FF"/>
                  <w:w w:val="89"/>
                </w:rPr>
                <w:t>25</w:t>
              </w:r>
            </w:hyperlink>
          </w:p>
        </w:tc>
        <w:tc>
          <w:tcPr>
            <w:tcW w:w="160" w:type="dxa"/>
            <w:vAlign w:val="bottom"/>
          </w:tcPr>
          <w:p>
            <w:pPr>
              <w:spacing w:after="0"/>
              <w:rPr>
                <w:sz w:val="24"/>
                <w:szCs w:val="24"/>
                <w:color w:val="auto"/>
              </w:rPr>
            </w:pPr>
          </w:p>
        </w:tc>
      </w:tr>
      <w:tr>
        <w:trPr>
          <w:trHeight w:val="574"/>
        </w:trPr>
        <w:tc>
          <w:tcPr>
            <w:tcW w:w="680" w:type="dxa"/>
            <w:vAlign w:val="bottom"/>
            <w:tcBorders>
              <w:bottom w:val="single" w:sz="8" w:color="0000FF"/>
            </w:tcBorders>
            <w:gridSpan w:val="2"/>
          </w:tcPr>
          <w:p>
            <w:pPr>
              <w:spacing w:after="0"/>
              <w:rPr>
                <w:rFonts w:ascii="Arial" w:cs="Arial" w:eastAsia="Arial" w:hAnsi="Arial"/>
                <w:sz w:val="18"/>
                <w:szCs w:val="18"/>
                <w:b w:val="1"/>
                <w:bCs w:val="1"/>
                <w:color w:val="0000FF"/>
                <w:w w:val="99"/>
              </w:rPr>
            </w:pPr>
            <w:hyperlink w:anchor="page27">
              <w:r>
                <w:rPr>
                  <w:rFonts w:ascii="Arial" w:cs="Arial" w:eastAsia="Arial" w:hAnsi="Arial"/>
                  <w:sz w:val="18"/>
                  <w:szCs w:val="18"/>
                  <w:b w:val="1"/>
                  <w:bCs w:val="1"/>
                  <w:color w:val="0000FF"/>
                  <w:w w:val="99"/>
                </w:rPr>
                <w:t>PART II</w:t>
              </w:r>
            </w:hyperlink>
          </w:p>
        </w:tc>
        <w:tc>
          <w:tcPr>
            <w:tcW w:w="360" w:type="dxa"/>
            <w:vAlign w:val="bottom"/>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140" w:type="dxa"/>
            <w:vAlign w:val="bottom"/>
            <w:gridSpan w:val="10"/>
          </w:tcPr>
          <w:p>
            <w:pPr>
              <w:jc w:val="center"/>
              <w:ind w:right="2240"/>
              <w:spacing w:after="0"/>
              <w:rPr>
                <w:sz w:val="20"/>
                <w:szCs w:val="20"/>
                <w:color w:val="auto"/>
              </w:rPr>
            </w:pPr>
            <w:r>
              <w:rPr>
                <w:rFonts w:ascii="Arial" w:cs="Arial" w:eastAsia="Arial" w:hAnsi="Arial"/>
                <w:sz w:val="18"/>
                <w:szCs w:val="18"/>
                <w:b w:val="1"/>
                <w:bCs w:val="1"/>
                <w:color w:val="auto"/>
              </w:rPr>
              <w:t>OTHER INFORMATION</w:t>
            </w:r>
          </w:p>
        </w:tc>
        <w:tc>
          <w:tcPr>
            <w:tcW w:w="46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60" w:type="dxa"/>
            <w:vAlign w:val="bottom"/>
          </w:tcPr>
          <w:p>
            <w:pPr>
              <w:spacing w:after="0"/>
              <w:rPr>
                <w:sz w:val="24"/>
                <w:szCs w:val="24"/>
                <w:color w:val="auto"/>
              </w:rPr>
            </w:pPr>
          </w:p>
        </w:tc>
      </w:tr>
      <w:tr>
        <w:trPr>
          <w:trHeight w:val="372"/>
        </w:trPr>
        <w:tc>
          <w:tcPr>
            <w:tcW w:w="1040" w:type="dxa"/>
            <w:vAlign w:val="bottom"/>
            <w:gridSpan w:val="3"/>
          </w:tcPr>
          <w:p>
            <w:pPr>
              <w:spacing w:after="0"/>
              <w:rPr>
                <w:sz w:val="20"/>
                <w:szCs w:val="20"/>
                <w:color w:val="auto"/>
              </w:rPr>
            </w:pPr>
            <w:r>
              <w:rPr>
                <w:rFonts w:ascii="Arial" w:cs="Arial" w:eastAsia="Arial" w:hAnsi="Arial"/>
                <w:sz w:val="18"/>
                <w:szCs w:val="18"/>
                <w:color w:val="auto"/>
              </w:rPr>
              <w:t>Item 1.</w:t>
            </w:r>
          </w:p>
        </w:tc>
        <w:tc>
          <w:tcPr>
            <w:tcW w:w="9560" w:type="dxa"/>
            <w:vAlign w:val="bottom"/>
            <w:gridSpan w:val="17"/>
          </w:tcPr>
          <w:p>
            <w:pPr>
              <w:spacing w:after="0"/>
              <w:rPr>
                <w:rFonts w:ascii="Arial" w:cs="Arial" w:eastAsia="Arial" w:hAnsi="Arial"/>
                <w:sz w:val="18"/>
                <w:szCs w:val="18"/>
                <w:color w:val="0000FF"/>
              </w:rPr>
            </w:pPr>
            <w:hyperlink w:anchor="page28">
              <w:r>
                <w:rPr>
                  <w:rFonts w:ascii="Arial" w:cs="Arial" w:eastAsia="Arial" w:hAnsi="Arial"/>
                  <w:sz w:val="18"/>
                  <w:szCs w:val="18"/>
                  <w:color w:val="0000FF"/>
                </w:rPr>
                <w:t>Legal Proceedings</w:t>
              </w:r>
            </w:hyperlink>
          </w:p>
        </w:tc>
        <w:tc>
          <w:tcPr>
            <w:tcW w:w="540" w:type="dxa"/>
            <w:vAlign w:val="bottom"/>
            <w:gridSpan w:val="2"/>
          </w:tcPr>
          <w:p>
            <w:pPr>
              <w:jc w:val="center"/>
              <w:ind w:left="271"/>
              <w:spacing w:after="0"/>
              <w:rPr>
                <w:rFonts w:ascii="Arial" w:cs="Arial" w:eastAsia="Arial" w:hAnsi="Arial"/>
                <w:sz w:val="18"/>
                <w:szCs w:val="18"/>
                <w:color w:val="0000FF"/>
                <w:w w:val="89"/>
              </w:rPr>
            </w:pPr>
            <w:hyperlink w:anchor="page28">
              <w:r>
                <w:rPr>
                  <w:rFonts w:ascii="Arial" w:cs="Arial" w:eastAsia="Arial" w:hAnsi="Arial"/>
                  <w:sz w:val="18"/>
                  <w:szCs w:val="18"/>
                  <w:color w:val="0000FF"/>
                  <w:w w:val="89"/>
                </w:rPr>
                <w:t>26</w:t>
              </w:r>
            </w:hyperlink>
          </w:p>
        </w:tc>
        <w:tc>
          <w:tcPr>
            <w:tcW w:w="160" w:type="dxa"/>
            <w:vAlign w:val="bottom"/>
          </w:tcPr>
          <w:p>
            <w:pPr>
              <w:spacing w:after="0"/>
              <w:rPr>
                <w:sz w:val="24"/>
                <w:szCs w:val="24"/>
                <w:color w:val="auto"/>
              </w:rPr>
            </w:pPr>
          </w:p>
        </w:tc>
      </w:tr>
      <w:tr>
        <w:trPr>
          <w:trHeight w:val="372"/>
        </w:trPr>
        <w:tc>
          <w:tcPr>
            <w:tcW w:w="1040" w:type="dxa"/>
            <w:vAlign w:val="bottom"/>
            <w:gridSpan w:val="3"/>
          </w:tcPr>
          <w:p>
            <w:pPr>
              <w:spacing w:after="0"/>
              <w:rPr>
                <w:sz w:val="20"/>
                <w:szCs w:val="20"/>
                <w:color w:val="auto"/>
              </w:rPr>
            </w:pPr>
            <w:r>
              <w:rPr>
                <w:rFonts w:ascii="Arial" w:cs="Arial" w:eastAsia="Arial" w:hAnsi="Arial"/>
                <w:sz w:val="18"/>
                <w:szCs w:val="18"/>
                <w:color w:val="auto"/>
              </w:rPr>
              <w:t>Item 1A.</w:t>
            </w:r>
          </w:p>
        </w:tc>
        <w:tc>
          <w:tcPr>
            <w:tcW w:w="900" w:type="dxa"/>
            <w:vAlign w:val="bottom"/>
            <w:tcBorders>
              <w:top w:val="single" w:sz="8" w:color="0000FF"/>
              <w:bottom w:val="single" w:sz="8" w:color="0000FF"/>
            </w:tcBorders>
            <w:gridSpan w:val="2"/>
          </w:tcPr>
          <w:p>
            <w:pPr>
              <w:spacing w:after="0"/>
              <w:rPr>
                <w:rFonts w:ascii="Arial" w:cs="Arial" w:eastAsia="Arial" w:hAnsi="Arial"/>
                <w:sz w:val="18"/>
                <w:szCs w:val="18"/>
                <w:color w:val="0000FF"/>
                <w:w w:val="87"/>
              </w:rPr>
            </w:pPr>
            <w:hyperlink w:anchor="page28">
              <w:r>
                <w:rPr>
                  <w:rFonts w:ascii="Arial" w:cs="Arial" w:eastAsia="Arial" w:hAnsi="Arial"/>
                  <w:sz w:val="18"/>
                  <w:szCs w:val="18"/>
                  <w:color w:val="0000FF"/>
                  <w:w w:val="87"/>
                </w:rPr>
                <w:t>Risk Factors</w:t>
              </w:r>
            </w:hyperlink>
          </w:p>
        </w:tc>
        <w:tc>
          <w:tcPr>
            <w:tcW w:w="420" w:type="dxa"/>
            <w:vAlign w:val="bottom"/>
            <w:tcBorders>
              <w:top w:val="single" w:sz="8" w:color="0000FF"/>
            </w:tcBorders>
            <w:gridSpan w:val="2"/>
          </w:tcPr>
          <w:p>
            <w:pPr>
              <w:spacing w:after="0"/>
              <w:rPr>
                <w:sz w:val="24"/>
                <w:szCs w:val="24"/>
                <w:color w:val="auto"/>
              </w:rPr>
            </w:pPr>
          </w:p>
        </w:tc>
        <w:tc>
          <w:tcPr>
            <w:tcW w:w="8240" w:type="dxa"/>
            <w:vAlign w:val="bottom"/>
            <w:gridSpan w:val="13"/>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Borders>
              <w:top w:val="single" w:sz="8" w:color="0000FF"/>
              <w:bottom w:val="single" w:sz="8" w:color="0000FF"/>
            </w:tcBorders>
          </w:tcPr>
          <w:p>
            <w:pPr>
              <w:jc w:val="center"/>
              <w:spacing w:after="0"/>
              <w:rPr>
                <w:rFonts w:ascii="Arial" w:cs="Arial" w:eastAsia="Arial" w:hAnsi="Arial"/>
                <w:sz w:val="15"/>
                <w:szCs w:val="15"/>
                <w:color w:val="0000FF"/>
                <w:w w:val="71"/>
              </w:rPr>
            </w:pPr>
            <w:hyperlink w:anchor="page28">
              <w:r>
                <w:rPr>
                  <w:rFonts w:ascii="Arial" w:cs="Arial" w:eastAsia="Arial" w:hAnsi="Arial"/>
                  <w:sz w:val="15"/>
                  <w:szCs w:val="15"/>
                  <w:color w:val="0000FF"/>
                  <w:w w:val="71"/>
                </w:rPr>
                <w:t>26</w:t>
              </w:r>
            </w:hyperlink>
          </w:p>
        </w:tc>
        <w:tc>
          <w:tcPr>
            <w:tcW w:w="160" w:type="dxa"/>
            <w:vAlign w:val="bottom"/>
          </w:tcPr>
          <w:p>
            <w:pPr>
              <w:spacing w:after="0"/>
              <w:rPr>
                <w:sz w:val="24"/>
                <w:szCs w:val="24"/>
                <w:color w:val="auto"/>
              </w:rPr>
            </w:pPr>
          </w:p>
        </w:tc>
      </w:tr>
      <w:tr>
        <w:trPr>
          <w:trHeight w:val="372"/>
        </w:trPr>
        <w:tc>
          <w:tcPr>
            <w:tcW w:w="1040" w:type="dxa"/>
            <w:vAlign w:val="bottom"/>
            <w:gridSpan w:val="3"/>
          </w:tcPr>
          <w:p>
            <w:pPr>
              <w:spacing w:after="0"/>
              <w:rPr>
                <w:sz w:val="20"/>
                <w:szCs w:val="20"/>
                <w:color w:val="auto"/>
              </w:rPr>
            </w:pPr>
            <w:r>
              <w:rPr>
                <w:rFonts w:ascii="Arial" w:cs="Arial" w:eastAsia="Arial" w:hAnsi="Arial"/>
                <w:sz w:val="18"/>
                <w:szCs w:val="18"/>
                <w:color w:val="auto"/>
              </w:rPr>
              <w:t>Item 2.</w:t>
            </w:r>
          </w:p>
        </w:tc>
        <w:tc>
          <w:tcPr>
            <w:tcW w:w="9560" w:type="dxa"/>
            <w:vAlign w:val="bottom"/>
            <w:gridSpan w:val="17"/>
          </w:tcPr>
          <w:p>
            <w:pPr>
              <w:spacing w:after="0"/>
              <w:rPr>
                <w:rFonts w:ascii="Arial" w:cs="Arial" w:eastAsia="Arial" w:hAnsi="Arial"/>
                <w:sz w:val="18"/>
                <w:szCs w:val="18"/>
                <w:color w:val="0000FF"/>
              </w:rPr>
            </w:pPr>
            <w:hyperlink w:anchor="page28">
              <w:r>
                <w:rPr>
                  <w:rFonts w:ascii="Arial" w:cs="Arial" w:eastAsia="Arial" w:hAnsi="Arial"/>
                  <w:sz w:val="18"/>
                  <w:szCs w:val="18"/>
                  <w:color w:val="0000FF"/>
                </w:rPr>
                <w:t>Unregistered Sales of Equity Securities and Use of Proceeds</w:t>
              </w:r>
            </w:hyperlink>
          </w:p>
        </w:tc>
        <w:tc>
          <w:tcPr>
            <w:tcW w:w="540" w:type="dxa"/>
            <w:vAlign w:val="bottom"/>
            <w:gridSpan w:val="2"/>
          </w:tcPr>
          <w:p>
            <w:pPr>
              <w:jc w:val="center"/>
              <w:ind w:left="271"/>
              <w:spacing w:after="0"/>
              <w:rPr>
                <w:rFonts w:ascii="Arial" w:cs="Arial" w:eastAsia="Arial" w:hAnsi="Arial"/>
                <w:sz w:val="18"/>
                <w:szCs w:val="18"/>
                <w:color w:val="0000FF"/>
                <w:w w:val="89"/>
              </w:rPr>
            </w:pPr>
            <w:hyperlink w:anchor="page28">
              <w:r>
                <w:rPr>
                  <w:rFonts w:ascii="Arial" w:cs="Arial" w:eastAsia="Arial" w:hAnsi="Arial"/>
                  <w:sz w:val="18"/>
                  <w:szCs w:val="18"/>
                  <w:color w:val="0000FF"/>
                  <w:w w:val="89"/>
                </w:rPr>
                <w:t>26</w:t>
              </w:r>
            </w:hyperlink>
          </w:p>
        </w:tc>
        <w:tc>
          <w:tcPr>
            <w:tcW w:w="160" w:type="dxa"/>
            <w:vAlign w:val="bottom"/>
          </w:tcPr>
          <w:p>
            <w:pPr>
              <w:spacing w:after="0"/>
              <w:rPr>
                <w:sz w:val="24"/>
                <w:szCs w:val="24"/>
                <w:color w:val="auto"/>
              </w:rPr>
            </w:pPr>
          </w:p>
        </w:tc>
      </w:tr>
      <w:tr>
        <w:trPr>
          <w:trHeight w:val="372"/>
        </w:trPr>
        <w:tc>
          <w:tcPr>
            <w:tcW w:w="1040" w:type="dxa"/>
            <w:vAlign w:val="bottom"/>
            <w:gridSpan w:val="3"/>
          </w:tcPr>
          <w:p>
            <w:pPr>
              <w:spacing w:after="0"/>
              <w:rPr>
                <w:sz w:val="20"/>
                <w:szCs w:val="20"/>
                <w:color w:val="auto"/>
              </w:rPr>
            </w:pPr>
            <w:r>
              <w:rPr>
                <w:rFonts w:ascii="Arial" w:cs="Arial" w:eastAsia="Arial" w:hAnsi="Arial"/>
                <w:sz w:val="18"/>
                <w:szCs w:val="18"/>
                <w:color w:val="auto"/>
              </w:rPr>
              <w:t>Item 3.</w:t>
            </w:r>
          </w:p>
        </w:tc>
        <w:tc>
          <w:tcPr>
            <w:tcW w:w="2320" w:type="dxa"/>
            <w:vAlign w:val="bottom"/>
            <w:tcBorders>
              <w:top w:val="single" w:sz="8" w:color="0000FF"/>
              <w:bottom w:val="single" w:sz="8" w:color="0000FF"/>
            </w:tcBorders>
            <w:gridSpan w:val="6"/>
          </w:tcPr>
          <w:p>
            <w:pPr>
              <w:spacing w:after="0"/>
              <w:rPr>
                <w:rFonts w:ascii="Arial" w:cs="Arial" w:eastAsia="Arial" w:hAnsi="Arial"/>
                <w:sz w:val="18"/>
                <w:szCs w:val="18"/>
                <w:color w:val="0000FF"/>
                <w:w w:val="90"/>
              </w:rPr>
            </w:pPr>
            <w:hyperlink w:anchor="page28">
              <w:r>
                <w:rPr>
                  <w:rFonts w:ascii="Arial" w:cs="Arial" w:eastAsia="Arial" w:hAnsi="Arial"/>
                  <w:sz w:val="18"/>
                  <w:szCs w:val="18"/>
                  <w:color w:val="0000FF"/>
                  <w:w w:val="90"/>
                </w:rPr>
                <w:t>Defaults Upon Senior Securities</w:t>
              </w:r>
            </w:hyperlink>
          </w:p>
        </w:tc>
        <w:tc>
          <w:tcPr>
            <w:tcW w:w="2020" w:type="dxa"/>
            <w:vAlign w:val="bottom"/>
            <w:tcBorders>
              <w:top w:val="single" w:sz="8" w:color="0000FF"/>
            </w:tcBorders>
            <w:gridSpan w:val="3"/>
          </w:tcPr>
          <w:p>
            <w:pPr>
              <w:spacing w:after="0"/>
              <w:rPr>
                <w:sz w:val="24"/>
                <w:szCs w:val="24"/>
                <w:color w:val="auto"/>
              </w:rPr>
            </w:pPr>
          </w:p>
        </w:tc>
        <w:tc>
          <w:tcPr>
            <w:tcW w:w="5220" w:type="dxa"/>
            <w:vAlign w:val="bottom"/>
            <w:gridSpan w:val="8"/>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Borders>
              <w:top w:val="single" w:sz="8" w:color="0000FF"/>
              <w:bottom w:val="single" w:sz="8" w:color="0000FF"/>
            </w:tcBorders>
          </w:tcPr>
          <w:p>
            <w:pPr>
              <w:jc w:val="center"/>
              <w:spacing w:after="0"/>
              <w:rPr>
                <w:rFonts w:ascii="Arial" w:cs="Arial" w:eastAsia="Arial" w:hAnsi="Arial"/>
                <w:sz w:val="15"/>
                <w:szCs w:val="15"/>
                <w:color w:val="0000FF"/>
                <w:w w:val="71"/>
              </w:rPr>
            </w:pPr>
            <w:hyperlink w:anchor="page28">
              <w:r>
                <w:rPr>
                  <w:rFonts w:ascii="Arial" w:cs="Arial" w:eastAsia="Arial" w:hAnsi="Arial"/>
                  <w:sz w:val="15"/>
                  <w:szCs w:val="15"/>
                  <w:color w:val="0000FF"/>
                  <w:w w:val="71"/>
                </w:rPr>
                <w:t>27</w:t>
              </w:r>
            </w:hyperlink>
          </w:p>
        </w:tc>
        <w:tc>
          <w:tcPr>
            <w:tcW w:w="160" w:type="dxa"/>
            <w:vAlign w:val="bottom"/>
          </w:tcPr>
          <w:p>
            <w:pPr>
              <w:spacing w:after="0"/>
              <w:rPr>
                <w:sz w:val="24"/>
                <w:szCs w:val="24"/>
                <w:color w:val="auto"/>
              </w:rPr>
            </w:pPr>
          </w:p>
        </w:tc>
      </w:tr>
      <w:tr>
        <w:trPr>
          <w:trHeight w:val="372"/>
        </w:trPr>
        <w:tc>
          <w:tcPr>
            <w:tcW w:w="1040" w:type="dxa"/>
            <w:vAlign w:val="bottom"/>
            <w:gridSpan w:val="3"/>
          </w:tcPr>
          <w:p>
            <w:pPr>
              <w:spacing w:after="0"/>
              <w:rPr>
                <w:sz w:val="20"/>
                <w:szCs w:val="20"/>
                <w:color w:val="auto"/>
              </w:rPr>
            </w:pPr>
            <w:r>
              <w:rPr>
                <w:rFonts w:ascii="Arial" w:cs="Arial" w:eastAsia="Arial" w:hAnsi="Arial"/>
                <w:sz w:val="18"/>
                <w:szCs w:val="18"/>
                <w:color w:val="auto"/>
              </w:rPr>
              <w:t>Item 4.</w:t>
            </w:r>
          </w:p>
        </w:tc>
        <w:tc>
          <w:tcPr>
            <w:tcW w:w="9560" w:type="dxa"/>
            <w:vAlign w:val="bottom"/>
            <w:gridSpan w:val="17"/>
          </w:tcPr>
          <w:p>
            <w:pPr>
              <w:spacing w:after="0"/>
              <w:rPr>
                <w:rFonts w:ascii="Arial" w:cs="Arial" w:eastAsia="Arial" w:hAnsi="Arial"/>
                <w:sz w:val="18"/>
                <w:szCs w:val="18"/>
                <w:color w:val="0000FF"/>
              </w:rPr>
            </w:pPr>
            <w:hyperlink w:anchor="page29">
              <w:r>
                <w:rPr>
                  <w:rFonts w:ascii="Arial" w:cs="Arial" w:eastAsia="Arial" w:hAnsi="Arial"/>
                  <w:sz w:val="18"/>
                  <w:szCs w:val="18"/>
                  <w:color w:val="0000FF"/>
                </w:rPr>
                <w:t>Mine Safety Disclosures</w:t>
              </w:r>
            </w:hyperlink>
          </w:p>
        </w:tc>
        <w:tc>
          <w:tcPr>
            <w:tcW w:w="540" w:type="dxa"/>
            <w:vAlign w:val="bottom"/>
            <w:gridSpan w:val="2"/>
          </w:tcPr>
          <w:p>
            <w:pPr>
              <w:jc w:val="center"/>
              <w:ind w:left="271"/>
              <w:spacing w:after="0"/>
              <w:rPr>
                <w:rFonts w:ascii="Arial" w:cs="Arial" w:eastAsia="Arial" w:hAnsi="Arial"/>
                <w:sz w:val="18"/>
                <w:szCs w:val="18"/>
                <w:color w:val="0000FF"/>
                <w:w w:val="89"/>
              </w:rPr>
            </w:pPr>
            <w:hyperlink w:anchor="page29">
              <w:r>
                <w:rPr>
                  <w:rFonts w:ascii="Arial" w:cs="Arial" w:eastAsia="Arial" w:hAnsi="Arial"/>
                  <w:sz w:val="18"/>
                  <w:szCs w:val="18"/>
                  <w:color w:val="0000FF"/>
                  <w:w w:val="89"/>
                </w:rPr>
                <w:t>27</w:t>
              </w:r>
            </w:hyperlink>
          </w:p>
        </w:tc>
        <w:tc>
          <w:tcPr>
            <w:tcW w:w="160" w:type="dxa"/>
            <w:vAlign w:val="bottom"/>
          </w:tcPr>
          <w:p>
            <w:pPr>
              <w:spacing w:after="0"/>
              <w:rPr>
                <w:sz w:val="24"/>
                <w:szCs w:val="24"/>
                <w:color w:val="auto"/>
              </w:rPr>
            </w:pPr>
          </w:p>
        </w:tc>
      </w:tr>
      <w:tr>
        <w:trPr>
          <w:trHeight w:val="372"/>
        </w:trPr>
        <w:tc>
          <w:tcPr>
            <w:tcW w:w="1040" w:type="dxa"/>
            <w:vAlign w:val="bottom"/>
            <w:gridSpan w:val="3"/>
          </w:tcPr>
          <w:p>
            <w:pPr>
              <w:spacing w:after="0"/>
              <w:rPr>
                <w:sz w:val="20"/>
                <w:szCs w:val="20"/>
                <w:color w:val="auto"/>
              </w:rPr>
            </w:pPr>
            <w:r>
              <w:rPr>
                <w:rFonts w:ascii="Arial" w:cs="Arial" w:eastAsia="Arial" w:hAnsi="Arial"/>
                <w:sz w:val="18"/>
                <w:szCs w:val="18"/>
                <w:color w:val="auto"/>
              </w:rPr>
              <w:t>Item 5.</w:t>
            </w:r>
          </w:p>
        </w:tc>
        <w:tc>
          <w:tcPr>
            <w:tcW w:w="1760" w:type="dxa"/>
            <w:vAlign w:val="bottom"/>
            <w:tcBorders>
              <w:top w:val="single" w:sz="8" w:color="0000FF"/>
            </w:tcBorders>
            <w:gridSpan w:val="5"/>
          </w:tcPr>
          <w:p>
            <w:pPr>
              <w:spacing w:after="0"/>
              <w:rPr>
                <w:rFonts w:ascii="Arial" w:cs="Arial" w:eastAsia="Arial" w:hAnsi="Arial"/>
                <w:sz w:val="18"/>
                <w:szCs w:val="18"/>
                <w:color w:val="0000FF"/>
              </w:rPr>
            </w:pPr>
            <w:hyperlink w:anchor="page29">
              <w:r>
                <w:rPr>
                  <w:rFonts w:ascii="Arial" w:cs="Arial" w:eastAsia="Arial" w:hAnsi="Arial"/>
                  <w:sz w:val="18"/>
                  <w:szCs w:val="18"/>
                  <w:color w:val="0000FF"/>
                </w:rPr>
                <w:t>Other Information</w:t>
              </w:r>
            </w:hyperlink>
          </w:p>
        </w:tc>
        <w:tc>
          <w:tcPr>
            <w:tcW w:w="7800" w:type="dxa"/>
            <w:vAlign w:val="bottom"/>
            <w:gridSpan w:val="12"/>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Borders>
              <w:top w:val="single" w:sz="8" w:color="0000FF"/>
            </w:tcBorders>
          </w:tcPr>
          <w:p>
            <w:pPr>
              <w:jc w:val="center"/>
              <w:spacing w:after="0"/>
              <w:rPr>
                <w:rFonts w:ascii="Arial" w:cs="Arial" w:eastAsia="Arial" w:hAnsi="Arial"/>
                <w:sz w:val="15"/>
                <w:szCs w:val="15"/>
                <w:color w:val="0000FF"/>
                <w:w w:val="71"/>
              </w:rPr>
            </w:pPr>
            <w:hyperlink w:anchor="page29">
              <w:r>
                <w:rPr>
                  <w:rFonts w:ascii="Arial" w:cs="Arial" w:eastAsia="Arial" w:hAnsi="Arial"/>
                  <w:sz w:val="15"/>
                  <w:szCs w:val="15"/>
                  <w:color w:val="0000FF"/>
                  <w:w w:val="71"/>
                </w:rPr>
                <w:t>27</w:t>
              </w:r>
            </w:hyperlink>
          </w:p>
        </w:tc>
        <w:tc>
          <w:tcPr>
            <w:tcW w:w="160" w:type="dxa"/>
            <w:vAlign w:val="bottom"/>
          </w:tcPr>
          <w:p>
            <w:pPr>
              <w:spacing w:after="0"/>
              <w:rPr>
                <w:sz w:val="24"/>
                <w:szCs w:val="24"/>
                <w:color w:val="auto"/>
              </w:rPr>
            </w:pPr>
          </w:p>
        </w:tc>
      </w:tr>
      <w:tr>
        <w:trPr>
          <w:trHeight w:val="372"/>
        </w:trPr>
        <w:tc>
          <w:tcPr>
            <w:tcW w:w="1040" w:type="dxa"/>
            <w:vAlign w:val="bottom"/>
            <w:gridSpan w:val="3"/>
          </w:tcPr>
          <w:p>
            <w:pPr>
              <w:spacing w:after="0"/>
              <w:rPr>
                <w:sz w:val="20"/>
                <w:szCs w:val="20"/>
                <w:color w:val="auto"/>
              </w:rPr>
            </w:pPr>
            <w:r>
              <w:rPr>
                <w:rFonts w:ascii="Arial" w:cs="Arial" w:eastAsia="Arial" w:hAnsi="Arial"/>
                <w:sz w:val="18"/>
                <w:szCs w:val="18"/>
                <w:color w:val="auto"/>
              </w:rPr>
              <w:t>Item 6.</w:t>
            </w:r>
          </w:p>
        </w:tc>
        <w:tc>
          <w:tcPr>
            <w:tcW w:w="600" w:type="dxa"/>
            <w:vAlign w:val="bottom"/>
            <w:tcBorders>
              <w:top w:val="single" w:sz="8" w:color="0000FF"/>
              <w:bottom w:val="single" w:sz="8" w:color="0000FF"/>
            </w:tcBorders>
          </w:tcPr>
          <w:p>
            <w:pPr>
              <w:spacing w:after="0"/>
              <w:rPr>
                <w:rFonts w:ascii="Arial" w:cs="Arial" w:eastAsia="Arial" w:hAnsi="Arial"/>
                <w:sz w:val="18"/>
                <w:szCs w:val="18"/>
                <w:color w:val="0000FF"/>
                <w:w w:val="91"/>
              </w:rPr>
            </w:pPr>
            <w:hyperlink w:anchor="page29">
              <w:r>
                <w:rPr>
                  <w:rFonts w:ascii="Arial" w:cs="Arial" w:eastAsia="Arial" w:hAnsi="Arial"/>
                  <w:sz w:val="18"/>
                  <w:szCs w:val="18"/>
                  <w:color w:val="0000FF"/>
                  <w:w w:val="91"/>
                </w:rPr>
                <w:t>Exhibits</w:t>
              </w:r>
            </w:hyperlink>
          </w:p>
        </w:tc>
        <w:tc>
          <w:tcPr>
            <w:tcW w:w="700" w:type="dxa"/>
            <w:vAlign w:val="bottom"/>
            <w:tcBorders>
              <w:top w:val="single" w:sz="8" w:color="0000FF"/>
            </w:tcBorders>
            <w:gridSpan w:val="2"/>
          </w:tcPr>
          <w:p>
            <w:pPr>
              <w:spacing w:after="0"/>
              <w:rPr>
                <w:sz w:val="24"/>
                <w:szCs w:val="24"/>
                <w:color w:val="auto"/>
              </w:rPr>
            </w:pPr>
          </w:p>
        </w:tc>
        <w:tc>
          <w:tcPr>
            <w:tcW w:w="8260" w:type="dxa"/>
            <w:vAlign w:val="bottom"/>
            <w:gridSpan w:val="14"/>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Borders>
              <w:top w:val="single" w:sz="8" w:color="0000FF"/>
              <w:bottom w:val="single" w:sz="8" w:color="0000FF"/>
            </w:tcBorders>
          </w:tcPr>
          <w:p>
            <w:pPr>
              <w:jc w:val="center"/>
              <w:spacing w:after="0"/>
              <w:rPr>
                <w:rFonts w:ascii="Arial" w:cs="Arial" w:eastAsia="Arial" w:hAnsi="Arial"/>
                <w:sz w:val="15"/>
                <w:szCs w:val="15"/>
                <w:color w:val="0000FF"/>
                <w:w w:val="71"/>
              </w:rPr>
            </w:pPr>
            <w:hyperlink w:anchor="page29">
              <w:r>
                <w:rPr>
                  <w:rFonts w:ascii="Arial" w:cs="Arial" w:eastAsia="Arial" w:hAnsi="Arial"/>
                  <w:sz w:val="15"/>
                  <w:szCs w:val="15"/>
                  <w:color w:val="0000FF"/>
                  <w:w w:val="71"/>
                </w:rPr>
                <w:t>27</w:t>
              </w:r>
            </w:hyperlink>
          </w:p>
        </w:tc>
        <w:tc>
          <w:tcPr>
            <w:tcW w:w="160" w:type="dxa"/>
            <w:vAlign w:val="bottom"/>
          </w:tcPr>
          <w:p>
            <w:pPr>
              <w:spacing w:after="0"/>
              <w:rPr>
                <w:sz w:val="24"/>
                <w:szCs w:val="24"/>
                <w:color w:val="auto"/>
              </w:rPr>
            </w:pPr>
          </w:p>
        </w:tc>
      </w:tr>
      <w:tr>
        <w:trPr>
          <w:trHeight w:val="372"/>
        </w:trPr>
        <w:tc>
          <w:tcPr>
            <w:tcW w:w="1040" w:type="dxa"/>
            <w:vAlign w:val="bottom"/>
            <w:gridSpan w:val="3"/>
          </w:tcPr>
          <w:p>
            <w:pPr>
              <w:spacing w:after="0"/>
              <w:rPr>
                <w:rFonts w:ascii="Arial" w:cs="Arial" w:eastAsia="Arial" w:hAnsi="Arial"/>
                <w:sz w:val="18"/>
                <w:szCs w:val="18"/>
                <w:color w:val="0000FF"/>
              </w:rPr>
            </w:pPr>
            <w:hyperlink w:anchor="page29">
              <w:r>
                <w:rPr>
                  <w:rFonts w:ascii="Arial" w:cs="Arial" w:eastAsia="Arial" w:hAnsi="Arial"/>
                  <w:sz w:val="18"/>
                  <w:szCs w:val="18"/>
                  <w:color w:val="0000FF"/>
                </w:rPr>
                <w:t>Signature</w:t>
              </w:r>
            </w:hyperlink>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gridSpan w:val="2"/>
          </w:tcPr>
          <w:p>
            <w:pPr>
              <w:jc w:val="center"/>
              <w:ind w:left="271"/>
              <w:spacing w:after="0"/>
              <w:rPr>
                <w:rFonts w:ascii="Arial" w:cs="Arial" w:eastAsia="Arial" w:hAnsi="Arial"/>
                <w:sz w:val="18"/>
                <w:szCs w:val="18"/>
                <w:color w:val="0000FF"/>
                <w:w w:val="89"/>
              </w:rPr>
            </w:pPr>
            <w:hyperlink w:anchor="page29">
              <w:r>
                <w:rPr>
                  <w:rFonts w:ascii="Arial" w:cs="Arial" w:eastAsia="Arial" w:hAnsi="Arial"/>
                  <w:sz w:val="18"/>
                  <w:szCs w:val="18"/>
                  <w:color w:val="0000FF"/>
                  <w:w w:val="89"/>
                </w:rPr>
                <w:t>27</w:t>
              </w:r>
            </w:hyperlink>
          </w:p>
        </w:tc>
        <w:tc>
          <w:tcPr>
            <w:tcW w:w="160" w:type="dxa"/>
            <w:vAlign w:val="bottom"/>
          </w:tcPr>
          <w:p>
            <w:pPr>
              <w:spacing w:after="0"/>
              <w:rPr>
                <w:sz w:val="24"/>
                <w:szCs w:val="24"/>
                <w:color w:val="auto"/>
              </w:rPr>
            </w:pPr>
          </w:p>
        </w:tc>
      </w:tr>
      <w:tr>
        <w:trPr>
          <w:trHeight w:val="20"/>
        </w:trPr>
        <w:tc>
          <w:tcPr>
            <w:tcW w:w="58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r>
    </w:tbl>
    <w:p>
      <w:pPr>
        <w:sectPr>
          <w:pgSz w:w="11900" w:h="16838" w:orient="portrait"/>
          <w:cols w:equalWidth="0" w:num="1">
            <w:col w:w="11340"/>
          </w:cols>
          <w:pgMar w:left="240" w:top="125" w:right="31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PART I. FINANCIAL INFORMATION</w:t>
      </w:r>
    </w:p>
    <w:p>
      <w:pPr>
        <w:spacing w:after="0" w:line="90"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Item 1. Financial Statements</w:t>
      </w:r>
    </w:p>
    <w:p>
      <w:pPr>
        <w:spacing w:after="0" w:line="90"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Matrix Service Company</w:t>
      </w:r>
    </w:p>
    <w:p>
      <w:pPr>
        <w:spacing w:after="0" w:line="90"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94"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(In thousands, except per share data)</w:t>
      </w:r>
    </w:p>
    <w:p>
      <w:pPr>
        <w:spacing w:after="0" w:line="90"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(unaudited)</w:t>
      </w:r>
    </w:p>
    <w:p>
      <w:pPr>
        <w:spacing w:after="0" w:line="230" w:lineRule="exact"/>
        <w:rPr>
          <w:sz w:val="20"/>
          <w:szCs w:val="20"/>
          <w:color w:val="auto"/>
        </w:rPr>
      </w:pPr>
    </w:p>
    <w:tbl>
      <w:tblPr>
        <w:tblLayout w:type="fixed"/>
        <w:tblInd w:w="500" w:type="dxa"/>
        <w:tblCellMar>
          <w:top w:w="0" w:type="dxa"/>
          <w:left w:w="0" w:type="dxa"/>
          <w:bottom w:w="0" w:type="dxa"/>
          <w:right w:w="0" w:type="dxa"/>
        </w:tblCellMar>
      </w:tblPr>
      <w:tr>
        <w:trPr>
          <w:trHeight w:val="192"/>
        </w:trPr>
        <w:tc>
          <w:tcPr>
            <w:tcW w:w="5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jc w:val="right"/>
              <w:ind w:right="552"/>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jc w:val="right"/>
              <w:ind w:right="592"/>
              <w:spacing w:after="0"/>
              <w:rPr>
                <w:sz w:val="20"/>
                <w:szCs w:val="20"/>
                <w:color w:val="auto"/>
              </w:rPr>
            </w:pPr>
            <w:r>
              <w:rPr>
                <w:rFonts w:ascii="Arial" w:cs="Arial" w:eastAsia="Arial" w:hAnsi="Arial"/>
                <w:sz w:val="14"/>
                <w:szCs w:val="14"/>
                <w:b w:val="1"/>
                <w:bCs w:val="1"/>
                <w:color w:val="auto"/>
              </w:rPr>
              <w:t>Nine Months Ended</w:t>
            </w:r>
          </w:p>
        </w:tc>
      </w:tr>
      <w:tr>
        <w:trPr>
          <w:trHeight w:val="152"/>
        </w:trPr>
        <w:tc>
          <w:tcPr>
            <w:tcW w:w="5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3"/>
                <w:szCs w:val="13"/>
                <w:color w:val="auto"/>
              </w:rPr>
            </w:pPr>
          </w:p>
        </w:tc>
        <w:tc>
          <w:tcPr>
            <w:tcW w:w="116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3"/>
                <w:szCs w:val="13"/>
                <w:color w:val="auto"/>
              </w:rPr>
            </w:pPr>
          </w:p>
        </w:tc>
        <w:tc>
          <w:tcPr>
            <w:tcW w:w="118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3"/>
                <w:szCs w:val="13"/>
                <w:color w:val="auto"/>
              </w:rPr>
            </w:pPr>
          </w:p>
        </w:tc>
        <w:tc>
          <w:tcPr>
            <w:tcW w:w="1040" w:type="dxa"/>
            <w:vAlign w:val="bottom"/>
          </w:tcPr>
          <w:p>
            <w:pPr>
              <w:jc w:val="right"/>
              <w:ind w:right="252"/>
              <w:spacing w:after="0" w:line="153" w:lineRule="exact"/>
              <w:rPr>
                <w:sz w:val="20"/>
                <w:szCs w:val="20"/>
                <w:color w:val="auto"/>
              </w:rPr>
            </w:pPr>
            <w:r>
              <w:rPr>
                <w:rFonts w:ascii="Arial" w:cs="Arial" w:eastAsia="Arial" w:hAnsi="Arial"/>
                <w:sz w:val="14"/>
                <w:szCs w:val="14"/>
                <w:b w:val="1"/>
                <w:bCs w:val="1"/>
                <w:color w:val="auto"/>
              </w:rPr>
              <w:t>March 31,</w:t>
            </w:r>
          </w:p>
        </w:tc>
      </w:tr>
      <w:tr>
        <w:trPr>
          <w:trHeight w:val="192"/>
        </w:trPr>
        <w:tc>
          <w:tcPr>
            <w:tcW w:w="5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2012</w:t>
            </w:r>
          </w:p>
        </w:tc>
      </w:tr>
      <w:tr>
        <w:trPr>
          <w:trHeight w:val="250"/>
        </w:trPr>
        <w:tc>
          <w:tcPr>
            <w:tcW w:w="5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225,970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183,899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657,014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554,184</w:t>
            </w:r>
          </w:p>
        </w:tc>
      </w:tr>
      <w:tr>
        <w:trPr>
          <w:trHeight w:val="243"/>
        </w:trPr>
        <w:tc>
          <w:tcPr>
            <w:tcW w:w="5100" w:type="dxa"/>
            <w:vAlign w:val="bottom"/>
          </w:tcPr>
          <w:p>
            <w:pPr>
              <w:ind w:left="20"/>
              <w:spacing w:after="0"/>
              <w:rPr>
                <w:sz w:val="20"/>
                <w:szCs w:val="20"/>
                <w:color w:val="auto"/>
              </w:rPr>
            </w:pPr>
            <w:r>
              <w:rPr>
                <w:rFonts w:ascii="Arial" w:cs="Arial" w:eastAsia="Arial" w:hAnsi="Arial"/>
                <w:sz w:val="18"/>
                <w:szCs w:val="18"/>
                <w:color w:val="auto"/>
              </w:rPr>
              <w:t>Cost of revenues</w:t>
            </w:r>
          </w:p>
        </w:tc>
        <w:tc>
          <w:tcPr>
            <w:tcW w:w="20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202,844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164,128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589,311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493,222</w:t>
            </w:r>
          </w:p>
        </w:tc>
      </w:tr>
      <w:tr>
        <w:trPr>
          <w:trHeight w:val="27"/>
        </w:trPr>
        <w:tc>
          <w:tcPr>
            <w:tcW w:w="5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5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23,126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19,771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67,703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60,962</w:t>
            </w:r>
          </w:p>
        </w:tc>
      </w:tr>
      <w:tr>
        <w:trPr>
          <w:trHeight w:val="243"/>
        </w:trPr>
        <w:tc>
          <w:tcPr>
            <w:tcW w:w="510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20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14,695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12,356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42,576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35,737</w:t>
            </w:r>
          </w:p>
        </w:tc>
      </w:tr>
      <w:tr>
        <w:trPr>
          <w:trHeight w:val="27"/>
        </w:trPr>
        <w:tc>
          <w:tcPr>
            <w:tcW w:w="5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5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8,431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7,415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25,127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25,225</w:t>
            </w:r>
          </w:p>
        </w:tc>
      </w:tr>
      <w:tr>
        <w:trPr>
          <w:trHeight w:val="243"/>
        </w:trPr>
        <w:tc>
          <w:tcPr>
            <w:tcW w:w="510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5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1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Interest expense</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(617)</w:t>
            </w:r>
          </w:p>
        </w:tc>
      </w:tr>
      <w:tr>
        <w:trPr>
          <w:trHeight w:val="243"/>
        </w:trPr>
        <w:tc>
          <w:tcPr>
            <w:tcW w:w="5100" w:type="dxa"/>
            <w:vAlign w:val="bottom"/>
          </w:tcPr>
          <w:p>
            <w:pPr>
              <w:ind w:left="360"/>
              <w:spacing w:after="0"/>
              <w:rPr>
                <w:sz w:val="20"/>
                <w:szCs w:val="20"/>
                <w:color w:val="auto"/>
              </w:rPr>
            </w:pPr>
            <w:r>
              <w:rPr>
                <w:rFonts w:ascii="Arial" w:cs="Arial" w:eastAsia="Arial" w:hAnsi="Arial"/>
                <w:sz w:val="18"/>
                <w:szCs w:val="18"/>
                <w:color w:val="auto"/>
              </w:rPr>
              <w:t>Interest income</w:t>
            </w:r>
          </w:p>
        </w:tc>
        <w:tc>
          <w:tcPr>
            <w:tcW w:w="20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18</w:t>
            </w:r>
          </w:p>
        </w:tc>
      </w:tr>
      <w:tr>
        <w:trPr>
          <w:trHeight w:val="27"/>
        </w:trPr>
        <w:tc>
          <w:tcPr>
            <w:tcW w:w="5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1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93</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(430)</w:t>
            </w:r>
          </w:p>
        </w:tc>
      </w:tr>
      <w:tr>
        <w:trPr>
          <w:trHeight w:val="237"/>
        </w:trPr>
        <w:tc>
          <w:tcPr>
            <w:tcW w:w="5100" w:type="dxa"/>
            <w:vAlign w:val="bottom"/>
          </w:tcPr>
          <w:p>
            <w:pPr>
              <w:ind w:left="20"/>
              <w:spacing w:after="0"/>
              <w:rPr>
                <w:sz w:val="20"/>
                <w:szCs w:val="20"/>
                <w:color w:val="auto"/>
              </w:rPr>
            </w:pPr>
            <w:r>
              <w:rPr>
                <w:rFonts w:ascii="Arial" w:cs="Arial" w:eastAsia="Arial" w:hAnsi="Arial"/>
                <w:sz w:val="18"/>
                <w:szCs w:val="18"/>
                <w:color w:val="auto"/>
              </w:rPr>
              <w:t>Income before income tax expense</w:t>
            </w: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8,274</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7,198</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24,640</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24,196</w:t>
            </w:r>
          </w:p>
        </w:tc>
      </w:tr>
      <w:tr>
        <w:trPr>
          <w:trHeight w:val="27"/>
        </w:trPr>
        <w:tc>
          <w:tcPr>
            <w:tcW w:w="5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for federal, state and foreign income taxes</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1,753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2,336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7,999</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8,794</w:t>
            </w:r>
          </w:p>
        </w:tc>
      </w:tr>
      <w:tr>
        <w:trPr>
          <w:trHeight w:val="297"/>
        </w:trPr>
        <w:tc>
          <w:tcPr>
            <w:tcW w:w="5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income</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6,521</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4,862</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16,641</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15,402</w:t>
            </w:r>
          </w:p>
        </w:tc>
      </w:tr>
      <w:tr>
        <w:trPr>
          <w:trHeight w:val="237"/>
        </w:trPr>
        <w:tc>
          <w:tcPr>
            <w:tcW w:w="5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 earnings per common share</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0.25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0.19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0.64</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0.59</w:t>
            </w:r>
          </w:p>
        </w:tc>
      </w:tr>
      <w:tr>
        <w:trPr>
          <w:trHeight w:val="243"/>
        </w:trPr>
        <w:tc>
          <w:tcPr>
            <w:tcW w:w="5100" w:type="dxa"/>
            <w:vAlign w:val="bottom"/>
          </w:tcPr>
          <w:p>
            <w:pPr>
              <w:ind w:left="20"/>
              <w:spacing w:after="0"/>
              <w:rPr>
                <w:sz w:val="20"/>
                <w:szCs w:val="20"/>
                <w:color w:val="auto"/>
              </w:rPr>
            </w:pPr>
            <w:r>
              <w:rPr>
                <w:rFonts w:ascii="Arial" w:cs="Arial" w:eastAsia="Arial" w:hAnsi="Arial"/>
                <w:sz w:val="18"/>
                <w:szCs w:val="18"/>
                <w:color w:val="auto"/>
              </w:rPr>
              <w:t>Diluted earnings per common share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0.25</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0.19</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0.63</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0.58</w:t>
            </w:r>
          </w:p>
        </w:tc>
      </w:tr>
      <w:tr>
        <w:trPr>
          <w:trHeight w:val="27"/>
        </w:trPr>
        <w:tc>
          <w:tcPr>
            <w:tcW w:w="5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common shares outstanding:</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5100" w:type="dxa"/>
            <w:vAlign w:val="bottom"/>
          </w:tcPr>
          <w:p>
            <w:pPr>
              <w:ind w:left="360"/>
              <w:spacing w:after="0"/>
              <w:rPr>
                <w:sz w:val="20"/>
                <w:szCs w:val="20"/>
                <w:color w:val="auto"/>
              </w:rPr>
            </w:pPr>
            <w:r>
              <w:rPr>
                <w:rFonts w:ascii="Arial" w:cs="Arial" w:eastAsia="Arial" w:hAnsi="Arial"/>
                <w:sz w:val="18"/>
                <w:szCs w:val="18"/>
                <w:color w:val="auto"/>
              </w:rPr>
              <w:t>Basic</w:t>
            </w:r>
          </w:p>
        </w:tc>
        <w:tc>
          <w:tcPr>
            <w:tcW w:w="20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26,039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25,723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25,921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25,982</w:t>
            </w:r>
          </w:p>
        </w:tc>
      </w:tr>
      <w:tr>
        <w:trPr>
          <w:trHeight w:val="27"/>
        </w:trPr>
        <w:tc>
          <w:tcPr>
            <w:tcW w:w="5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43"/>
        </w:trPr>
        <w:tc>
          <w:tcPr>
            <w:tcW w:w="5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20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26,411</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26,079</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26,269</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26,333</w:t>
            </w:r>
          </w:p>
        </w:tc>
      </w:tr>
      <w:tr>
        <w:trPr>
          <w:trHeight w:val="27"/>
        </w:trPr>
        <w:tc>
          <w:tcPr>
            <w:tcW w:w="5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252"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- 1-</w:t>
      </w:r>
    </w:p>
    <w:p>
      <w:pPr>
        <w:sectPr>
          <w:pgSz w:w="11900" w:h="16838" w:orient="portrait"/>
          <w:cols w:equalWidth="0" w:num="1">
            <w:col w:w="10940"/>
          </w:cols>
          <w:pgMar w:left="240" w:top="125" w:right="71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29"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Matrix Service Company</w:t>
      </w:r>
    </w:p>
    <w:p>
      <w:pPr>
        <w:spacing w:after="0" w:line="90"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4"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(In thousands)</w:t>
      </w:r>
    </w:p>
    <w:p>
      <w:pPr>
        <w:spacing w:after="0" w:line="90"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19" w:lineRule="exact"/>
        <w:rPr>
          <w:sz w:val="20"/>
          <w:szCs w:val="20"/>
          <w:color w:val="auto"/>
        </w:rPr>
      </w:pPr>
    </w:p>
    <w:tbl>
      <w:tblPr>
        <w:tblLayout w:type="fixed"/>
        <w:tblInd w:w="500" w:type="dxa"/>
        <w:tblCellMar>
          <w:top w:w="0" w:type="dxa"/>
          <w:left w:w="0" w:type="dxa"/>
          <w:bottom w:w="0" w:type="dxa"/>
          <w:right w:w="0" w:type="dxa"/>
        </w:tblCellMar>
      </w:tblPr>
      <w:tr>
        <w:trPr>
          <w:trHeight w:val="192"/>
        </w:trPr>
        <w:tc>
          <w:tcPr>
            <w:tcW w:w="5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jc w:val="right"/>
              <w:ind w:right="557"/>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jc w:val="right"/>
              <w:ind w:right="597"/>
              <w:spacing w:after="0"/>
              <w:rPr>
                <w:sz w:val="20"/>
                <w:szCs w:val="20"/>
                <w:color w:val="auto"/>
              </w:rPr>
            </w:pPr>
            <w:r>
              <w:rPr>
                <w:rFonts w:ascii="Arial" w:cs="Arial" w:eastAsia="Arial" w:hAnsi="Arial"/>
                <w:sz w:val="14"/>
                <w:szCs w:val="14"/>
                <w:b w:val="1"/>
                <w:bCs w:val="1"/>
                <w:color w:val="auto"/>
              </w:rPr>
              <w:t>Nine Months Ended</w:t>
            </w:r>
          </w:p>
        </w:tc>
      </w:tr>
      <w:tr>
        <w:trPr>
          <w:trHeight w:val="152"/>
        </w:trPr>
        <w:tc>
          <w:tcPr>
            <w:tcW w:w="5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3"/>
                <w:szCs w:val="13"/>
                <w:color w:val="auto"/>
              </w:rPr>
            </w:pPr>
          </w:p>
        </w:tc>
        <w:tc>
          <w:tcPr>
            <w:tcW w:w="116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3"/>
                <w:szCs w:val="13"/>
                <w:color w:val="auto"/>
              </w:rPr>
            </w:pPr>
          </w:p>
        </w:tc>
        <w:tc>
          <w:tcPr>
            <w:tcW w:w="118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3"/>
                <w:szCs w:val="13"/>
                <w:color w:val="auto"/>
              </w:rPr>
            </w:pPr>
          </w:p>
        </w:tc>
        <w:tc>
          <w:tcPr>
            <w:tcW w:w="1040" w:type="dxa"/>
            <w:vAlign w:val="bottom"/>
          </w:tcPr>
          <w:p>
            <w:pPr>
              <w:jc w:val="right"/>
              <w:ind w:right="257"/>
              <w:spacing w:after="0" w:line="153" w:lineRule="exact"/>
              <w:rPr>
                <w:sz w:val="20"/>
                <w:szCs w:val="20"/>
                <w:color w:val="auto"/>
              </w:rPr>
            </w:pPr>
            <w:r>
              <w:rPr>
                <w:rFonts w:ascii="Arial" w:cs="Arial" w:eastAsia="Arial" w:hAnsi="Arial"/>
                <w:sz w:val="14"/>
                <w:szCs w:val="14"/>
                <w:b w:val="1"/>
                <w:bCs w:val="1"/>
                <w:color w:val="auto"/>
              </w:rPr>
              <w:t>March 31,</w:t>
            </w:r>
          </w:p>
        </w:tc>
      </w:tr>
      <w:tr>
        <w:trPr>
          <w:trHeight w:val="192"/>
        </w:trPr>
        <w:tc>
          <w:tcPr>
            <w:tcW w:w="5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2012</w:t>
            </w:r>
          </w:p>
        </w:tc>
      </w:tr>
      <w:tr>
        <w:trPr>
          <w:trHeight w:val="250"/>
        </w:trPr>
        <w:tc>
          <w:tcPr>
            <w:tcW w:w="5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6,521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4,862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16,641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15,402</w:t>
            </w:r>
          </w:p>
        </w:tc>
      </w:tr>
      <w:tr>
        <w:trPr>
          <w:trHeight w:val="243"/>
        </w:trPr>
        <w:tc>
          <w:tcPr>
            <w:tcW w:w="5100" w:type="dxa"/>
            <w:vAlign w:val="bottom"/>
          </w:tcPr>
          <w:p>
            <w:pPr>
              <w:ind w:left="20"/>
              <w:spacing w:after="0"/>
              <w:rPr>
                <w:sz w:val="20"/>
                <w:szCs w:val="20"/>
                <w:color w:val="auto"/>
              </w:rPr>
            </w:pPr>
            <w:r>
              <w:rPr>
                <w:rFonts w:ascii="Arial" w:cs="Arial" w:eastAsia="Arial" w:hAnsi="Arial"/>
                <w:sz w:val="18"/>
                <w:szCs w:val="18"/>
                <w:color w:val="auto"/>
              </w:rPr>
              <w:t>Other comprehensive income (loss), net of tax:</w:t>
            </w: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5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1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Foreign currency translation adjustments</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372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(349)</w:t>
            </w:r>
          </w:p>
        </w:tc>
      </w:tr>
      <w:tr>
        <w:trPr>
          <w:trHeight w:val="257"/>
        </w:trPr>
        <w:tc>
          <w:tcPr>
            <w:tcW w:w="5100" w:type="dxa"/>
            <w:vAlign w:val="bottom"/>
          </w:tcPr>
          <w:p>
            <w:pPr>
              <w:ind w:left="20"/>
              <w:spacing w:after="0"/>
              <w:rPr>
                <w:sz w:val="20"/>
                <w:szCs w:val="20"/>
                <w:color w:val="auto"/>
              </w:rPr>
            </w:pPr>
            <w:r>
              <w:rPr>
                <w:rFonts w:ascii="Arial" w:cs="Arial" w:eastAsia="Arial" w:hAnsi="Arial"/>
                <w:sz w:val="18"/>
                <w:szCs w:val="18"/>
                <w:color w:val="auto"/>
              </w:rPr>
              <w:t>Comprehensive income</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8"/>
                <w:szCs w:val="18"/>
                <w:color w:val="auto"/>
              </w:rPr>
              <w:t>6,144</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rPr>
              <w:t>5,234</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8"/>
                <w:szCs w:val="18"/>
                <w:color w:val="auto"/>
              </w:rPr>
              <w:t>16,579</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rPr>
              <w:t>15,053</w:t>
            </w:r>
          </w:p>
        </w:tc>
      </w:tr>
      <w:tr>
        <w:trPr>
          <w:trHeight w:val="20"/>
        </w:trPr>
        <w:tc>
          <w:tcPr>
            <w:tcW w:w="5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252"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- 2-</w:t>
      </w:r>
    </w:p>
    <w:p>
      <w:pPr>
        <w:sectPr>
          <w:pgSz w:w="11900" w:h="16838" w:orient="portrait"/>
          <w:cols w:equalWidth="0" w:num="1">
            <w:col w:w="10940"/>
          </w:cols>
          <w:pgMar w:left="240" w:top="125" w:right="71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29"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Matrix Service Company</w:t>
      </w:r>
    </w:p>
    <w:p>
      <w:pPr>
        <w:spacing w:after="0" w:line="90"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4"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(In thousands)</w:t>
      </w:r>
    </w:p>
    <w:p>
      <w:pPr>
        <w:spacing w:after="0" w:line="90"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47" w:lineRule="exact"/>
        <w:rPr>
          <w:sz w:val="20"/>
          <w:szCs w:val="20"/>
          <w:color w:val="auto"/>
        </w:rPr>
      </w:pPr>
    </w:p>
    <w:tbl>
      <w:tblPr>
        <w:tblLayout w:type="fixed"/>
        <w:tblInd w:w="500" w:type="dxa"/>
        <w:tblCellMar>
          <w:top w:w="0" w:type="dxa"/>
          <w:left w:w="0" w:type="dxa"/>
          <w:bottom w:w="0" w:type="dxa"/>
          <w:right w:w="0" w:type="dxa"/>
        </w:tblCellMar>
      </w:tblPr>
      <w:tr>
        <w:trPr>
          <w:trHeight w:val="161"/>
        </w:trPr>
        <w:tc>
          <w:tcPr>
            <w:tcW w:w="7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ind w:left="80"/>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4"/>
                <w:szCs w:val="14"/>
                <w:color w:val="auto"/>
              </w:rPr>
            </w:pPr>
          </w:p>
        </w:tc>
        <w:tc>
          <w:tcPr>
            <w:tcW w:w="1040" w:type="dxa"/>
            <w:vAlign w:val="bottom"/>
          </w:tcPr>
          <w:p>
            <w:pPr>
              <w:jc w:val="right"/>
              <w:ind w:right="312"/>
              <w:spacing w:after="0"/>
              <w:rPr>
                <w:sz w:val="20"/>
                <w:szCs w:val="20"/>
                <w:color w:val="auto"/>
              </w:rPr>
            </w:pPr>
            <w:r>
              <w:rPr>
                <w:rFonts w:ascii="Arial" w:cs="Arial" w:eastAsia="Arial" w:hAnsi="Arial"/>
                <w:sz w:val="14"/>
                <w:szCs w:val="14"/>
                <w:b w:val="1"/>
                <w:bCs w:val="1"/>
                <w:color w:val="auto"/>
              </w:rPr>
              <w:t>June 30,</w:t>
            </w:r>
          </w:p>
        </w:tc>
      </w:tr>
      <w:tr>
        <w:trPr>
          <w:trHeight w:val="192"/>
        </w:trPr>
        <w:tc>
          <w:tcPr>
            <w:tcW w:w="78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2012</w:t>
            </w:r>
          </w:p>
        </w:tc>
      </w:tr>
      <w:tr>
        <w:trPr>
          <w:trHeight w:val="250"/>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782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7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50,675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39,726</w:t>
            </w:r>
          </w:p>
        </w:tc>
      </w:tr>
      <w:tr>
        <w:trPr>
          <w:trHeight w:val="243"/>
        </w:trPr>
        <w:tc>
          <w:tcPr>
            <w:tcW w:w="7820" w:type="dxa"/>
            <w:vAlign w:val="bottom"/>
          </w:tcPr>
          <w:p>
            <w:pPr>
              <w:ind w:left="380"/>
              <w:spacing w:after="0"/>
              <w:rPr>
                <w:sz w:val="20"/>
                <w:szCs w:val="20"/>
                <w:color w:val="auto"/>
              </w:rPr>
            </w:pPr>
            <w:r>
              <w:rPr>
                <w:rFonts w:ascii="Arial" w:cs="Arial" w:eastAsia="Arial" w:hAnsi="Arial"/>
                <w:sz w:val="18"/>
                <w:szCs w:val="18"/>
                <w:color w:val="auto"/>
              </w:rPr>
              <w:t>Accounts receivable, less allowances (March 31, 2013—$743 and June 30, 2012—$1,201)</w:t>
            </w:r>
          </w:p>
        </w:tc>
        <w:tc>
          <w:tcPr>
            <w:tcW w:w="20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131,734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108,034</w:t>
            </w:r>
          </w:p>
        </w:tc>
      </w:tr>
      <w:tr>
        <w:trPr>
          <w:trHeight w:val="27"/>
        </w:trPr>
        <w:tc>
          <w:tcPr>
            <w:tcW w:w="7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Costs and estimated earnings in excess of billings on uncompleted contracts</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70,559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68,562</w:t>
            </w:r>
          </w:p>
        </w:tc>
      </w:tr>
      <w:tr>
        <w:trPr>
          <w:trHeight w:val="243"/>
        </w:trPr>
        <w:tc>
          <w:tcPr>
            <w:tcW w:w="7820" w:type="dxa"/>
            <w:vAlign w:val="bottom"/>
          </w:tcPr>
          <w:p>
            <w:pPr>
              <w:ind w:left="380"/>
              <w:spacing w:after="0"/>
              <w:rPr>
                <w:sz w:val="20"/>
                <w:szCs w:val="20"/>
                <w:color w:val="auto"/>
              </w:rPr>
            </w:pPr>
            <w:r>
              <w:rPr>
                <w:rFonts w:ascii="Arial" w:cs="Arial" w:eastAsia="Arial" w:hAnsi="Arial"/>
                <w:sz w:val="18"/>
                <w:szCs w:val="18"/>
                <w:color w:val="auto"/>
              </w:rPr>
              <w:t>Deferred income taxes</w:t>
            </w:r>
          </w:p>
        </w:tc>
        <w:tc>
          <w:tcPr>
            <w:tcW w:w="20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5,421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6,024</w:t>
            </w:r>
          </w:p>
        </w:tc>
      </w:tr>
      <w:tr>
        <w:trPr>
          <w:trHeight w:val="27"/>
        </w:trPr>
        <w:tc>
          <w:tcPr>
            <w:tcW w:w="7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Inventories</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2,905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2,482</w:t>
            </w:r>
          </w:p>
        </w:tc>
      </w:tr>
      <w:tr>
        <w:trPr>
          <w:trHeight w:val="243"/>
        </w:trPr>
        <w:tc>
          <w:tcPr>
            <w:tcW w:w="7820" w:type="dxa"/>
            <w:vAlign w:val="bottom"/>
          </w:tcPr>
          <w:p>
            <w:pPr>
              <w:ind w:left="380"/>
              <w:spacing w:after="0"/>
              <w:rPr>
                <w:sz w:val="20"/>
                <w:szCs w:val="20"/>
                <w:color w:val="auto"/>
              </w:rPr>
            </w:pPr>
            <w:r>
              <w:rPr>
                <w:rFonts w:ascii="Arial" w:cs="Arial" w:eastAsia="Arial" w:hAnsi="Arial"/>
                <w:sz w:val="18"/>
                <w:szCs w:val="18"/>
                <w:color w:val="auto"/>
              </w:rPr>
              <w:t>Other current assets</w:t>
            </w:r>
          </w:p>
        </w:tc>
        <w:tc>
          <w:tcPr>
            <w:tcW w:w="20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3,869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5,688</w:t>
            </w:r>
          </w:p>
        </w:tc>
      </w:tr>
      <w:tr>
        <w:trPr>
          <w:trHeight w:val="27"/>
        </w:trPr>
        <w:tc>
          <w:tcPr>
            <w:tcW w:w="78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current assets</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265,163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230,516</w:t>
            </w:r>
          </w:p>
        </w:tc>
      </w:tr>
      <w:tr>
        <w:trPr>
          <w:trHeight w:val="243"/>
        </w:trPr>
        <w:tc>
          <w:tcPr>
            <w:tcW w:w="7820" w:type="dxa"/>
            <w:vAlign w:val="bottom"/>
          </w:tcPr>
          <w:p>
            <w:pPr>
              <w:ind w:left="20"/>
              <w:spacing w:after="0"/>
              <w:rPr>
                <w:sz w:val="20"/>
                <w:szCs w:val="20"/>
                <w:color w:val="auto"/>
              </w:rPr>
            </w:pPr>
            <w:r>
              <w:rPr>
                <w:rFonts w:ascii="Arial" w:cs="Arial" w:eastAsia="Arial" w:hAnsi="Arial"/>
                <w:sz w:val="18"/>
                <w:szCs w:val="18"/>
                <w:color w:val="auto"/>
              </w:rPr>
              <w:t>Property, plant and equipment at cost:</w:t>
            </w: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7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Land and buildings</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29,338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28,846</w:t>
            </w:r>
          </w:p>
        </w:tc>
      </w:tr>
      <w:tr>
        <w:trPr>
          <w:trHeight w:val="243"/>
        </w:trPr>
        <w:tc>
          <w:tcPr>
            <w:tcW w:w="7820" w:type="dxa"/>
            <w:vAlign w:val="bottom"/>
          </w:tcPr>
          <w:p>
            <w:pPr>
              <w:ind w:left="380"/>
              <w:spacing w:after="0"/>
              <w:rPr>
                <w:sz w:val="20"/>
                <w:szCs w:val="20"/>
                <w:color w:val="auto"/>
              </w:rPr>
            </w:pPr>
            <w:r>
              <w:rPr>
                <w:rFonts w:ascii="Arial" w:cs="Arial" w:eastAsia="Arial" w:hAnsi="Arial"/>
                <w:sz w:val="18"/>
                <w:szCs w:val="18"/>
                <w:color w:val="auto"/>
              </w:rPr>
              <w:t>Construction equipment</w:t>
            </w:r>
          </w:p>
        </w:tc>
        <w:tc>
          <w:tcPr>
            <w:tcW w:w="20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66,354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59,176</w:t>
            </w:r>
          </w:p>
        </w:tc>
      </w:tr>
      <w:tr>
        <w:trPr>
          <w:trHeight w:val="27"/>
        </w:trPr>
        <w:tc>
          <w:tcPr>
            <w:tcW w:w="7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Transportation equipment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32,552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25,865</w:t>
            </w:r>
          </w:p>
        </w:tc>
      </w:tr>
      <w:tr>
        <w:trPr>
          <w:trHeight w:val="243"/>
        </w:trPr>
        <w:tc>
          <w:tcPr>
            <w:tcW w:w="7820" w:type="dxa"/>
            <w:vAlign w:val="bottom"/>
          </w:tcPr>
          <w:p>
            <w:pPr>
              <w:ind w:left="380"/>
              <w:spacing w:after="0"/>
              <w:rPr>
                <w:sz w:val="20"/>
                <w:szCs w:val="20"/>
                <w:color w:val="auto"/>
              </w:rPr>
            </w:pPr>
            <w:r>
              <w:rPr>
                <w:rFonts w:ascii="Arial" w:cs="Arial" w:eastAsia="Arial" w:hAnsi="Arial"/>
                <w:sz w:val="18"/>
                <w:szCs w:val="18"/>
                <w:color w:val="auto"/>
              </w:rPr>
              <w:t>Office equipment and software</w:t>
            </w:r>
          </w:p>
        </w:tc>
        <w:tc>
          <w:tcPr>
            <w:tcW w:w="20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17,788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16,892</w:t>
            </w:r>
          </w:p>
        </w:tc>
      </w:tr>
      <w:tr>
        <w:trPr>
          <w:trHeight w:val="27"/>
        </w:trPr>
        <w:tc>
          <w:tcPr>
            <w:tcW w:w="7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Construction in progress</w:t>
            </w: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8,991</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2,910</w:t>
            </w:r>
          </w:p>
        </w:tc>
      </w:tr>
      <w:tr>
        <w:trPr>
          <w:trHeight w:val="237"/>
        </w:trPr>
        <w:tc>
          <w:tcPr>
            <w:tcW w:w="78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155,023</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133,689</w:t>
            </w:r>
          </w:p>
        </w:tc>
      </w:tr>
      <w:tr>
        <w:trPr>
          <w:trHeight w:val="27"/>
        </w:trPr>
        <w:tc>
          <w:tcPr>
            <w:tcW w:w="7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Accumulated depreciation</w:t>
            </w: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(87,070)</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(78,814)</w:t>
            </w:r>
          </w:p>
        </w:tc>
      </w:tr>
      <w:tr>
        <w:trPr>
          <w:trHeight w:val="237"/>
        </w:trPr>
        <w:tc>
          <w:tcPr>
            <w:tcW w:w="78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67,953</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54,875</w:t>
            </w:r>
          </w:p>
        </w:tc>
      </w:tr>
      <w:tr>
        <w:trPr>
          <w:trHeight w:val="27"/>
        </w:trPr>
        <w:tc>
          <w:tcPr>
            <w:tcW w:w="7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30,910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28,675</w:t>
            </w:r>
          </w:p>
        </w:tc>
      </w:tr>
      <w:tr>
        <w:trPr>
          <w:trHeight w:val="243"/>
        </w:trPr>
        <w:tc>
          <w:tcPr>
            <w:tcW w:w="7820" w:type="dxa"/>
            <w:vAlign w:val="bottom"/>
          </w:tcPr>
          <w:p>
            <w:pPr>
              <w:ind w:left="20"/>
              <w:spacing w:after="0"/>
              <w:rPr>
                <w:sz w:val="20"/>
                <w:szCs w:val="20"/>
                <w:color w:val="auto"/>
              </w:rPr>
            </w:pPr>
            <w:r>
              <w:rPr>
                <w:rFonts w:ascii="Arial" w:cs="Arial" w:eastAsia="Arial" w:hAnsi="Arial"/>
                <w:sz w:val="18"/>
                <w:szCs w:val="18"/>
                <w:color w:val="auto"/>
              </w:rPr>
              <w:t>Other intangible assets</w:t>
            </w:r>
          </w:p>
        </w:tc>
        <w:tc>
          <w:tcPr>
            <w:tcW w:w="20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7,970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6,504</w:t>
            </w:r>
          </w:p>
        </w:tc>
      </w:tr>
      <w:tr>
        <w:trPr>
          <w:trHeight w:val="27"/>
        </w:trPr>
        <w:tc>
          <w:tcPr>
            <w:tcW w:w="7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7,179</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2,565</w:t>
            </w:r>
          </w:p>
        </w:tc>
      </w:tr>
      <w:tr>
        <w:trPr>
          <w:trHeight w:val="257"/>
        </w:trPr>
        <w:tc>
          <w:tcPr>
            <w:tcW w:w="782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379,175</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323,135</w:t>
            </w:r>
          </w:p>
        </w:tc>
      </w:tr>
      <w:tr>
        <w:trPr>
          <w:trHeight w:val="20"/>
        </w:trPr>
        <w:tc>
          <w:tcPr>
            <w:tcW w:w="78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- 3-</w:t>
      </w:r>
    </w:p>
    <w:p>
      <w:pPr>
        <w:sectPr>
          <w:pgSz w:w="11900" w:h="16838" w:orient="portrait"/>
          <w:cols w:equalWidth="0" w:num="1">
            <w:col w:w="10940"/>
          </w:cols>
          <w:pgMar w:left="240" w:top="125" w:right="71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29"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Matrix Service Company</w:t>
      </w:r>
    </w:p>
    <w:p>
      <w:pPr>
        <w:spacing w:after="0" w:line="90"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4"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(In thousands, except share data)</w:t>
      </w:r>
    </w:p>
    <w:p>
      <w:pPr>
        <w:spacing w:after="0" w:line="90"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(unaudited)</w:t>
      </w:r>
    </w:p>
    <w:p>
      <w:pPr>
        <w:spacing w:after="0" w:line="312" w:lineRule="exact"/>
        <w:rPr>
          <w:sz w:val="20"/>
          <w:szCs w:val="20"/>
          <w:color w:val="auto"/>
        </w:rPr>
      </w:pPr>
    </w:p>
    <w:tbl>
      <w:tblPr>
        <w:tblLayout w:type="fixed"/>
        <w:tblInd w:w="500" w:type="dxa"/>
        <w:tblCellMar>
          <w:top w:w="0" w:type="dxa"/>
          <w:left w:w="0" w:type="dxa"/>
          <w:bottom w:w="0" w:type="dxa"/>
          <w:right w:w="0" w:type="dxa"/>
        </w:tblCellMar>
      </w:tblPr>
      <w:tr>
        <w:trPr>
          <w:trHeight w:val="161"/>
        </w:trPr>
        <w:tc>
          <w:tcPr>
            <w:tcW w:w="7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ind w:left="80"/>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4"/>
                <w:szCs w:val="14"/>
                <w:color w:val="auto"/>
              </w:rPr>
            </w:pPr>
          </w:p>
        </w:tc>
        <w:tc>
          <w:tcPr>
            <w:tcW w:w="1040" w:type="dxa"/>
            <w:vAlign w:val="bottom"/>
          </w:tcPr>
          <w:p>
            <w:pPr>
              <w:jc w:val="right"/>
              <w:ind w:right="312"/>
              <w:spacing w:after="0"/>
              <w:rPr>
                <w:sz w:val="20"/>
                <w:szCs w:val="20"/>
                <w:color w:val="auto"/>
              </w:rPr>
            </w:pPr>
            <w:r>
              <w:rPr>
                <w:rFonts w:ascii="Arial" w:cs="Arial" w:eastAsia="Arial" w:hAnsi="Arial"/>
                <w:sz w:val="14"/>
                <w:szCs w:val="14"/>
                <w:b w:val="1"/>
                <w:bCs w:val="1"/>
                <w:color w:val="auto"/>
              </w:rPr>
              <w:t>June 30,</w:t>
            </w:r>
          </w:p>
        </w:tc>
      </w:tr>
      <w:tr>
        <w:trPr>
          <w:trHeight w:val="192"/>
        </w:trPr>
        <w:tc>
          <w:tcPr>
            <w:tcW w:w="78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2012</w:t>
            </w:r>
          </w:p>
        </w:tc>
      </w:tr>
      <w:tr>
        <w:trPr>
          <w:trHeight w:val="250"/>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782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7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59,497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48,931</w:t>
            </w:r>
          </w:p>
        </w:tc>
      </w:tr>
      <w:tr>
        <w:trPr>
          <w:trHeight w:val="243"/>
        </w:trPr>
        <w:tc>
          <w:tcPr>
            <w:tcW w:w="7820" w:type="dxa"/>
            <w:vAlign w:val="bottom"/>
          </w:tcPr>
          <w:p>
            <w:pPr>
              <w:ind w:left="380"/>
              <w:spacing w:after="0"/>
              <w:rPr>
                <w:sz w:val="20"/>
                <w:szCs w:val="20"/>
                <w:color w:val="auto"/>
              </w:rPr>
            </w:pPr>
            <w:r>
              <w:rPr>
                <w:rFonts w:ascii="Arial" w:cs="Arial" w:eastAsia="Arial" w:hAnsi="Arial"/>
                <w:sz w:val="18"/>
                <w:szCs w:val="18"/>
                <w:color w:val="auto"/>
              </w:rPr>
              <w:t>Billings on uncompleted contracts in excess of costs and estimated earnings</w:t>
            </w:r>
          </w:p>
        </w:tc>
        <w:tc>
          <w:tcPr>
            <w:tcW w:w="20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49,793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30,293</w:t>
            </w:r>
          </w:p>
        </w:tc>
      </w:tr>
      <w:tr>
        <w:trPr>
          <w:trHeight w:val="27"/>
        </w:trPr>
        <w:tc>
          <w:tcPr>
            <w:tcW w:w="7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wages and benefits</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22,182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15,298</w:t>
            </w:r>
          </w:p>
        </w:tc>
      </w:tr>
      <w:tr>
        <w:trPr>
          <w:trHeight w:val="243"/>
        </w:trPr>
        <w:tc>
          <w:tcPr>
            <w:tcW w:w="7820" w:type="dxa"/>
            <w:vAlign w:val="bottom"/>
          </w:tcPr>
          <w:p>
            <w:pPr>
              <w:ind w:left="380"/>
              <w:spacing w:after="0"/>
              <w:rPr>
                <w:sz w:val="20"/>
                <w:szCs w:val="20"/>
                <w:color w:val="auto"/>
              </w:rPr>
            </w:pPr>
            <w:r>
              <w:rPr>
                <w:rFonts w:ascii="Arial" w:cs="Arial" w:eastAsia="Arial" w:hAnsi="Arial"/>
                <w:sz w:val="18"/>
                <w:szCs w:val="18"/>
                <w:color w:val="auto"/>
              </w:rPr>
              <w:t>Accrued insurance</w:t>
            </w:r>
          </w:p>
        </w:tc>
        <w:tc>
          <w:tcPr>
            <w:tcW w:w="20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7,015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6,912</w:t>
            </w:r>
          </w:p>
        </w:tc>
      </w:tr>
      <w:tr>
        <w:trPr>
          <w:trHeight w:val="27"/>
        </w:trPr>
        <w:tc>
          <w:tcPr>
            <w:tcW w:w="7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taxes payable</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1,115</w:t>
            </w:r>
          </w:p>
        </w:tc>
      </w:tr>
      <w:tr>
        <w:trPr>
          <w:trHeight w:val="243"/>
        </w:trPr>
        <w:tc>
          <w:tcPr>
            <w:tcW w:w="7820" w:type="dxa"/>
            <w:vAlign w:val="bottom"/>
          </w:tcPr>
          <w:p>
            <w:pPr>
              <w:ind w:left="380"/>
              <w:spacing w:after="0"/>
              <w:rPr>
                <w:sz w:val="20"/>
                <w:szCs w:val="20"/>
                <w:color w:val="auto"/>
              </w:rPr>
            </w:pPr>
            <w:r>
              <w:rPr>
                <w:rFonts w:ascii="Arial" w:cs="Arial" w:eastAsia="Arial" w:hAnsi="Arial"/>
                <w:sz w:val="18"/>
                <w:szCs w:val="18"/>
                <w:color w:val="auto"/>
              </w:rPr>
              <w:t>Other accrued expenses</w:t>
            </w:r>
          </w:p>
        </w:tc>
        <w:tc>
          <w:tcPr>
            <w:tcW w:w="20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4,448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3,414</w:t>
            </w:r>
          </w:p>
        </w:tc>
      </w:tr>
      <w:tr>
        <w:trPr>
          <w:trHeight w:val="27"/>
        </w:trPr>
        <w:tc>
          <w:tcPr>
            <w:tcW w:w="78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current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143,516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105,963</w:t>
            </w:r>
          </w:p>
        </w:tc>
      </w:tr>
      <w:tr>
        <w:trPr>
          <w:trHeight w:val="243"/>
        </w:trPr>
        <w:tc>
          <w:tcPr>
            <w:tcW w:w="7820" w:type="dxa"/>
            <w:vAlign w:val="bottom"/>
          </w:tcPr>
          <w:p>
            <w:pPr>
              <w:ind w:left="380"/>
              <w:spacing w:after="0"/>
              <w:rPr>
                <w:sz w:val="20"/>
                <w:szCs w:val="20"/>
                <w:color w:val="auto"/>
              </w:rPr>
            </w:pPr>
            <w:r>
              <w:rPr>
                <w:rFonts w:ascii="Arial" w:cs="Arial" w:eastAsia="Arial" w:hAnsi="Arial"/>
                <w:sz w:val="18"/>
                <w:szCs w:val="18"/>
                <w:color w:val="auto"/>
              </w:rPr>
              <w:t>Deferred income taxes</w:t>
            </w:r>
          </w:p>
        </w:tc>
        <w:tc>
          <w:tcPr>
            <w:tcW w:w="20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5,650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6,075</w:t>
            </w:r>
          </w:p>
        </w:tc>
      </w:tr>
      <w:tr>
        <w:trPr>
          <w:trHeight w:val="27"/>
        </w:trPr>
        <w:tc>
          <w:tcPr>
            <w:tcW w:w="78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149,166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112,038</w:t>
            </w:r>
          </w:p>
        </w:tc>
      </w:tr>
      <w:tr>
        <w:trPr>
          <w:trHeight w:val="243"/>
        </w:trPr>
        <w:tc>
          <w:tcPr>
            <w:tcW w:w="7820" w:type="dxa"/>
            <w:vAlign w:val="bottom"/>
          </w:tcPr>
          <w:p>
            <w:pPr>
              <w:ind w:left="20"/>
              <w:spacing w:after="0"/>
              <w:rPr>
                <w:sz w:val="20"/>
                <w:szCs w:val="20"/>
                <w:color w:val="auto"/>
              </w:rPr>
            </w:pPr>
            <w:r>
              <w:rPr>
                <w:rFonts w:ascii="Arial" w:cs="Arial" w:eastAsia="Arial" w:hAnsi="Arial"/>
                <w:sz w:val="18"/>
                <w:szCs w:val="18"/>
                <w:color w:val="auto"/>
              </w:rPr>
              <w:t>Commitments and contingencies</w:t>
            </w: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7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Stockholders’ equity:</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29"/>
        </w:trPr>
        <w:tc>
          <w:tcPr>
            <w:tcW w:w="7820" w:type="dxa"/>
            <w:vAlign w:val="bottom"/>
          </w:tcPr>
          <w:p>
            <w:pPr>
              <w:ind w:left="380"/>
              <w:spacing w:after="0"/>
              <w:rPr>
                <w:sz w:val="20"/>
                <w:szCs w:val="20"/>
                <w:color w:val="auto"/>
              </w:rPr>
            </w:pPr>
            <w:r>
              <w:rPr>
                <w:rFonts w:ascii="Arial" w:cs="Arial" w:eastAsia="Arial" w:hAnsi="Arial"/>
                <w:sz w:val="18"/>
                <w:szCs w:val="18"/>
                <w:color w:val="auto"/>
                <w:w w:val="90"/>
              </w:rPr>
              <w:t>Common stock—$.01 par value; 60,000,000 shares authorized; 27,888,217 shares issued as of March</w:t>
            </w: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7820" w:type="dxa"/>
            <w:vAlign w:val="bottom"/>
          </w:tcPr>
          <w:p>
            <w:pPr>
              <w:ind w:left="380"/>
              <w:spacing w:after="0"/>
              <w:rPr>
                <w:sz w:val="20"/>
                <w:szCs w:val="20"/>
                <w:color w:val="auto"/>
              </w:rPr>
            </w:pPr>
            <w:r>
              <w:rPr>
                <w:rFonts w:ascii="Arial" w:cs="Arial" w:eastAsia="Arial" w:hAnsi="Arial"/>
                <w:sz w:val="18"/>
                <w:szCs w:val="18"/>
                <w:color w:val="auto"/>
              </w:rPr>
              <w:t>31, 2013, and June 30, 2012</w:t>
            </w:r>
          </w:p>
        </w:tc>
        <w:tc>
          <w:tcPr>
            <w:tcW w:w="200" w:type="dxa"/>
            <w:vAlign w:val="bottom"/>
          </w:tcPr>
          <w:p>
            <w:pPr>
              <w:spacing w:after="0"/>
              <w:rPr>
                <w:sz w:val="20"/>
                <w:szCs w:val="20"/>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279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279</w:t>
            </w:r>
          </w:p>
        </w:tc>
      </w:tr>
      <w:tr>
        <w:trPr>
          <w:trHeight w:val="27"/>
        </w:trPr>
        <w:tc>
          <w:tcPr>
            <w:tcW w:w="7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Additional paid-in capital</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117,676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116,693</w:t>
            </w:r>
          </w:p>
        </w:tc>
      </w:tr>
      <w:tr>
        <w:trPr>
          <w:trHeight w:val="243"/>
        </w:trPr>
        <w:tc>
          <w:tcPr>
            <w:tcW w:w="7820" w:type="dxa"/>
            <w:vAlign w:val="bottom"/>
          </w:tcPr>
          <w:p>
            <w:pPr>
              <w:ind w:left="380"/>
              <w:spacing w:after="0"/>
              <w:rPr>
                <w:sz w:val="20"/>
                <w:szCs w:val="20"/>
                <w:color w:val="auto"/>
              </w:rPr>
            </w:pPr>
            <w:r>
              <w:rPr>
                <w:rFonts w:ascii="Arial" w:cs="Arial" w:eastAsia="Arial" w:hAnsi="Arial"/>
                <w:sz w:val="18"/>
                <w:szCs w:val="18"/>
                <w:color w:val="auto"/>
              </w:rPr>
              <w:t>Retained earnings</w:t>
            </w:r>
          </w:p>
        </w:tc>
        <w:tc>
          <w:tcPr>
            <w:tcW w:w="20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134,060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117,419</w:t>
            </w:r>
          </w:p>
        </w:tc>
      </w:tr>
      <w:tr>
        <w:trPr>
          <w:trHeight w:val="27"/>
        </w:trPr>
        <w:tc>
          <w:tcPr>
            <w:tcW w:w="7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Accumulated other comprehensive income</w:t>
            </w: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709</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771</w:t>
            </w:r>
          </w:p>
        </w:tc>
      </w:tr>
      <w:tr>
        <w:trPr>
          <w:trHeight w:val="237"/>
        </w:trPr>
        <w:tc>
          <w:tcPr>
            <w:tcW w:w="78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252,724</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235,162</w:t>
            </w:r>
          </w:p>
        </w:tc>
      </w:tr>
      <w:tr>
        <w:trPr>
          <w:trHeight w:val="27"/>
        </w:trPr>
        <w:tc>
          <w:tcPr>
            <w:tcW w:w="7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29"/>
        </w:trPr>
        <w:tc>
          <w:tcPr>
            <w:tcW w:w="782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4"/>
              </w:rPr>
              <w:t>Less: Treasury stock, at cost—1,822,029 shares as of March 31, 2013, and 2,141,990 shares as of</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57"/>
        </w:trPr>
        <w:tc>
          <w:tcPr>
            <w:tcW w:w="7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June 30, 2012</w:t>
            </w: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(22,715)</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(24,065)</w:t>
            </w:r>
          </w:p>
        </w:tc>
      </w:tr>
      <w:tr>
        <w:trPr>
          <w:trHeight w:val="237"/>
        </w:trPr>
        <w:tc>
          <w:tcPr>
            <w:tcW w:w="7820" w:type="dxa"/>
            <w:vAlign w:val="bottom"/>
          </w:tcPr>
          <w:p>
            <w:pPr>
              <w:ind w:left="20"/>
              <w:spacing w:after="0"/>
              <w:rPr>
                <w:sz w:val="20"/>
                <w:szCs w:val="20"/>
                <w:color w:val="auto"/>
              </w:rPr>
            </w:pPr>
            <w:r>
              <w:rPr>
                <w:rFonts w:ascii="Arial" w:cs="Arial" w:eastAsia="Arial" w:hAnsi="Arial"/>
                <w:sz w:val="18"/>
                <w:szCs w:val="18"/>
                <w:color w:val="auto"/>
              </w:rPr>
              <w:t>Total stockholders’ equity</w:t>
            </w:r>
          </w:p>
        </w:tc>
        <w:tc>
          <w:tcPr>
            <w:tcW w:w="2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230,009</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211,097</w:t>
            </w:r>
          </w:p>
        </w:tc>
      </w:tr>
      <w:tr>
        <w:trPr>
          <w:trHeight w:val="27"/>
        </w:trPr>
        <w:tc>
          <w:tcPr>
            <w:tcW w:w="78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379,175</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323,135</w:t>
            </w:r>
          </w:p>
        </w:tc>
      </w:tr>
      <w:tr>
        <w:trPr>
          <w:trHeight w:val="20"/>
        </w:trPr>
        <w:tc>
          <w:tcPr>
            <w:tcW w:w="78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- 4-</w:t>
      </w:r>
    </w:p>
    <w:p>
      <w:pPr>
        <w:sectPr>
          <w:pgSz w:w="11900" w:h="16838" w:orient="portrait"/>
          <w:cols w:equalWidth="0" w:num="1">
            <w:col w:w="10940"/>
          </w:cols>
          <w:pgMar w:left="240" w:top="125" w:right="71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Matrix Service Company</w:t>
      </w:r>
    </w:p>
    <w:p>
      <w:pPr>
        <w:spacing w:after="0" w:line="90"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4"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(In thousands)</w:t>
      </w:r>
    </w:p>
    <w:p>
      <w:pPr>
        <w:spacing w:after="0" w:line="90"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(unaudited)</w:t>
      </w:r>
    </w:p>
    <w:p>
      <w:pPr>
        <w:spacing w:after="0" w:line="163" w:lineRule="exact"/>
        <w:rPr>
          <w:sz w:val="20"/>
          <w:szCs w:val="20"/>
          <w:color w:val="auto"/>
        </w:rPr>
      </w:pPr>
    </w:p>
    <w:tbl>
      <w:tblPr>
        <w:tblLayout w:type="fixed"/>
        <w:tblInd w:w="500" w:type="dxa"/>
        <w:tblCellMar>
          <w:top w:w="0" w:type="dxa"/>
          <w:left w:w="0" w:type="dxa"/>
          <w:bottom w:w="0" w:type="dxa"/>
          <w:right w:w="0" w:type="dxa"/>
        </w:tblCellMar>
      </w:tblPr>
      <w:tr>
        <w:trPr>
          <w:trHeight w:val="192"/>
        </w:trPr>
        <w:tc>
          <w:tcPr>
            <w:tcW w:w="78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jc w:val="right"/>
              <w:ind w:right="592"/>
              <w:spacing w:after="0"/>
              <w:rPr>
                <w:sz w:val="20"/>
                <w:szCs w:val="20"/>
                <w:color w:val="auto"/>
              </w:rPr>
            </w:pPr>
            <w:r>
              <w:rPr>
                <w:rFonts w:ascii="Arial" w:cs="Arial" w:eastAsia="Arial" w:hAnsi="Arial"/>
                <w:sz w:val="14"/>
                <w:szCs w:val="14"/>
                <w:b w:val="1"/>
                <w:bCs w:val="1"/>
                <w:color w:val="auto"/>
              </w:rPr>
              <w:t>Nine Months Ended</w:t>
            </w:r>
          </w:p>
        </w:tc>
      </w:tr>
      <w:tr>
        <w:trPr>
          <w:trHeight w:val="152"/>
        </w:trPr>
        <w:tc>
          <w:tcPr>
            <w:tcW w:w="7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3"/>
                <w:szCs w:val="13"/>
                <w:color w:val="auto"/>
              </w:rPr>
            </w:pPr>
          </w:p>
        </w:tc>
        <w:tc>
          <w:tcPr>
            <w:tcW w:w="1040" w:type="dxa"/>
            <w:vAlign w:val="bottom"/>
          </w:tcPr>
          <w:p>
            <w:pPr>
              <w:jc w:val="right"/>
              <w:ind w:right="252"/>
              <w:spacing w:after="0" w:line="153" w:lineRule="exact"/>
              <w:rPr>
                <w:sz w:val="20"/>
                <w:szCs w:val="20"/>
                <w:color w:val="auto"/>
              </w:rPr>
            </w:pPr>
            <w:r>
              <w:rPr>
                <w:rFonts w:ascii="Arial" w:cs="Arial" w:eastAsia="Arial" w:hAnsi="Arial"/>
                <w:sz w:val="14"/>
                <w:szCs w:val="14"/>
                <w:b w:val="1"/>
                <w:bCs w:val="1"/>
                <w:color w:val="auto"/>
              </w:rPr>
              <w:t>March 31,</w:t>
            </w:r>
          </w:p>
        </w:tc>
      </w:tr>
      <w:tr>
        <w:trPr>
          <w:trHeight w:val="192"/>
        </w:trPr>
        <w:tc>
          <w:tcPr>
            <w:tcW w:w="78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2012</w:t>
            </w:r>
          </w:p>
        </w:tc>
      </w:tr>
      <w:tr>
        <w:trPr>
          <w:trHeight w:val="250"/>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78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16,641</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15,402</w:t>
            </w:r>
          </w:p>
        </w:tc>
      </w:tr>
      <w:tr>
        <w:trPr>
          <w:trHeight w:val="27"/>
        </w:trPr>
        <w:tc>
          <w:tcPr>
            <w:tcW w:w="7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Adjustments to reconcile net income to net cash provided (used) by operating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782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9,211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8,668</w:t>
            </w:r>
          </w:p>
        </w:tc>
      </w:tr>
      <w:tr>
        <w:trPr>
          <w:trHeight w:val="27"/>
        </w:trPr>
        <w:tc>
          <w:tcPr>
            <w:tcW w:w="7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8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Deferred income tax</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119</w:t>
            </w:r>
          </w:p>
        </w:tc>
      </w:tr>
      <w:tr>
        <w:trPr>
          <w:trHeight w:val="243"/>
        </w:trPr>
        <w:tc>
          <w:tcPr>
            <w:tcW w:w="7820" w:type="dxa"/>
            <w:vAlign w:val="bottom"/>
          </w:tcPr>
          <w:p>
            <w:pPr>
              <w:ind w:left="360"/>
              <w:spacing w:after="0"/>
              <w:rPr>
                <w:sz w:val="20"/>
                <w:szCs w:val="20"/>
                <w:color w:val="auto"/>
              </w:rPr>
            </w:pPr>
            <w:r>
              <w:rPr>
                <w:rFonts w:ascii="Arial" w:cs="Arial" w:eastAsia="Arial" w:hAnsi="Arial"/>
                <w:sz w:val="18"/>
                <w:szCs w:val="18"/>
                <w:color w:val="auto"/>
              </w:rPr>
              <w:t>Gain on sale of property, plant and equipment</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7"/>
        </w:trPr>
        <w:tc>
          <w:tcPr>
            <w:tcW w:w="7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8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Allowance for uncollectible accounts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662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43"/>
        </w:trPr>
        <w:tc>
          <w:tcPr>
            <w:tcW w:w="7820" w:type="dxa"/>
            <w:vAlign w:val="bottom"/>
          </w:tcPr>
          <w:p>
            <w:pPr>
              <w:ind w:left="360"/>
              <w:spacing w:after="0"/>
              <w:rPr>
                <w:sz w:val="20"/>
                <w:szCs w:val="20"/>
                <w:color w:val="auto"/>
              </w:rPr>
            </w:pPr>
            <w:r>
              <w:rPr>
                <w:rFonts w:ascii="Arial" w:cs="Arial" w:eastAsia="Arial" w:hAnsi="Arial"/>
                <w:sz w:val="18"/>
                <w:szCs w:val="18"/>
                <w:color w:val="auto"/>
              </w:rPr>
              <w:t>Stock-based compensation expense</w:t>
            </w:r>
          </w:p>
        </w:tc>
        <w:tc>
          <w:tcPr>
            <w:tcW w:w="2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2,830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2,655</w:t>
            </w:r>
          </w:p>
        </w:tc>
      </w:tr>
      <w:tr>
        <w:trPr>
          <w:trHeight w:val="27"/>
        </w:trPr>
        <w:tc>
          <w:tcPr>
            <w:tcW w:w="7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8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w:t>
            </w:r>
          </w:p>
        </w:tc>
      </w:tr>
      <w:tr>
        <w:trPr>
          <w:trHeight w:val="243"/>
        </w:trPr>
        <w:tc>
          <w:tcPr>
            <w:tcW w:w="7820" w:type="dxa"/>
            <w:vAlign w:val="bottom"/>
          </w:tcPr>
          <w:p>
            <w:pPr>
              <w:ind w:left="360"/>
              <w:spacing w:after="0"/>
              <w:rPr>
                <w:sz w:val="20"/>
                <w:szCs w:val="20"/>
                <w:color w:val="auto"/>
              </w:rPr>
            </w:pPr>
            <w:r>
              <w:rPr>
                <w:rFonts w:ascii="Arial" w:cs="Arial" w:eastAsia="Arial" w:hAnsi="Arial"/>
                <w:sz w:val="18"/>
                <w:szCs w:val="18"/>
                <w:color w:val="auto"/>
              </w:rPr>
              <w:t>Changes in operating assets and liabilities increasing (decreasing) cash:</w:t>
            </w: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7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82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Accounts receivable</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(23,222)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(10,314)</w:t>
            </w:r>
          </w:p>
        </w:tc>
      </w:tr>
      <w:tr>
        <w:trPr>
          <w:trHeight w:val="243"/>
        </w:trPr>
        <w:tc>
          <w:tcPr>
            <w:tcW w:w="7820" w:type="dxa"/>
            <w:vAlign w:val="bottom"/>
          </w:tcPr>
          <w:p>
            <w:pPr>
              <w:ind w:left="680"/>
              <w:spacing w:after="0"/>
              <w:rPr>
                <w:sz w:val="20"/>
                <w:szCs w:val="20"/>
                <w:color w:val="auto"/>
              </w:rPr>
            </w:pPr>
            <w:r>
              <w:rPr>
                <w:rFonts w:ascii="Arial" w:cs="Arial" w:eastAsia="Arial" w:hAnsi="Arial"/>
                <w:sz w:val="18"/>
                <w:szCs w:val="18"/>
                <w:color w:val="auto"/>
              </w:rPr>
              <w:t>Costs and estimated earnings in excess of billings on uncompleted contracts</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(1,997)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(14,996)</w:t>
            </w:r>
          </w:p>
        </w:tc>
      </w:tr>
      <w:tr>
        <w:trPr>
          <w:trHeight w:val="27"/>
        </w:trPr>
        <w:tc>
          <w:tcPr>
            <w:tcW w:w="7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82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Inventories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(298)</w:t>
            </w:r>
          </w:p>
        </w:tc>
      </w:tr>
      <w:tr>
        <w:trPr>
          <w:trHeight w:val="243"/>
        </w:trPr>
        <w:tc>
          <w:tcPr>
            <w:tcW w:w="7820" w:type="dxa"/>
            <w:vAlign w:val="bottom"/>
          </w:tcPr>
          <w:p>
            <w:pPr>
              <w:ind w:left="680"/>
              <w:spacing w:after="0"/>
              <w:rPr>
                <w:sz w:val="20"/>
                <w:szCs w:val="20"/>
                <w:color w:val="auto"/>
              </w:rPr>
            </w:pPr>
            <w:r>
              <w:rPr>
                <w:rFonts w:ascii="Arial" w:cs="Arial" w:eastAsia="Arial" w:hAnsi="Arial"/>
                <w:sz w:val="18"/>
                <w:szCs w:val="18"/>
                <w:color w:val="auto"/>
              </w:rPr>
              <w:t>Other assets</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(2,942)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481</w:t>
            </w:r>
          </w:p>
        </w:tc>
      </w:tr>
      <w:tr>
        <w:trPr>
          <w:trHeight w:val="27"/>
        </w:trPr>
        <w:tc>
          <w:tcPr>
            <w:tcW w:w="7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82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Accounts payable</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9,037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6,500</w:t>
            </w:r>
          </w:p>
        </w:tc>
      </w:tr>
      <w:tr>
        <w:trPr>
          <w:trHeight w:val="243"/>
        </w:trPr>
        <w:tc>
          <w:tcPr>
            <w:tcW w:w="7820" w:type="dxa"/>
            <w:vAlign w:val="bottom"/>
          </w:tcPr>
          <w:p>
            <w:pPr>
              <w:ind w:left="680"/>
              <w:spacing w:after="0"/>
              <w:rPr>
                <w:sz w:val="20"/>
                <w:szCs w:val="20"/>
                <w:color w:val="auto"/>
              </w:rPr>
            </w:pPr>
            <w:r>
              <w:rPr>
                <w:rFonts w:ascii="Arial" w:cs="Arial" w:eastAsia="Arial" w:hAnsi="Arial"/>
                <w:sz w:val="18"/>
                <w:szCs w:val="18"/>
                <w:color w:val="auto"/>
              </w:rPr>
              <w:t>Billings on uncompleted contracts in excess of costs and estimated earnings</w:t>
            </w:r>
          </w:p>
        </w:tc>
        <w:tc>
          <w:tcPr>
            <w:tcW w:w="2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19,500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(7,223)</w:t>
            </w:r>
          </w:p>
        </w:tc>
      </w:tr>
      <w:tr>
        <w:trPr>
          <w:trHeight w:val="27"/>
        </w:trPr>
        <w:tc>
          <w:tcPr>
            <w:tcW w:w="7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82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Accrued expenses</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7,492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(453)</w:t>
            </w:r>
          </w:p>
        </w:tc>
      </w:tr>
      <w:tr>
        <w:trPr>
          <w:trHeight w:val="237"/>
        </w:trPr>
        <w:tc>
          <w:tcPr>
            <w:tcW w:w="7820" w:type="dxa"/>
            <w:vAlign w:val="bottom"/>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36,197</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475</w:t>
            </w:r>
          </w:p>
        </w:tc>
      </w:tr>
      <w:tr>
        <w:trPr>
          <w:trHeight w:val="27"/>
        </w:trPr>
        <w:tc>
          <w:tcPr>
            <w:tcW w:w="7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Investing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7820" w:type="dxa"/>
            <w:vAlign w:val="bottom"/>
          </w:tcPr>
          <w:p>
            <w:pPr>
              <w:ind w:left="20"/>
              <w:spacing w:after="0"/>
              <w:rPr>
                <w:sz w:val="20"/>
                <w:szCs w:val="20"/>
                <w:color w:val="auto"/>
              </w:rPr>
            </w:pPr>
            <w:r>
              <w:rPr>
                <w:rFonts w:ascii="Arial" w:cs="Arial" w:eastAsia="Arial" w:hAnsi="Arial"/>
                <w:sz w:val="18"/>
                <w:szCs w:val="18"/>
                <w:color w:val="auto"/>
              </w:rPr>
              <w:t>Acquisition of property, plant and equipment</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(16,640)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(9,616)</w:t>
            </w:r>
          </w:p>
        </w:tc>
      </w:tr>
      <w:tr>
        <w:trPr>
          <w:trHeight w:val="27"/>
        </w:trPr>
        <w:tc>
          <w:tcPr>
            <w:tcW w:w="7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Acquisition</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(8,250)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7820" w:type="dxa"/>
            <w:vAlign w:val="bottom"/>
          </w:tcPr>
          <w:p>
            <w:pPr>
              <w:ind w:left="20"/>
              <w:spacing w:after="0"/>
              <w:rPr>
                <w:sz w:val="20"/>
                <w:szCs w:val="20"/>
                <w:color w:val="auto"/>
              </w:rPr>
            </w:pPr>
            <w:r>
              <w:rPr>
                <w:rFonts w:ascii="Arial" w:cs="Arial" w:eastAsia="Arial" w:hAnsi="Arial"/>
                <w:sz w:val="18"/>
                <w:szCs w:val="18"/>
                <w:color w:val="auto"/>
              </w:rPr>
              <w:t>Acquisition related adjustment</w:t>
            </w:r>
          </w:p>
        </w:tc>
        <w:tc>
          <w:tcPr>
            <w:tcW w:w="20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241</w:t>
            </w:r>
          </w:p>
        </w:tc>
      </w:tr>
      <w:tr>
        <w:trPr>
          <w:trHeight w:val="27"/>
        </w:trPr>
        <w:tc>
          <w:tcPr>
            <w:tcW w:w="7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Proceeds from asset sales</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193</w:t>
            </w:r>
          </w:p>
        </w:tc>
      </w:tr>
      <w:tr>
        <w:trPr>
          <w:trHeight w:val="237"/>
        </w:trPr>
        <w:tc>
          <w:tcPr>
            <w:tcW w:w="7820" w:type="dxa"/>
            <w:vAlign w:val="bottom"/>
          </w:tcPr>
          <w:p>
            <w:pPr>
              <w:ind w:left="20"/>
              <w:spacing w:after="0"/>
              <w:rPr>
                <w:sz w:val="20"/>
                <w:szCs w:val="20"/>
                <w:color w:val="auto"/>
              </w:rPr>
            </w:pPr>
            <w:r>
              <w:rPr>
                <w:rFonts w:ascii="Arial" w:cs="Arial" w:eastAsia="Arial" w:hAnsi="Arial"/>
                <w:sz w:val="18"/>
                <w:szCs w:val="18"/>
                <w:color w:val="auto"/>
              </w:rPr>
              <w:t>Net cash used by investing activities</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(24,719)</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(9,182)</w:t>
            </w:r>
          </w:p>
        </w:tc>
      </w:tr>
    </w:tbl>
    <w:p>
      <w:pPr>
        <w:spacing w:after="0" w:line="175"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- 5-</w:t>
      </w:r>
    </w:p>
    <w:p>
      <w:pPr>
        <w:sectPr>
          <w:pgSz w:w="11900" w:h="16838" w:orient="portrait"/>
          <w:cols w:equalWidth="0" w:num="1">
            <w:col w:w="10940"/>
          </w:cols>
          <w:pgMar w:left="240" w:top="125" w:right="71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Matrix Service Company</w:t>
      </w:r>
    </w:p>
    <w:p>
      <w:pPr>
        <w:spacing w:after="0" w:line="90"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4"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(In thousands)</w:t>
      </w:r>
    </w:p>
    <w:p>
      <w:pPr>
        <w:spacing w:after="0" w:line="90"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(unaudited)</w:t>
      </w:r>
    </w:p>
    <w:p>
      <w:pPr>
        <w:spacing w:after="0" w:line="230" w:lineRule="exact"/>
        <w:rPr>
          <w:sz w:val="20"/>
          <w:szCs w:val="20"/>
          <w:color w:val="auto"/>
        </w:rPr>
      </w:pPr>
    </w:p>
    <w:tbl>
      <w:tblPr>
        <w:tblLayout w:type="fixed"/>
        <w:tblInd w:w="500" w:type="dxa"/>
        <w:tblCellMar>
          <w:top w:w="0" w:type="dxa"/>
          <w:left w:w="0" w:type="dxa"/>
          <w:bottom w:w="0" w:type="dxa"/>
          <w:right w:w="0" w:type="dxa"/>
        </w:tblCellMar>
      </w:tblPr>
      <w:tr>
        <w:trPr>
          <w:trHeight w:val="192"/>
        </w:trPr>
        <w:tc>
          <w:tcPr>
            <w:tcW w:w="78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jc w:val="right"/>
              <w:ind w:right="592"/>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52"/>
        </w:trPr>
        <w:tc>
          <w:tcPr>
            <w:tcW w:w="7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3"/>
                <w:szCs w:val="13"/>
                <w:color w:val="auto"/>
              </w:rPr>
            </w:pPr>
          </w:p>
        </w:tc>
        <w:tc>
          <w:tcPr>
            <w:tcW w:w="1040" w:type="dxa"/>
            <w:vAlign w:val="bottom"/>
          </w:tcPr>
          <w:p>
            <w:pPr>
              <w:jc w:val="right"/>
              <w:ind w:right="252"/>
              <w:spacing w:after="0" w:line="153" w:lineRule="exact"/>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92"/>
        </w:trPr>
        <w:tc>
          <w:tcPr>
            <w:tcW w:w="78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50"/>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820" w:type="dxa"/>
            <w:vAlign w:val="bottom"/>
          </w:tcPr>
          <w:p>
            <w:pPr>
              <w:ind w:left="20"/>
              <w:spacing w:after="0"/>
              <w:rPr>
                <w:sz w:val="20"/>
                <w:szCs w:val="20"/>
                <w:color w:val="auto"/>
              </w:rPr>
            </w:pPr>
            <w:r>
              <w:rPr>
                <w:rFonts w:ascii="Arial" w:cs="Arial" w:eastAsia="Arial" w:hAnsi="Arial"/>
                <w:sz w:val="18"/>
                <w:szCs w:val="18"/>
                <w:color w:val="auto"/>
              </w:rPr>
              <w:t>Issuances of common stock</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558</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7"/>
        </w:trPr>
        <w:tc>
          <w:tcPr>
            <w:tcW w:w="7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Capital lease payments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43"/>
        </w:trPr>
        <w:tc>
          <w:tcPr>
            <w:tcW w:w="7820" w:type="dxa"/>
            <w:vAlign w:val="bottom"/>
          </w:tcPr>
          <w:p>
            <w:pPr>
              <w:ind w:left="20"/>
              <w:spacing w:after="0"/>
              <w:rPr>
                <w:sz w:val="20"/>
                <w:szCs w:val="20"/>
                <w:color w:val="auto"/>
              </w:rPr>
            </w:pPr>
            <w:r>
              <w:rPr>
                <w:rFonts w:ascii="Arial" w:cs="Arial" w:eastAsia="Arial" w:hAnsi="Arial"/>
                <w:sz w:val="18"/>
                <w:szCs w:val="18"/>
                <w:color w:val="auto"/>
              </w:rPr>
              <w:t>Excess tax benefit of exercised stock options and vesting of deferred shares</w:t>
            </w:r>
          </w:p>
        </w:tc>
        <w:tc>
          <w:tcPr>
            <w:tcW w:w="20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Payment of debt amendment fees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(643)</w:t>
            </w:r>
          </w:p>
        </w:tc>
        <w:tc>
          <w:tcPr>
            <w:tcW w:w="0" w:type="dxa"/>
            <w:vAlign w:val="bottom"/>
          </w:tcPr>
          <w:p>
            <w:pPr>
              <w:spacing w:after="0"/>
              <w:rPr>
                <w:sz w:val="1"/>
                <w:szCs w:val="1"/>
                <w:color w:val="auto"/>
              </w:rPr>
            </w:pPr>
          </w:p>
        </w:tc>
      </w:tr>
      <w:tr>
        <w:trPr>
          <w:trHeight w:val="243"/>
        </w:trPr>
        <w:tc>
          <w:tcPr>
            <w:tcW w:w="7820" w:type="dxa"/>
            <w:vAlign w:val="bottom"/>
          </w:tcPr>
          <w:p>
            <w:pPr>
              <w:ind w:left="20"/>
              <w:spacing w:after="0"/>
              <w:rPr>
                <w:sz w:val="20"/>
                <w:szCs w:val="20"/>
                <w:color w:val="auto"/>
              </w:rPr>
            </w:pPr>
            <w:r>
              <w:rPr>
                <w:rFonts w:ascii="Arial" w:cs="Arial" w:eastAsia="Arial" w:hAnsi="Arial"/>
                <w:sz w:val="18"/>
                <w:szCs w:val="18"/>
                <w:color w:val="auto"/>
              </w:rPr>
              <w:t>Advances under credit agreement</w:t>
            </w:r>
          </w:p>
        </w:tc>
        <w:tc>
          <w:tcPr>
            <w:tcW w:w="20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25,565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4,764</w:t>
            </w:r>
          </w:p>
        </w:tc>
        <w:tc>
          <w:tcPr>
            <w:tcW w:w="0" w:type="dxa"/>
            <w:vAlign w:val="bottom"/>
          </w:tcPr>
          <w:p>
            <w:pPr>
              <w:spacing w:after="0"/>
              <w:rPr>
                <w:sz w:val="1"/>
                <w:szCs w:val="1"/>
                <w:color w:val="auto"/>
              </w:rPr>
            </w:pPr>
          </w:p>
        </w:tc>
      </w:tr>
      <w:tr>
        <w:trPr>
          <w:trHeight w:val="27"/>
        </w:trPr>
        <w:tc>
          <w:tcPr>
            <w:tcW w:w="7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Repayments of advances under credit agreement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(25,565)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(3,007)</w:t>
            </w:r>
          </w:p>
        </w:tc>
        <w:tc>
          <w:tcPr>
            <w:tcW w:w="0" w:type="dxa"/>
            <w:vAlign w:val="bottom"/>
          </w:tcPr>
          <w:p>
            <w:pPr>
              <w:spacing w:after="0"/>
              <w:rPr>
                <w:sz w:val="1"/>
                <w:szCs w:val="1"/>
                <w:color w:val="auto"/>
              </w:rPr>
            </w:pPr>
          </w:p>
        </w:tc>
      </w:tr>
      <w:tr>
        <w:trPr>
          <w:trHeight w:val="243"/>
        </w:trPr>
        <w:tc>
          <w:tcPr>
            <w:tcW w:w="7820" w:type="dxa"/>
            <w:vAlign w:val="bottom"/>
          </w:tcPr>
          <w:p>
            <w:pPr>
              <w:ind w:left="20"/>
              <w:spacing w:after="0"/>
              <w:rPr>
                <w:sz w:val="20"/>
                <w:szCs w:val="20"/>
                <w:color w:val="auto"/>
              </w:rPr>
            </w:pPr>
            <w:r>
              <w:rPr>
                <w:rFonts w:ascii="Arial" w:cs="Arial" w:eastAsia="Arial" w:hAnsi="Arial"/>
                <w:sz w:val="18"/>
                <w:szCs w:val="18"/>
                <w:color w:val="auto"/>
              </w:rPr>
              <w:t>Treasury shares purchased by Employee Stock Purchase Plan</w:t>
            </w:r>
          </w:p>
        </w:tc>
        <w:tc>
          <w:tcPr>
            <w:tcW w:w="20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7"/>
        </w:trPr>
        <w:tc>
          <w:tcPr>
            <w:tcW w:w="7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Open market purchase of treasury shares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(8,126)</w:t>
            </w:r>
          </w:p>
        </w:tc>
        <w:tc>
          <w:tcPr>
            <w:tcW w:w="0" w:type="dxa"/>
            <w:vAlign w:val="bottom"/>
          </w:tcPr>
          <w:p>
            <w:pPr>
              <w:spacing w:after="0"/>
              <w:rPr>
                <w:sz w:val="1"/>
                <w:szCs w:val="1"/>
                <w:color w:val="auto"/>
              </w:rPr>
            </w:pPr>
          </w:p>
        </w:tc>
      </w:tr>
      <w:tr>
        <w:trPr>
          <w:trHeight w:val="243"/>
        </w:trPr>
        <w:tc>
          <w:tcPr>
            <w:tcW w:w="7820" w:type="dxa"/>
            <w:vAlign w:val="bottom"/>
          </w:tcPr>
          <w:p>
            <w:pPr>
              <w:ind w:left="20"/>
              <w:spacing w:after="0"/>
              <w:rPr>
                <w:sz w:val="20"/>
                <w:szCs w:val="20"/>
                <w:color w:val="auto"/>
              </w:rPr>
            </w:pPr>
            <w:r>
              <w:rPr>
                <w:rFonts w:ascii="Arial" w:cs="Arial" w:eastAsia="Arial" w:hAnsi="Arial"/>
                <w:sz w:val="18"/>
                <w:szCs w:val="18"/>
                <w:color w:val="auto"/>
              </w:rPr>
              <w:t>Other treasury share purchases</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(1,082)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(487)</w:t>
            </w:r>
          </w:p>
        </w:tc>
        <w:tc>
          <w:tcPr>
            <w:tcW w:w="0" w:type="dxa"/>
            <w:vAlign w:val="bottom"/>
          </w:tcPr>
          <w:p>
            <w:pPr>
              <w:spacing w:after="0"/>
              <w:rPr>
                <w:sz w:val="1"/>
                <w:szCs w:val="1"/>
                <w:color w:val="auto"/>
              </w:rPr>
            </w:pPr>
          </w:p>
        </w:tc>
      </w:tr>
      <w:tr>
        <w:trPr>
          <w:trHeight w:val="27"/>
        </w:trPr>
        <w:tc>
          <w:tcPr>
            <w:tcW w:w="78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used by financing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(7,575)</w:t>
            </w:r>
          </w:p>
        </w:tc>
        <w:tc>
          <w:tcPr>
            <w:tcW w:w="0" w:type="dxa"/>
            <w:vAlign w:val="bottom"/>
          </w:tcPr>
          <w:p>
            <w:pPr>
              <w:spacing w:after="0"/>
              <w:rPr>
                <w:sz w:val="1"/>
                <w:szCs w:val="1"/>
                <w:color w:val="auto"/>
              </w:rPr>
            </w:pPr>
          </w:p>
        </w:tc>
      </w:tr>
      <w:tr>
        <w:trPr>
          <w:trHeight w:val="243"/>
        </w:trPr>
        <w:tc>
          <w:tcPr>
            <w:tcW w:w="7820" w:type="dxa"/>
            <w:vAlign w:val="bottom"/>
          </w:tcPr>
          <w:p>
            <w:pPr>
              <w:ind w:left="20"/>
              <w:spacing w:after="0"/>
              <w:rPr>
                <w:sz w:val="20"/>
                <w:szCs w:val="20"/>
                <w:color w:val="auto"/>
              </w:rPr>
            </w:pPr>
            <w:r>
              <w:rPr>
                <w:rFonts w:ascii="Arial" w:cs="Arial" w:eastAsia="Arial" w:hAnsi="Arial"/>
                <w:sz w:val="18"/>
                <w:szCs w:val="18"/>
                <w:color w:val="auto"/>
              </w:rPr>
              <w:t>Effect of exchange rate changes on cash</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7"/>
        </w:trPr>
        <w:tc>
          <w:tcPr>
            <w:tcW w:w="78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increase (decrease) in cash and cash equivalents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10,949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(16,225)</w:t>
            </w:r>
          </w:p>
        </w:tc>
        <w:tc>
          <w:tcPr>
            <w:tcW w:w="0" w:type="dxa"/>
            <w:vAlign w:val="bottom"/>
          </w:tcPr>
          <w:p>
            <w:pPr>
              <w:spacing w:after="0"/>
              <w:rPr>
                <w:sz w:val="1"/>
                <w:szCs w:val="1"/>
                <w:color w:val="auto"/>
              </w:rPr>
            </w:pPr>
          </w:p>
        </w:tc>
      </w:tr>
      <w:tr>
        <w:trPr>
          <w:trHeight w:val="243"/>
        </w:trPr>
        <w:tc>
          <w:tcPr>
            <w:tcW w:w="7820" w:type="dxa"/>
            <w:vAlign w:val="bottom"/>
          </w:tcPr>
          <w:p>
            <w:pPr>
              <w:ind w:left="20"/>
              <w:spacing w:after="0"/>
              <w:rPr>
                <w:sz w:val="20"/>
                <w:szCs w:val="20"/>
                <w:color w:val="auto"/>
              </w:rPr>
            </w:pPr>
            <w:r>
              <w:rPr>
                <w:rFonts w:ascii="Arial" w:cs="Arial" w:eastAsia="Arial" w:hAnsi="Arial"/>
                <w:sz w:val="18"/>
                <w:szCs w:val="18"/>
                <w:color w:val="auto"/>
              </w:rPr>
              <w:t>Cash and cash equivalents, beginning of period</w:t>
            </w:r>
          </w:p>
        </w:tc>
        <w:tc>
          <w:tcPr>
            <w:tcW w:w="20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39,726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59,357</w:t>
            </w:r>
          </w:p>
        </w:tc>
        <w:tc>
          <w:tcPr>
            <w:tcW w:w="0" w:type="dxa"/>
            <w:vAlign w:val="bottom"/>
          </w:tcPr>
          <w:p>
            <w:pPr>
              <w:spacing w:after="0"/>
              <w:rPr>
                <w:sz w:val="1"/>
                <w:szCs w:val="1"/>
                <w:color w:val="auto"/>
              </w:rPr>
            </w:pPr>
          </w:p>
        </w:tc>
      </w:tr>
      <w:tr>
        <w:trPr>
          <w:trHeight w:val="27"/>
        </w:trPr>
        <w:tc>
          <w:tcPr>
            <w:tcW w:w="78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 end of period</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50,675</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43,132</w:t>
            </w:r>
          </w:p>
        </w:tc>
        <w:tc>
          <w:tcPr>
            <w:tcW w:w="0" w:type="dxa"/>
            <w:vAlign w:val="bottom"/>
          </w:tcPr>
          <w:p>
            <w:pPr>
              <w:spacing w:after="0"/>
              <w:rPr>
                <w:sz w:val="1"/>
                <w:szCs w:val="1"/>
                <w:color w:val="auto"/>
              </w:rPr>
            </w:pPr>
          </w:p>
        </w:tc>
      </w:tr>
      <w:tr>
        <w:trPr>
          <w:trHeight w:val="20"/>
        </w:trPr>
        <w:tc>
          <w:tcPr>
            <w:tcW w:w="78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82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paid during the period for:</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04"/>
        </w:trPr>
        <w:tc>
          <w:tcPr>
            <w:tcW w:w="78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Income taxes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7,404</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9,386</w:t>
            </w:r>
          </w:p>
        </w:tc>
        <w:tc>
          <w:tcPr>
            <w:tcW w:w="0" w:type="dxa"/>
            <w:vAlign w:val="bottom"/>
          </w:tcPr>
          <w:p>
            <w:pPr>
              <w:spacing w:after="0"/>
              <w:rPr>
                <w:sz w:val="1"/>
                <w:szCs w:val="1"/>
                <w:color w:val="auto"/>
              </w:rPr>
            </w:pPr>
          </w:p>
        </w:tc>
      </w:tr>
      <w:tr>
        <w:trPr>
          <w:trHeight w:val="251"/>
        </w:trPr>
        <w:tc>
          <w:tcPr>
            <w:tcW w:w="78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Interest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457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357</w:t>
            </w:r>
          </w:p>
        </w:tc>
        <w:tc>
          <w:tcPr>
            <w:tcW w:w="0" w:type="dxa"/>
            <w:vAlign w:val="bottom"/>
          </w:tcPr>
          <w:p>
            <w:pPr>
              <w:spacing w:after="0"/>
              <w:rPr>
                <w:sz w:val="1"/>
                <w:szCs w:val="1"/>
                <w:color w:val="auto"/>
              </w:rPr>
            </w:pPr>
          </w:p>
        </w:tc>
      </w:tr>
      <w:tr>
        <w:trPr>
          <w:trHeight w:val="20"/>
        </w:trPr>
        <w:tc>
          <w:tcPr>
            <w:tcW w:w="7820" w:type="dxa"/>
            <w:vAlign w:val="bottom"/>
            <w:vMerge w:val="restart"/>
          </w:tcPr>
          <w:p>
            <w:pPr>
              <w:ind w:left="20"/>
              <w:spacing w:after="0"/>
              <w:rPr>
                <w:sz w:val="20"/>
                <w:szCs w:val="20"/>
                <w:color w:val="auto"/>
              </w:rPr>
            </w:pPr>
            <w:r>
              <w:rPr>
                <w:rFonts w:ascii="Arial" w:cs="Arial" w:eastAsia="Arial" w:hAnsi="Arial"/>
                <w:sz w:val="18"/>
                <w:szCs w:val="18"/>
                <w:color w:val="auto"/>
              </w:rPr>
              <w:t>Non-cash investing and financing activities:</w:t>
            </w: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82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78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Purchases of property, plant and equipment on account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748</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648</w:t>
            </w:r>
          </w:p>
        </w:tc>
        <w:tc>
          <w:tcPr>
            <w:tcW w:w="0" w:type="dxa"/>
            <w:vAlign w:val="bottom"/>
          </w:tcPr>
          <w:p>
            <w:pPr>
              <w:spacing w:after="0"/>
              <w:rPr>
                <w:sz w:val="1"/>
                <w:szCs w:val="1"/>
                <w:color w:val="auto"/>
              </w:rPr>
            </w:pPr>
          </w:p>
        </w:tc>
      </w:tr>
      <w:tr>
        <w:trPr>
          <w:trHeight w:val="20"/>
        </w:trPr>
        <w:tc>
          <w:tcPr>
            <w:tcW w:w="78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82"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- 6-</w:t>
      </w:r>
    </w:p>
    <w:p>
      <w:pPr>
        <w:sectPr>
          <w:pgSz w:w="11900" w:h="16838" w:orient="portrait"/>
          <w:cols w:equalWidth="0" w:num="1">
            <w:col w:w="10940"/>
          </w:cols>
          <w:pgMar w:left="240" w:top="125" w:right="71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29"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Matrix Service Company</w:t>
      </w:r>
    </w:p>
    <w:p>
      <w:pPr>
        <w:spacing w:after="0" w:line="90"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Condensed Consolidated Statements of Changes in Stockholders’ Equity</w:t>
      </w:r>
    </w:p>
    <w:p>
      <w:pPr>
        <w:spacing w:after="0" w:line="94"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(In thousands, except share data)</w:t>
      </w:r>
    </w:p>
    <w:p>
      <w:pPr>
        <w:spacing w:after="0" w:line="90"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(unaudited)</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6"/>
              </w:rPr>
              <w:t>Additional</w:t>
            </w: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Accumulated</w:t>
            </w: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5"/>
              </w:rPr>
              <w:t>Common</w:t>
            </w:r>
          </w:p>
        </w:tc>
        <w:tc>
          <w:tcPr>
            <w:tcW w:w="18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Retained</w:t>
            </w:r>
          </w:p>
        </w:tc>
        <w:tc>
          <w:tcPr>
            <w:tcW w:w="180" w:type="dxa"/>
            <w:vAlign w:val="bottom"/>
          </w:tcPr>
          <w:p>
            <w:pPr>
              <w:spacing w:after="0"/>
              <w:rPr>
                <w:sz w:val="12"/>
                <w:szCs w:val="12"/>
                <w:color w:val="auto"/>
              </w:rPr>
            </w:pPr>
          </w:p>
        </w:tc>
        <w:tc>
          <w:tcPr>
            <w:tcW w:w="10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4"/>
              </w:rPr>
              <w:t>Treasury</w:t>
            </w:r>
          </w:p>
        </w:tc>
        <w:tc>
          <w:tcPr>
            <w:tcW w:w="140" w:type="dxa"/>
            <w:vAlign w:val="bottom"/>
          </w:tcPr>
          <w:p>
            <w:pPr>
              <w:spacing w:after="0"/>
              <w:rPr>
                <w:sz w:val="12"/>
                <w:szCs w:val="12"/>
                <w:color w:val="auto"/>
              </w:rPr>
            </w:pPr>
          </w:p>
        </w:tc>
        <w:tc>
          <w:tcPr>
            <w:tcW w:w="12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Other</w:t>
            </w: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8"/>
              </w:rPr>
              <w:t>Paid-In</w:t>
            </w:r>
          </w:p>
        </w:tc>
        <w:tc>
          <w:tcPr>
            <w:tcW w:w="18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240" w:type="dxa"/>
            <w:vAlign w:val="bottom"/>
          </w:tcPr>
          <w:p>
            <w:pPr>
              <w:spacing w:after="0"/>
              <w:rPr>
                <w:sz w:val="12"/>
                <w:szCs w:val="12"/>
                <w:color w:val="auto"/>
              </w:rPr>
            </w:pPr>
          </w:p>
        </w:tc>
        <w:tc>
          <w:tcPr>
            <w:tcW w:w="84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Stock</w:t>
            </w:r>
          </w:p>
        </w:tc>
        <w:tc>
          <w:tcPr>
            <w:tcW w:w="180" w:type="dxa"/>
            <w:vAlign w:val="bottom"/>
          </w:tcPr>
          <w:p>
            <w:pPr>
              <w:spacing w:after="0"/>
              <w:rPr>
                <w:sz w:val="16"/>
                <w:szCs w:val="16"/>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Capital</w:t>
            </w:r>
          </w:p>
        </w:tc>
        <w:tc>
          <w:tcPr>
            <w:tcW w:w="180" w:type="dxa"/>
            <w:vAlign w:val="bottom"/>
          </w:tcPr>
          <w:p>
            <w:pPr>
              <w:spacing w:after="0"/>
              <w:rPr>
                <w:sz w:val="16"/>
                <w:szCs w:val="16"/>
                <w:color w:val="auto"/>
              </w:rPr>
            </w:pPr>
          </w:p>
        </w:tc>
        <w:tc>
          <w:tcPr>
            <w:tcW w:w="1020" w:type="dxa"/>
            <w:vAlign w:val="bottom"/>
            <w:gridSpan w:val="2"/>
          </w:tcPr>
          <w:p>
            <w:pPr>
              <w:ind w:left="80"/>
              <w:spacing w:after="0"/>
              <w:rPr>
                <w:sz w:val="20"/>
                <w:szCs w:val="20"/>
                <w:color w:val="auto"/>
              </w:rPr>
            </w:pPr>
            <w:r>
              <w:rPr>
                <w:rFonts w:ascii="Arial" w:cs="Arial" w:eastAsia="Arial" w:hAnsi="Arial"/>
                <w:sz w:val="14"/>
                <w:szCs w:val="14"/>
                <w:b w:val="1"/>
                <w:bCs w:val="1"/>
                <w:color w:val="auto"/>
              </w:rPr>
              <w:t>Earnings</w:t>
            </w:r>
          </w:p>
        </w:tc>
        <w:tc>
          <w:tcPr>
            <w:tcW w:w="180" w:type="dxa"/>
            <w:vAlign w:val="bottom"/>
          </w:tcPr>
          <w:p>
            <w:pPr>
              <w:spacing w:after="0"/>
              <w:rPr>
                <w:sz w:val="16"/>
                <w:szCs w:val="16"/>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Stock</w:t>
            </w:r>
          </w:p>
        </w:tc>
        <w:tc>
          <w:tcPr>
            <w:tcW w:w="140" w:type="dxa"/>
            <w:vAlign w:val="bottom"/>
          </w:tcPr>
          <w:p>
            <w:pPr>
              <w:spacing w:after="0"/>
              <w:rPr>
                <w:sz w:val="16"/>
                <w:szCs w:val="16"/>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Income(Loss)</w:t>
            </w:r>
          </w:p>
        </w:tc>
        <w:tc>
          <w:tcPr>
            <w:tcW w:w="2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36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Balances, June 30, 2012</w:t>
            </w: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279</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116,693</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117,419</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(24,065)</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771</w:t>
            </w: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211,097</w:t>
            </w:r>
          </w:p>
        </w:tc>
        <w:tc>
          <w:tcPr>
            <w:tcW w:w="0" w:type="dxa"/>
            <w:vAlign w:val="bottom"/>
          </w:tcPr>
          <w:p>
            <w:pPr>
              <w:spacing w:after="0"/>
              <w:rPr>
                <w:sz w:val="1"/>
                <w:szCs w:val="1"/>
                <w:color w:val="auto"/>
              </w:rPr>
            </w:pPr>
          </w:p>
        </w:tc>
      </w:tr>
      <w:tr>
        <w:trPr>
          <w:trHeight w:val="264"/>
        </w:trPr>
        <w:tc>
          <w:tcPr>
            <w:tcW w:w="3620" w:type="dxa"/>
            <w:vAlign w:val="bottom"/>
          </w:tcPr>
          <w:p>
            <w:pPr>
              <w:ind w:left="40"/>
              <w:spacing w:after="0"/>
              <w:rPr>
                <w:sz w:val="20"/>
                <w:szCs w:val="20"/>
                <w:color w:val="auto"/>
              </w:rPr>
            </w:pPr>
            <w:r>
              <w:rPr>
                <w:rFonts w:ascii="Arial" w:cs="Arial" w:eastAsia="Arial" w:hAnsi="Arial"/>
                <w:sz w:val="14"/>
                <w:szCs w:val="14"/>
                <w:color w:val="auto"/>
              </w:rPr>
              <w:t>Net income</w:t>
            </w:r>
          </w:p>
        </w:tc>
        <w:tc>
          <w:tcPr>
            <w:tcW w:w="20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16,641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16,641</w:t>
            </w:r>
          </w:p>
        </w:tc>
        <w:tc>
          <w:tcPr>
            <w:tcW w:w="0" w:type="dxa"/>
            <w:vAlign w:val="bottom"/>
          </w:tcPr>
          <w:p>
            <w:pPr>
              <w:spacing w:after="0"/>
              <w:rPr>
                <w:sz w:val="1"/>
                <w:szCs w:val="1"/>
                <w:color w:val="auto"/>
              </w:rPr>
            </w:pPr>
          </w:p>
        </w:tc>
      </w:tr>
      <w:tr>
        <w:trPr>
          <w:trHeight w:val="276"/>
        </w:trPr>
        <w:tc>
          <w:tcPr>
            <w:tcW w:w="3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comprehensive loss</w:t>
            </w:r>
          </w:p>
        </w:tc>
        <w:tc>
          <w:tcPr>
            <w:tcW w:w="20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264"/>
        </w:trPr>
        <w:tc>
          <w:tcPr>
            <w:tcW w:w="3620" w:type="dxa"/>
            <w:vAlign w:val="bottom"/>
          </w:tcPr>
          <w:p>
            <w:pPr>
              <w:ind w:left="40"/>
              <w:spacing w:after="0"/>
              <w:rPr>
                <w:sz w:val="20"/>
                <w:szCs w:val="20"/>
                <w:color w:val="auto"/>
              </w:rPr>
            </w:pPr>
            <w:r>
              <w:rPr>
                <w:rFonts w:ascii="Arial" w:cs="Arial" w:eastAsia="Arial" w:hAnsi="Arial"/>
                <w:sz w:val="14"/>
                <w:szCs w:val="14"/>
                <w:color w:val="auto"/>
              </w:rPr>
              <w:t>Exercise of stock options (66,040 shares)</w:t>
            </w:r>
          </w:p>
        </w:tc>
        <w:tc>
          <w:tcPr>
            <w:tcW w:w="20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(420)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978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558</w:t>
            </w:r>
          </w:p>
        </w:tc>
        <w:tc>
          <w:tcPr>
            <w:tcW w:w="0" w:type="dxa"/>
            <w:vAlign w:val="bottom"/>
          </w:tcPr>
          <w:p>
            <w:pPr>
              <w:spacing w:after="0"/>
              <w:rPr>
                <w:sz w:val="1"/>
                <w:szCs w:val="1"/>
                <w:color w:val="auto"/>
              </w:rPr>
            </w:pPr>
          </w:p>
        </w:tc>
      </w:tr>
      <w:tr>
        <w:trPr>
          <w:trHeight w:val="163"/>
        </w:trPr>
        <w:tc>
          <w:tcPr>
            <w:tcW w:w="3620" w:type="dxa"/>
            <w:vAlign w:val="bottom"/>
            <w:shd w:val="clear" w:color="auto" w:fill="CCEEFF"/>
          </w:tcPr>
          <w:p>
            <w:pPr>
              <w:ind w:left="40"/>
              <w:spacing w:after="0"/>
              <w:rPr>
                <w:sz w:val="20"/>
                <w:szCs w:val="20"/>
                <w:color w:val="auto"/>
              </w:rPr>
            </w:pPr>
            <w:r>
              <w:rPr>
                <w:rFonts w:ascii="Arial" w:cs="Arial" w:eastAsia="Arial" w:hAnsi="Arial"/>
                <w:sz w:val="14"/>
                <w:szCs w:val="14"/>
                <w:color w:val="auto"/>
                <w:w w:val="95"/>
              </w:rPr>
              <w:t>Tax effect of exercised stock options and vesting of deferred</w:t>
            </w: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shares</w:t>
            </w:r>
          </w:p>
        </w:tc>
        <w:tc>
          <w:tcPr>
            <w:tcW w:w="2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264"/>
        </w:trPr>
        <w:tc>
          <w:tcPr>
            <w:tcW w:w="3620" w:type="dxa"/>
            <w:vAlign w:val="bottom"/>
          </w:tcPr>
          <w:p>
            <w:pPr>
              <w:ind w:left="40"/>
              <w:spacing w:after="0"/>
              <w:rPr>
                <w:sz w:val="20"/>
                <w:szCs w:val="20"/>
                <w:color w:val="auto"/>
              </w:rPr>
            </w:pPr>
            <w:r>
              <w:rPr>
                <w:rFonts w:ascii="Arial" w:cs="Arial" w:eastAsia="Arial" w:hAnsi="Arial"/>
                <w:sz w:val="14"/>
                <w:szCs w:val="14"/>
                <w:color w:val="auto"/>
              </w:rPr>
              <w:t>Issuance of deferred shares (353,118 shares)</w:t>
            </w:r>
          </w:p>
        </w:tc>
        <w:tc>
          <w:tcPr>
            <w:tcW w:w="20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(1,415)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1,415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3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Employee Stock Purchase Plan (3,179 shares)</w:t>
            </w:r>
          </w:p>
        </w:tc>
        <w:tc>
          <w:tcPr>
            <w:tcW w:w="20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39</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264"/>
        </w:trPr>
        <w:tc>
          <w:tcPr>
            <w:tcW w:w="3620" w:type="dxa"/>
            <w:vAlign w:val="bottom"/>
          </w:tcPr>
          <w:p>
            <w:pPr>
              <w:ind w:left="40"/>
              <w:spacing w:after="0"/>
              <w:rPr>
                <w:sz w:val="20"/>
                <w:szCs w:val="20"/>
                <w:color w:val="auto"/>
              </w:rPr>
            </w:pPr>
            <w:r>
              <w:rPr>
                <w:rFonts w:ascii="Arial" w:cs="Arial" w:eastAsia="Arial" w:hAnsi="Arial"/>
                <w:sz w:val="14"/>
                <w:szCs w:val="14"/>
                <w:color w:val="auto"/>
              </w:rPr>
              <w:t>Other treasury share purchases (102,376 shares)</w:t>
            </w:r>
          </w:p>
        </w:tc>
        <w:tc>
          <w:tcPr>
            <w:tcW w:w="20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(1,082)</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(1,082)</w:t>
            </w:r>
          </w:p>
        </w:tc>
        <w:tc>
          <w:tcPr>
            <w:tcW w:w="0" w:type="dxa"/>
            <w:vAlign w:val="bottom"/>
          </w:tcPr>
          <w:p>
            <w:pPr>
              <w:spacing w:after="0"/>
              <w:rPr>
                <w:sz w:val="1"/>
                <w:szCs w:val="1"/>
                <w:color w:val="auto"/>
              </w:rPr>
            </w:pPr>
          </w:p>
        </w:tc>
      </w:tr>
      <w:tr>
        <w:trPr>
          <w:trHeight w:val="270"/>
        </w:trPr>
        <w:tc>
          <w:tcPr>
            <w:tcW w:w="3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Stock-based compensation expense</w:t>
            </w:r>
          </w:p>
        </w:tc>
        <w:tc>
          <w:tcPr>
            <w:tcW w:w="20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2,830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2,830</w:t>
            </w:r>
          </w:p>
        </w:tc>
        <w:tc>
          <w:tcPr>
            <w:tcW w:w="0" w:type="dxa"/>
            <w:vAlign w:val="bottom"/>
          </w:tcPr>
          <w:p>
            <w:pPr>
              <w:spacing w:after="0"/>
              <w:rPr>
                <w:sz w:val="1"/>
                <w:szCs w:val="1"/>
                <w:color w:val="auto"/>
              </w:rPr>
            </w:pPr>
          </w:p>
        </w:tc>
      </w:tr>
      <w:tr>
        <w:trPr>
          <w:trHeight w:val="283"/>
        </w:trPr>
        <w:tc>
          <w:tcPr>
            <w:tcW w:w="36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Balances, March 31, 2013</w:t>
            </w: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279</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117,676</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134,060</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(22,715)</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709</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230,009</w:t>
            </w:r>
          </w:p>
        </w:tc>
        <w:tc>
          <w:tcPr>
            <w:tcW w:w="0" w:type="dxa"/>
            <w:vAlign w:val="bottom"/>
          </w:tcPr>
          <w:p>
            <w:pPr>
              <w:spacing w:after="0"/>
              <w:rPr>
                <w:sz w:val="1"/>
                <w:szCs w:val="1"/>
                <w:color w:val="auto"/>
              </w:rPr>
            </w:pPr>
          </w:p>
        </w:tc>
      </w:tr>
      <w:tr>
        <w:trPr>
          <w:trHeight w:val="224"/>
        </w:trPr>
        <w:tc>
          <w:tcPr>
            <w:tcW w:w="3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Balances, June 30, 2011</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113,686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100,231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(15,961)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1,436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199,671</w:t>
            </w:r>
          </w:p>
        </w:tc>
        <w:tc>
          <w:tcPr>
            <w:tcW w:w="0" w:type="dxa"/>
            <w:vAlign w:val="bottom"/>
          </w:tcPr>
          <w:p>
            <w:pPr>
              <w:spacing w:after="0"/>
              <w:rPr>
                <w:sz w:val="1"/>
                <w:szCs w:val="1"/>
                <w:color w:val="auto"/>
              </w:rPr>
            </w:pPr>
          </w:p>
        </w:tc>
      </w:tr>
      <w:tr>
        <w:trPr>
          <w:trHeight w:val="264"/>
        </w:trPr>
        <w:tc>
          <w:tcPr>
            <w:tcW w:w="3620" w:type="dxa"/>
            <w:vAlign w:val="bottom"/>
          </w:tcPr>
          <w:p>
            <w:pPr>
              <w:ind w:left="40"/>
              <w:spacing w:after="0"/>
              <w:rPr>
                <w:sz w:val="20"/>
                <w:szCs w:val="20"/>
                <w:color w:val="auto"/>
              </w:rPr>
            </w:pPr>
            <w:r>
              <w:rPr>
                <w:rFonts w:ascii="Arial" w:cs="Arial" w:eastAsia="Arial" w:hAnsi="Arial"/>
                <w:sz w:val="14"/>
                <w:szCs w:val="14"/>
                <w:color w:val="auto"/>
              </w:rPr>
              <w:t>Net income</w:t>
            </w:r>
          </w:p>
        </w:tc>
        <w:tc>
          <w:tcPr>
            <w:tcW w:w="20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15,402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15,402</w:t>
            </w:r>
          </w:p>
        </w:tc>
        <w:tc>
          <w:tcPr>
            <w:tcW w:w="0" w:type="dxa"/>
            <w:vAlign w:val="bottom"/>
          </w:tcPr>
          <w:p>
            <w:pPr>
              <w:spacing w:after="0"/>
              <w:rPr>
                <w:sz w:val="1"/>
                <w:szCs w:val="1"/>
                <w:color w:val="auto"/>
              </w:rPr>
            </w:pPr>
          </w:p>
        </w:tc>
      </w:tr>
      <w:tr>
        <w:trPr>
          <w:trHeight w:val="276"/>
        </w:trPr>
        <w:tc>
          <w:tcPr>
            <w:tcW w:w="3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comprehensive loss</w:t>
            </w:r>
          </w:p>
        </w:tc>
        <w:tc>
          <w:tcPr>
            <w:tcW w:w="20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(349)</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(349)</w:t>
            </w:r>
          </w:p>
        </w:tc>
        <w:tc>
          <w:tcPr>
            <w:tcW w:w="0" w:type="dxa"/>
            <w:vAlign w:val="bottom"/>
          </w:tcPr>
          <w:p>
            <w:pPr>
              <w:spacing w:after="0"/>
              <w:rPr>
                <w:sz w:val="1"/>
                <w:szCs w:val="1"/>
                <w:color w:val="auto"/>
              </w:rPr>
            </w:pPr>
          </w:p>
        </w:tc>
      </w:tr>
      <w:tr>
        <w:trPr>
          <w:trHeight w:val="264"/>
        </w:trPr>
        <w:tc>
          <w:tcPr>
            <w:tcW w:w="3620" w:type="dxa"/>
            <w:vAlign w:val="bottom"/>
          </w:tcPr>
          <w:p>
            <w:pPr>
              <w:ind w:left="40"/>
              <w:spacing w:after="0"/>
              <w:rPr>
                <w:sz w:val="20"/>
                <w:szCs w:val="20"/>
                <w:color w:val="auto"/>
              </w:rPr>
            </w:pPr>
            <w:r>
              <w:rPr>
                <w:rFonts w:ascii="Arial" w:cs="Arial" w:eastAsia="Arial" w:hAnsi="Arial"/>
                <w:sz w:val="14"/>
                <w:szCs w:val="14"/>
                <w:color w:val="auto"/>
              </w:rPr>
              <w:t>Exercise of stock options (19,200 shares)</w:t>
            </w:r>
          </w:p>
        </w:tc>
        <w:tc>
          <w:tcPr>
            <w:tcW w:w="20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64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50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114</w:t>
            </w:r>
          </w:p>
        </w:tc>
        <w:tc>
          <w:tcPr>
            <w:tcW w:w="0" w:type="dxa"/>
            <w:vAlign w:val="bottom"/>
          </w:tcPr>
          <w:p>
            <w:pPr>
              <w:spacing w:after="0"/>
              <w:rPr>
                <w:sz w:val="1"/>
                <w:szCs w:val="1"/>
                <w:color w:val="auto"/>
              </w:rPr>
            </w:pPr>
          </w:p>
        </w:tc>
      </w:tr>
      <w:tr>
        <w:trPr>
          <w:trHeight w:val="163"/>
        </w:trPr>
        <w:tc>
          <w:tcPr>
            <w:tcW w:w="3620" w:type="dxa"/>
            <w:vAlign w:val="bottom"/>
            <w:shd w:val="clear" w:color="auto" w:fill="CCEEFF"/>
          </w:tcPr>
          <w:p>
            <w:pPr>
              <w:ind w:left="40"/>
              <w:spacing w:after="0"/>
              <w:rPr>
                <w:sz w:val="20"/>
                <w:szCs w:val="20"/>
                <w:color w:val="auto"/>
              </w:rPr>
            </w:pPr>
            <w:r>
              <w:rPr>
                <w:rFonts w:ascii="Arial" w:cs="Arial" w:eastAsia="Arial" w:hAnsi="Arial"/>
                <w:sz w:val="14"/>
                <w:szCs w:val="14"/>
                <w:color w:val="auto"/>
                <w:w w:val="95"/>
              </w:rPr>
              <w:t>Tax effect of exercised stock options and vesting of deferred</w:t>
            </w: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shares</w:t>
            </w:r>
          </w:p>
        </w:tc>
        <w:tc>
          <w:tcPr>
            <w:tcW w:w="2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w:t>
            </w:r>
          </w:p>
        </w:tc>
        <w:tc>
          <w:tcPr>
            <w:tcW w:w="0" w:type="dxa"/>
            <w:vAlign w:val="bottom"/>
          </w:tcPr>
          <w:p>
            <w:pPr>
              <w:spacing w:after="0"/>
              <w:rPr>
                <w:sz w:val="1"/>
                <w:szCs w:val="1"/>
                <w:color w:val="auto"/>
              </w:rPr>
            </w:pPr>
          </w:p>
        </w:tc>
      </w:tr>
      <w:tr>
        <w:trPr>
          <w:trHeight w:val="264"/>
        </w:trPr>
        <w:tc>
          <w:tcPr>
            <w:tcW w:w="3620" w:type="dxa"/>
            <w:vAlign w:val="bottom"/>
          </w:tcPr>
          <w:p>
            <w:pPr>
              <w:ind w:left="40"/>
              <w:spacing w:after="0"/>
              <w:rPr>
                <w:sz w:val="20"/>
                <w:szCs w:val="20"/>
                <w:color w:val="auto"/>
              </w:rPr>
            </w:pPr>
            <w:r>
              <w:rPr>
                <w:rFonts w:ascii="Arial" w:cs="Arial" w:eastAsia="Arial" w:hAnsi="Arial"/>
                <w:sz w:val="14"/>
                <w:szCs w:val="14"/>
                <w:color w:val="auto"/>
              </w:rPr>
              <w:t>Issuance of deferred shares (172,002 shares)</w:t>
            </w:r>
          </w:p>
        </w:tc>
        <w:tc>
          <w:tcPr>
            <w:tcW w:w="20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(447)</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447</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3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Employee Stock Purchase Plan (3,744 shares)</w:t>
            </w:r>
          </w:p>
        </w:tc>
        <w:tc>
          <w:tcPr>
            <w:tcW w:w="20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264"/>
        </w:trPr>
        <w:tc>
          <w:tcPr>
            <w:tcW w:w="3620" w:type="dxa"/>
            <w:vAlign w:val="bottom"/>
          </w:tcPr>
          <w:p>
            <w:pPr>
              <w:ind w:left="40"/>
              <w:spacing w:after="0"/>
              <w:rPr>
                <w:sz w:val="20"/>
                <w:szCs w:val="20"/>
                <w:color w:val="auto"/>
              </w:rPr>
            </w:pPr>
            <w:r>
              <w:rPr>
                <w:rFonts w:ascii="Arial" w:cs="Arial" w:eastAsia="Arial" w:hAnsi="Arial"/>
                <w:sz w:val="14"/>
                <w:szCs w:val="14"/>
                <w:color w:val="auto"/>
                <w:w w:val="96"/>
              </w:rPr>
              <w:t>Open market purchase of treasury shares (886,503 shares)</w:t>
            </w:r>
          </w:p>
        </w:tc>
        <w:tc>
          <w:tcPr>
            <w:tcW w:w="20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(8,126)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(8,126)</w:t>
            </w:r>
          </w:p>
        </w:tc>
        <w:tc>
          <w:tcPr>
            <w:tcW w:w="0" w:type="dxa"/>
            <w:vAlign w:val="bottom"/>
          </w:tcPr>
          <w:p>
            <w:pPr>
              <w:spacing w:after="0"/>
              <w:rPr>
                <w:sz w:val="1"/>
                <w:szCs w:val="1"/>
                <w:color w:val="auto"/>
              </w:rPr>
            </w:pPr>
          </w:p>
        </w:tc>
      </w:tr>
      <w:tr>
        <w:trPr>
          <w:trHeight w:val="276"/>
        </w:trPr>
        <w:tc>
          <w:tcPr>
            <w:tcW w:w="3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treasury share purchases (48,810 shares)</w:t>
            </w:r>
          </w:p>
        </w:tc>
        <w:tc>
          <w:tcPr>
            <w:tcW w:w="20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(487)</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(487)</w:t>
            </w:r>
          </w:p>
        </w:tc>
        <w:tc>
          <w:tcPr>
            <w:tcW w:w="0" w:type="dxa"/>
            <w:vAlign w:val="bottom"/>
          </w:tcPr>
          <w:p>
            <w:pPr>
              <w:spacing w:after="0"/>
              <w:rPr>
                <w:sz w:val="1"/>
                <w:szCs w:val="1"/>
                <w:color w:val="auto"/>
              </w:rPr>
            </w:pPr>
          </w:p>
        </w:tc>
      </w:tr>
      <w:tr>
        <w:trPr>
          <w:trHeight w:val="264"/>
        </w:trPr>
        <w:tc>
          <w:tcPr>
            <w:tcW w:w="3620" w:type="dxa"/>
            <w:vAlign w:val="bottom"/>
          </w:tcPr>
          <w:p>
            <w:pPr>
              <w:ind w:left="40"/>
              <w:spacing w:after="0"/>
              <w:rPr>
                <w:sz w:val="20"/>
                <w:szCs w:val="20"/>
                <w:color w:val="auto"/>
              </w:rPr>
            </w:pPr>
            <w:r>
              <w:rPr>
                <w:rFonts w:ascii="Arial" w:cs="Arial" w:eastAsia="Arial" w:hAnsi="Arial"/>
                <w:sz w:val="14"/>
                <w:szCs w:val="14"/>
                <w:color w:val="auto"/>
              </w:rPr>
              <w:t>Stock-based compensation expense</w:t>
            </w:r>
          </w:p>
        </w:tc>
        <w:tc>
          <w:tcPr>
            <w:tcW w:w="20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2,655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2,655</w:t>
            </w:r>
          </w:p>
        </w:tc>
        <w:tc>
          <w:tcPr>
            <w:tcW w:w="0" w:type="dxa"/>
            <w:vAlign w:val="bottom"/>
          </w:tcPr>
          <w:p>
            <w:pPr>
              <w:spacing w:after="0"/>
              <w:rPr>
                <w:sz w:val="1"/>
                <w:szCs w:val="1"/>
                <w:color w:val="auto"/>
              </w:rPr>
            </w:pPr>
          </w:p>
        </w:tc>
      </w:tr>
      <w:tr>
        <w:trPr>
          <w:trHeight w:val="243"/>
        </w:trPr>
        <w:tc>
          <w:tcPr>
            <w:tcW w:w="3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Balances, March 31, 2012</w:t>
            </w: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279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115,844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115,633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(24,068)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1,087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208,775</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68"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- 7-</w:t>
      </w:r>
    </w:p>
    <w:p>
      <w:pPr>
        <w:sectPr>
          <w:pgSz w:w="11900" w:h="16838" w:orient="portrait"/>
          <w:cols w:equalWidth="0" w:num="1">
            <w:col w:w="10960"/>
          </w:cols>
          <w:pgMar w:left="240" w:top="125" w:right="69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2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Matrix Service Company</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Basis of Presentation</w:t>
      </w:r>
    </w:p>
    <w:p>
      <w:pPr>
        <w:spacing w:after="0" w:line="94"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 condensed consolidated financial statements include the accounts of Matrix Service Company (“Matrix”, “we”, “our”, “us”, “its” or the “Company”) and its subsidiaries, all of which are wholly owned. Intercompany balances and transactions have been eliminated in consolidation.</w:t>
      </w:r>
    </w:p>
    <w:p>
      <w:pPr>
        <w:spacing w:after="0" w:line="93"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accompanying unaudited condensed consolidated financial statements have been prepared in accordance with Rule 10-01 of Regulation S-X for interim financial statements required to be filed with the Securities and Exchange Commission and do not include all information and footnotes required by generally accepted accounting principles for complete financial statements. However, the information furnished reflects all adjustments, consisting of normal recurring adjustments and other adjustments described herein, that are, in the opinion of management, necessary for a fair statement of the results of operations, cash flows and financial position for the interim periods presented. The accompanying condensed financial statements should be read in conjunction with the audited financial statements for the year ended June 30, 2012, included in the Company’s Annual Report on Form 10-K for the year then ended.</w:t>
      </w:r>
    </w:p>
    <w:p>
      <w:pPr>
        <w:spacing w:after="0" w:line="111"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Company’s business is cyclical due to the scope and timing of projects released by our customers. Therefore, results from year to year can vary. Turnarounds and planned outages at customer facilities are typically scheduled in the spring and the fall when the demand for energy is lower. As a result, quarterly operating results can exhibit seasonal fluctuations, especially in our Oil Gas &amp; Chemical segment. We typically see a lower level of operating activity relating to construction projects during the winter months and early in the calendar year because many of our customers’ capital budgets have not been finalized. Our business can also be affected both positively and negatively by seasonal factors such as energy demand or weather conditions, including hurricanes, snowstorms, and abnormally low or high temperatures. Accordingly, results for any interim period may not necessarily be indicative of future operating results.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Acquisition</w:t>
      </w:r>
    </w:p>
    <w:p>
      <w:pPr>
        <w:spacing w:after="0" w:line="94"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On December 31, 2012, the Company acquired substantially all of the assets of Pelichem Industrial Cleaning Services, LLC (“Pelichem”). Pelichem is an industrial cleaning company based in Reserve, Louisiana that performs hydroblasting, vacuum services, chemical cleaning and industrial services.</w:t>
      </w:r>
    </w:p>
    <w:p>
      <w:pPr>
        <w:spacing w:after="0" w:line="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purchase price was allocated to the major categories of assets and liabilities based on their estimated fair value at the acquisition date. The purchase price is expected to be finalized and settled following a final true-up of working capital accounts that is expected to conclude during the fourth fiscal quarter. The following table summarizes the preliminary purchase price allocation of the acquisition which is subject to change as we complete the working capital adjustments:</w:t>
      </w:r>
    </w:p>
    <w:p>
      <w:pPr>
        <w:spacing w:after="0" w:line="282" w:lineRule="exact"/>
        <w:rPr>
          <w:sz w:val="20"/>
          <w:szCs w:val="20"/>
          <w:color w:val="auto"/>
        </w:rPr>
      </w:pPr>
    </w:p>
    <w:tbl>
      <w:tblPr>
        <w:tblLayout w:type="fixed"/>
        <w:tblInd w:w="1540" w:type="dxa"/>
        <w:tblCellMar>
          <w:top w:w="0" w:type="dxa"/>
          <w:left w:w="0" w:type="dxa"/>
          <w:bottom w:w="0" w:type="dxa"/>
          <w:right w:w="0" w:type="dxa"/>
        </w:tblCellMar>
      </w:tblPr>
      <w:tr>
        <w:trPr>
          <w:trHeight w:val="270"/>
        </w:trPr>
        <w:tc>
          <w:tcPr>
            <w:tcW w:w="7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1,137</w:t>
            </w:r>
          </w:p>
        </w:tc>
      </w:tr>
      <w:tr>
        <w:trPr>
          <w:trHeight w:val="243"/>
        </w:trPr>
        <w:tc>
          <w:tcPr>
            <w:tcW w:w="7120" w:type="dxa"/>
            <w:vAlign w:val="bottom"/>
          </w:tcPr>
          <w:p>
            <w:pPr>
              <w:ind w:left="20"/>
              <w:spacing w:after="0"/>
              <w:rPr>
                <w:sz w:val="20"/>
                <w:szCs w:val="20"/>
                <w:color w:val="auto"/>
              </w:rPr>
            </w:pPr>
            <w:r>
              <w:rPr>
                <w:rFonts w:ascii="Arial" w:cs="Arial" w:eastAsia="Arial" w:hAnsi="Arial"/>
                <w:sz w:val="18"/>
                <w:szCs w:val="18"/>
                <w:color w:val="auto"/>
              </w:rPr>
              <w:t>Property, plant and equipment</w:t>
            </w:r>
          </w:p>
        </w:tc>
        <w:tc>
          <w:tcPr>
            <w:tcW w:w="4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4,292</w:t>
            </w:r>
          </w:p>
        </w:tc>
      </w:tr>
      <w:tr>
        <w:trPr>
          <w:trHeight w:val="27"/>
        </w:trPr>
        <w:tc>
          <w:tcPr>
            <w:tcW w:w="7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7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Tax deductible goodwill</w:t>
            </w: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2,237</w:t>
            </w:r>
          </w:p>
        </w:tc>
      </w:tr>
      <w:tr>
        <w:trPr>
          <w:trHeight w:val="243"/>
        </w:trPr>
        <w:tc>
          <w:tcPr>
            <w:tcW w:w="7120" w:type="dxa"/>
            <w:vAlign w:val="bottom"/>
          </w:tcPr>
          <w:p>
            <w:pPr>
              <w:ind w:left="20"/>
              <w:spacing w:after="0"/>
              <w:rPr>
                <w:sz w:val="20"/>
                <w:szCs w:val="20"/>
                <w:color w:val="auto"/>
              </w:rPr>
            </w:pPr>
            <w:r>
              <w:rPr>
                <w:rFonts w:ascii="Arial" w:cs="Arial" w:eastAsia="Arial" w:hAnsi="Arial"/>
                <w:sz w:val="18"/>
                <w:szCs w:val="18"/>
                <w:color w:val="auto"/>
              </w:rPr>
              <w:t>Other intangible assets</w:t>
            </w:r>
          </w:p>
        </w:tc>
        <w:tc>
          <w:tcPr>
            <w:tcW w:w="4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1,853</w:t>
            </w:r>
          </w:p>
        </w:tc>
      </w:tr>
      <w:tr>
        <w:trPr>
          <w:trHeight w:val="27"/>
        </w:trPr>
        <w:tc>
          <w:tcPr>
            <w:tcW w:w="7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7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 acquired</w:t>
            </w: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9,519</w:t>
            </w:r>
          </w:p>
        </w:tc>
      </w:tr>
      <w:tr>
        <w:trPr>
          <w:trHeight w:val="243"/>
        </w:trPr>
        <w:tc>
          <w:tcPr>
            <w:tcW w:w="712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4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27"/>
        </w:trPr>
        <w:tc>
          <w:tcPr>
            <w:tcW w:w="7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7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assets acquired</w:t>
            </w: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9,411</w:t>
            </w:r>
          </w:p>
        </w:tc>
      </w:tr>
      <w:tr>
        <w:trPr>
          <w:trHeight w:val="243"/>
        </w:trPr>
        <w:tc>
          <w:tcPr>
            <w:tcW w:w="7120" w:type="dxa"/>
            <w:vAlign w:val="bottom"/>
          </w:tcPr>
          <w:p>
            <w:pPr>
              <w:ind w:left="20"/>
              <w:spacing w:after="0"/>
              <w:rPr>
                <w:sz w:val="20"/>
                <w:szCs w:val="20"/>
                <w:color w:val="auto"/>
              </w:rPr>
            </w:pPr>
            <w:r>
              <w:rPr>
                <w:rFonts w:ascii="Arial" w:cs="Arial" w:eastAsia="Arial" w:hAnsi="Arial"/>
                <w:sz w:val="18"/>
                <w:szCs w:val="18"/>
                <w:color w:val="auto"/>
              </w:rPr>
              <w:t>Accrued acquisition related liability</w:t>
            </w:r>
          </w:p>
        </w:tc>
        <w:tc>
          <w:tcPr>
            <w:tcW w:w="4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1,161</w:t>
            </w:r>
          </w:p>
        </w:tc>
      </w:tr>
      <w:tr>
        <w:trPr>
          <w:trHeight w:val="27"/>
        </w:trPr>
        <w:tc>
          <w:tcPr>
            <w:tcW w:w="7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57"/>
        </w:trPr>
        <w:tc>
          <w:tcPr>
            <w:tcW w:w="7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paid</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8,250</w:t>
            </w:r>
          </w:p>
        </w:tc>
      </w:tr>
      <w:tr>
        <w:trPr>
          <w:trHeight w:val="20"/>
        </w:trPr>
        <w:tc>
          <w:tcPr>
            <w:tcW w:w="7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operating data related to this acquisition was not material. The acquisition was funded with cash on hand.</w:t>
      </w:r>
    </w:p>
    <w:p>
      <w:pPr>
        <w:spacing w:after="0" w:line="200" w:lineRule="exact"/>
        <w:rPr>
          <w:sz w:val="20"/>
          <w:szCs w:val="20"/>
          <w:color w:val="auto"/>
        </w:rPr>
      </w:pPr>
    </w:p>
    <w:p>
      <w:pPr>
        <w:spacing w:after="0" w:line="26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- 8-</w:t>
      </w:r>
    </w:p>
    <w:p>
      <w:pPr>
        <w:sectPr>
          <w:pgSz w:w="11900" w:h="16838" w:orient="portrait"/>
          <w:cols w:equalWidth="0" w:num="1">
            <w:col w:w="11360"/>
          </w:cols>
          <w:pgMar w:left="240" w:top="125" w:right="29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Matrix Service Company</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Uncompleted Contracts</w:t>
      </w:r>
    </w:p>
    <w:p>
      <w:pPr>
        <w:spacing w:after="0" w:line="94"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Contract terms of the Company’s construction contracts generally provide for progress billings based on project milestones. The excess of costs incurred and estimated earnings over amounts billed on uncompleted contracts is reported as a current asset. The excess of amounts billed over costs incurred and estimated earnings recognized on uncompleted contracts is reported as a current liability. Gross and net amounts on uncompleted contracts are as follows:</w:t>
      </w:r>
    </w:p>
    <w:p>
      <w:pPr>
        <w:spacing w:after="0" w:line="261" w:lineRule="exact"/>
        <w:rPr>
          <w:sz w:val="20"/>
          <w:szCs w:val="20"/>
          <w:color w:val="auto"/>
        </w:rPr>
      </w:pPr>
    </w:p>
    <w:tbl>
      <w:tblPr>
        <w:tblLayout w:type="fixed"/>
        <w:tblInd w:w="1500" w:type="dxa"/>
        <w:tblCellMar>
          <w:top w:w="0" w:type="dxa"/>
          <w:left w:w="0" w:type="dxa"/>
          <w:bottom w:w="0" w:type="dxa"/>
          <w:right w:w="0" w:type="dxa"/>
        </w:tblCellMar>
      </w:tblPr>
      <w:tr>
        <w:trPr>
          <w:trHeight w:val="161"/>
        </w:trPr>
        <w:tc>
          <w:tcPr>
            <w:tcW w:w="6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tcPr>
          <w:p>
            <w:pPr>
              <w:ind w:left="40"/>
              <w:spacing w:after="0"/>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14"/>
                <w:szCs w:val="14"/>
                <w:color w:val="auto"/>
              </w:rPr>
            </w:pPr>
          </w:p>
        </w:tc>
        <w:tc>
          <w:tcPr>
            <w:tcW w:w="880" w:type="dxa"/>
            <w:vAlign w:val="bottom"/>
          </w:tcPr>
          <w:p>
            <w:pPr>
              <w:jc w:val="right"/>
              <w:ind w:right="214"/>
              <w:spacing w:after="0"/>
              <w:rPr>
                <w:sz w:val="20"/>
                <w:szCs w:val="20"/>
                <w:color w:val="auto"/>
              </w:rPr>
            </w:pPr>
            <w:r>
              <w:rPr>
                <w:rFonts w:ascii="Arial" w:cs="Arial" w:eastAsia="Arial" w:hAnsi="Arial"/>
                <w:sz w:val="14"/>
                <w:szCs w:val="14"/>
                <w:b w:val="1"/>
                <w:bCs w:val="1"/>
                <w:color w:val="auto"/>
                <w:w w:val="99"/>
              </w:rPr>
              <w:t>June 30,</w:t>
            </w:r>
          </w:p>
        </w:tc>
        <w:tc>
          <w:tcPr>
            <w:tcW w:w="0" w:type="dxa"/>
            <w:vAlign w:val="bottom"/>
          </w:tcPr>
          <w:p>
            <w:pPr>
              <w:spacing w:after="0"/>
              <w:rPr>
                <w:sz w:val="1"/>
                <w:szCs w:val="1"/>
                <w:color w:val="auto"/>
              </w:rPr>
            </w:pPr>
          </w:p>
        </w:tc>
      </w:tr>
      <w:tr>
        <w:trPr>
          <w:trHeight w:val="192"/>
        </w:trPr>
        <w:tc>
          <w:tcPr>
            <w:tcW w:w="61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196"/>
        </w:trPr>
        <w:tc>
          <w:tcPr>
            <w:tcW w:w="6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80" w:type="dxa"/>
            <w:vAlign w:val="bottom"/>
            <w:gridSpan w:val="4"/>
          </w:tcPr>
          <w:p>
            <w:pPr>
              <w:jc w:val="right"/>
              <w:ind w:right="614"/>
              <w:spacing w:after="0"/>
              <w:rPr>
                <w:sz w:val="20"/>
                <w:szCs w:val="20"/>
                <w:color w:val="auto"/>
              </w:rPr>
            </w:pPr>
            <w:r>
              <w:rPr>
                <w:rFonts w:ascii="Arial" w:cs="Arial" w:eastAsia="Arial" w:hAnsi="Arial"/>
                <w:sz w:val="14"/>
                <w:szCs w:val="14"/>
                <w:color w:val="auto"/>
              </w:rPr>
              <w:t>(in thousands)</w:t>
            </w:r>
          </w:p>
        </w:tc>
        <w:tc>
          <w:tcPr>
            <w:tcW w:w="0" w:type="dxa"/>
            <w:vAlign w:val="bottom"/>
          </w:tcPr>
          <w:p>
            <w:pPr>
              <w:spacing w:after="0"/>
              <w:rPr>
                <w:sz w:val="1"/>
                <w:szCs w:val="1"/>
                <w:color w:val="auto"/>
              </w:rPr>
            </w:pPr>
          </w:p>
        </w:tc>
      </w:tr>
      <w:tr>
        <w:trPr>
          <w:trHeight w:val="256"/>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Costs incurred and estimated earnings recognized on uncompleted contracts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920,179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774,749</w:t>
            </w:r>
          </w:p>
        </w:tc>
        <w:tc>
          <w:tcPr>
            <w:tcW w:w="0" w:type="dxa"/>
            <w:vAlign w:val="bottom"/>
          </w:tcPr>
          <w:p>
            <w:pPr>
              <w:spacing w:after="0"/>
              <w:rPr>
                <w:sz w:val="1"/>
                <w:szCs w:val="1"/>
                <w:color w:val="auto"/>
              </w:rPr>
            </w:pP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color w:val="auto"/>
              </w:rPr>
              <w:t>Billings on uncompleted contracts</w:t>
            </w:r>
          </w:p>
        </w:tc>
        <w:tc>
          <w:tcPr>
            <w:tcW w:w="1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899,413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736,480</w:t>
            </w:r>
          </w:p>
        </w:tc>
        <w:tc>
          <w:tcPr>
            <w:tcW w:w="0" w:type="dxa"/>
            <w:vAlign w:val="bottom"/>
          </w:tcPr>
          <w:p>
            <w:pPr>
              <w:spacing w:after="0"/>
              <w:rPr>
                <w:sz w:val="1"/>
                <w:szCs w:val="1"/>
                <w:color w:val="auto"/>
              </w:rPr>
            </w:pPr>
          </w:p>
        </w:tc>
      </w:tr>
      <w:tr>
        <w:trPr>
          <w:trHeight w:val="27"/>
        </w:trPr>
        <w:tc>
          <w:tcPr>
            <w:tcW w:w="61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1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20,766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38,269</w:t>
            </w:r>
          </w:p>
        </w:tc>
        <w:tc>
          <w:tcPr>
            <w:tcW w:w="0" w:type="dxa"/>
            <w:vAlign w:val="bottom"/>
          </w:tcPr>
          <w:p>
            <w:pPr>
              <w:spacing w:after="0"/>
              <w:rPr>
                <w:sz w:val="1"/>
                <w:szCs w:val="1"/>
                <w:color w:val="auto"/>
              </w:rPr>
            </w:pPr>
          </w:p>
        </w:tc>
      </w:tr>
      <w:tr>
        <w:trPr>
          <w:trHeight w:val="20"/>
        </w:trPr>
        <w:tc>
          <w:tcPr>
            <w:tcW w:w="61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Shown on balance sheet as: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18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6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Costs and estimated earnings in excess of billings on uncompleted contracts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70,559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68,562</w:t>
            </w:r>
          </w:p>
        </w:tc>
        <w:tc>
          <w:tcPr>
            <w:tcW w:w="0" w:type="dxa"/>
            <w:vAlign w:val="bottom"/>
          </w:tcPr>
          <w:p>
            <w:pPr>
              <w:spacing w:after="0"/>
              <w:rPr>
                <w:sz w:val="1"/>
                <w:szCs w:val="1"/>
                <w:color w:val="auto"/>
              </w:rPr>
            </w:pP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color w:val="auto"/>
              </w:rPr>
              <w:t>Billings on uncompleted contracts in excess of costs and estimated earnings</w:t>
            </w:r>
          </w:p>
        </w:tc>
        <w:tc>
          <w:tcPr>
            <w:tcW w:w="1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49,793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30,293</w:t>
            </w:r>
          </w:p>
        </w:tc>
        <w:tc>
          <w:tcPr>
            <w:tcW w:w="0" w:type="dxa"/>
            <w:vAlign w:val="bottom"/>
          </w:tcPr>
          <w:p>
            <w:pPr>
              <w:spacing w:after="0"/>
              <w:rPr>
                <w:sz w:val="1"/>
                <w:szCs w:val="1"/>
                <w:color w:val="auto"/>
              </w:rPr>
            </w:pPr>
          </w:p>
        </w:tc>
      </w:tr>
      <w:tr>
        <w:trPr>
          <w:trHeight w:val="27"/>
        </w:trPr>
        <w:tc>
          <w:tcPr>
            <w:tcW w:w="61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1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20,766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38,269</w:t>
            </w:r>
          </w:p>
        </w:tc>
        <w:tc>
          <w:tcPr>
            <w:tcW w:w="0" w:type="dxa"/>
            <w:vAlign w:val="bottom"/>
          </w:tcPr>
          <w:p>
            <w:pPr>
              <w:spacing w:after="0"/>
              <w:rPr>
                <w:sz w:val="1"/>
                <w:szCs w:val="1"/>
                <w:color w:val="auto"/>
              </w:rPr>
            </w:pPr>
          </w:p>
        </w:tc>
      </w:tr>
      <w:tr>
        <w:trPr>
          <w:trHeight w:val="20"/>
        </w:trPr>
        <w:tc>
          <w:tcPr>
            <w:tcW w:w="6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Progress billings in accounts receivable at March 31, 2013 and June 30, 2012 included retentions to be collected within one year of $19.0 million and $22.3 million, respectively. Contract retentions collectible beyond one year totaled $6.0 million at March 31, 2013 and $1.2 million at June 30, 2012.</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SME Receivables</w:t>
      </w:r>
    </w:p>
    <w:p>
      <w:pPr>
        <w:spacing w:after="0" w:line="90"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Company continues to pursue collection of a certain receivable acquired in connection with the purchase of S.M. Electric Company, Inc. in February 2009. The recorded values at March 31, 2013 include $0.7 million in claim receivables, which represents the Company’s best estimate of the amount to be collected under a claim, and an additional $2.9 million for amounts due under the related contract. Recovering the remaining receivables will require mediation or litigation and the ultimate amount realized may be significantly different than the recorded amounts, which could result in a material adjustment to future earnings.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Western Canada Aboveground Storage Tank Project</w:t>
      </w:r>
    </w:p>
    <w:p>
      <w:pPr>
        <w:spacing w:after="0" w:line="90"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During the nine months ended March 31, 2013, our results of operations were materially impacted by a $3.1 million charge resulting from a change in estimate for a project to construct aboveground storage tanks in western Canada. The charge was primarily driven by changes in facts and circumstances regarding lower than expected labor productivity and higher than expected direct employee costs. The Company recognized $3.0 million of the charge in the second quarter. Project execution in the third quarter was as expected resulting in a nominal charge of $0.1 million. The change in estimate resulted in a $2.0 million decrease in our net income and a $0.08 decrease in our diluted earnings per common share during the nine months ended March 31, 2013.</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Billings on uncompleted contracts in excess of costs and estimated earnings included an accrued loss related to this project of $0.6 million at March 31, 2013.</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This project was at 81% completion at March 31, 2013 and is expected to be completed in early fiscal 2014.</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Settlement</w:t>
      </w:r>
    </w:p>
    <w:p>
      <w:pPr>
        <w:spacing w:after="0" w:line="90"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On May 3, 2013, the Company settled a customer dispute in excess of amounts previously accrued resulting in a third quarter charge of $1.0 million. The settlement amount of $1.5 million is expected to be paid in the fourth quarter of fiscal 2013.</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9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western Canada aboveground storage tank project and legal settlement discussed above are the only change in estimates considered material to our results of operations during the periods presented herein.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- 9-</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1"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Matrix Service Company</w:t>
      </w:r>
    </w:p>
    <w:p>
      <w:pPr>
        <w:spacing w:after="0" w:line="90"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0"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Intangible Assets Including Goodwill</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carrying value of goodwill by segment are as follows:</w:t>
      </w:r>
    </w:p>
    <w:p>
      <w:pPr>
        <w:spacing w:after="0" w:line="339" w:lineRule="exact"/>
        <w:rPr>
          <w:sz w:val="20"/>
          <w:szCs w:val="20"/>
          <w:color w:val="auto"/>
        </w:rPr>
      </w:pPr>
    </w:p>
    <w:tbl>
      <w:tblPr>
        <w:tblLayout w:type="fixed"/>
        <w:tblInd w:w="500" w:type="dxa"/>
        <w:tblCellMar>
          <w:top w:w="0" w:type="dxa"/>
          <w:left w:w="0" w:type="dxa"/>
          <w:bottom w:w="0" w:type="dxa"/>
          <w:right w:w="0" w:type="dxa"/>
        </w:tblCellMar>
      </w:tblPr>
      <w:tr>
        <w:trPr>
          <w:trHeight w:val="161"/>
        </w:trPr>
        <w:tc>
          <w:tcPr>
            <w:tcW w:w="3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Electrical</w:t>
            </w:r>
          </w:p>
        </w:tc>
        <w:tc>
          <w:tcPr>
            <w:tcW w:w="240" w:type="dxa"/>
            <w:vAlign w:val="bottom"/>
          </w:tcPr>
          <w:p>
            <w:pPr>
              <w:spacing w:after="0"/>
              <w:rPr>
                <w:sz w:val="14"/>
                <w:szCs w:val="14"/>
                <w:color w:val="auto"/>
              </w:rPr>
            </w:pPr>
          </w:p>
        </w:tc>
        <w:tc>
          <w:tcPr>
            <w:tcW w:w="1220" w:type="dxa"/>
            <w:vAlign w:val="bottom"/>
            <w:gridSpan w:val="2"/>
          </w:tcPr>
          <w:p>
            <w:pPr>
              <w:ind w:left="120"/>
              <w:spacing w:after="0"/>
              <w:rPr>
                <w:sz w:val="20"/>
                <w:szCs w:val="20"/>
                <w:color w:val="auto"/>
              </w:rPr>
            </w:pPr>
            <w:r>
              <w:rPr>
                <w:rFonts w:ascii="Arial" w:cs="Arial" w:eastAsia="Arial" w:hAnsi="Arial"/>
                <w:sz w:val="14"/>
                <w:szCs w:val="14"/>
                <w:b w:val="1"/>
                <w:bCs w:val="1"/>
                <w:color w:val="auto"/>
              </w:rPr>
              <w:t>Oil Gas &amp;</w:t>
            </w:r>
          </w:p>
        </w:tc>
        <w:tc>
          <w:tcPr>
            <w:tcW w:w="200" w:type="dxa"/>
            <w:vAlign w:val="bottom"/>
          </w:tcPr>
          <w:p>
            <w:pPr>
              <w:spacing w:after="0"/>
              <w:rPr>
                <w:sz w:val="14"/>
                <w:szCs w:val="14"/>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Storage</w:t>
            </w:r>
          </w:p>
        </w:tc>
        <w:tc>
          <w:tcPr>
            <w:tcW w:w="240" w:type="dxa"/>
            <w:vAlign w:val="bottom"/>
          </w:tcPr>
          <w:p>
            <w:pPr>
              <w:spacing w:after="0"/>
              <w:rPr>
                <w:sz w:val="14"/>
                <w:szCs w:val="14"/>
                <w:color w:val="auto"/>
              </w:rPr>
            </w:pPr>
          </w:p>
        </w:tc>
        <w:tc>
          <w:tcPr>
            <w:tcW w:w="12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Industrial</w:t>
            </w:r>
          </w:p>
        </w:tc>
        <w:tc>
          <w:tcPr>
            <w:tcW w:w="320" w:type="dxa"/>
            <w:vAlign w:val="bottom"/>
          </w:tcPr>
          <w:p>
            <w:pPr>
              <w:spacing w:after="0"/>
              <w:rPr>
                <w:sz w:val="14"/>
                <w:szCs w:val="14"/>
                <w:color w:val="auto"/>
              </w:rPr>
            </w:pPr>
          </w:p>
        </w:tc>
        <w:tc>
          <w:tcPr>
            <w:tcW w:w="1040" w:type="dxa"/>
            <w:vAlign w:val="bottom"/>
            <w:vMerge w:val="restart"/>
          </w:tcPr>
          <w:p>
            <w:pPr>
              <w:jc w:val="right"/>
              <w:ind w:right="45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6"/>
              </w:rPr>
              <w:t>Infrastructure</w:t>
            </w: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Chemical</w:t>
            </w: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87"/>
              </w:rPr>
              <w:t>Solutions</w:t>
            </w: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color w:val="auto"/>
                <w:w w:val="91"/>
              </w:rPr>
              <w:t>(In thousands)</w:t>
            </w: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3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29,666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5,841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11,071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7,097</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53,675</w:t>
            </w:r>
          </w:p>
        </w:tc>
        <w:tc>
          <w:tcPr>
            <w:tcW w:w="0" w:type="dxa"/>
            <w:vAlign w:val="bottom"/>
          </w:tcPr>
          <w:p>
            <w:pPr>
              <w:spacing w:after="0"/>
              <w:rPr>
                <w:sz w:val="1"/>
                <w:szCs w:val="1"/>
                <w:color w:val="auto"/>
              </w:rPr>
            </w:pPr>
          </w:p>
        </w:tc>
      </w:tr>
      <w:tr>
        <w:trPr>
          <w:trHeight w:val="243"/>
        </w:trPr>
        <w:tc>
          <w:tcPr>
            <w:tcW w:w="3240" w:type="dxa"/>
            <w:vAlign w:val="bottom"/>
          </w:tcPr>
          <w:p>
            <w:pPr>
              <w:ind w:left="20"/>
              <w:spacing w:after="0"/>
              <w:rPr>
                <w:sz w:val="20"/>
                <w:szCs w:val="20"/>
                <w:color w:val="auto"/>
              </w:rPr>
            </w:pPr>
            <w:r>
              <w:rPr>
                <w:rFonts w:ascii="Arial" w:cs="Arial" w:eastAsia="Arial" w:hAnsi="Arial"/>
                <w:sz w:val="18"/>
                <w:szCs w:val="18"/>
                <w:color w:val="auto"/>
              </w:rPr>
              <w:t>Cumulative impairment loss (A)</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(17,653)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(922)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(3,425)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7"/>
        </w:trPr>
        <w:tc>
          <w:tcPr>
            <w:tcW w:w="32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balance at June 30, 2012</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12,013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2,841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10,149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3,672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28,675</w:t>
            </w:r>
          </w:p>
        </w:tc>
        <w:tc>
          <w:tcPr>
            <w:tcW w:w="0" w:type="dxa"/>
            <w:vAlign w:val="bottom"/>
          </w:tcPr>
          <w:p>
            <w:pPr>
              <w:spacing w:after="0"/>
              <w:rPr>
                <w:sz w:val="1"/>
                <w:szCs w:val="1"/>
                <w:color w:val="auto"/>
              </w:rPr>
            </w:pPr>
          </w:p>
        </w:tc>
      </w:tr>
      <w:tr>
        <w:trPr>
          <w:trHeight w:val="243"/>
        </w:trPr>
        <w:tc>
          <w:tcPr>
            <w:tcW w:w="3240" w:type="dxa"/>
            <w:vAlign w:val="bottom"/>
          </w:tcPr>
          <w:p>
            <w:pPr>
              <w:ind w:left="20"/>
              <w:spacing w:after="0"/>
              <w:rPr>
                <w:sz w:val="20"/>
                <w:szCs w:val="20"/>
                <w:color w:val="auto"/>
              </w:rPr>
            </w:pPr>
            <w:r>
              <w:rPr>
                <w:rFonts w:ascii="Arial" w:cs="Arial" w:eastAsia="Arial" w:hAnsi="Arial"/>
                <w:sz w:val="18"/>
                <w:szCs w:val="18"/>
                <w:color w:val="auto"/>
              </w:rPr>
              <w:t>Purchase of Pelichem (Note 2)</w:t>
            </w:r>
          </w:p>
        </w:tc>
        <w:tc>
          <w:tcPr>
            <w:tcW w:w="18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2,237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2,237</w:t>
            </w: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Translation adjustment</w:t>
            </w: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57"/>
        </w:trPr>
        <w:tc>
          <w:tcPr>
            <w:tcW w:w="3240" w:type="dxa"/>
            <w:vAlign w:val="bottom"/>
          </w:tcPr>
          <w:p>
            <w:pPr>
              <w:ind w:left="20"/>
              <w:spacing w:after="0"/>
              <w:rPr>
                <w:sz w:val="20"/>
                <w:szCs w:val="20"/>
                <w:color w:val="auto"/>
              </w:rPr>
            </w:pPr>
            <w:r>
              <w:rPr>
                <w:rFonts w:ascii="Arial" w:cs="Arial" w:eastAsia="Arial" w:hAnsi="Arial"/>
                <w:sz w:val="18"/>
                <w:szCs w:val="18"/>
                <w:color w:val="auto"/>
              </w:rPr>
              <w:t>Net balance at March 31, 2013</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12,013</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5,078</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10,147</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3,672</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30,910</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220"/>
        <w:spacing w:after="0"/>
        <w:rPr>
          <w:sz w:val="20"/>
          <w:szCs w:val="20"/>
          <w:color w:val="auto"/>
        </w:rPr>
      </w:pPr>
      <w:r>
        <w:rPr>
          <w:rFonts w:ascii="Arial" w:cs="Arial" w:eastAsia="Arial" w:hAnsi="Arial"/>
          <w:sz w:val="17"/>
          <w:szCs w:val="17"/>
          <w:color w:val="auto"/>
        </w:rPr>
        <w:t>(A) A $25.0 million impairment charge was recorded in February 2005 as a result of the Company’s operating performance in fiscal 2005.</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Intangible Assets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Information on the carrying value of other intangible assets is as follows:</w:t>
      </w:r>
    </w:p>
    <w:p>
      <w:pPr>
        <w:spacing w:after="0" w:line="200" w:lineRule="exact"/>
        <w:rPr>
          <w:sz w:val="20"/>
          <w:szCs w:val="20"/>
          <w:color w:val="auto"/>
        </w:rPr>
      </w:pPr>
    </w:p>
    <w:p>
      <w:pPr>
        <w:spacing w:after="0" w:line="219" w:lineRule="exact"/>
        <w:rPr>
          <w:sz w:val="20"/>
          <w:szCs w:val="20"/>
          <w:color w:val="auto"/>
        </w:rPr>
      </w:pPr>
    </w:p>
    <w:tbl>
      <w:tblPr>
        <w:tblLayout w:type="fixed"/>
        <w:tblInd w:w="540" w:type="dxa"/>
        <w:tblCellMar>
          <w:top w:w="0" w:type="dxa"/>
          <w:left w:w="0" w:type="dxa"/>
          <w:bottom w:w="0" w:type="dxa"/>
          <w:right w:w="0" w:type="dxa"/>
        </w:tblCellMar>
      </w:tblPr>
      <w:tr>
        <w:trPr>
          <w:trHeight w:val="192"/>
        </w:trPr>
        <w:tc>
          <w:tcPr>
            <w:tcW w:w="42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6"/>
              </w:rPr>
              <w:t>At March 31, 2013</w:t>
            </w: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240" w:type="dxa"/>
            <w:vAlign w:val="bottom"/>
          </w:tcPr>
          <w:p>
            <w:pPr>
              <w:spacing w:after="0"/>
              <w:rPr>
                <w:sz w:val="13"/>
                <w:szCs w:val="13"/>
                <w:color w:val="auto"/>
              </w:rPr>
            </w:pPr>
          </w:p>
        </w:tc>
        <w:tc>
          <w:tcPr>
            <w:tcW w:w="14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Useful Life</w:t>
            </w:r>
          </w:p>
        </w:tc>
        <w:tc>
          <w:tcPr>
            <w:tcW w:w="10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138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4"/>
              </w:rPr>
              <w:t>Gross Carrying</w:t>
            </w:r>
          </w:p>
        </w:tc>
        <w:tc>
          <w:tcPr>
            <w:tcW w:w="140" w:type="dxa"/>
            <w:vAlign w:val="bottom"/>
          </w:tcPr>
          <w:p>
            <w:pPr>
              <w:spacing w:after="0"/>
              <w:rPr>
                <w:sz w:val="13"/>
                <w:szCs w:val="13"/>
                <w:color w:val="auto"/>
              </w:rPr>
            </w:pPr>
          </w:p>
        </w:tc>
        <w:tc>
          <w:tcPr>
            <w:tcW w:w="142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200" w:type="dxa"/>
            <w:vAlign w:val="bottom"/>
          </w:tcPr>
          <w:p>
            <w:pPr>
              <w:spacing w:after="0"/>
              <w:rPr>
                <w:sz w:val="13"/>
                <w:szCs w:val="13"/>
                <w:color w:val="auto"/>
              </w:rPr>
            </w:pPr>
          </w:p>
        </w:tc>
        <w:tc>
          <w:tcPr>
            <w:tcW w:w="1240" w:type="dxa"/>
            <w:vAlign w:val="bottom"/>
          </w:tcPr>
          <w:p>
            <w:pPr>
              <w:jc w:val="center"/>
              <w:ind w:right="134"/>
              <w:spacing w:after="0" w:line="153" w:lineRule="exact"/>
              <w:rPr>
                <w:sz w:val="20"/>
                <w:szCs w:val="20"/>
                <w:color w:val="auto"/>
              </w:rPr>
            </w:pPr>
            <w:r>
              <w:rPr>
                <w:rFonts w:ascii="Arial" w:cs="Arial" w:eastAsia="Arial" w:hAnsi="Arial"/>
                <w:sz w:val="14"/>
                <w:szCs w:val="14"/>
                <w:b w:val="1"/>
                <w:bCs w:val="1"/>
                <w:color w:val="auto"/>
                <w:w w:val="97"/>
              </w:rPr>
              <w:t>Net Carrying</w:t>
            </w:r>
          </w:p>
        </w:tc>
        <w:tc>
          <w:tcPr>
            <w:tcW w:w="0" w:type="dxa"/>
            <w:vAlign w:val="bottom"/>
          </w:tcPr>
          <w:p>
            <w:pPr>
              <w:spacing w:after="0"/>
              <w:rPr>
                <w:sz w:val="1"/>
                <w:szCs w:val="1"/>
                <w:color w:val="auto"/>
              </w:rPr>
            </w:pPr>
          </w:p>
        </w:tc>
      </w:tr>
      <w:tr>
        <w:trPr>
          <w:trHeight w:val="192"/>
        </w:trPr>
        <w:tc>
          <w:tcPr>
            <w:tcW w:w="4240" w:type="dxa"/>
            <w:vAlign w:val="bottom"/>
          </w:tcPr>
          <w:p>
            <w:pPr>
              <w:spacing w:after="0"/>
              <w:rPr>
                <w:sz w:val="16"/>
                <w:szCs w:val="16"/>
                <w:color w:val="auto"/>
              </w:rPr>
            </w:pPr>
          </w:p>
        </w:tc>
        <w:tc>
          <w:tcPr>
            <w:tcW w:w="144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5"/>
              </w:rPr>
              <w:t>Amortization</w:t>
            </w: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50"/>
        </w:trPr>
        <w:tc>
          <w:tcPr>
            <w:tcW w:w="4240" w:type="dxa"/>
            <w:vAlign w:val="bottom"/>
          </w:tcPr>
          <w:p>
            <w:pPr>
              <w:spacing w:after="0"/>
              <w:rPr>
                <w:sz w:val="21"/>
                <w:szCs w:val="21"/>
                <w:color w:val="auto"/>
              </w:rPr>
            </w:pPr>
          </w:p>
        </w:tc>
        <w:tc>
          <w:tcPr>
            <w:tcW w:w="154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(Years)</w:t>
            </w: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gridSpan w:val="2"/>
          </w:tcPr>
          <w:p>
            <w:pPr>
              <w:jc w:val="center"/>
              <w:ind w:right="220"/>
              <w:spacing w:after="0"/>
              <w:rPr>
                <w:sz w:val="20"/>
                <w:szCs w:val="20"/>
                <w:color w:val="auto"/>
              </w:rPr>
            </w:pPr>
            <w:r>
              <w:rPr>
                <w:rFonts w:ascii="Arial" w:cs="Arial" w:eastAsia="Arial" w:hAnsi="Arial"/>
                <w:sz w:val="14"/>
                <w:szCs w:val="14"/>
                <w:color w:val="auto"/>
                <w:w w:val="93"/>
              </w:rPr>
              <w:t>(In thousands)</w:t>
            </w:r>
          </w:p>
        </w:tc>
        <w:tc>
          <w:tcPr>
            <w:tcW w:w="2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Intellectual property</w:t>
            </w:r>
          </w:p>
        </w:tc>
        <w:tc>
          <w:tcPr>
            <w:tcW w:w="15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6 to 15</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2,460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(711)</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1,749</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Customer based</w:t>
            </w:r>
          </w:p>
        </w:tc>
        <w:tc>
          <w:tcPr>
            <w:tcW w:w="154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1 to 15</w:t>
            </w:r>
          </w:p>
        </w:tc>
        <w:tc>
          <w:tcPr>
            <w:tcW w:w="18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4,250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(458)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3,792</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Non-compete agreements</w:t>
            </w:r>
          </w:p>
        </w:tc>
        <w:tc>
          <w:tcPr>
            <w:tcW w:w="15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3 to 5</w:t>
            </w: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808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559</w:t>
            </w: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Arial" w:cs="Arial" w:eastAsia="Arial" w:hAnsi="Arial"/>
                <w:sz w:val="18"/>
                <w:szCs w:val="18"/>
                <w:color w:val="auto"/>
              </w:rPr>
              <w:t>Total amortizing intangibles</w:t>
            </w: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7,518</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(1,418)</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6,100</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name</w:t>
            </w:r>
          </w:p>
        </w:tc>
        <w:tc>
          <w:tcPr>
            <w:tcW w:w="154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Indefinite</w:t>
            </w: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1,870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1,870</w:t>
            </w:r>
          </w:p>
        </w:tc>
        <w:tc>
          <w:tcPr>
            <w:tcW w:w="0" w:type="dxa"/>
            <w:vAlign w:val="bottom"/>
          </w:tcPr>
          <w:p>
            <w:pPr>
              <w:spacing w:after="0"/>
              <w:rPr>
                <w:sz w:val="1"/>
                <w:szCs w:val="1"/>
                <w:color w:val="auto"/>
              </w:rPr>
            </w:pPr>
          </w:p>
        </w:tc>
      </w:tr>
      <w:tr>
        <w:trPr>
          <w:trHeight w:val="257"/>
        </w:trPr>
        <w:tc>
          <w:tcPr>
            <w:tcW w:w="4240" w:type="dxa"/>
            <w:vAlign w:val="bottom"/>
          </w:tcPr>
          <w:p>
            <w:pPr>
              <w:ind w:left="40"/>
              <w:spacing w:after="0"/>
              <w:rPr>
                <w:sz w:val="20"/>
                <w:szCs w:val="20"/>
                <w:color w:val="auto"/>
              </w:rPr>
            </w:pPr>
            <w:r>
              <w:rPr>
                <w:rFonts w:ascii="Arial" w:cs="Arial" w:eastAsia="Arial" w:hAnsi="Arial"/>
                <w:sz w:val="18"/>
                <w:szCs w:val="18"/>
                <w:color w:val="auto"/>
              </w:rPr>
              <w:t>Total intangible assets</w:t>
            </w:r>
          </w:p>
        </w:tc>
        <w:tc>
          <w:tcPr>
            <w:tcW w:w="1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9,388</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(1,418)</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7,970</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42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2"/>
              </w:rPr>
              <w:t>At June 30, 2012</w:t>
            </w:r>
          </w:p>
        </w:tc>
        <w:tc>
          <w:tcPr>
            <w:tcW w:w="2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4240" w:type="dxa"/>
            <w:vAlign w:val="bottom"/>
          </w:tcPr>
          <w:p>
            <w:pPr>
              <w:spacing w:after="0"/>
              <w:rPr>
                <w:sz w:val="13"/>
                <w:szCs w:val="13"/>
                <w:color w:val="auto"/>
              </w:rPr>
            </w:pPr>
          </w:p>
        </w:tc>
        <w:tc>
          <w:tcPr>
            <w:tcW w:w="14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Useful Life</w:t>
            </w:r>
          </w:p>
        </w:tc>
        <w:tc>
          <w:tcPr>
            <w:tcW w:w="10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138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4"/>
              </w:rPr>
              <w:t>Gross Carrying</w:t>
            </w:r>
          </w:p>
        </w:tc>
        <w:tc>
          <w:tcPr>
            <w:tcW w:w="140" w:type="dxa"/>
            <w:vAlign w:val="bottom"/>
          </w:tcPr>
          <w:p>
            <w:pPr>
              <w:spacing w:after="0"/>
              <w:rPr>
                <w:sz w:val="13"/>
                <w:szCs w:val="13"/>
                <w:color w:val="auto"/>
              </w:rPr>
            </w:pPr>
          </w:p>
        </w:tc>
        <w:tc>
          <w:tcPr>
            <w:tcW w:w="142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200" w:type="dxa"/>
            <w:vAlign w:val="bottom"/>
          </w:tcPr>
          <w:p>
            <w:pPr>
              <w:spacing w:after="0"/>
              <w:rPr>
                <w:sz w:val="13"/>
                <w:szCs w:val="13"/>
                <w:color w:val="auto"/>
              </w:rPr>
            </w:pPr>
          </w:p>
        </w:tc>
        <w:tc>
          <w:tcPr>
            <w:tcW w:w="1240" w:type="dxa"/>
            <w:vAlign w:val="bottom"/>
          </w:tcPr>
          <w:p>
            <w:pPr>
              <w:jc w:val="center"/>
              <w:ind w:right="134"/>
              <w:spacing w:after="0" w:line="153" w:lineRule="exact"/>
              <w:rPr>
                <w:sz w:val="20"/>
                <w:szCs w:val="20"/>
                <w:color w:val="auto"/>
              </w:rPr>
            </w:pPr>
            <w:r>
              <w:rPr>
                <w:rFonts w:ascii="Arial" w:cs="Arial" w:eastAsia="Arial" w:hAnsi="Arial"/>
                <w:sz w:val="14"/>
                <w:szCs w:val="14"/>
                <w:b w:val="1"/>
                <w:bCs w:val="1"/>
                <w:color w:val="auto"/>
                <w:w w:val="97"/>
              </w:rPr>
              <w:t>Net Carrying</w:t>
            </w:r>
          </w:p>
        </w:tc>
        <w:tc>
          <w:tcPr>
            <w:tcW w:w="0" w:type="dxa"/>
            <w:vAlign w:val="bottom"/>
          </w:tcPr>
          <w:p>
            <w:pPr>
              <w:spacing w:after="0"/>
              <w:rPr>
                <w:sz w:val="1"/>
                <w:szCs w:val="1"/>
                <w:color w:val="auto"/>
              </w:rPr>
            </w:pPr>
          </w:p>
        </w:tc>
      </w:tr>
      <w:tr>
        <w:trPr>
          <w:trHeight w:val="192"/>
        </w:trPr>
        <w:tc>
          <w:tcPr>
            <w:tcW w:w="4240" w:type="dxa"/>
            <w:vAlign w:val="bottom"/>
          </w:tcPr>
          <w:p>
            <w:pPr>
              <w:spacing w:after="0"/>
              <w:rPr>
                <w:sz w:val="16"/>
                <w:szCs w:val="16"/>
                <w:color w:val="auto"/>
              </w:rPr>
            </w:pPr>
          </w:p>
        </w:tc>
        <w:tc>
          <w:tcPr>
            <w:tcW w:w="144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5"/>
              </w:rPr>
              <w:t>Amortization</w:t>
            </w: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50"/>
        </w:trPr>
        <w:tc>
          <w:tcPr>
            <w:tcW w:w="4240" w:type="dxa"/>
            <w:vAlign w:val="bottom"/>
          </w:tcPr>
          <w:p>
            <w:pPr>
              <w:spacing w:after="0"/>
              <w:rPr>
                <w:sz w:val="21"/>
                <w:szCs w:val="21"/>
                <w:color w:val="auto"/>
              </w:rPr>
            </w:pPr>
          </w:p>
        </w:tc>
        <w:tc>
          <w:tcPr>
            <w:tcW w:w="154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(Years)</w:t>
            </w: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gridSpan w:val="2"/>
          </w:tcPr>
          <w:p>
            <w:pPr>
              <w:jc w:val="center"/>
              <w:ind w:right="220"/>
              <w:spacing w:after="0"/>
              <w:rPr>
                <w:sz w:val="20"/>
                <w:szCs w:val="20"/>
                <w:color w:val="auto"/>
              </w:rPr>
            </w:pPr>
            <w:r>
              <w:rPr>
                <w:rFonts w:ascii="Arial" w:cs="Arial" w:eastAsia="Arial" w:hAnsi="Arial"/>
                <w:sz w:val="14"/>
                <w:szCs w:val="14"/>
                <w:color w:val="auto"/>
                <w:w w:val="93"/>
              </w:rPr>
              <w:t>(In thousands)</w:t>
            </w:r>
          </w:p>
        </w:tc>
        <w:tc>
          <w:tcPr>
            <w:tcW w:w="2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Intellectual property</w:t>
            </w:r>
          </w:p>
        </w:tc>
        <w:tc>
          <w:tcPr>
            <w:tcW w:w="15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6 to 15</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2,460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(586)</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1,874</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Customer based</w:t>
            </w:r>
          </w:p>
        </w:tc>
        <w:tc>
          <w:tcPr>
            <w:tcW w:w="154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1 to 15</w:t>
            </w:r>
          </w:p>
        </w:tc>
        <w:tc>
          <w:tcPr>
            <w:tcW w:w="18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2,657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(285)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2,372</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5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Non-compete agreements</w:t>
            </w:r>
          </w:p>
        </w:tc>
        <w:tc>
          <w:tcPr>
            <w:tcW w:w="15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3 to 5</w:t>
            </w: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547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388</w:t>
            </w: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Arial" w:cs="Arial" w:eastAsia="Arial" w:hAnsi="Arial"/>
                <w:sz w:val="18"/>
                <w:szCs w:val="18"/>
                <w:color w:val="auto"/>
              </w:rPr>
              <w:t>Total amortizing intangibles</w:t>
            </w: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5,664</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(1,030)</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4,634</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5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name</w:t>
            </w:r>
          </w:p>
        </w:tc>
        <w:tc>
          <w:tcPr>
            <w:tcW w:w="154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Indefinite</w:t>
            </w: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1,870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1,870</w:t>
            </w:r>
          </w:p>
        </w:tc>
        <w:tc>
          <w:tcPr>
            <w:tcW w:w="0" w:type="dxa"/>
            <w:vAlign w:val="bottom"/>
          </w:tcPr>
          <w:p>
            <w:pPr>
              <w:spacing w:after="0"/>
              <w:rPr>
                <w:sz w:val="1"/>
                <w:szCs w:val="1"/>
                <w:color w:val="auto"/>
              </w:rPr>
            </w:pPr>
          </w:p>
        </w:tc>
      </w:tr>
      <w:tr>
        <w:trPr>
          <w:trHeight w:val="257"/>
        </w:trPr>
        <w:tc>
          <w:tcPr>
            <w:tcW w:w="4240" w:type="dxa"/>
            <w:vAlign w:val="bottom"/>
          </w:tcPr>
          <w:p>
            <w:pPr>
              <w:ind w:left="40"/>
              <w:spacing w:after="0"/>
              <w:rPr>
                <w:sz w:val="20"/>
                <w:szCs w:val="20"/>
                <w:color w:val="auto"/>
              </w:rPr>
            </w:pPr>
            <w:r>
              <w:rPr>
                <w:rFonts w:ascii="Arial" w:cs="Arial" w:eastAsia="Arial" w:hAnsi="Arial"/>
                <w:sz w:val="18"/>
                <w:szCs w:val="18"/>
                <w:color w:val="auto"/>
              </w:rPr>
              <w:t>Total intangible assets</w:t>
            </w:r>
          </w:p>
        </w:tc>
        <w:tc>
          <w:tcPr>
            <w:tcW w:w="1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7,534</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(1,030)</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6,504</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440" w:type="dxa"/>
            <w:vAlign w:val="bottom"/>
            <w:vMerge w:val="restart"/>
          </w:tcPr>
          <w:p>
            <w:pPr>
              <w:jc w:val="right"/>
              <w:ind w:right="256"/>
              <w:spacing w:after="0"/>
              <w:rPr>
                <w:sz w:val="20"/>
                <w:szCs w:val="20"/>
                <w:color w:val="auto"/>
              </w:rPr>
            </w:pPr>
            <w:r>
              <w:rPr>
                <w:rFonts w:ascii="Arial" w:cs="Arial" w:eastAsia="Arial" w:hAnsi="Arial"/>
                <w:sz w:val="18"/>
                <w:szCs w:val="18"/>
                <w:color w:val="auto"/>
              </w:rPr>
              <w:t>- 10-</w:t>
            </w: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240" w:type="dxa"/>
            <w:vAlign w:val="bottom"/>
          </w:tcPr>
          <w:p>
            <w:pPr>
              <w:spacing w:after="0"/>
              <w:rPr>
                <w:sz w:val="24"/>
                <w:szCs w:val="24"/>
                <w:color w:val="auto"/>
              </w:rPr>
            </w:pPr>
          </w:p>
        </w:tc>
        <w:tc>
          <w:tcPr>
            <w:tcW w:w="14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240" w:top="125" w:right="71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Matrix Service Company</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18" w:lineRule="exact"/>
        <w:rPr>
          <w:sz w:val="20"/>
          <w:szCs w:val="20"/>
          <w:color w:val="auto"/>
        </w:rPr>
      </w:pPr>
    </w:p>
    <w:p>
      <w:pPr>
        <w:jc w:val="both"/>
        <w:ind w:right="400"/>
        <w:spacing w:after="0" w:line="259" w:lineRule="auto"/>
        <w:rPr>
          <w:sz w:val="20"/>
          <w:szCs w:val="20"/>
          <w:color w:val="auto"/>
        </w:rPr>
      </w:pPr>
      <w:r>
        <w:rPr>
          <w:rFonts w:ascii="Arial" w:cs="Arial" w:eastAsia="Arial" w:hAnsi="Arial"/>
          <w:sz w:val="18"/>
          <w:szCs w:val="18"/>
          <w:color w:val="auto"/>
        </w:rPr>
        <w:t>The increase in other intangible assets at March 31, 2013 compared to June 30, 2012, is due to the acquisition of certain assets of Pelichem. Specifically, amortizing intangible assets included customer based intangibles with a fair value of $1.6 million and a non-compete agreement with a fair value of $0.3 million. The weighted average amortization periods are anticipated to be 10 and 5 years, respectively. Please refer to Note 2 - Acquisition for additional information.</w:t>
      </w:r>
    </w:p>
    <w:p>
      <w:pPr>
        <w:spacing w:after="0" w:line="133"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Amortization expense totaled $0.4 million in the nine months ended March 31, 2013 and $0.3 million in the nine months ended March 31, 2012. Amortization expense is expected to be $0.6 million in fiscal 2013, $0.7 million annually in fiscal years 2014 and 2015, and $0.6 million in fiscal years 2016 and 2017.</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Debt</w:t>
      </w:r>
    </w:p>
    <w:p>
      <w:pPr>
        <w:spacing w:after="0" w:line="94"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color w:val="auto"/>
        </w:rPr>
        <w:t>The Company has a five-year, $125.0 million senior secured revolving credit facility (the “Credit Agreement”) that expires November 7, 2016. Advances under the Credit Agreement may be used for working capital, issuance of letters of credit and other lawful corporate purposes.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The Credit Agreement includes the following covenants and borrowing limitations</w:t>
      </w:r>
    </w:p>
    <w:p>
      <w:pPr>
        <w:spacing w:after="0" w:line="171" w:lineRule="exact"/>
        <w:rPr>
          <w:sz w:val="20"/>
          <w:szCs w:val="20"/>
          <w:color w:val="auto"/>
        </w:rPr>
      </w:pPr>
    </w:p>
    <w:p>
      <w:pPr>
        <w:ind w:left="1300" w:hanging="482"/>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Senior Leverage Ratio, as defined in the agreement, may not exceed 2.50 to 1.00 as of the end of each fiscal quarter.</w:t>
      </w:r>
    </w:p>
    <w:p>
      <w:pPr>
        <w:spacing w:after="0" w:line="171" w:lineRule="exact"/>
        <w:rPr>
          <w:rFonts w:ascii="Arial" w:cs="Arial" w:eastAsia="Arial" w:hAnsi="Arial"/>
          <w:sz w:val="18"/>
          <w:szCs w:val="18"/>
          <w:color w:val="auto"/>
        </w:rPr>
      </w:pPr>
    </w:p>
    <w:p>
      <w:pPr>
        <w:ind w:left="1300" w:right="80" w:hanging="482"/>
        <w:spacing w:after="0" w:line="277" w:lineRule="auto"/>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are required to maintain a Fixed Charge Coverage Ratio, as defined in the agreement, greater than or equal to 1.25 to 1.00 as of the end of each fiscal quarter.</w:t>
      </w:r>
    </w:p>
    <w:p>
      <w:pPr>
        <w:spacing w:after="0" w:line="116" w:lineRule="exact"/>
        <w:rPr>
          <w:rFonts w:ascii="Arial" w:cs="Arial" w:eastAsia="Arial" w:hAnsi="Arial"/>
          <w:sz w:val="18"/>
          <w:szCs w:val="18"/>
          <w:color w:val="auto"/>
        </w:rPr>
      </w:pPr>
    </w:p>
    <w:p>
      <w:pPr>
        <w:ind w:left="1300" w:right="140" w:hanging="482"/>
        <w:spacing w:after="0" w:line="277" w:lineRule="auto"/>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Asset dispositions (other than inventory and obsolete or unneeded equipment disposed of in the ordinary course of business) are limited to $15.0 million per 12-month period.</w:t>
      </w:r>
    </w:p>
    <w:p>
      <w:pPr>
        <w:spacing w:after="0" w:line="116" w:lineRule="exact"/>
        <w:rPr>
          <w:sz w:val="20"/>
          <w:szCs w:val="20"/>
          <w:color w:val="auto"/>
        </w:rPr>
      </w:pPr>
    </w:p>
    <w:p>
      <w:pPr>
        <w:ind w:left="60" w:right="60"/>
        <w:spacing w:after="0" w:line="264" w:lineRule="auto"/>
        <w:rPr>
          <w:sz w:val="20"/>
          <w:szCs w:val="20"/>
          <w:color w:val="auto"/>
        </w:rPr>
      </w:pPr>
      <w:r>
        <w:rPr>
          <w:rFonts w:ascii="Arial" w:cs="Arial" w:eastAsia="Arial" w:hAnsi="Arial"/>
          <w:sz w:val="18"/>
          <w:szCs w:val="18"/>
          <w:color w:val="auto"/>
        </w:rPr>
        <w:t>Amounts borrowed under the Credit Agreement bear interest at LIBOR or an Alternate Base Rate, plus in each case, an additional margin based on the Senior Leverage Ratio. The Credit Agreement includes additional margin ranges on Alternate Base Rate loans between 0.75% and 1.5% and between 1.75% and 2.5% on LIBOR-based loans.</w:t>
      </w:r>
    </w:p>
    <w:p>
      <w:pPr>
        <w:spacing w:after="0" w:line="12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Credit Agreement also permits us to borrow in Canadian dollars with a sublimit of U.S. $15.0 million. Amounts borrowed in Canadian dollars will bear interest either at the CDOR Rate, plus an additional margin based on the Senior Leverage Ratio ranging from 1.75% to 2.5%, or at the Canadian Prime Rate, plus an additional margin based on the Senior Leverage Ratio ranging from 2.25% to 3.0%. The CDOR Rate is equal to the sum of the annual rate of interest, which is the rate determined as being the arithmetic average of the quotations of all institutions listed in respect of the relevant CDOR interest period for Canadian Dollar denominated bankers’ acceptances, plus 0.1%. The Canadian Prime Rate is equal to the greater of (i) the rate of interest per annum most recently announced or established by JPMorgan Chase Bank, N.A., Toronto Branch as its reference rate in effect on such day for determining interest rates for Canadian Dollar denominated commercial loans in Canada and (ii) the CDOR Rate plus 1.0%.</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The Unused Credit Facility Fee is between 0.30% and 0.45% based on the Senior Leverage Ratio.</w:t>
      </w:r>
    </w:p>
    <w:p>
      <w:pPr>
        <w:spacing w:after="0" w:line="171" w:lineRule="exact"/>
        <w:rPr>
          <w:sz w:val="20"/>
          <w:szCs w:val="20"/>
          <w:color w:val="auto"/>
        </w:rPr>
      </w:pPr>
    </w:p>
    <w:p>
      <w:pPr>
        <w:jc w:val="both"/>
        <w:ind w:right="80"/>
        <w:spacing w:after="0" w:line="302" w:lineRule="auto"/>
        <w:rPr>
          <w:sz w:val="20"/>
          <w:szCs w:val="20"/>
          <w:color w:val="auto"/>
        </w:rPr>
      </w:pPr>
      <w:r>
        <w:rPr>
          <w:rFonts w:ascii="Arial" w:cs="Arial" w:eastAsia="Arial" w:hAnsi="Arial"/>
          <w:sz w:val="16"/>
          <w:szCs w:val="16"/>
          <w:color w:val="auto"/>
        </w:rPr>
        <w:t>The Credit Agreement includes a Senior Leverage Ratio covenant which provides that Consolidated Funded Indebtedness, as of the end of any fiscal quarter, may not exceed 2.5 times Consolidated EBITDA, as defined in the Credit Agreement, over the previous four quarters. For the four quarters ended March 31, 2013, Consolidated EBITDA, as defined in the Credit Agreement, was $47.3 million. Accordingly, at March 31, 2013, Consolidated Funded Indebtedness in excess of $118.3 million would have violated the Senior Leverage Ratio covenant. Consolidated Funded Indebtedness at March 31, 2013 was $0.7 million.</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- 11-</w:t>
      </w:r>
    </w:p>
    <w:p>
      <w:pPr>
        <w:sectPr>
          <w:pgSz w:w="11900" w:h="16838" w:orient="portrait"/>
          <w:cols w:equalWidth="0" w:num="1">
            <w:col w:w="11400"/>
          </w:cols>
          <w:pgMar w:left="240" w:top="125" w:right="25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Matrix Service Company</w:t>
      </w:r>
    </w:p>
    <w:p>
      <w:pPr>
        <w:spacing w:after="0" w:line="9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Availability under the senior credit facility at March 31, 2013 was as follows:</w:t>
      </w:r>
    </w:p>
    <w:p>
      <w:pPr>
        <w:spacing w:after="0" w:line="339"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5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4"/>
                <w:szCs w:val="14"/>
                <w:color w:val="auto"/>
              </w:rPr>
            </w:pPr>
          </w:p>
        </w:tc>
        <w:tc>
          <w:tcPr>
            <w:tcW w:w="1020" w:type="dxa"/>
            <w:vAlign w:val="bottom"/>
          </w:tcPr>
          <w:p>
            <w:pPr>
              <w:jc w:val="right"/>
              <w:ind w:right="295"/>
              <w:spacing w:after="0"/>
              <w:rPr>
                <w:sz w:val="20"/>
                <w:szCs w:val="20"/>
                <w:color w:val="auto"/>
              </w:rPr>
            </w:pPr>
            <w:r>
              <w:rPr>
                <w:rFonts w:ascii="Arial" w:cs="Arial" w:eastAsia="Arial" w:hAnsi="Arial"/>
                <w:sz w:val="14"/>
                <w:szCs w:val="14"/>
                <w:b w:val="1"/>
                <w:bCs w:val="1"/>
                <w:color w:val="auto"/>
              </w:rPr>
              <w:t>June 30,</w:t>
            </w:r>
          </w:p>
        </w:tc>
      </w:tr>
      <w:tr>
        <w:trPr>
          <w:trHeight w:val="192"/>
        </w:trPr>
        <w:tc>
          <w:tcPr>
            <w:tcW w:w="58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2012</w:t>
            </w:r>
          </w:p>
        </w:tc>
      </w:tr>
      <w:tr>
        <w:trPr>
          <w:trHeight w:val="196"/>
        </w:trPr>
        <w:tc>
          <w:tcPr>
            <w:tcW w:w="5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0" w:type="dxa"/>
            <w:vAlign w:val="bottom"/>
            <w:gridSpan w:val="4"/>
          </w:tcPr>
          <w:p>
            <w:pPr>
              <w:jc w:val="right"/>
              <w:ind w:right="795"/>
              <w:spacing w:after="0"/>
              <w:rPr>
                <w:sz w:val="20"/>
                <w:szCs w:val="20"/>
                <w:color w:val="auto"/>
              </w:rPr>
            </w:pPr>
            <w:r>
              <w:rPr>
                <w:rFonts w:ascii="Arial" w:cs="Arial" w:eastAsia="Arial" w:hAnsi="Arial"/>
                <w:sz w:val="14"/>
                <w:szCs w:val="14"/>
                <w:color w:val="auto"/>
              </w:rPr>
              <w:t>(In thousands)</w:t>
            </w:r>
          </w:p>
        </w:tc>
      </w:tr>
      <w:tr>
        <w:trPr>
          <w:trHeight w:val="256"/>
        </w:trPr>
        <w:tc>
          <w:tcPr>
            <w:tcW w:w="5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Senior credit facility</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125,000</w:t>
            </w:r>
          </w:p>
        </w:tc>
      </w:tr>
      <w:tr>
        <w:trPr>
          <w:trHeight w:val="243"/>
        </w:trPr>
        <w:tc>
          <w:tcPr>
            <w:tcW w:w="5800" w:type="dxa"/>
            <w:vAlign w:val="bottom"/>
          </w:tcPr>
          <w:p>
            <w:pPr>
              <w:ind w:left="20"/>
              <w:spacing w:after="0"/>
              <w:rPr>
                <w:sz w:val="20"/>
                <w:szCs w:val="20"/>
                <w:color w:val="auto"/>
              </w:rPr>
            </w:pPr>
            <w:r>
              <w:rPr>
                <w:rFonts w:ascii="Arial" w:cs="Arial" w:eastAsia="Arial" w:hAnsi="Arial"/>
                <w:sz w:val="18"/>
                <w:szCs w:val="18"/>
                <w:color w:val="auto"/>
              </w:rPr>
              <w:t>Capacity constraint due to the Senior Leverage Ratio</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6,662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9,662</w:t>
            </w:r>
          </w:p>
        </w:tc>
      </w:tr>
      <w:tr>
        <w:trPr>
          <w:trHeight w:val="27"/>
        </w:trPr>
        <w:tc>
          <w:tcPr>
            <w:tcW w:w="58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5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Capacity under the credit facility</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118,338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115,338</w:t>
            </w:r>
          </w:p>
        </w:tc>
      </w:tr>
      <w:tr>
        <w:trPr>
          <w:trHeight w:val="243"/>
        </w:trPr>
        <w:tc>
          <w:tcPr>
            <w:tcW w:w="5800" w:type="dxa"/>
            <w:vAlign w:val="bottom"/>
          </w:tcPr>
          <w:p>
            <w:pPr>
              <w:ind w:left="20"/>
              <w:spacing w:after="0"/>
              <w:rPr>
                <w:sz w:val="20"/>
                <w:szCs w:val="20"/>
                <w:color w:val="auto"/>
              </w:rPr>
            </w:pPr>
            <w:r>
              <w:rPr>
                <w:rFonts w:ascii="Arial" w:cs="Arial" w:eastAsia="Arial" w:hAnsi="Arial"/>
                <w:sz w:val="18"/>
                <w:szCs w:val="18"/>
                <w:color w:val="auto"/>
              </w:rPr>
              <w:t>Letters of credit</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8,274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8,499</w:t>
            </w:r>
          </w:p>
        </w:tc>
      </w:tr>
      <w:tr>
        <w:trPr>
          <w:trHeight w:val="27"/>
        </w:trPr>
        <w:tc>
          <w:tcPr>
            <w:tcW w:w="58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7"/>
        </w:trPr>
        <w:tc>
          <w:tcPr>
            <w:tcW w:w="5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Availability under the senior credit facility</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110,064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106,839</w:t>
            </w:r>
          </w:p>
        </w:tc>
      </w:tr>
      <w:tr>
        <w:trPr>
          <w:trHeight w:val="20"/>
        </w:trPr>
        <w:tc>
          <w:tcPr>
            <w:tcW w:w="58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in compliance with all affirmative, negative, and financial covenants under the Credit Agreement.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Income Taxes</w:t>
      </w:r>
    </w:p>
    <w:p>
      <w:pPr>
        <w:spacing w:after="0" w:line="94" w:lineRule="exact"/>
        <w:rPr>
          <w:sz w:val="20"/>
          <w:szCs w:val="20"/>
          <w:color w:val="auto"/>
        </w:rPr>
      </w:pPr>
    </w:p>
    <w:p>
      <w:pPr>
        <w:ind w:right="280"/>
        <w:spacing w:after="0" w:line="312" w:lineRule="auto"/>
        <w:rPr>
          <w:sz w:val="20"/>
          <w:szCs w:val="20"/>
          <w:color w:val="auto"/>
        </w:rPr>
      </w:pPr>
      <w:r>
        <w:rPr>
          <w:rFonts w:ascii="Arial" w:cs="Arial" w:eastAsia="Arial" w:hAnsi="Arial"/>
          <w:sz w:val="16"/>
          <w:szCs w:val="16"/>
          <w:color w:val="auto"/>
        </w:rPr>
        <w:t>The Company complies with ASC 740, “Income Taxes”. Deferred income taxes are computed using the liability method whereby deferred tax assets and liabilities are recognized based on temporary differences between the financial and tax basis of assets and liabilities using presently enacted tax rates. Valuation allowances are established against deferred tax assets to the extent management believes that it is not probable the assets will be recovered.</w:t>
      </w:r>
    </w:p>
    <w:p>
      <w:pPr>
        <w:spacing w:after="0" w:line="93"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Company provides for income taxes regardless of whether it has received a tax assessment. Taxes are provided when it is considered probable that additional taxes will be due in excess of amounts included in the tax return. The Company regularly reviews exposure to additional income taxes due, and as further information is known or events occur, adjustments may be recorded.</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Commitments and Contingencies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Insurance Reserves</w:t>
      </w:r>
    </w:p>
    <w:p>
      <w:pPr>
        <w:spacing w:after="0" w:line="90"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The Company maintains insurance coverage for various aspects of its operations. However, exposure to potential losses is retained through the use of deductibles, self-insured retentions and coverage limits.</w:t>
      </w:r>
    </w:p>
    <w:p>
      <w:pPr>
        <w:spacing w:after="0" w:line="116"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Typically our contracts require us to indemnify our customers for injury, damage or loss arising from the performance of our services and provide warranties for materials and workmanship. The Company may also be required to name the customer as an additional insured up to the limits of insurance available, or we may be required to purchase special insurance policies or surety bonds for specific customers or provide letters of credit in lieu of bonds to satisfy performance and financial guarantees on some projects. Matrix maintains a performance and payment bonding line sufficient to support the business. The Company generally requires its subcontractors to indemnify the Company and the Company’s customer and name the Company as an additional insured for activities arising out of the subcontractors’ work. We also require certain subcontractors to provide additional insurance policies, including surety bonds in favor of the Company, to secure the subcontractors’ work or as required by the subcontract.</w:t>
      </w:r>
    </w:p>
    <w:p>
      <w:pPr>
        <w:spacing w:after="0" w:line="12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There can be no assurance that our insurance and the additional insurance coverage provided by our subcontractors will fully protect us against a valid claim or loss under the contracts with our customers.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Unapproved Change Orders and Claims</w:t>
      </w:r>
    </w:p>
    <w:p>
      <w:pPr>
        <w:spacing w:after="0" w:line="9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Costs and estimated earnings in excess of billings on uncompleted contracts included revenues for unapproved change orders of $8.2 million at March 31, 2013 and $8.5 million at June 30, 2012. There were no revenues related to claims included in costs and estimated earnings in excess of billings on uncompleted contracts at March 31, 2013 or June 30, 2012. Generally, collection of amounts related to unapproved change orders and claims is expected within twelve months. However, since customers may not pay these amounts until final resolution of related claims, collection of these amounts may extend beyond one year.</w:t>
      </w:r>
    </w:p>
    <w:p>
      <w:pPr>
        <w:spacing w:after="0" w:line="21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- 12-</w:t>
      </w:r>
    </w:p>
    <w:p>
      <w:pPr>
        <w:sectPr>
          <w:pgSz w:w="11900" w:h="16838" w:orient="portrait"/>
          <w:cols w:equalWidth="0" w:num="1">
            <w:col w:w="11300"/>
          </w:cols>
          <w:pgMar w:left="240" w:top="125" w:right="35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Matrix Service Company</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9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Company and its subsidiaries are participants in various legal actions. It is the opinion of management that none of the known legal actions will have a material adverse impact on the Company’s financial position, results of operations or liquidity.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Earnings per Common Share</w:t>
      </w:r>
    </w:p>
    <w:p>
      <w:pPr>
        <w:spacing w:after="0" w:line="9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Basic earnings per share (“Basic EPS”) is calculated based on the weighted average shares outstanding during the period. Diluted earnings per share (“Diluted EPS”) includes the dilutive effect of stock options and nonvested deferred shares.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computation of basic and diluted earnings per share is as follows:</w:t>
      </w:r>
    </w:p>
    <w:p>
      <w:pPr>
        <w:spacing w:after="0" w:line="230" w:lineRule="exact"/>
        <w:rPr>
          <w:sz w:val="20"/>
          <w:szCs w:val="20"/>
          <w:color w:val="auto"/>
        </w:rPr>
      </w:pPr>
    </w:p>
    <w:tbl>
      <w:tblPr>
        <w:tblLayout w:type="fixed"/>
        <w:tblInd w:w="1540" w:type="dxa"/>
        <w:tblCellMar>
          <w:top w:w="0" w:type="dxa"/>
          <w:left w:w="0" w:type="dxa"/>
          <w:bottom w:w="0" w:type="dxa"/>
          <w:right w:w="0" w:type="dxa"/>
        </w:tblCellMar>
      </w:tblPr>
      <w:tr>
        <w:trPr>
          <w:trHeight w:val="192"/>
        </w:trPr>
        <w:tc>
          <w:tcPr>
            <w:tcW w:w="40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4"/>
          </w:tcPr>
          <w:p>
            <w:pPr>
              <w:jc w:val="right"/>
              <w:ind w:right="314"/>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4"/>
          </w:tcPr>
          <w:p>
            <w:pPr>
              <w:jc w:val="right"/>
              <w:ind w:right="354"/>
              <w:spacing w:after="0"/>
              <w:rPr>
                <w:sz w:val="20"/>
                <w:szCs w:val="20"/>
                <w:color w:val="auto"/>
              </w:rPr>
            </w:pPr>
            <w:r>
              <w:rPr>
                <w:rFonts w:ascii="Arial" w:cs="Arial" w:eastAsia="Arial" w:hAnsi="Arial"/>
                <w:sz w:val="14"/>
                <w:szCs w:val="14"/>
                <w:b w:val="1"/>
                <w:bCs w:val="1"/>
                <w:color w:val="auto"/>
              </w:rPr>
              <w:t>Nine Months Ended</w:t>
            </w:r>
          </w:p>
        </w:tc>
      </w:tr>
      <w:tr>
        <w:trPr>
          <w:trHeight w:val="152"/>
        </w:trPr>
        <w:tc>
          <w:tcPr>
            <w:tcW w:w="4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March 31,</w:t>
            </w:r>
          </w:p>
        </w:tc>
        <w:tc>
          <w:tcPr>
            <w:tcW w:w="140" w:type="dxa"/>
            <w:vAlign w:val="bottom"/>
          </w:tcPr>
          <w:p>
            <w:pPr>
              <w:spacing w:after="0"/>
              <w:rPr>
                <w:sz w:val="13"/>
                <w:szCs w:val="13"/>
                <w:color w:val="auto"/>
              </w:rPr>
            </w:pPr>
          </w:p>
        </w:tc>
        <w:tc>
          <w:tcPr>
            <w:tcW w:w="98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March 31,</w:t>
            </w:r>
          </w:p>
        </w:tc>
        <w:tc>
          <w:tcPr>
            <w:tcW w:w="140" w:type="dxa"/>
            <w:vAlign w:val="bottom"/>
          </w:tcPr>
          <w:p>
            <w:pPr>
              <w:spacing w:after="0"/>
              <w:rPr>
                <w:sz w:val="13"/>
                <w:szCs w:val="13"/>
                <w:color w:val="auto"/>
              </w:rPr>
            </w:pPr>
          </w:p>
        </w:tc>
        <w:tc>
          <w:tcPr>
            <w:tcW w:w="98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March 31,</w:t>
            </w:r>
          </w:p>
        </w:tc>
        <w:tc>
          <w:tcPr>
            <w:tcW w:w="140" w:type="dxa"/>
            <w:vAlign w:val="bottom"/>
          </w:tcPr>
          <w:p>
            <w:pPr>
              <w:spacing w:after="0"/>
              <w:rPr>
                <w:sz w:val="13"/>
                <w:szCs w:val="13"/>
                <w:color w:val="auto"/>
              </w:rPr>
            </w:pPr>
          </w:p>
        </w:tc>
        <w:tc>
          <w:tcPr>
            <w:tcW w:w="860" w:type="dxa"/>
            <w:vAlign w:val="bottom"/>
          </w:tcPr>
          <w:p>
            <w:pPr>
              <w:jc w:val="right"/>
              <w:ind w:right="114"/>
              <w:spacing w:after="0" w:line="153" w:lineRule="exact"/>
              <w:rPr>
                <w:sz w:val="20"/>
                <w:szCs w:val="20"/>
                <w:color w:val="auto"/>
              </w:rPr>
            </w:pPr>
            <w:r>
              <w:rPr>
                <w:rFonts w:ascii="Arial" w:cs="Arial" w:eastAsia="Arial" w:hAnsi="Arial"/>
                <w:sz w:val="14"/>
                <w:szCs w:val="14"/>
                <w:b w:val="1"/>
                <w:bCs w:val="1"/>
                <w:color w:val="auto"/>
                <w:w w:val="99"/>
              </w:rPr>
              <w:t>March 31,</w:t>
            </w:r>
          </w:p>
        </w:tc>
      </w:tr>
      <w:tr>
        <w:trPr>
          <w:trHeight w:val="192"/>
        </w:trPr>
        <w:tc>
          <w:tcPr>
            <w:tcW w:w="40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2012</w:t>
            </w:r>
          </w:p>
        </w:tc>
      </w:tr>
      <w:tr>
        <w:trPr>
          <w:trHeight w:val="196"/>
        </w:trPr>
        <w:tc>
          <w:tcPr>
            <w:tcW w:w="4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40" w:type="dxa"/>
            <w:vAlign w:val="bottom"/>
            <w:gridSpan w:val="6"/>
          </w:tcPr>
          <w:p>
            <w:pPr>
              <w:ind w:left="20"/>
              <w:spacing w:after="0"/>
              <w:rPr>
                <w:sz w:val="20"/>
                <w:szCs w:val="20"/>
                <w:color w:val="auto"/>
              </w:rPr>
            </w:pPr>
            <w:r>
              <w:rPr>
                <w:rFonts w:ascii="Arial" w:cs="Arial" w:eastAsia="Arial" w:hAnsi="Arial"/>
                <w:sz w:val="14"/>
                <w:szCs w:val="14"/>
                <w:color w:val="auto"/>
                <w:w w:val="94"/>
              </w:rPr>
              <w:t>(In thousands, except per share data)</w:t>
            </w: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56"/>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Basic EPS:</w:t>
            </w:r>
          </w:p>
        </w:tc>
        <w:tc>
          <w:tcPr>
            <w:tcW w:w="1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r>
      <w:tr>
        <w:trPr>
          <w:trHeight w:val="304"/>
        </w:trPr>
        <w:tc>
          <w:tcPr>
            <w:tcW w:w="4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income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6,521</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4,862</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16,641</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15,402</w:t>
            </w:r>
          </w:p>
        </w:tc>
      </w:tr>
      <w:tr>
        <w:trPr>
          <w:trHeight w:val="251"/>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shares outstanding</w:t>
            </w:r>
          </w:p>
        </w:tc>
        <w:tc>
          <w:tcPr>
            <w:tcW w:w="1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26,039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25,723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25,921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25,982</w:t>
            </w:r>
          </w:p>
        </w:tc>
      </w:tr>
      <w:tr>
        <w:trPr>
          <w:trHeight w:val="20"/>
        </w:trPr>
        <w:tc>
          <w:tcPr>
            <w:tcW w:w="4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91"/>
        </w:trPr>
        <w:tc>
          <w:tcPr>
            <w:tcW w:w="4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Basic EPS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0.25</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0.19</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0.64</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0.59</w:t>
            </w:r>
          </w:p>
        </w:tc>
      </w:tr>
      <w:tr>
        <w:trPr>
          <w:trHeight w:val="237"/>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Diluted EPS:</w:t>
            </w:r>
          </w:p>
        </w:tc>
        <w:tc>
          <w:tcPr>
            <w:tcW w:w="1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r>
      <w:tr>
        <w:trPr>
          <w:trHeight w:val="243"/>
        </w:trPr>
        <w:tc>
          <w:tcPr>
            <w:tcW w:w="4000" w:type="dxa"/>
            <w:vAlign w:val="bottom"/>
          </w:tcPr>
          <w:p>
            <w:pPr>
              <w:ind w:left="20"/>
              <w:spacing w:after="0"/>
              <w:rPr>
                <w:sz w:val="20"/>
                <w:szCs w:val="20"/>
                <w:color w:val="auto"/>
              </w:rPr>
            </w:pPr>
            <w:r>
              <w:rPr>
                <w:rFonts w:ascii="Arial" w:cs="Arial" w:eastAsia="Arial" w:hAnsi="Arial"/>
                <w:sz w:val="18"/>
                <w:szCs w:val="18"/>
                <w:color w:val="auto"/>
              </w:rPr>
              <w:t>Weighted average shares outstanding – basic</w:t>
            </w: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26,039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25,723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25,921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25,982</w:t>
            </w:r>
          </w:p>
        </w:tc>
      </w:tr>
      <w:tr>
        <w:trPr>
          <w:trHeight w:val="27"/>
        </w:trPr>
        <w:tc>
          <w:tcPr>
            <w:tcW w:w="4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Dilutive stock options</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r>
      <w:tr>
        <w:trPr>
          <w:trHeight w:val="243"/>
        </w:trPr>
        <w:tc>
          <w:tcPr>
            <w:tcW w:w="4000" w:type="dxa"/>
            <w:vAlign w:val="bottom"/>
          </w:tcPr>
          <w:p>
            <w:pPr>
              <w:ind w:left="20"/>
              <w:spacing w:after="0"/>
              <w:rPr>
                <w:sz w:val="20"/>
                <w:szCs w:val="20"/>
                <w:color w:val="auto"/>
              </w:rPr>
            </w:pPr>
            <w:r>
              <w:rPr>
                <w:rFonts w:ascii="Arial" w:cs="Arial" w:eastAsia="Arial" w:hAnsi="Arial"/>
                <w:sz w:val="18"/>
                <w:szCs w:val="18"/>
                <w:color w:val="auto"/>
              </w:rPr>
              <w:t>Dilutive nonvested deferred shares</w:t>
            </w: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271</w:t>
            </w:r>
          </w:p>
        </w:tc>
      </w:tr>
      <w:tr>
        <w:trPr>
          <w:trHeight w:val="27"/>
        </w:trPr>
        <w:tc>
          <w:tcPr>
            <w:tcW w:w="40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7"/>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weighted average shares</w:t>
            </w:r>
          </w:p>
        </w:tc>
        <w:tc>
          <w:tcPr>
            <w:tcW w:w="14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26,411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26,079</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26,269</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26,333</w:t>
            </w:r>
          </w:p>
        </w:tc>
      </w:tr>
      <w:tr>
        <w:trPr>
          <w:trHeight w:val="20"/>
        </w:trPr>
        <w:tc>
          <w:tcPr>
            <w:tcW w:w="4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51"/>
        </w:trPr>
        <w:tc>
          <w:tcPr>
            <w:tcW w:w="4000" w:type="dxa"/>
            <w:vAlign w:val="bottom"/>
          </w:tcPr>
          <w:p>
            <w:pPr>
              <w:ind w:left="20"/>
              <w:spacing w:after="0"/>
              <w:rPr>
                <w:sz w:val="20"/>
                <w:szCs w:val="20"/>
                <w:color w:val="auto"/>
              </w:rPr>
            </w:pPr>
            <w:r>
              <w:rPr>
                <w:rFonts w:ascii="Arial" w:cs="Arial" w:eastAsia="Arial" w:hAnsi="Arial"/>
                <w:sz w:val="18"/>
                <w:szCs w:val="18"/>
                <w:color w:val="auto"/>
              </w:rPr>
              <w:t>Diluted EPS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0.25</w:t>
            </w:r>
          </w:p>
        </w:tc>
        <w:tc>
          <w:tcPr>
            <w:tcW w:w="120" w:type="dxa"/>
            <w:vAlign w:val="bottom"/>
          </w:tcPr>
          <w:p>
            <w:pPr>
              <w:spacing w:after="0"/>
              <w:rPr>
                <w:sz w:val="21"/>
                <w:szCs w:val="21"/>
                <w:color w:val="auto"/>
              </w:rPr>
            </w:pP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0.19</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0.63</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0.58</w:t>
            </w:r>
          </w:p>
        </w:tc>
      </w:tr>
      <w:tr>
        <w:trPr>
          <w:trHeight w:val="20"/>
        </w:trPr>
        <w:tc>
          <w:tcPr>
            <w:tcW w:w="4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securities are considered antidilutive and have been excluded from the calculation of Diluted EPS:</w:t>
      </w:r>
    </w:p>
    <w:p>
      <w:pPr>
        <w:spacing w:after="0" w:line="230" w:lineRule="exact"/>
        <w:rPr>
          <w:sz w:val="20"/>
          <w:szCs w:val="20"/>
          <w:color w:val="auto"/>
        </w:rPr>
      </w:pPr>
    </w:p>
    <w:tbl>
      <w:tblPr>
        <w:tblLayout w:type="fixed"/>
        <w:tblInd w:w="1500" w:type="dxa"/>
        <w:tblCellMar>
          <w:top w:w="0" w:type="dxa"/>
          <w:left w:w="0" w:type="dxa"/>
          <w:bottom w:w="0" w:type="dxa"/>
          <w:right w:w="0" w:type="dxa"/>
        </w:tblCellMar>
      </w:tblPr>
      <w:tr>
        <w:trPr>
          <w:trHeight w:val="192"/>
        </w:trPr>
        <w:tc>
          <w:tcPr>
            <w:tcW w:w="30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140" w:type="dxa"/>
            <w:vAlign w:val="bottom"/>
            <w:tcBorders>
              <w:bottom w:val="single" w:sz="8" w:color="auto"/>
            </w:tcBorders>
            <w:gridSpan w:val="3"/>
          </w:tcPr>
          <w:p>
            <w:pPr>
              <w:jc w:val="right"/>
              <w:ind w:right="339"/>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140" w:type="dxa"/>
            <w:vAlign w:val="bottom"/>
            <w:tcBorders>
              <w:bottom w:val="single" w:sz="8" w:color="auto"/>
            </w:tcBorders>
            <w:gridSpan w:val="3"/>
          </w:tcPr>
          <w:p>
            <w:pPr>
              <w:jc w:val="right"/>
              <w:ind w:right="357"/>
              <w:spacing w:after="0"/>
              <w:rPr>
                <w:sz w:val="20"/>
                <w:szCs w:val="20"/>
                <w:color w:val="auto"/>
              </w:rPr>
            </w:pPr>
            <w:r>
              <w:rPr>
                <w:rFonts w:ascii="Arial" w:cs="Arial" w:eastAsia="Arial" w:hAnsi="Arial"/>
                <w:sz w:val="14"/>
                <w:szCs w:val="14"/>
                <w:b w:val="1"/>
                <w:bCs w:val="1"/>
                <w:color w:val="auto"/>
              </w:rPr>
              <w:t>Nine Months Ended</w:t>
            </w:r>
          </w:p>
        </w:tc>
      </w:tr>
      <w:tr>
        <w:trPr>
          <w:trHeight w:val="152"/>
        </w:trPr>
        <w:tc>
          <w:tcPr>
            <w:tcW w:w="30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gridSpan w:val="2"/>
          </w:tcPr>
          <w:p>
            <w:pPr>
              <w:jc w:val="center"/>
              <w:ind w:right="160"/>
              <w:spacing w:after="0" w:line="153" w:lineRule="exact"/>
              <w:rPr>
                <w:sz w:val="20"/>
                <w:szCs w:val="20"/>
                <w:color w:val="auto"/>
              </w:rPr>
            </w:pPr>
            <w:r>
              <w:rPr>
                <w:rFonts w:ascii="Arial" w:cs="Arial" w:eastAsia="Arial" w:hAnsi="Arial"/>
                <w:sz w:val="14"/>
                <w:szCs w:val="14"/>
                <w:b w:val="1"/>
                <w:bCs w:val="1"/>
                <w:color w:val="auto"/>
                <w:w w:val="99"/>
              </w:rPr>
              <w:t>March 31,</w:t>
            </w:r>
          </w:p>
        </w:tc>
        <w:tc>
          <w:tcPr>
            <w:tcW w:w="1120" w:type="dxa"/>
            <w:vAlign w:val="bottom"/>
            <w:gridSpan w:val="2"/>
          </w:tcPr>
          <w:p>
            <w:pPr>
              <w:ind w:left="160"/>
              <w:spacing w:after="0" w:line="153" w:lineRule="exact"/>
              <w:rPr>
                <w:sz w:val="20"/>
                <w:szCs w:val="20"/>
                <w:color w:val="auto"/>
              </w:rPr>
            </w:pPr>
            <w:r>
              <w:rPr>
                <w:rFonts w:ascii="Arial" w:cs="Arial" w:eastAsia="Arial" w:hAnsi="Arial"/>
                <w:sz w:val="14"/>
                <w:szCs w:val="14"/>
                <w:b w:val="1"/>
                <w:bCs w:val="1"/>
                <w:color w:val="auto"/>
              </w:rPr>
              <w:t>March 31,</w:t>
            </w:r>
          </w:p>
        </w:tc>
        <w:tc>
          <w:tcPr>
            <w:tcW w:w="1120" w:type="dxa"/>
            <w:vAlign w:val="bottom"/>
            <w:gridSpan w:val="2"/>
          </w:tcPr>
          <w:p>
            <w:pPr>
              <w:ind w:left="160"/>
              <w:spacing w:after="0" w:line="153" w:lineRule="exact"/>
              <w:rPr>
                <w:sz w:val="20"/>
                <w:szCs w:val="20"/>
                <w:color w:val="auto"/>
              </w:rPr>
            </w:pPr>
            <w:r>
              <w:rPr>
                <w:rFonts w:ascii="Arial" w:cs="Arial" w:eastAsia="Arial" w:hAnsi="Arial"/>
                <w:sz w:val="14"/>
                <w:szCs w:val="14"/>
                <w:b w:val="1"/>
                <w:bCs w:val="1"/>
                <w:color w:val="auto"/>
              </w:rPr>
              <w:t>March 31,</w:t>
            </w:r>
          </w:p>
        </w:tc>
        <w:tc>
          <w:tcPr>
            <w:tcW w:w="1020" w:type="dxa"/>
            <w:vAlign w:val="bottom"/>
          </w:tcPr>
          <w:p>
            <w:pPr>
              <w:jc w:val="right"/>
              <w:ind w:right="137"/>
              <w:spacing w:after="0" w:line="153" w:lineRule="exact"/>
              <w:rPr>
                <w:sz w:val="20"/>
                <w:szCs w:val="20"/>
                <w:color w:val="auto"/>
              </w:rPr>
            </w:pPr>
            <w:r>
              <w:rPr>
                <w:rFonts w:ascii="Arial" w:cs="Arial" w:eastAsia="Arial" w:hAnsi="Arial"/>
                <w:sz w:val="14"/>
                <w:szCs w:val="14"/>
                <w:b w:val="1"/>
                <w:bCs w:val="1"/>
                <w:color w:val="auto"/>
              </w:rPr>
              <w:t>March 31,</w:t>
            </w:r>
          </w:p>
        </w:tc>
      </w:tr>
      <w:tr>
        <w:trPr>
          <w:trHeight w:val="192"/>
        </w:trPr>
        <w:tc>
          <w:tcPr>
            <w:tcW w:w="3020" w:type="dxa"/>
            <w:vAlign w:val="bottom"/>
          </w:tcPr>
          <w:p>
            <w:pPr>
              <w:spacing w:after="0"/>
              <w:rPr>
                <w:sz w:val="16"/>
                <w:szCs w:val="16"/>
                <w:color w:val="auto"/>
              </w:rPr>
            </w:pPr>
          </w:p>
        </w:tc>
        <w:tc>
          <w:tcPr>
            <w:tcW w:w="2060" w:type="dxa"/>
            <w:vAlign w:val="bottom"/>
            <w:gridSpan w:val="2"/>
          </w:tcPr>
          <w:p>
            <w:pPr>
              <w:jc w:val="right"/>
              <w:ind w:right="297"/>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6"/>
                <w:szCs w:val="16"/>
                <w:color w:val="auto"/>
              </w:rPr>
            </w:pPr>
          </w:p>
        </w:tc>
        <w:tc>
          <w:tcPr>
            <w:tcW w:w="1020" w:type="dxa"/>
            <w:vAlign w:val="bottom"/>
          </w:tcPr>
          <w:p>
            <w:pPr>
              <w:jc w:val="right"/>
              <w:ind w:right="299"/>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6"/>
                <w:szCs w:val="16"/>
                <w:color w:val="auto"/>
              </w:rPr>
            </w:pPr>
          </w:p>
        </w:tc>
        <w:tc>
          <w:tcPr>
            <w:tcW w:w="1020" w:type="dxa"/>
            <w:vAlign w:val="bottom"/>
          </w:tcPr>
          <w:p>
            <w:pPr>
              <w:jc w:val="right"/>
              <w:ind w:right="299"/>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6"/>
                <w:szCs w:val="16"/>
                <w:color w:val="auto"/>
              </w:rPr>
            </w:pPr>
          </w:p>
        </w:tc>
        <w:tc>
          <w:tcPr>
            <w:tcW w:w="1020" w:type="dxa"/>
            <w:vAlign w:val="bottom"/>
          </w:tcPr>
          <w:p>
            <w:pPr>
              <w:jc w:val="right"/>
              <w:ind w:right="297"/>
              <w:spacing w:after="0"/>
              <w:rPr>
                <w:sz w:val="20"/>
                <w:szCs w:val="20"/>
                <w:color w:val="auto"/>
              </w:rPr>
            </w:pPr>
            <w:r>
              <w:rPr>
                <w:rFonts w:ascii="Arial" w:cs="Arial" w:eastAsia="Arial" w:hAnsi="Arial"/>
                <w:sz w:val="14"/>
                <w:szCs w:val="14"/>
                <w:b w:val="1"/>
                <w:bCs w:val="1"/>
                <w:color w:val="auto"/>
              </w:rPr>
              <w:t>2012</w:t>
            </w:r>
          </w:p>
        </w:tc>
      </w:tr>
      <w:tr>
        <w:trPr>
          <w:trHeight w:val="196"/>
        </w:trPr>
        <w:tc>
          <w:tcPr>
            <w:tcW w:w="30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240" w:type="dxa"/>
            <w:vAlign w:val="bottom"/>
            <w:tcBorders>
              <w:top w:val="single" w:sz="8" w:color="auto"/>
            </w:tcBorders>
            <w:gridSpan w:val="4"/>
          </w:tcPr>
          <w:p>
            <w:pPr>
              <w:ind w:left="660"/>
              <w:spacing w:after="0"/>
              <w:rPr>
                <w:sz w:val="20"/>
                <w:szCs w:val="20"/>
                <w:color w:val="auto"/>
              </w:rPr>
            </w:pPr>
            <w:r>
              <w:rPr>
                <w:rFonts w:ascii="Arial" w:cs="Arial" w:eastAsia="Arial" w:hAnsi="Arial"/>
                <w:sz w:val="14"/>
                <w:szCs w:val="14"/>
                <w:color w:val="auto"/>
              </w:rPr>
              <w:t>(In thousands)</w:t>
            </w:r>
          </w:p>
        </w:tc>
        <w:tc>
          <w:tcPr>
            <w:tcW w:w="1020" w:type="dxa"/>
            <w:vAlign w:val="bottom"/>
            <w:tcBorders>
              <w:top w:val="single" w:sz="8" w:color="auto"/>
            </w:tcBorders>
          </w:tcPr>
          <w:p>
            <w:pPr>
              <w:spacing w:after="0"/>
              <w:rPr>
                <w:sz w:val="17"/>
                <w:szCs w:val="17"/>
                <w:color w:val="auto"/>
              </w:rPr>
            </w:pPr>
          </w:p>
        </w:tc>
      </w:tr>
      <w:tr>
        <w:trPr>
          <w:trHeight w:val="256"/>
        </w:trPr>
        <w:tc>
          <w:tcPr>
            <w:tcW w:w="3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 options</w:t>
            </w:r>
          </w:p>
        </w:tc>
        <w:tc>
          <w:tcPr>
            <w:tcW w:w="10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241</w:t>
            </w:r>
          </w:p>
        </w:tc>
      </w:tr>
      <w:tr>
        <w:trPr>
          <w:trHeight w:val="243"/>
        </w:trPr>
        <w:tc>
          <w:tcPr>
            <w:tcW w:w="3020" w:type="dxa"/>
            <w:vAlign w:val="bottom"/>
          </w:tcPr>
          <w:p>
            <w:pPr>
              <w:ind w:left="20"/>
              <w:spacing w:after="0"/>
              <w:rPr>
                <w:sz w:val="20"/>
                <w:szCs w:val="20"/>
                <w:color w:val="auto"/>
              </w:rPr>
            </w:pPr>
            <w:r>
              <w:rPr>
                <w:rFonts w:ascii="Arial" w:cs="Arial" w:eastAsia="Arial" w:hAnsi="Arial"/>
                <w:sz w:val="18"/>
                <w:szCs w:val="18"/>
                <w:color w:val="auto"/>
              </w:rPr>
              <w:t>Nonvested deferred shares</w:t>
            </w:r>
          </w:p>
        </w:tc>
        <w:tc>
          <w:tcPr>
            <w:tcW w:w="1040" w:type="dxa"/>
            <w:vAlign w:val="bottom"/>
          </w:tcPr>
          <w:p>
            <w:pPr>
              <w:spacing w:after="0"/>
              <w:rPr>
                <w:sz w:val="21"/>
                <w:szCs w:val="21"/>
                <w:color w:val="auto"/>
              </w:rPr>
            </w:pPr>
          </w:p>
        </w:tc>
        <w:tc>
          <w:tcPr>
            <w:tcW w:w="112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302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7"/>
        </w:trPr>
        <w:tc>
          <w:tcPr>
            <w:tcW w:w="3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antidilutive securities</w:t>
            </w:r>
          </w:p>
        </w:tc>
        <w:tc>
          <w:tcPr>
            <w:tcW w:w="104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w:t>
            </w:r>
          </w:p>
        </w:tc>
      </w:tr>
      <w:tr>
        <w:trPr>
          <w:trHeight w:val="20"/>
        </w:trPr>
        <w:tc>
          <w:tcPr>
            <w:tcW w:w="30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r>
        <w:trPr>
          <w:trHeight w:val="446"/>
        </w:trPr>
        <w:tc>
          <w:tcPr>
            <w:tcW w:w="3020" w:type="dxa"/>
            <w:vAlign w:val="bottom"/>
          </w:tcPr>
          <w:p>
            <w:pPr>
              <w:spacing w:after="0"/>
              <w:rPr>
                <w:sz w:val="24"/>
                <w:szCs w:val="24"/>
                <w:color w:val="auto"/>
              </w:rPr>
            </w:pPr>
          </w:p>
        </w:tc>
        <w:tc>
          <w:tcPr>
            <w:tcW w:w="2060" w:type="dxa"/>
            <w:vAlign w:val="bottom"/>
            <w:gridSpan w:val="2"/>
          </w:tcPr>
          <w:p>
            <w:pPr>
              <w:jc w:val="right"/>
              <w:ind w:right="617"/>
              <w:spacing w:after="0"/>
              <w:rPr>
                <w:sz w:val="20"/>
                <w:szCs w:val="20"/>
                <w:color w:val="auto"/>
              </w:rPr>
            </w:pPr>
            <w:r>
              <w:rPr>
                <w:rFonts w:ascii="Arial" w:cs="Arial" w:eastAsia="Arial" w:hAnsi="Arial"/>
                <w:sz w:val="18"/>
                <w:szCs w:val="18"/>
                <w:color w:val="auto"/>
              </w:rPr>
              <w:t>- 13-</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ectPr>
          <w:pgSz w:w="11900" w:h="16838" w:orient="portrait"/>
          <w:cols w:equalWidth="0" w:num="1">
            <w:col w:w="11400"/>
          </w:cols>
          <w:pgMar w:left="240" w:top="125" w:right="25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Matrix Service Company</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Segment Information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We operate our business through four reportable segments: Electrical Infrastructure, Oil Gas &amp; Chemical, Storage Solutions, and Industrial.</w:t>
      </w:r>
    </w:p>
    <w:p>
      <w:pPr>
        <w:spacing w:after="0" w:line="17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Electrical Infrastructure segment primarily encompasses high voltage services to investor owned utilities, including construction of new substations, upgrades of existing substations, short-run transmission line installations, distribution upgrades and maintenance, and storm restoration services. We also provide construction and maintenance services to a variety of power generation facilities, such as combined cycle plants, nuclear facilities, coal fired power stations, and renewable energy installations.</w:t>
      </w:r>
    </w:p>
    <w:p>
      <w:pPr>
        <w:spacing w:after="0" w:line="133"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The Oil Gas &amp; Chemical segment includes our traditional turnaround activities, plant maintenance services and construction in the downstream petroleum industry. Another key offering is industrial cleaning services, which include hydroblasting, hydroexcavating, chemical cleaning and vacuum services. We also perform work in the renewable energy, industrial and natural gas, gas processing and compression, and upstream petroleum markets.</w:t>
      </w:r>
    </w:p>
    <w:p>
      <w:pPr>
        <w:spacing w:after="0" w:line="9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Storage Solutions segment includes new construction of, as well as planned and emergency maintenance services for, crude and refined products aboveground storage tanks. Also included in the Storage Solutions segment is work related to specialty storage tanks including liquefied natural gas (“LNG”), liquid nitrogen/liquid oxygen (“LIN/LOX”), liquid petroleum (“LPG”) tanks and other specialty vessels including spheres. Finally, the Storage Solutions segment includes balance of plant work in storage terminals and tank farms.</w:t>
      </w:r>
    </w:p>
    <w:p>
      <w:pPr>
        <w:spacing w:after="0" w:line="13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Industrial segment includes work in the mining and minerals industry, bulk material handling, thermal vacuum chambers, fertilizer production facilities, as well as work for clients in other industrial and manufacturing markets.</w:t>
      </w:r>
    </w:p>
    <w:p>
      <w:pPr>
        <w:spacing w:after="0" w:line="11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chief operating decision maker evaluates performance and allocates resources based primarily on operating income. The results of each operating segment include an allocation of corporate costs. The accounting policies of the reportable segments are the same as those described in the summary of significant accounting policies. Intersegment sales and transfers are recorded at cost and eliminated in consolidation; therefore, no intercompany profit or loss is recognized.</w:t>
      </w:r>
    </w:p>
    <w:p>
      <w:pPr>
        <w:spacing w:after="0" w:line="133"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Segment assets consist primarily of accounts receivable, costs and estimated earnings in excess of billings on uncompleted contracts, property, plant and equipment, goodwill and other intangible assets.</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- 14-</w:t>
      </w:r>
    </w:p>
    <w:p>
      <w:pPr>
        <w:sectPr>
          <w:pgSz w:w="11900" w:h="16838" w:orient="portrait"/>
          <w:cols w:equalWidth="0" w:num="1">
            <w:col w:w="11400"/>
          </w:cols>
          <w:pgMar w:left="240" w:top="125" w:right="25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1"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Matrix Service Company</w:t>
      </w:r>
    </w:p>
    <w:p>
      <w:pPr>
        <w:spacing w:after="0" w:line="90"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0"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68"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Results of Operations</w:t>
      </w:r>
    </w:p>
    <w:p>
      <w:pPr>
        <w:spacing w:after="0" w:line="90"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(In thousands)</w:t>
      </w:r>
    </w:p>
    <w:p>
      <w:pPr>
        <w:spacing w:after="0" w:line="167" w:lineRule="exact"/>
        <w:rPr>
          <w:sz w:val="20"/>
          <w:szCs w:val="20"/>
          <w:color w:val="auto"/>
        </w:rPr>
      </w:pPr>
    </w:p>
    <w:tbl>
      <w:tblPr>
        <w:tblLayout w:type="fixed"/>
        <w:tblInd w:w="1160" w:type="dxa"/>
        <w:tblCellMar>
          <w:top w:w="0" w:type="dxa"/>
          <w:left w:w="0" w:type="dxa"/>
          <w:bottom w:w="0" w:type="dxa"/>
          <w:right w:w="0" w:type="dxa"/>
        </w:tblCellMar>
      </w:tblPr>
      <w:tr>
        <w:trPr>
          <w:trHeight w:val="192"/>
        </w:trPr>
        <w:tc>
          <w:tcPr>
            <w:tcW w:w="48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4"/>
          </w:tcPr>
          <w:p>
            <w:pPr>
              <w:jc w:val="right"/>
              <w:ind w:right="291"/>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4"/>
          </w:tcPr>
          <w:p>
            <w:pPr>
              <w:jc w:val="right"/>
              <w:ind w:right="351"/>
              <w:spacing w:after="0"/>
              <w:rPr>
                <w:sz w:val="20"/>
                <w:szCs w:val="20"/>
                <w:color w:val="auto"/>
              </w:rPr>
            </w:pPr>
            <w:r>
              <w:rPr>
                <w:rFonts w:ascii="Arial" w:cs="Arial" w:eastAsia="Arial" w:hAnsi="Arial"/>
                <w:sz w:val="14"/>
                <w:szCs w:val="14"/>
                <w:b w:val="1"/>
                <w:bCs w:val="1"/>
                <w:color w:val="auto"/>
              </w:rPr>
              <w:t>Nine Months Ended</w:t>
            </w:r>
          </w:p>
        </w:tc>
      </w:tr>
      <w:tr>
        <w:trPr>
          <w:trHeight w:val="152"/>
        </w:trPr>
        <w:tc>
          <w:tcPr>
            <w:tcW w:w="4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March 31,</w:t>
            </w:r>
          </w:p>
        </w:tc>
        <w:tc>
          <w:tcPr>
            <w:tcW w:w="120" w:type="dxa"/>
            <w:vAlign w:val="bottom"/>
          </w:tcPr>
          <w:p>
            <w:pPr>
              <w:spacing w:after="0"/>
              <w:rPr>
                <w:sz w:val="13"/>
                <w:szCs w:val="13"/>
                <w:color w:val="auto"/>
              </w:rPr>
            </w:pPr>
          </w:p>
        </w:tc>
        <w:tc>
          <w:tcPr>
            <w:tcW w:w="100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March 31,</w:t>
            </w:r>
          </w:p>
        </w:tc>
        <w:tc>
          <w:tcPr>
            <w:tcW w:w="140" w:type="dxa"/>
            <w:vAlign w:val="bottom"/>
          </w:tcPr>
          <w:p>
            <w:pPr>
              <w:spacing w:after="0"/>
              <w:rPr>
                <w:sz w:val="13"/>
                <w:szCs w:val="13"/>
                <w:color w:val="auto"/>
              </w:rPr>
            </w:pPr>
          </w:p>
        </w:tc>
        <w:tc>
          <w:tcPr>
            <w:tcW w:w="98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March 31,</w:t>
            </w:r>
          </w:p>
        </w:tc>
        <w:tc>
          <w:tcPr>
            <w:tcW w:w="140" w:type="dxa"/>
            <w:vAlign w:val="bottom"/>
          </w:tcPr>
          <w:p>
            <w:pPr>
              <w:spacing w:after="0"/>
              <w:rPr>
                <w:sz w:val="13"/>
                <w:szCs w:val="13"/>
                <w:color w:val="auto"/>
              </w:rPr>
            </w:pPr>
          </w:p>
        </w:tc>
        <w:tc>
          <w:tcPr>
            <w:tcW w:w="860" w:type="dxa"/>
            <w:vAlign w:val="bottom"/>
          </w:tcPr>
          <w:p>
            <w:pPr>
              <w:jc w:val="right"/>
              <w:ind w:right="131"/>
              <w:spacing w:after="0" w:line="153" w:lineRule="exact"/>
              <w:rPr>
                <w:sz w:val="20"/>
                <w:szCs w:val="20"/>
                <w:color w:val="auto"/>
              </w:rPr>
            </w:pPr>
            <w:r>
              <w:rPr>
                <w:rFonts w:ascii="Arial" w:cs="Arial" w:eastAsia="Arial" w:hAnsi="Arial"/>
                <w:sz w:val="14"/>
                <w:szCs w:val="14"/>
                <w:b w:val="1"/>
                <w:bCs w:val="1"/>
                <w:color w:val="auto"/>
                <w:w w:val="95"/>
              </w:rPr>
              <w:t>March 31,</w:t>
            </w:r>
          </w:p>
        </w:tc>
      </w:tr>
      <w:tr>
        <w:trPr>
          <w:trHeight w:val="192"/>
        </w:trPr>
        <w:tc>
          <w:tcPr>
            <w:tcW w:w="48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2012</w:t>
            </w:r>
          </w:p>
        </w:tc>
      </w:tr>
      <w:tr>
        <w:trPr>
          <w:trHeight w:val="250"/>
        </w:trPr>
        <w:tc>
          <w:tcPr>
            <w:tcW w:w="4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Gross revenues</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4800" w:type="dxa"/>
            <w:vAlign w:val="bottom"/>
          </w:tcPr>
          <w:p>
            <w:pPr>
              <w:ind w:left="20"/>
              <w:spacing w:after="0"/>
              <w:rPr>
                <w:sz w:val="20"/>
                <w:szCs w:val="20"/>
                <w:color w:val="auto"/>
              </w:rPr>
            </w:pPr>
            <w:r>
              <w:rPr>
                <w:rFonts w:ascii="Arial" w:cs="Arial" w:eastAsia="Arial" w:hAnsi="Arial"/>
                <w:sz w:val="18"/>
                <w:szCs w:val="18"/>
                <w:color w:val="auto"/>
              </w:rPr>
              <w:t>Electrical Infrastructure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41,709</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37,621</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125,102</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103,261</w:t>
            </w: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Oil Gas &amp; Chemical</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73,638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55,569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207,370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151,318</w:t>
            </w:r>
          </w:p>
        </w:tc>
      </w:tr>
      <w:tr>
        <w:trPr>
          <w:trHeight w:val="243"/>
        </w:trPr>
        <w:tc>
          <w:tcPr>
            <w:tcW w:w="4800" w:type="dxa"/>
            <w:vAlign w:val="bottom"/>
          </w:tcPr>
          <w:p>
            <w:pPr>
              <w:ind w:left="20"/>
              <w:spacing w:after="0"/>
              <w:rPr>
                <w:sz w:val="20"/>
                <w:szCs w:val="20"/>
                <w:color w:val="auto"/>
              </w:rPr>
            </w:pPr>
            <w:r>
              <w:rPr>
                <w:rFonts w:ascii="Arial" w:cs="Arial" w:eastAsia="Arial" w:hAnsi="Arial"/>
                <w:sz w:val="18"/>
                <w:szCs w:val="18"/>
                <w:color w:val="auto"/>
              </w:rPr>
              <w:t>Storage Solutions</w:t>
            </w:r>
          </w:p>
        </w:tc>
        <w:tc>
          <w:tcPr>
            <w:tcW w:w="1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95,200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88,326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298,801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283,958</w:t>
            </w: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4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Industrial</w:t>
            </w:r>
          </w:p>
        </w:tc>
        <w:tc>
          <w:tcPr>
            <w:tcW w:w="1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15,841</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3,112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27,849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17,763</w:t>
            </w:r>
          </w:p>
        </w:tc>
      </w:tr>
      <w:tr>
        <w:trPr>
          <w:trHeight w:val="297"/>
        </w:trPr>
        <w:tc>
          <w:tcPr>
            <w:tcW w:w="48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gross revenues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226,388</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184,628</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659,122</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556,300</w:t>
            </w:r>
          </w:p>
        </w:tc>
      </w:tr>
      <w:tr>
        <w:trPr>
          <w:trHeight w:val="237"/>
        </w:trPr>
        <w:tc>
          <w:tcPr>
            <w:tcW w:w="4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Less: Inter-segment revenues</w:t>
            </w:r>
          </w:p>
        </w:tc>
        <w:tc>
          <w:tcPr>
            <w:tcW w:w="1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r>
      <w:tr>
        <w:trPr>
          <w:trHeight w:val="243"/>
        </w:trPr>
        <w:tc>
          <w:tcPr>
            <w:tcW w:w="4800" w:type="dxa"/>
            <w:vAlign w:val="bottom"/>
          </w:tcPr>
          <w:p>
            <w:pPr>
              <w:ind w:left="20"/>
              <w:spacing w:after="0"/>
              <w:rPr>
                <w:sz w:val="20"/>
                <w:szCs w:val="20"/>
                <w:color w:val="auto"/>
              </w:rPr>
            </w:pPr>
            <w:r>
              <w:rPr>
                <w:rFonts w:ascii="Arial" w:cs="Arial" w:eastAsia="Arial" w:hAnsi="Arial"/>
                <w:sz w:val="18"/>
                <w:szCs w:val="18"/>
                <w:color w:val="auto"/>
              </w:rPr>
              <w:t>Electrical Infrastructure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Oil Gas &amp; Chemical</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208</w:t>
            </w:r>
          </w:p>
        </w:tc>
      </w:tr>
      <w:tr>
        <w:trPr>
          <w:trHeight w:val="243"/>
        </w:trPr>
        <w:tc>
          <w:tcPr>
            <w:tcW w:w="4800" w:type="dxa"/>
            <w:vAlign w:val="bottom"/>
          </w:tcPr>
          <w:p>
            <w:pPr>
              <w:ind w:left="20"/>
              <w:spacing w:after="0"/>
              <w:rPr>
                <w:sz w:val="20"/>
                <w:szCs w:val="20"/>
                <w:color w:val="auto"/>
              </w:rPr>
            </w:pPr>
            <w:r>
              <w:rPr>
                <w:rFonts w:ascii="Arial" w:cs="Arial" w:eastAsia="Arial" w:hAnsi="Arial"/>
                <w:sz w:val="18"/>
                <w:szCs w:val="18"/>
                <w:color w:val="auto"/>
              </w:rPr>
              <w:t>Storage Solutions</w:t>
            </w:r>
          </w:p>
        </w:tc>
        <w:tc>
          <w:tcPr>
            <w:tcW w:w="1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374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729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2,064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1,908</w:t>
            </w: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4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Industrial</w:t>
            </w:r>
          </w:p>
        </w:tc>
        <w:tc>
          <w:tcPr>
            <w:tcW w:w="1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97"/>
        </w:trPr>
        <w:tc>
          <w:tcPr>
            <w:tcW w:w="48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inter-segment revenues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418</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729</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2,108</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2,116</w:t>
            </w:r>
          </w:p>
        </w:tc>
      </w:tr>
      <w:tr>
        <w:trPr>
          <w:trHeight w:val="237"/>
        </w:trPr>
        <w:tc>
          <w:tcPr>
            <w:tcW w:w="4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Consolidated revenues</w:t>
            </w:r>
          </w:p>
        </w:tc>
        <w:tc>
          <w:tcPr>
            <w:tcW w:w="1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r>
      <w:tr>
        <w:trPr>
          <w:trHeight w:val="243"/>
        </w:trPr>
        <w:tc>
          <w:tcPr>
            <w:tcW w:w="4800" w:type="dxa"/>
            <w:vAlign w:val="bottom"/>
          </w:tcPr>
          <w:p>
            <w:pPr>
              <w:ind w:left="20"/>
              <w:spacing w:after="0"/>
              <w:rPr>
                <w:sz w:val="20"/>
                <w:szCs w:val="20"/>
                <w:color w:val="auto"/>
              </w:rPr>
            </w:pPr>
            <w:r>
              <w:rPr>
                <w:rFonts w:ascii="Arial" w:cs="Arial" w:eastAsia="Arial" w:hAnsi="Arial"/>
                <w:sz w:val="18"/>
                <w:szCs w:val="18"/>
                <w:color w:val="auto"/>
              </w:rPr>
              <w:t>Electrical Infrastructure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41,709</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37,621</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125,102</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103,261</w:t>
            </w: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Oil Gas &amp; Chemical</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73,594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55,569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207,326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151,110</w:t>
            </w:r>
          </w:p>
        </w:tc>
      </w:tr>
      <w:tr>
        <w:trPr>
          <w:trHeight w:val="243"/>
        </w:trPr>
        <w:tc>
          <w:tcPr>
            <w:tcW w:w="4800" w:type="dxa"/>
            <w:vAlign w:val="bottom"/>
          </w:tcPr>
          <w:p>
            <w:pPr>
              <w:ind w:left="20"/>
              <w:spacing w:after="0"/>
              <w:rPr>
                <w:sz w:val="20"/>
                <w:szCs w:val="20"/>
                <w:color w:val="auto"/>
              </w:rPr>
            </w:pPr>
            <w:r>
              <w:rPr>
                <w:rFonts w:ascii="Arial" w:cs="Arial" w:eastAsia="Arial" w:hAnsi="Arial"/>
                <w:sz w:val="18"/>
                <w:szCs w:val="18"/>
                <w:color w:val="auto"/>
              </w:rPr>
              <w:t>Storage Solutions</w:t>
            </w:r>
          </w:p>
        </w:tc>
        <w:tc>
          <w:tcPr>
            <w:tcW w:w="1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94,826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87,597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296,737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282,050</w:t>
            </w: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4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Industrial</w:t>
            </w:r>
          </w:p>
        </w:tc>
        <w:tc>
          <w:tcPr>
            <w:tcW w:w="1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15,841</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3,112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27,849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17,763</w:t>
            </w:r>
          </w:p>
        </w:tc>
      </w:tr>
      <w:tr>
        <w:trPr>
          <w:trHeight w:val="297"/>
        </w:trPr>
        <w:tc>
          <w:tcPr>
            <w:tcW w:w="48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consolidated revenues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225,970</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183,899</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657,014</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554,184</w:t>
            </w:r>
          </w:p>
        </w:tc>
      </w:tr>
      <w:tr>
        <w:trPr>
          <w:trHeight w:val="237"/>
        </w:trPr>
        <w:tc>
          <w:tcPr>
            <w:tcW w:w="4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Gross profit (loss)</w:t>
            </w:r>
          </w:p>
        </w:tc>
        <w:tc>
          <w:tcPr>
            <w:tcW w:w="1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r>
      <w:tr>
        <w:trPr>
          <w:trHeight w:val="243"/>
        </w:trPr>
        <w:tc>
          <w:tcPr>
            <w:tcW w:w="4800" w:type="dxa"/>
            <w:vAlign w:val="bottom"/>
          </w:tcPr>
          <w:p>
            <w:pPr>
              <w:ind w:left="20"/>
              <w:spacing w:after="0"/>
              <w:rPr>
                <w:sz w:val="20"/>
                <w:szCs w:val="20"/>
                <w:color w:val="auto"/>
              </w:rPr>
            </w:pPr>
            <w:r>
              <w:rPr>
                <w:rFonts w:ascii="Arial" w:cs="Arial" w:eastAsia="Arial" w:hAnsi="Arial"/>
                <w:sz w:val="18"/>
                <w:szCs w:val="18"/>
                <w:color w:val="auto"/>
              </w:rPr>
              <w:t>Electrical Infrastructure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4,994</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4,809</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16,329</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12,585</w:t>
            </w: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Oil Gas &amp; Chemical</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8,016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5,015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23,928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14,298</w:t>
            </w:r>
          </w:p>
        </w:tc>
      </w:tr>
      <w:tr>
        <w:trPr>
          <w:trHeight w:val="243"/>
        </w:trPr>
        <w:tc>
          <w:tcPr>
            <w:tcW w:w="4800" w:type="dxa"/>
            <w:vAlign w:val="bottom"/>
          </w:tcPr>
          <w:p>
            <w:pPr>
              <w:ind w:left="20"/>
              <w:spacing w:after="0"/>
              <w:rPr>
                <w:sz w:val="20"/>
                <w:szCs w:val="20"/>
                <w:color w:val="auto"/>
              </w:rPr>
            </w:pPr>
            <w:r>
              <w:rPr>
                <w:rFonts w:ascii="Arial" w:cs="Arial" w:eastAsia="Arial" w:hAnsi="Arial"/>
                <w:sz w:val="18"/>
                <w:szCs w:val="18"/>
                <w:color w:val="auto"/>
              </w:rPr>
              <w:t>Storage Solutions</w:t>
            </w:r>
          </w:p>
        </w:tc>
        <w:tc>
          <w:tcPr>
            <w:tcW w:w="1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8,828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9,999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26,545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33,075</w:t>
            </w: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4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Industrial</w:t>
            </w:r>
          </w:p>
        </w:tc>
        <w:tc>
          <w:tcPr>
            <w:tcW w:w="1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1,288</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901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1,004</w:t>
            </w:r>
          </w:p>
        </w:tc>
      </w:tr>
      <w:tr>
        <w:trPr>
          <w:trHeight w:val="297"/>
        </w:trPr>
        <w:tc>
          <w:tcPr>
            <w:tcW w:w="48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gross profit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23,126</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19,771</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67,703</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60,962</w:t>
            </w:r>
          </w:p>
        </w:tc>
      </w:tr>
      <w:tr>
        <w:trPr>
          <w:trHeight w:val="237"/>
        </w:trPr>
        <w:tc>
          <w:tcPr>
            <w:tcW w:w="4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 (loss)</w:t>
            </w:r>
          </w:p>
        </w:tc>
        <w:tc>
          <w:tcPr>
            <w:tcW w:w="1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r>
      <w:tr>
        <w:trPr>
          <w:trHeight w:val="243"/>
        </w:trPr>
        <w:tc>
          <w:tcPr>
            <w:tcW w:w="4800" w:type="dxa"/>
            <w:vAlign w:val="bottom"/>
          </w:tcPr>
          <w:p>
            <w:pPr>
              <w:ind w:left="20"/>
              <w:spacing w:after="0"/>
              <w:rPr>
                <w:sz w:val="20"/>
                <w:szCs w:val="20"/>
                <w:color w:val="auto"/>
              </w:rPr>
            </w:pPr>
            <w:r>
              <w:rPr>
                <w:rFonts w:ascii="Arial" w:cs="Arial" w:eastAsia="Arial" w:hAnsi="Arial"/>
                <w:sz w:val="18"/>
                <w:szCs w:val="18"/>
                <w:color w:val="auto"/>
              </w:rPr>
              <w:t>Electrical Infrastructure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2,424</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2,540</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8,439</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5,761</w:t>
            </w: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Oil Gas &amp; Chemical</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3,285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1,922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10,987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5,744</w:t>
            </w:r>
          </w:p>
        </w:tc>
      </w:tr>
      <w:tr>
        <w:trPr>
          <w:trHeight w:val="243"/>
        </w:trPr>
        <w:tc>
          <w:tcPr>
            <w:tcW w:w="4800" w:type="dxa"/>
            <w:vAlign w:val="bottom"/>
          </w:tcPr>
          <w:p>
            <w:pPr>
              <w:ind w:left="20"/>
              <w:spacing w:after="0"/>
              <w:rPr>
                <w:sz w:val="20"/>
                <w:szCs w:val="20"/>
                <w:color w:val="auto"/>
              </w:rPr>
            </w:pPr>
            <w:r>
              <w:rPr>
                <w:rFonts w:ascii="Arial" w:cs="Arial" w:eastAsia="Arial" w:hAnsi="Arial"/>
                <w:sz w:val="18"/>
                <w:szCs w:val="18"/>
                <w:color w:val="auto"/>
              </w:rPr>
              <w:t>Storage Solutions</w:t>
            </w:r>
          </w:p>
        </w:tc>
        <w:tc>
          <w:tcPr>
            <w:tcW w:w="1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2,447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3,745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7,446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14,518</w:t>
            </w: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4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Industrial</w:t>
            </w:r>
          </w:p>
        </w:tc>
        <w:tc>
          <w:tcPr>
            <w:tcW w:w="1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(798)</w:t>
            </w:r>
          </w:p>
        </w:tc>
      </w:tr>
      <w:tr>
        <w:trPr>
          <w:trHeight w:val="297"/>
        </w:trPr>
        <w:tc>
          <w:tcPr>
            <w:tcW w:w="48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operating income</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8,431</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7,415</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25,127</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25,225</w:t>
            </w:r>
          </w:p>
        </w:tc>
      </w:tr>
      <w:tr>
        <w:trPr>
          <w:trHeight w:val="237"/>
        </w:trPr>
        <w:tc>
          <w:tcPr>
            <w:tcW w:w="4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Segment assets</w:t>
            </w:r>
          </w:p>
        </w:tc>
        <w:tc>
          <w:tcPr>
            <w:tcW w:w="1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r>
      <w:tr>
        <w:trPr>
          <w:trHeight w:val="243"/>
        </w:trPr>
        <w:tc>
          <w:tcPr>
            <w:tcW w:w="4800" w:type="dxa"/>
            <w:vAlign w:val="bottom"/>
          </w:tcPr>
          <w:p>
            <w:pPr>
              <w:ind w:left="20"/>
              <w:spacing w:after="0"/>
              <w:rPr>
                <w:sz w:val="20"/>
                <w:szCs w:val="20"/>
                <w:color w:val="auto"/>
              </w:rPr>
            </w:pPr>
            <w:r>
              <w:rPr>
                <w:rFonts w:ascii="Arial" w:cs="Arial" w:eastAsia="Arial" w:hAnsi="Arial"/>
                <w:sz w:val="18"/>
                <w:szCs w:val="18"/>
                <w:color w:val="auto"/>
              </w:rPr>
              <w:t>Electrical Infrastructure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58,640</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53,961</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58,640</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53,961</w:t>
            </w: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Oil Gas &amp; Chemical</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84,499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63,222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84,499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63,222</w:t>
            </w:r>
          </w:p>
        </w:tc>
      </w:tr>
      <w:tr>
        <w:trPr>
          <w:trHeight w:val="243"/>
        </w:trPr>
        <w:tc>
          <w:tcPr>
            <w:tcW w:w="4800" w:type="dxa"/>
            <w:vAlign w:val="bottom"/>
          </w:tcPr>
          <w:p>
            <w:pPr>
              <w:ind w:left="20"/>
              <w:spacing w:after="0"/>
              <w:rPr>
                <w:sz w:val="20"/>
                <w:szCs w:val="20"/>
                <w:color w:val="auto"/>
              </w:rPr>
            </w:pPr>
            <w:r>
              <w:rPr>
                <w:rFonts w:ascii="Arial" w:cs="Arial" w:eastAsia="Arial" w:hAnsi="Arial"/>
                <w:sz w:val="18"/>
                <w:szCs w:val="18"/>
                <w:color w:val="auto"/>
              </w:rPr>
              <w:t>Storage Solutions</w:t>
            </w:r>
          </w:p>
        </w:tc>
        <w:tc>
          <w:tcPr>
            <w:tcW w:w="1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155,739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131,673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155,739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131,673</w:t>
            </w: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Industrial</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23,683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13,744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23,683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13,744</w:t>
            </w:r>
          </w:p>
        </w:tc>
      </w:tr>
      <w:tr>
        <w:trPr>
          <w:trHeight w:val="243"/>
        </w:trPr>
        <w:tc>
          <w:tcPr>
            <w:tcW w:w="4800" w:type="dxa"/>
            <w:vAlign w:val="bottom"/>
          </w:tcPr>
          <w:p>
            <w:pPr>
              <w:ind w:left="20"/>
              <w:spacing w:after="0"/>
              <w:rPr>
                <w:sz w:val="20"/>
                <w:szCs w:val="20"/>
                <w:color w:val="auto"/>
              </w:rPr>
            </w:pPr>
            <w:r>
              <w:rPr>
                <w:rFonts w:ascii="Arial" w:cs="Arial" w:eastAsia="Arial" w:hAnsi="Arial"/>
                <w:sz w:val="18"/>
                <w:szCs w:val="18"/>
                <w:color w:val="auto"/>
              </w:rPr>
              <w:t>Unallocated Corporate assets</w:t>
            </w:r>
          </w:p>
        </w:tc>
        <w:tc>
          <w:tcPr>
            <w:tcW w:w="1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56,614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53,176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56,614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53,176</w:t>
            </w:r>
          </w:p>
        </w:tc>
      </w:tr>
      <w:tr>
        <w:trPr>
          <w:trHeight w:val="27"/>
        </w:trPr>
        <w:tc>
          <w:tcPr>
            <w:tcW w:w="48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7"/>
        </w:trPr>
        <w:tc>
          <w:tcPr>
            <w:tcW w:w="48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segment assets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379,175</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315,776</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379,175</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315,776</w:t>
            </w:r>
          </w:p>
        </w:tc>
      </w:tr>
      <w:tr>
        <w:trPr>
          <w:trHeight w:val="20"/>
        </w:trPr>
        <w:tc>
          <w:tcPr>
            <w:tcW w:w="48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280"/>
          </w:cols>
          <w:pgMar w:left="240" w:top="125" w:right="1379" w:bottom="1440" w:gutter="0" w:footer="0" w:header="0"/>
        </w:sectPr>
      </w:pPr>
    </w:p>
    <w:p>
      <w:pPr>
        <w:spacing w:after="0" w:line="245"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- 15-</w:t>
      </w:r>
    </w:p>
    <w:p>
      <w:pPr>
        <w:sectPr>
          <w:pgSz w:w="11900" w:h="16838" w:orient="portrait"/>
          <w:cols w:equalWidth="0" w:num="1">
            <w:col w:w="10280"/>
          </w:cols>
          <w:pgMar w:left="240" w:top="125" w:right="1379" w:bottom="1440" w:gutter="0" w:footer="0" w:header="0"/>
          <w:type w:val="continuous"/>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ind w:right="3960"/>
        <w:spacing w:after="0" w:line="346"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CRITICAL ACCOUNTING ESTIMATES</w:t>
      </w:r>
    </w:p>
    <w:p>
      <w:pPr>
        <w:spacing w:after="0" w:line="1" w:lineRule="exact"/>
        <w:rPr>
          <w:sz w:val="20"/>
          <w:szCs w:val="20"/>
          <w:color w:val="auto"/>
        </w:rPr>
      </w:pPr>
    </w:p>
    <w:p>
      <w:pPr>
        <w:jc w:val="both"/>
        <w:ind w:right="280"/>
        <w:spacing w:after="0" w:line="286" w:lineRule="auto"/>
        <w:rPr>
          <w:sz w:val="20"/>
          <w:szCs w:val="20"/>
          <w:color w:val="auto"/>
        </w:rPr>
      </w:pPr>
      <w:r>
        <w:rPr>
          <w:rFonts w:ascii="Arial" w:cs="Arial" w:eastAsia="Arial" w:hAnsi="Arial"/>
          <w:sz w:val="17"/>
          <w:szCs w:val="17"/>
          <w:color w:val="auto"/>
        </w:rPr>
        <w:t>There have been no material changes in our critical accounting policies from those reported in our fiscal 2012 Annual Report on Form 10-K filed with the SEC. For more information on our critical accounting policies, see Part II, Item 7 of our fiscal 2012 Annual Report on Form 10-K. The following section provides certain information with respect to our critical accounting estimates as of the close of our most recent quarterly period.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Unapproved Change Orders and Claims</w:t>
      </w:r>
    </w:p>
    <w:p>
      <w:pPr>
        <w:spacing w:after="0" w:line="90"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Costs and estimated earnings in excess of billings on uncompleted contracts included revenues for unapproved change orders of $8.2 million at March 31, 2013 and $8.5 million at June 30, 2012. There were no revenues related to claims included in costs and estimated earnings in excess of billings on uncompleted contracts at March 31, 2013 or June 30, 2012. The amounts ultimately realized may be significantly different than the recorded amounts resulting in a material adjustment to future earnings.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SME Receivables</w:t>
      </w:r>
    </w:p>
    <w:p>
      <w:pPr>
        <w:spacing w:after="0" w:line="90"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The Company continues to pursue collection of certain receivables acquired in connection with the purchase of S.M. Electric Company, Inc. in February 2009. The recorded values at March 31, 2013 include $0.7 million in claim receivables, which represents the Company’s best estimate of the amount to be collected under a claim, and an additional $2.9 million for amounts due under the related contract. Recovering the remaining receivables will require mediation or litigation and the ultimate amount realized may be significantly different than the recorded amounts, which could result in an adjustment to future earnings.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Insurance Reserves</w:t>
      </w:r>
    </w:p>
    <w:p>
      <w:pPr>
        <w:spacing w:after="0" w:line="9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maintain insurance coverage for various aspects of our operations. However, we retain exposure to potential losses through the use of deductibles, self-insured retentions and coverage limits. We establish reserves for claims using a combination of actuarially determined estimates and management judgment on a case-by-case basis and update our evaluations as further information becomes known. Judgments and assumptions, including the assumed losses for claims incurred but not reported, are inherent in our reserve accruals; as a result, changes in assumptions or claims experience could result in changes to these estimates in the future. If actual results of claim settlements are different than the amounts estimated, we may be exposed to gains and losses that could be significant.</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9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Company has four significant reporting units with goodwill representing 42%, 21%, 14% and 11% of the total goodwill balance. Our most recent annual goodwill impairment test, performed in the fourth quarter of fiscal 2012, indicated that the fair value of these reporting units exceeded their respective carrying values by 46%, 84%, 106% and 40%, respectively. The remaining 12% of total goodwill is allocated over three other reporting units. Based on the excess of estimated fair value over carrying value and the absence of any indicators of impairment at March 31, 2013, the Company does not currently anticipate recording a goodwill impairment charge for any of its operating units.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Intangible Assets</w:t>
      </w:r>
    </w:p>
    <w:p>
      <w:pPr>
        <w:spacing w:after="0" w:line="9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Intangible assets that have finite useful lives are amortized by the straight-line method over their useful lives ranging from 1 to 15 years. Intangible assets that have indefinite useful lives are not amortized but are tested at least annually for impairment. Each reporting period, we evaluate the remaining useful lives of intangible assets not being amortized to determine whether facts and circumstances continue to support an indefinite useful life and review both amortizing and non-amortizing intangible assets for impairment indicators.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Standards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There are no recently issued accounting standards that we believe will have a material affect on our financial statements.</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- 16-</w:t>
      </w:r>
    </w:p>
    <w:p>
      <w:pPr>
        <w:sectPr>
          <w:pgSz w:w="11900" w:h="16838" w:orient="portrait"/>
          <w:cols w:equalWidth="0" w:num="1">
            <w:col w:w="11380"/>
          </w:cols>
          <w:pgMar w:left="240" w:top="125" w:right="27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We operate our business through the following four segments:</w:t>
      </w:r>
    </w:p>
    <w:p>
      <w:pPr>
        <w:spacing w:after="0" w:line="225" w:lineRule="exact"/>
        <w:rPr>
          <w:sz w:val="20"/>
          <w:szCs w:val="20"/>
          <w:color w:val="auto"/>
        </w:rPr>
      </w:pPr>
    </w:p>
    <w:p>
      <w:pPr>
        <w:ind w:left="980" w:right="160" w:hanging="324"/>
        <w:spacing w:after="0" w:line="279" w:lineRule="auto"/>
        <w:tabs>
          <w:tab w:leader="none" w:pos="98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Electrical Infrastructure segment primarily encompasses high voltage services to investor owned utilities, including construction of new substations, upgrades of existing substations, short-run transmission line installations, distribution upgrades and maintenance, and storm restoration services. We also provide construction and maintenance services to a variety of power generation facilities, such as combined cycle plants, nuclear facilities, coal fired power stations, and renewable energy installations.</w:t>
      </w:r>
    </w:p>
    <w:p>
      <w:pPr>
        <w:spacing w:after="0" w:line="171" w:lineRule="exact"/>
        <w:rPr>
          <w:rFonts w:ascii="Arial" w:cs="Arial" w:eastAsia="Arial" w:hAnsi="Arial"/>
          <w:sz w:val="17"/>
          <w:szCs w:val="17"/>
          <w:color w:val="auto"/>
        </w:rPr>
      </w:pPr>
    </w:p>
    <w:p>
      <w:pPr>
        <w:ind w:left="980" w:right="100" w:hanging="324"/>
        <w:spacing w:after="0" w:line="259"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Oil Gas &amp; Chemical segment includes our traditional turnaround activities, plant maintenance services and construction in the downstream petroleum industry. Another key offering is industrial cleaning services, which includes hydroblasting, hydroexcavating, chemical cleaning and vacuum services. We also perform work in the renewable energy, industrial and natural gas, gas processing and compression, and upstream petroleum markets.</w:t>
      </w:r>
    </w:p>
    <w:p>
      <w:pPr>
        <w:spacing w:after="0" w:line="186" w:lineRule="exact"/>
        <w:rPr>
          <w:rFonts w:ascii="Arial" w:cs="Arial" w:eastAsia="Arial" w:hAnsi="Arial"/>
          <w:sz w:val="18"/>
          <w:szCs w:val="18"/>
          <w:color w:val="auto"/>
        </w:rPr>
      </w:pPr>
    </w:p>
    <w:p>
      <w:pPr>
        <w:ind w:left="980" w:right="360" w:hanging="324"/>
        <w:spacing w:after="0" w:line="302" w:lineRule="auto"/>
        <w:tabs>
          <w:tab w:leader="none" w:pos="98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Storage Solutions segment includes new construction of, as well as planned and emergency maintenance services for, crude and refined products aboveground storage tanks. Also included in the Storage Solutions segment is work related to specialty storage tanks including liquefied natural gas (“LNG”), liquid nitrogen/liquid oxygen (“LIN/LOX”), liquid petroleum (“LPG”) tanks and other specialty vessels including spheres. Finally, the Storage Solutions segment includes balance of plant work in storage terminals and tank farms.</w:t>
      </w:r>
    </w:p>
    <w:p>
      <w:pPr>
        <w:spacing w:after="0" w:line="154" w:lineRule="exact"/>
        <w:rPr>
          <w:rFonts w:ascii="Arial" w:cs="Arial" w:eastAsia="Arial" w:hAnsi="Arial"/>
          <w:sz w:val="16"/>
          <w:szCs w:val="16"/>
          <w:color w:val="auto"/>
        </w:rPr>
      </w:pPr>
    </w:p>
    <w:p>
      <w:pPr>
        <w:ind w:left="980" w:right="700" w:hanging="324"/>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Industrial segment includes work in the mining and minerals industry, bulk material handling, thermal vacuum chambers, fertilizer production facilities, as well as work for clients in other industrial and manufacturing markets.</w:t>
      </w:r>
    </w:p>
    <w:p>
      <w:pPr>
        <w:spacing w:after="0" w:line="193" w:lineRule="exact"/>
        <w:rPr>
          <w:sz w:val="20"/>
          <w:szCs w:val="20"/>
          <w:color w:val="auto"/>
        </w:rPr>
      </w:pPr>
    </w:p>
    <w:p>
      <w:pPr>
        <w:ind w:right="4280"/>
        <w:spacing w:after="0" w:line="346" w:lineRule="auto"/>
        <w:rPr>
          <w:sz w:val="20"/>
          <w:szCs w:val="20"/>
          <w:color w:val="auto"/>
        </w:rPr>
      </w:pPr>
      <w:r>
        <w:rPr>
          <w:rFonts w:ascii="Arial" w:cs="Arial" w:eastAsia="Arial" w:hAnsi="Arial"/>
          <w:sz w:val="18"/>
          <w:szCs w:val="18"/>
          <w:b w:val="1"/>
          <w:bCs w:val="1"/>
          <w:color w:val="auto"/>
        </w:rPr>
        <w:t>Three Months Ended March 31, 2013 Compared to the Three Months Ended March 31, 2012 Consolidated</w:t>
      </w:r>
    </w:p>
    <w:p>
      <w:pPr>
        <w:spacing w:after="0" w:line="1"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Consolidated revenues were $226.0 million for the three months ended March 31, 2013, an increase of $42.1 million, or 22.9%, from consolidated revenues of $183.9 million in the same period in the prior fiscal year. The increase in consolidated revenues was a result of increases in all four segments: Oil Gas &amp; Chemical, Industrial, Storage Solutions and Electrical Infrastructure which increased $18.0 million, $12.8 million, $7.2 million and $4.1 million, respectively.</w:t>
      </w:r>
    </w:p>
    <w:p>
      <w:pPr>
        <w:spacing w:after="0" w:line="12"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Consolidated gross profit increased to $23.1 million in the three months ended March 31, 2013 from $19.8 million in the three months ended March 31, 2012. The increase of $3.3 million was due to higher revenues offset by lower gross margins which decreased to 10.2% in fiscal 2013 compared to 10.8% a year earlier.</w:t>
      </w:r>
    </w:p>
    <w:p>
      <w:pPr>
        <w:spacing w:after="0" w:line="4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Consolidated SG&amp;A expenses were $14.7 million in the three months ended March 31, 2013 compared to $12.4 million in the same period a year earlier. The increase of $2.3 million, or 18.5%, was primarily related to our planned investments in strategic growth areas and related support functions and a higher business volume. SG&amp;A expense as a percentage of revenue was 6.5% in the three months ended March 31, 2013 compared to 6.7% in the same period a year earlier.</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color w:val="auto"/>
        </w:rPr>
        <w:t>Net interest expense was $0.2 million in the three months ended March 31, 2013 and 2012.</w:t>
      </w:r>
    </w:p>
    <w:p>
      <w:pPr>
        <w:spacing w:after="0" w:line="90"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effective tax rate was 21.2% for the three months ended March 31, 2013 and 32.5% for the three months ended March 31, 2012. The effective tax rate in the three months ended March 31, 2013 was positively impacted by the effect of retroactive tax legislation enacted in the third quarter of fiscal 2013 and a change in estimate related to a certain available tax credit. The March 31, 2012 effective tax rate was positively affected by a change in estimate that was the result of an actual tax deduction exceeding the amount previously estimated. Additionally, in fiscal 2013, certain deduction limitations were applied to items that were fully deducted in fiscal 2012.</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- 17-</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Electrical Infrastructure</w:t>
      </w:r>
    </w:p>
    <w:p>
      <w:pPr>
        <w:spacing w:after="0" w:line="90"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Revenues for the Electrical Infrastructure segment increased $4.1 million, or 10.9%, to $41.7 million in the three months ended March 31, 2013 compared to $37.6 million in the same period a year earlier. The higher revenue was mainly due to higher transmission and distribution work in the current year. Gross margins were 12.0% in the three months ended March 31, 2013 compared to 12.8% in the same period a year earlier. The decrease in gross margins in the third quarter of fiscal 2013 is due to lower direct margins, partially offset by the improved recovery of overhead costs caused by a higher business volume.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Oil Gas &amp; Chemical</w:t>
      </w:r>
    </w:p>
    <w:p>
      <w:pPr>
        <w:spacing w:after="0" w:line="90"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Revenues for the Oil Gas &amp; Chemical segment increased to $73.6 million in the three months ended March 31, 2013 compared to $55.6 million in the same period a year earlier. The increase of $18.0 million, or 32.4%, was primarily due to a higher level of turnaround work and capital construction projects. Gross margins were 10.9% in the three months ended March 31, 2013 compared to 9.0% in the same period a year earlier. The improvement in gross margins in the third quarter of fiscal 2013 is due to higher margins on turnaround and capital construction work and the favorable effect of the improved recovery of overhead costs caused by a higher business volume.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Storage Solutions</w:t>
      </w:r>
    </w:p>
    <w:p>
      <w:pPr>
        <w:spacing w:after="0" w:line="9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Revenues for the Storage Solutions segment increased to $94.8 million in the three months ended March 31, 2013 compared to $87.6 million in the same period a year earlier. The increase of $7.2 million, or 8.2%, was largely due to higher levels of domestic work in our aboveground storage tank business and balance of plant work in storage terminals. Gross margins decreased from 11.4% in the three months ended March 31, 2012 to 9.3% in the same period in the current year. The lower margins in the current year were due to higher unrecovered overhead costs and a legal charge, partially offset by higher direct margins. The legal charge is discussed under the heading "Legal Settlement" included in Note 3 of the Notes to Condensed Consolidated Financial Statements included in Part 1, Item 1 of this Report on Form 10-Q.</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Industrial</w:t>
      </w:r>
    </w:p>
    <w:p>
      <w:pPr>
        <w:spacing w:after="0" w:line="90"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Revenues for the Industrial segment totaled $15.9 million in the three months ended March 31, 2013 compared to $3.1 million in the same period a year earlier. The increase of $12.8 million was primarily due to higher revenues in our mining and minerals business. Gross margins increased from (1.7%) in the three months ended March 31, 2012 to 8.1% in the same period in the current year. The increase in gross margins in the current quarter were due primarily to the improved recovery of overhead costs caused by a higher business volume, partially offset by a $0.4 million project charge.</w:t>
      </w:r>
    </w:p>
    <w:p>
      <w:pPr>
        <w:spacing w:after="0" w:line="194" w:lineRule="exact"/>
        <w:rPr>
          <w:sz w:val="20"/>
          <w:szCs w:val="20"/>
          <w:color w:val="auto"/>
        </w:rPr>
      </w:pPr>
    </w:p>
    <w:p>
      <w:pPr>
        <w:ind w:right="4480"/>
        <w:spacing w:after="0" w:line="346" w:lineRule="auto"/>
        <w:rPr>
          <w:sz w:val="20"/>
          <w:szCs w:val="20"/>
          <w:color w:val="auto"/>
        </w:rPr>
      </w:pPr>
      <w:r>
        <w:rPr>
          <w:rFonts w:ascii="Arial" w:cs="Arial" w:eastAsia="Arial" w:hAnsi="Arial"/>
          <w:sz w:val="18"/>
          <w:szCs w:val="18"/>
          <w:b w:val="1"/>
          <w:bCs w:val="1"/>
          <w:color w:val="auto"/>
        </w:rPr>
        <w:t>Nine Months Ended March 31, 2013 Compared to the Nine Months Ended March 31, 2012 Consolidated</w:t>
      </w:r>
    </w:p>
    <w:p>
      <w:pPr>
        <w:spacing w:after="0" w:line="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Consolidated revenues were $657.0 million for the nine months ended March 31, 2013, an increase of $102.8 million, or 18.5%, from consolidated revenues of $554.2 million in the same period in the prior fiscal year. The increase in consolidated revenues was a result of increases in all four segments: Oil Gas &amp; Chemical, Electrical Infrastructure, Storage Solutions and Industrial which increased $56.2 million, $21.8 million, $14.7 million and $10.1 million, respectively.</w:t>
      </w:r>
    </w:p>
    <w:p>
      <w:pPr>
        <w:spacing w:after="0" w:line="52"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Consolidated gross profit increased from $61.0 million in the nine months ended March 31, 2012 to $67.7 million in the nine months ended March 31, 2013. The increase of $6.7 million, or 11.0%, was due to higher revenues, partially offset by lower gross margins which decreased to 10.3% in fiscal 2013 compared to 11.0% a year earlier.</w:t>
      </w:r>
    </w:p>
    <w:p>
      <w:pPr>
        <w:spacing w:after="0" w:line="46"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Consolidated SG&amp;A expenses were $42.6 million in the nine months ended March 31, 2013 compared to $35.7 million in the same period a year earlier. The increase of $6.9 million, or 19.3%, was primarily related to our planned investments in the branding initiative, strategic growth areas and related support functions and a higher business volume. The Company also incurred a bad debt charge of $0.7 million in fiscal 2013. SG&amp;A expense as a percentage of revenue was 6.5% in the nine months ended March 31, 2013 compared to 6.4% in the same period a year earlier.</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Net interest expense was $0.6 million in the nine months ended March 31, 2013 and 2012.</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- 18-</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3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Other income in the nine months ended March 31, 2013 was $0.1 million compared to a loss of $0.4 million in the nine months ended March 31, 2012. The prior period loss was related to foreign currency transaction losses.</w:t>
      </w:r>
    </w:p>
    <w:p>
      <w:pPr>
        <w:spacing w:after="0" w:line="3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effective tax rate was 32.5% for the nine months ended March 31, 2013 and 36.3% for the nine months ended March 31, 2012. The current year effective tax rate was positively impacted by the effect of retroactive tax legislation enacted in the third quarter of fiscal 2013 and a change in estimate related to a certain available tax credit. The effective tax rate in the nine months ended March 31, 2012 was positively affected by a change in estimate that was the result of an actual tax deduction exceeding the amount previously estimated. Additionally, the fiscal 2013 rate was negatively impacted by certain deduction limitations applied to items that were fully deducted in fiscal 2012.</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Electrical Infrastructure</w:t>
      </w:r>
    </w:p>
    <w:p>
      <w:pPr>
        <w:spacing w:after="0" w:line="90"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Revenues for the Electrical Infrastructure segment increased $21.8 million, or 21.1%, to $125.1 million in the nine months ended March 31, 2013 compared to $103.3 million in the same period a year earlier. The higher revenue was primarily due to an increase in high voltage work related primarily to storm restoration services and higher transmission and distribution work in the current year. Gross margins were 13.1% in the nine months ended March 31, 2013 compared to 12.2% in the same period a year earlier. The improvement in gross margins in fiscal 2013 is due to the favorable effect of direct margins from storm restoration work and the improved recovery of overhead costs caused by a higher business volume.</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Oil Gas &amp; Chemical</w:t>
      </w:r>
    </w:p>
    <w:p>
      <w:pPr>
        <w:spacing w:after="0" w:line="90"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Revenues for the Oil Gas &amp; Chemical segment increased to $207.3 million in the nine months ended March 31, 2013 compared to $151.1 million in the same period a year earlier. The increase of $56.2 million, or 37.2%, was primarily due to a higher level of turnaround work and capital construction projects. Gross margins were 11.5% in the nine months ended March 31, 2013 compared to 9.5% in the same period a year earlier. The improvement in gross margins is primarily due to the favorable effect of the improved recovery of overhead costs caused by a higher business volume and improved project execution.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Storage Solutions</w:t>
      </w:r>
    </w:p>
    <w:p>
      <w:pPr>
        <w:spacing w:after="0" w:line="9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Revenues for the Storage Solutions segment increased to $296.8 million in the nine months ended March 31, 2013 compared to $282.1 million in the same period a year earlier. The increase of $14.7 million, or 5.2%, was primarily due to higher levels of work in Canada in our aboveground storage tank business. Gross margins decreased from 11.7% in the nine months ended March 31, 2012 to 8.9% in the same period in the current year. The lower margins for the nine months ended March 31, 2013 was primarily due to higher unrecovered overhead costs, a legal charge and lower direct margins caused primarily by a $3.1 million project charge. The legal charge is discussed under the heading "Legal Settlement" and the project charge is discussed under the heading "Western Canada Aboveground Storage Tank Project" included in Note 3 of the Notes to Condensed Consolidated Financial Statements included in Part 1, Item 1 of this Report on Form 10-Q.</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Industrial</w:t>
      </w:r>
    </w:p>
    <w:p>
      <w:pPr>
        <w:spacing w:after="0" w:line="90" w:lineRule="exact"/>
        <w:rPr>
          <w:sz w:val="20"/>
          <w:szCs w:val="20"/>
          <w:color w:val="auto"/>
        </w:rPr>
      </w:pPr>
    </w:p>
    <w:p>
      <w:pPr>
        <w:ind w:right="280"/>
        <w:spacing w:after="0" w:line="291" w:lineRule="auto"/>
        <w:rPr>
          <w:sz w:val="20"/>
          <w:szCs w:val="20"/>
          <w:color w:val="auto"/>
        </w:rPr>
      </w:pPr>
      <w:r>
        <w:rPr>
          <w:rFonts w:ascii="Arial" w:cs="Arial" w:eastAsia="Arial" w:hAnsi="Arial"/>
          <w:sz w:val="16"/>
          <w:szCs w:val="16"/>
          <w:color w:val="auto"/>
        </w:rPr>
        <w:t>Revenues for the Industrial segment totaled $27.9 million in the nine months ended March 31, 2013 compared to $17.8 million in the same period a year earlier. The increase of $10.1 million, or 56.7%, was primarily due to higher revenues in our mining and minerals business. Gross margins decreased from</w:t>
      </w:r>
    </w:p>
    <w:p>
      <w:pPr>
        <w:spacing w:after="0" w:line="323" w:lineRule="auto"/>
        <w:rPr>
          <w:sz w:val="20"/>
          <w:szCs w:val="20"/>
          <w:color w:val="auto"/>
        </w:rPr>
      </w:pPr>
      <w:r>
        <w:rPr>
          <w:rFonts w:ascii="Arial" w:cs="Arial" w:eastAsia="Arial" w:hAnsi="Arial"/>
          <w:sz w:val="16"/>
          <w:szCs w:val="16"/>
          <w:color w:val="auto"/>
        </w:rPr>
        <w:t>5.7% in the nine months ended March 31, 2012 to 3.2% in the same period in the current year. Gross margins for the nine months ended March 31, 2013 were negatively impacted by startup costs related to entry into the bulk material handling and mining and minerals markets, and a $0.4 million project charge.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Backlog</w:t>
      </w:r>
    </w:p>
    <w:p>
      <w:pPr>
        <w:spacing w:after="0" w:line="90"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color w:val="auto"/>
        </w:rPr>
        <w:t>We define backlog as the total dollar amount of revenues that we expect to recognize as a result of performing work that has been awarded to us through a signed contract, notice to proceed or other type of assurance that we consider firm. The following arrangements are considered firm:</w:t>
      </w:r>
    </w:p>
    <w:p>
      <w:pPr>
        <w:spacing w:after="0" w:line="147" w:lineRule="exact"/>
        <w:rPr>
          <w:sz w:val="20"/>
          <w:szCs w:val="20"/>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fixed-price awards;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minimum customer commitments on cost plus arrangements; and</w:t>
      </w:r>
    </w:p>
    <w:p>
      <w:pPr>
        <w:spacing w:after="0" w:line="225" w:lineRule="exact"/>
        <w:rPr>
          <w:rFonts w:ascii="Arial" w:cs="Arial" w:eastAsia="Arial" w:hAnsi="Arial"/>
          <w:sz w:val="18"/>
          <w:szCs w:val="18"/>
          <w:color w:val="auto"/>
        </w:rPr>
      </w:pPr>
    </w:p>
    <w:p>
      <w:pPr>
        <w:ind w:left="980" w:right="240" w:hanging="324"/>
        <w:spacing w:after="0" w:line="27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certain time and material arrangements in which the estimated value is firm or can be estimated with a reasonable amount of certainty in both timing and amounts.</w:t>
      </w:r>
    </w:p>
    <w:p>
      <w:pPr>
        <w:spacing w:after="0" w:line="116" w:lineRule="exact"/>
        <w:rPr>
          <w:sz w:val="20"/>
          <w:szCs w:val="20"/>
          <w:color w:val="auto"/>
        </w:rPr>
      </w:pPr>
    </w:p>
    <w:p>
      <w:pPr>
        <w:ind w:right="900"/>
        <w:spacing w:after="0" w:line="308" w:lineRule="auto"/>
        <w:rPr>
          <w:sz w:val="20"/>
          <w:szCs w:val="20"/>
          <w:color w:val="auto"/>
        </w:rPr>
      </w:pPr>
      <w:r>
        <w:rPr>
          <w:rFonts w:ascii="Arial" w:cs="Arial" w:eastAsia="Arial" w:hAnsi="Arial"/>
          <w:sz w:val="17"/>
          <w:szCs w:val="17"/>
          <w:color w:val="auto"/>
        </w:rPr>
        <w:t>For long-term maintenance contracts we include only the amounts that we expect to recognize into revenue over the next 12 months. For all other arrangements, we calculate backlog as the estimated contract amount less revenues recognized as of the reporting date.</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- 19-</w:t>
      </w:r>
    </w:p>
    <w:p>
      <w:pPr>
        <w:sectPr>
          <w:pgSz w:w="11900" w:h="16838" w:orient="portrait"/>
          <w:cols w:equalWidth="0" w:num="1">
            <w:col w:w="11400"/>
          </w:cols>
          <w:pgMar w:left="240" w:top="125" w:right="25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 2013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changes in our backlog for the three months ended March 31, 2013:</w:t>
      </w:r>
    </w:p>
    <w:p>
      <w:pPr>
        <w:spacing w:after="0" w:line="339" w:lineRule="exact"/>
        <w:rPr>
          <w:sz w:val="20"/>
          <w:szCs w:val="20"/>
          <w:color w:val="auto"/>
        </w:rPr>
      </w:pPr>
    </w:p>
    <w:tbl>
      <w:tblPr>
        <w:tblLayout w:type="fixed"/>
        <w:tblInd w:w="500" w:type="dxa"/>
        <w:tblCellMar>
          <w:top w:w="0" w:type="dxa"/>
          <w:left w:w="0" w:type="dxa"/>
          <w:bottom w:w="0" w:type="dxa"/>
          <w:right w:w="0" w:type="dxa"/>
        </w:tblCellMar>
      </w:tblPr>
      <w:tr>
        <w:trPr>
          <w:trHeight w:val="161"/>
        </w:trPr>
        <w:tc>
          <w:tcPr>
            <w:tcW w:w="3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Electrical</w:t>
            </w:r>
          </w:p>
        </w:tc>
        <w:tc>
          <w:tcPr>
            <w:tcW w:w="200" w:type="dxa"/>
            <w:vAlign w:val="bottom"/>
          </w:tcPr>
          <w:p>
            <w:pPr>
              <w:spacing w:after="0"/>
              <w:rPr>
                <w:sz w:val="14"/>
                <w:szCs w:val="14"/>
                <w:color w:val="auto"/>
              </w:rPr>
            </w:pPr>
          </w:p>
        </w:tc>
        <w:tc>
          <w:tcPr>
            <w:tcW w:w="1160" w:type="dxa"/>
            <w:vAlign w:val="bottom"/>
            <w:gridSpan w:val="2"/>
          </w:tcPr>
          <w:p>
            <w:pPr>
              <w:ind w:left="100"/>
              <w:spacing w:after="0"/>
              <w:rPr>
                <w:sz w:val="20"/>
                <w:szCs w:val="20"/>
                <w:color w:val="auto"/>
              </w:rPr>
            </w:pPr>
            <w:r>
              <w:rPr>
                <w:rFonts w:ascii="Arial" w:cs="Arial" w:eastAsia="Arial" w:hAnsi="Arial"/>
                <w:sz w:val="14"/>
                <w:szCs w:val="14"/>
                <w:b w:val="1"/>
                <w:bCs w:val="1"/>
                <w:color w:val="auto"/>
              </w:rPr>
              <w:t>Oil Gas &amp;</w:t>
            </w:r>
          </w:p>
        </w:tc>
        <w:tc>
          <w:tcPr>
            <w:tcW w:w="160" w:type="dxa"/>
            <w:vAlign w:val="bottom"/>
          </w:tcPr>
          <w:p>
            <w:pPr>
              <w:spacing w:after="0"/>
              <w:rPr>
                <w:sz w:val="14"/>
                <w:szCs w:val="14"/>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Storage</w:t>
            </w:r>
          </w:p>
        </w:tc>
        <w:tc>
          <w:tcPr>
            <w:tcW w:w="220" w:type="dxa"/>
            <w:vAlign w:val="bottom"/>
          </w:tcPr>
          <w:p>
            <w:pPr>
              <w:spacing w:after="0"/>
              <w:rPr>
                <w:sz w:val="14"/>
                <w:szCs w:val="14"/>
                <w:color w:val="auto"/>
              </w:rPr>
            </w:pPr>
          </w:p>
        </w:tc>
        <w:tc>
          <w:tcPr>
            <w:tcW w:w="11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Industrial</w:t>
            </w:r>
          </w:p>
        </w:tc>
        <w:tc>
          <w:tcPr>
            <w:tcW w:w="280" w:type="dxa"/>
            <w:vAlign w:val="bottom"/>
          </w:tcPr>
          <w:p>
            <w:pPr>
              <w:spacing w:after="0"/>
              <w:rPr>
                <w:sz w:val="14"/>
                <w:szCs w:val="14"/>
                <w:color w:val="auto"/>
              </w:rPr>
            </w:pPr>
          </w:p>
        </w:tc>
        <w:tc>
          <w:tcPr>
            <w:tcW w:w="960" w:type="dxa"/>
            <w:vAlign w:val="bottom"/>
            <w:vMerge w:val="restart"/>
          </w:tcPr>
          <w:p>
            <w:pPr>
              <w:jc w:val="right"/>
              <w:ind w:right="37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7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6"/>
              </w:rPr>
              <w:t>Infrastructure</w:t>
            </w: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Chemical</w:t>
            </w: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87"/>
              </w:rPr>
              <w:t>Solutions</w:t>
            </w: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(In thousands)</w:t>
            </w: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Backlog as of December 31, 2012</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118,041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115,468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337,081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34,531</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605,121</w:t>
            </w:r>
          </w:p>
        </w:tc>
        <w:tc>
          <w:tcPr>
            <w:tcW w:w="0" w:type="dxa"/>
            <w:vAlign w:val="bottom"/>
          </w:tcPr>
          <w:p>
            <w:pPr>
              <w:spacing w:after="0"/>
              <w:rPr>
                <w:sz w:val="1"/>
                <w:szCs w:val="1"/>
                <w:color w:val="auto"/>
              </w:rPr>
            </w:pPr>
          </w:p>
        </w:tc>
      </w:tr>
      <w:tr>
        <w:trPr>
          <w:trHeight w:val="243"/>
        </w:trPr>
        <w:tc>
          <w:tcPr>
            <w:tcW w:w="3740" w:type="dxa"/>
            <w:vAlign w:val="bottom"/>
          </w:tcPr>
          <w:p>
            <w:pPr>
              <w:ind w:left="20"/>
              <w:spacing w:after="0"/>
              <w:rPr>
                <w:sz w:val="20"/>
                <w:szCs w:val="20"/>
                <w:color w:val="auto"/>
              </w:rPr>
            </w:pPr>
            <w:r>
              <w:rPr>
                <w:rFonts w:ascii="Arial" w:cs="Arial" w:eastAsia="Arial" w:hAnsi="Arial"/>
                <w:sz w:val="18"/>
                <w:szCs w:val="18"/>
                <w:color w:val="auto"/>
              </w:rPr>
              <w:t>Net awards</w:t>
            </w:r>
          </w:p>
        </w:tc>
        <w:tc>
          <w:tcPr>
            <w:tcW w:w="140" w:type="dxa"/>
            <w:vAlign w:val="bottom"/>
          </w:tcPr>
          <w:p>
            <w:pPr>
              <w:spacing w:after="0"/>
              <w:rPr>
                <w:sz w:val="21"/>
                <w:szCs w:val="21"/>
                <w:color w:val="auto"/>
              </w:rPr>
            </w:pP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39,702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6"/>
              <w:spacing w:after="0"/>
              <w:rPr>
                <w:sz w:val="20"/>
                <w:szCs w:val="20"/>
                <w:color w:val="auto"/>
              </w:rPr>
            </w:pPr>
            <w:r>
              <w:rPr>
                <w:rFonts w:ascii="Arial" w:cs="Arial" w:eastAsia="Arial" w:hAnsi="Arial"/>
                <w:sz w:val="18"/>
                <w:szCs w:val="18"/>
                <w:color w:val="auto"/>
              </w:rPr>
              <w:t>73,817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8"/>
              <w:spacing w:after="0"/>
              <w:rPr>
                <w:sz w:val="20"/>
                <w:szCs w:val="20"/>
                <w:color w:val="auto"/>
              </w:rPr>
            </w:pPr>
            <w:r>
              <w:rPr>
                <w:rFonts w:ascii="Arial" w:cs="Arial" w:eastAsia="Arial" w:hAnsi="Arial"/>
                <w:sz w:val="18"/>
                <w:szCs w:val="18"/>
                <w:color w:val="auto"/>
              </w:rPr>
              <w:t>82,174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69,505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265,198</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 recognized</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(41,709)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(73,594)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(94,826)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(15,841)</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(225,970)</w:t>
            </w:r>
          </w:p>
        </w:tc>
        <w:tc>
          <w:tcPr>
            <w:tcW w:w="0" w:type="dxa"/>
            <w:vAlign w:val="bottom"/>
          </w:tcPr>
          <w:p>
            <w:pPr>
              <w:spacing w:after="0"/>
              <w:rPr>
                <w:sz w:val="1"/>
                <w:szCs w:val="1"/>
                <w:color w:val="auto"/>
              </w:rPr>
            </w:pPr>
          </w:p>
        </w:tc>
      </w:tr>
      <w:tr>
        <w:trPr>
          <w:trHeight w:val="257"/>
        </w:trPr>
        <w:tc>
          <w:tcPr>
            <w:tcW w:w="3740" w:type="dxa"/>
            <w:vAlign w:val="bottom"/>
          </w:tcPr>
          <w:p>
            <w:pPr>
              <w:ind w:left="20"/>
              <w:spacing w:after="0"/>
              <w:rPr>
                <w:sz w:val="20"/>
                <w:szCs w:val="20"/>
                <w:color w:val="auto"/>
              </w:rPr>
            </w:pPr>
            <w:r>
              <w:rPr>
                <w:rFonts w:ascii="Arial" w:cs="Arial" w:eastAsia="Arial" w:hAnsi="Arial"/>
                <w:sz w:val="18"/>
                <w:szCs w:val="18"/>
                <w:color w:val="auto"/>
              </w:rPr>
              <w:t>Backlog as of March 31, 2013</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116,034</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115,691</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324,429</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88,195</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644,349</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March 31, 2013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changes in our backlog for the nine months ended March 31, 2013:</w:t>
      </w:r>
    </w:p>
    <w:p>
      <w:pPr>
        <w:spacing w:after="0" w:line="339" w:lineRule="exact"/>
        <w:rPr>
          <w:sz w:val="20"/>
          <w:szCs w:val="20"/>
          <w:color w:val="auto"/>
        </w:rPr>
      </w:pPr>
    </w:p>
    <w:tbl>
      <w:tblPr>
        <w:tblLayout w:type="fixed"/>
        <w:tblInd w:w="500" w:type="dxa"/>
        <w:tblCellMar>
          <w:top w:w="0" w:type="dxa"/>
          <w:left w:w="0" w:type="dxa"/>
          <w:bottom w:w="0" w:type="dxa"/>
          <w:right w:w="0" w:type="dxa"/>
        </w:tblCellMar>
      </w:tblPr>
      <w:tr>
        <w:trPr>
          <w:trHeight w:val="161"/>
        </w:trPr>
        <w:tc>
          <w:tcPr>
            <w:tcW w:w="3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Electrical</w:t>
            </w:r>
          </w:p>
        </w:tc>
        <w:tc>
          <w:tcPr>
            <w:tcW w:w="200" w:type="dxa"/>
            <w:vAlign w:val="bottom"/>
          </w:tcPr>
          <w:p>
            <w:pPr>
              <w:spacing w:after="0"/>
              <w:rPr>
                <w:sz w:val="14"/>
                <w:szCs w:val="14"/>
                <w:color w:val="auto"/>
              </w:rPr>
            </w:pPr>
          </w:p>
        </w:tc>
        <w:tc>
          <w:tcPr>
            <w:tcW w:w="1160" w:type="dxa"/>
            <w:vAlign w:val="bottom"/>
            <w:gridSpan w:val="2"/>
          </w:tcPr>
          <w:p>
            <w:pPr>
              <w:ind w:left="100"/>
              <w:spacing w:after="0"/>
              <w:rPr>
                <w:sz w:val="20"/>
                <w:szCs w:val="20"/>
                <w:color w:val="auto"/>
              </w:rPr>
            </w:pPr>
            <w:r>
              <w:rPr>
                <w:rFonts w:ascii="Arial" w:cs="Arial" w:eastAsia="Arial" w:hAnsi="Arial"/>
                <w:sz w:val="14"/>
                <w:szCs w:val="14"/>
                <w:b w:val="1"/>
                <w:bCs w:val="1"/>
                <w:color w:val="auto"/>
              </w:rPr>
              <w:t>Oil Gas &amp;</w:t>
            </w:r>
          </w:p>
        </w:tc>
        <w:tc>
          <w:tcPr>
            <w:tcW w:w="160" w:type="dxa"/>
            <w:vAlign w:val="bottom"/>
          </w:tcPr>
          <w:p>
            <w:pPr>
              <w:spacing w:after="0"/>
              <w:rPr>
                <w:sz w:val="14"/>
                <w:szCs w:val="14"/>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Storage</w:t>
            </w:r>
          </w:p>
        </w:tc>
        <w:tc>
          <w:tcPr>
            <w:tcW w:w="220" w:type="dxa"/>
            <w:vAlign w:val="bottom"/>
          </w:tcPr>
          <w:p>
            <w:pPr>
              <w:spacing w:after="0"/>
              <w:rPr>
                <w:sz w:val="14"/>
                <w:szCs w:val="14"/>
                <w:color w:val="auto"/>
              </w:rPr>
            </w:pPr>
          </w:p>
        </w:tc>
        <w:tc>
          <w:tcPr>
            <w:tcW w:w="11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Industrial</w:t>
            </w:r>
          </w:p>
        </w:tc>
        <w:tc>
          <w:tcPr>
            <w:tcW w:w="280" w:type="dxa"/>
            <w:vAlign w:val="bottom"/>
          </w:tcPr>
          <w:p>
            <w:pPr>
              <w:spacing w:after="0"/>
              <w:rPr>
                <w:sz w:val="14"/>
                <w:szCs w:val="14"/>
                <w:color w:val="auto"/>
              </w:rPr>
            </w:pPr>
          </w:p>
        </w:tc>
        <w:tc>
          <w:tcPr>
            <w:tcW w:w="960" w:type="dxa"/>
            <w:vAlign w:val="bottom"/>
            <w:vMerge w:val="restart"/>
          </w:tcPr>
          <w:p>
            <w:pPr>
              <w:jc w:val="right"/>
              <w:ind w:right="37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7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6"/>
              </w:rPr>
              <w:t>Infrastructure</w:t>
            </w: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Chemical</w:t>
            </w: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87"/>
              </w:rPr>
              <w:t>Solutions</w:t>
            </w: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(In thousands)</w:t>
            </w: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Backlog as of June 30, 2012</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127,699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117,862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236,571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15,320</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497,452</w:t>
            </w:r>
          </w:p>
        </w:tc>
        <w:tc>
          <w:tcPr>
            <w:tcW w:w="0" w:type="dxa"/>
            <w:vAlign w:val="bottom"/>
          </w:tcPr>
          <w:p>
            <w:pPr>
              <w:spacing w:after="0"/>
              <w:rPr>
                <w:sz w:val="1"/>
                <w:szCs w:val="1"/>
                <w:color w:val="auto"/>
              </w:rPr>
            </w:pPr>
          </w:p>
        </w:tc>
      </w:tr>
      <w:tr>
        <w:trPr>
          <w:trHeight w:val="243"/>
        </w:trPr>
        <w:tc>
          <w:tcPr>
            <w:tcW w:w="3740" w:type="dxa"/>
            <w:vAlign w:val="bottom"/>
          </w:tcPr>
          <w:p>
            <w:pPr>
              <w:ind w:left="20"/>
              <w:spacing w:after="0"/>
              <w:rPr>
                <w:sz w:val="20"/>
                <w:szCs w:val="20"/>
                <w:color w:val="auto"/>
              </w:rPr>
            </w:pPr>
            <w:r>
              <w:rPr>
                <w:rFonts w:ascii="Arial" w:cs="Arial" w:eastAsia="Arial" w:hAnsi="Arial"/>
                <w:sz w:val="18"/>
                <w:szCs w:val="18"/>
                <w:color w:val="auto"/>
              </w:rPr>
              <w:t>Net awards</w:t>
            </w:r>
          </w:p>
        </w:tc>
        <w:tc>
          <w:tcPr>
            <w:tcW w:w="140" w:type="dxa"/>
            <w:vAlign w:val="bottom"/>
          </w:tcPr>
          <w:p>
            <w:pPr>
              <w:spacing w:after="0"/>
              <w:rPr>
                <w:sz w:val="21"/>
                <w:szCs w:val="21"/>
                <w:color w:val="auto"/>
              </w:rPr>
            </w:pP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113,437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6"/>
              <w:spacing w:after="0"/>
              <w:rPr>
                <w:sz w:val="20"/>
                <w:szCs w:val="20"/>
                <w:color w:val="auto"/>
              </w:rPr>
            </w:pPr>
            <w:r>
              <w:rPr>
                <w:rFonts w:ascii="Arial" w:cs="Arial" w:eastAsia="Arial" w:hAnsi="Arial"/>
                <w:sz w:val="18"/>
                <w:szCs w:val="18"/>
                <w:color w:val="auto"/>
              </w:rPr>
              <w:t>205,155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8"/>
              <w:spacing w:after="0"/>
              <w:rPr>
                <w:sz w:val="20"/>
                <w:szCs w:val="20"/>
                <w:color w:val="auto"/>
              </w:rPr>
            </w:pPr>
            <w:r>
              <w:rPr>
                <w:rFonts w:ascii="Arial" w:cs="Arial" w:eastAsia="Arial" w:hAnsi="Arial"/>
                <w:sz w:val="18"/>
                <w:szCs w:val="18"/>
                <w:color w:val="auto"/>
              </w:rPr>
              <w:t>384,595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100,724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803,911</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 recognized</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(125,102)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(207,326)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(296,737)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(27,849)</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(657,014)</w:t>
            </w:r>
          </w:p>
        </w:tc>
        <w:tc>
          <w:tcPr>
            <w:tcW w:w="0" w:type="dxa"/>
            <w:vAlign w:val="bottom"/>
          </w:tcPr>
          <w:p>
            <w:pPr>
              <w:spacing w:after="0"/>
              <w:rPr>
                <w:sz w:val="1"/>
                <w:szCs w:val="1"/>
                <w:color w:val="auto"/>
              </w:rPr>
            </w:pPr>
          </w:p>
        </w:tc>
      </w:tr>
      <w:tr>
        <w:trPr>
          <w:trHeight w:val="257"/>
        </w:trPr>
        <w:tc>
          <w:tcPr>
            <w:tcW w:w="3740" w:type="dxa"/>
            <w:vAlign w:val="bottom"/>
          </w:tcPr>
          <w:p>
            <w:pPr>
              <w:ind w:left="20"/>
              <w:spacing w:after="0"/>
              <w:rPr>
                <w:sz w:val="20"/>
                <w:szCs w:val="20"/>
                <w:color w:val="auto"/>
              </w:rPr>
            </w:pPr>
            <w:r>
              <w:rPr>
                <w:rFonts w:ascii="Arial" w:cs="Arial" w:eastAsia="Arial" w:hAnsi="Arial"/>
                <w:sz w:val="18"/>
                <w:szCs w:val="18"/>
                <w:color w:val="auto"/>
              </w:rPr>
              <w:t>Backlog as of March 31, 2013</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116,034</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115,691</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324,429</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88,195</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644,349</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Measure</w:t>
      </w:r>
    </w:p>
    <w:p>
      <w:pPr>
        <w:spacing w:after="0" w:line="9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EBITDA is a supplemental, non-GAAP financial measure. EBITDA is defined as earnings before interest expense, income taxes, depreciation and amortization. We have presented EBITDA because it is used by the financial community as a method of measuring our performance and of evaluating the market value of companies considered to be in similar businesses. We believe that the line item on our Consolidated Statements of Income entitled “Net Income” is the most directly comparable GAAP measure to EBITDA. Since EBITDA is not a measure of performance calculated in accordance with GAAP, it should not be considered in isolation of, or as a substitute for, net earnings as an indicator of operating performance. EBITDA, as we calculate it, may not be comparable to similarly titled measures employed by other companies. In addition, this measure is not necessarily a measure of our ability to fund our cash needs. As EBITDA excludes certain financial information compared with net income, the most directly comparable GAAP financial measure, users of this financial information should consider the type of events and transactions that are excluded. Our non-GAAP performance measure, EBITDA, has certain material limitations as follows:</w:t>
      </w:r>
    </w:p>
    <w:p>
      <w:pPr>
        <w:spacing w:after="0" w:line="197" w:lineRule="exact"/>
        <w:rPr>
          <w:sz w:val="20"/>
          <w:szCs w:val="20"/>
          <w:color w:val="auto"/>
        </w:rPr>
      </w:pPr>
    </w:p>
    <w:p>
      <w:pPr>
        <w:ind w:left="980" w:right="180" w:hanging="324"/>
        <w:spacing w:after="0" w:line="286" w:lineRule="auto"/>
        <w:tabs>
          <w:tab w:leader="none" w:pos="980" w:val="left"/>
        </w:tabs>
        <w:numPr>
          <w:ilvl w:val="0"/>
          <w:numId w:val="6"/>
        </w:numPr>
        <w:rPr>
          <w:rFonts w:ascii="Arial" w:cs="Arial" w:eastAsia="Arial" w:hAnsi="Arial"/>
          <w:sz w:val="17"/>
          <w:szCs w:val="17"/>
          <w:color w:val="auto"/>
        </w:rPr>
      </w:pPr>
      <w:r>
        <w:rPr>
          <w:rFonts w:ascii="Arial" w:cs="Arial" w:eastAsia="Arial" w:hAnsi="Arial"/>
          <w:sz w:val="17"/>
          <w:szCs w:val="17"/>
          <w:color w:val="auto"/>
        </w:rPr>
        <w:t>It does not include interest expense. Because we have borrowed money to finance our operations, pay commitment fees to maintain our credit facility, and incur fees to issue letters of credit under the credit facility, interest expense is a necessary and ongoing part of our costs and has assisted us in generating revenue. Therefore, any measure that excludes interest expense has material limitations.</w:t>
      </w:r>
    </w:p>
    <w:p>
      <w:pPr>
        <w:spacing w:after="0" w:line="165" w:lineRule="exact"/>
        <w:rPr>
          <w:rFonts w:ascii="Arial" w:cs="Arial" w:eastAsia="Arial" w:hAnsi="Arial"/>
          <w:sz w:val="17"/>
          <w:szCs w:val="17"/>
          <w:color w:val="auto"/>
        </w:rPr>
      </w:pPr>
    </w:p>
    <w:p>
      <w:pPr>
        <w:ind w:left="980" w:right="380" w:hanging="324"/>
        <w:spacing w:after="0" w:line="277"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It does not include income taxes. Because the payment of income taxes is a necessary and ongoing part of our operations, any measure that excludes income taxes has material limitations.</w:t>
      </w:r>
    </w:p>
    <w:p>
      <w:pPr>
        <w:spacing w:after="0" w:line="170" w:lineRule="exact"/>
        <w:rPr>
          <w:rFonts w:ascii="Arial" w:cs="Arial" w:eastAsia="Arial" w:hAnsi="Arial"/>
          <w:sz w:val="18"/>
          <w:szCs w:val="18"/>
          <w:color w:val="auto"/>
        </w:rPr>
      </w:pPr>
    </w:p>
    <w:p>
      <w:pPr>
        <w:ind w:left="980" w:right="240" w:hanging="324"/>
        <w:spacing w:after="0" w:line="264"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It does not include depreciation or amortization expense. Because we use capital and intangible assets to generate revenue, depreciation and amortization expense is a necessary element of our cost structure. Therefore, any measure that excludes depreciation or amortization expense has material limitations.</w:t>
      </w:r>
    </w:p>
    <w:p>
      <w:pPr>
        <w:spacing w:after="0" w:line="208" w:lineRule="exact"/>
        <w:rPr>
          <w:rFonts w:ascii="Arial" w:cs="Arial" w:eastAsia="Arial" w:hAnsi="Arial"/>
          <w:sz w:val="18"/>
          <w:szCs w:val="18"/>
          <w:color w:val="auto"/>
        </w:rPr>
      </w:pPr>
    </w:p>
    <w:p>
      <w:pPr>
        <w:ind w:left="5640" w:hanging="98"/>
        <w:spacing w:after="0"/>
        <w:tabs>
          <w:tab w:leader="none" w:pos="5640" w:val="left"/>
        </w:tabs>
        <w:numPr>
          <w:ilvl w:val="1"/>
          <w:numId w:val="6"/>
        </w:numPr>
        <w:rPr>
          <w:rFonts w:ascii="Arial" w:cs="Arial" w:eastAsia="Arial" w:hAnsi="Arial"/>
          <w:sz w:val="18"/>
          <w:szCs w:val="18"/>
          <w:color w:val="auto"/>
        </w:rPr>
      </w:pPr>
      <w:r>
        <w:rPr>
          <w:rFonts w:ascii="Arial" w:cs="Arial" w:eastAsia="Arial" w:hAnsi="Arial"/>
          <w:sz w:val="18"/>
          <w:szCs w:val="18"/>
          <w:color w:val="auto"/>
        </w:rPr>
        <w:t>20-</w:t>
      </w:r>
    </w:p>
    <w:p>
      <w:pPr>
        <w:sectPr>
          <w:pgSz w:w="11900" w:h="16838" w:orient="portrait"/>
          <w:cols w:equalWidth="0" w:num="1">
            <w:col w:w="11380"/>
          </w:cols>
          <w:pgMar w:left="240" w:top="125" w:right="27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EBITDA to net income follows:</w:t>
      </w:r>
    </w:p>
    <w:p>
      <w:pPr>
        <w:spacing w:after="0" w:line="200" w:lineRule="exact"/>
        <w:rPr>
          <w:sz w:val="20"/>
          <w:szCs w:val="20"/>
          <w:color w:val="auto"/>
        </w:rPr>
      </w:pPr>
    </w:p>
    <w:p>
      <w:pPr>
        <w:spacing w:after="0" w:line="219" w:lineRule="exact"/>
        <w:rPr>
          <w:sz w:val="20"/>
          <w:szCs w:val="20"/>
          <w:color w:val="auto"/>
        </w:rPr>
      </w:pPr>
    </w:p>
    <w:tbl>
      <w:tblPr>
        <w:tblLayout w:type="fixed"/>
        <w:tblInd w:w="1140" w:type="dxa"/>
        <w:tblCellMar>
          <w:top w:w="0" w:type="dxa"/>
          <w:left w:w="0" w:type="dxa"/>
          <w:bottom w:w="0" w:type="dxa"/>
          <w:right w:w="0" w:type="dxa"/>
        </w:tblCellMar>
      </w:tblPr>
      <w:tr>
        <w:trPr>
          <w:trHeight w:val="192"/>
        </w:trPr>
        <w:tc>
          <w:tcPr>
            <w:tcW w:w="47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4"/>
          </w:tcPr>
          <w:p>
            <w:pPr>
              <w:jc w:val="right"/>
              <w:ind w:right="317"/>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4"/>
          </w:tcPr>
          <w:p>
            <w:pPr>
              <w:jc w:val="right"/>
              <w:ind w:right="355"/>
              <w:spacing w:after="0"/>
              <w:rPr>
                <w:sz w:val="20"/>
                <w:szCs w:val="20"/>
                <w:color w:val="auto"/>
              </w:rPr>
            </w:pPr>
            <w:r>
              <w:rPr>
                <w:rFonts w:ascii="Arial" w:cs="Arial" w:eastAsia="Arial" w:hAnsi="Arial"/>
                <w:sz w:val="14"/>
                <w:szCs w:val="14"/>
                <w:b w:val="1"/>
                <w:bCs w:val="1"/>
                <w:color w:val="auto"/>
              </w:rPr>
              <w:t>Nine Months Ended</w:t>
            </w:r>
          </w:p>
        </w:tc>
      </w:tr>
      <w:tr>
        <w:trPr>
          <w:trHeight w:val="152"/>
        </w:trPr>
        <w:tc>
          <w:tcPr>
            <w:tcW w:w="4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March 31,</w:t>
            </w:r>
          </w:p>
        </w:tc>
        <w:tc>
          <w:tcPr>
            <w:tcW w:w="140" w:type="dxa"/>
            <w:vAlign w:val="bottom"/>
          </w:tcPr>
          <w:p>
            <w:pPr>
              <w:spacing w:after="0"/>
              <w:rPr>
                <w:sz w:val="13"/>
                <w:szCs w:val="13"/>
                <w:color w:val="auto"/>
              </w:rPr>
            </w:pPr>
          </w:p>
        </w:tc>
        <w:tc>
          <w:tcPr>
            <w:tcW w:w="98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March 31,</w:t>
            </w:r>
          </w:p>
        </w:tc>
        <w:tc>
          <w:tcPr>
            <w:tcW w:w="140" w:type="dxa"/>
            <w:vAlign w:val="bottom"/>
          </w:tcPr>
          <w:p>
            <w:pPr>
              <w:spacing w:after="0"/>
              <w:rPr>
                <w:sz w:val="13"/>
                <w:szCs w:val="13"/>
                <w:color w:val="auto"/>
              </w:rPr>
            </w:pPr>
          </w:p>
        </w:tc>
        <w:tc>
          <w:tcPr>
            <w:tcW w:w="98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March 31,</w:t>
            </w:r>
          </w:p>
        </w:tc>
        <w:tc>
          <w:tcPr>
            <w:tcW w:w="140" w:type="dxa"/>
            <w:vAlign w:val="bottom"/>
          </w:tcPr>
          <w:p>
            <w:pPr>
              <w:spacing w:after="0"/>
              <w:rPr>
                <w:sz w:val="13"/>
                <w:szCs w:val="13"/>
                <w:color w:val="auto"/>
              </w:rPr>
            </w:pPr>
          </w:p>
        </w:tc>
        <w:tc>
          <w:tcPr>
            <w:tcW w:w="880" w:type="dxa"/>
            <w:vAlign w:val="bottom"/>
          </w:tcPr>
          <w:p>
            <w:pPr>
              <w:jc w:val="right"/>
              <w:ind w:right="135"/>
              <w:spacing w:after="0" w:line="153" w:lineRule="exact"/>
              <w:rPr>
                <w:sz w:val="20"/>
                <w:szCs w:val="20"/>
                <w:color w:val="auto"/>
              </w:rPr>
            </w:pPr>
            <w:r>
              <w:rPr>
                <w:rFonts w:ascii="Arial" w:cs="Arial" w:eastAsia="Arial" w:hAnsi="Arial"/>
                <w:sz w:val="14"/>
                <w:szCs w:val="14"/>
                <w:b w:val="1"/>
                <w:bCs w:val="1"/>
                <w:color w:val="auto"/>
                <w:w w:val="99"/>
              </w:rPr>
              <w:t>March 31,</w:t>
            </w:r>
          </w:p>
        </w:tc>
      </w:tr>
      <w:tr>
        <w:trPr>
          <w:trHeight w:val="192"/>
        </w:trPr>
        <w:tc>
          <w:tcPr>
            <w:tcW w:w="47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2012</w:t>
            </w:r>
          </w:p>
        </w:tc>
      </w:tr>
      <w:tr>
        <w:trPr>
          <w:trHeight w:val="196"/>
        </w:trPr>
        <w:tc>
          <w:tcPr>
            <w:tcW w:w="4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00" w:type="dxa"/>
            <w:vAlign w:val="bottom"/>
            <w:gridSpan w:val="5"/>
          </w:tcPr>
          <w:p>
            <w:pPr>
              <w:ind w:left="500"/>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56"/>
        </w:trPr>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6,521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4,862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16,641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15,402</w:t>
            </w:r>
          </w:p>
        </w:tc>
      </w:tr>
      <w:tr>
        <w:trPr>
          <w:trHeight w:val="243"/>
        </w:trPr>
        <w:tc>
          <w:tcPr>
            <w:tcW w:w="478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605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617</w:t>
            </w:r>
          </w:p>
        </w:tc>
      </w:tr>
      <w:tr>
        <w:trPr>
          <w:trHeight w:val="27"/>
        </w:trPr>
        <w:tc>
          <w:tcPr>
            <w:tcW w:w="4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7,999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8,794</w:t>
            </w:r>
          </w:p>
        </w:tc>
      </w:tr>
      <w:tr>
        <w:trPr>
          <w:trHeight w:val="243"/>
        </w:trPr>
        <w:tc>
          <w:tcPr>
            <w:tcW w:w="478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3,415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2,930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9,211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8,668</w:t>
            </w:r>
          </w:p>
        </w:tc>
      </w:tr>
      <w:tr>
        <w:trPr>
          <w:trHeight w:val="27"/>
        </w:trPr>
        <w:tc>
          <w:tcPr>
            <w:tcW w:w="47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EBITDA</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11,894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10,302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34,456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33,481</w:t>
            </w:r>
          </w:p>
        </w:tc>
      </w:tr>
      <w:tr>
        <w:trPr>
          <w:trHeight w:val="20"/>
        </w:trPr>
        <w:tc>
          <w:tcPr>
            <w:tcW w:w="47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AND LIQUIDITY</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4"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We define liquidity as the ongoing ability to pay our liabilities as they become due, fund business operations and meet all monetary contractual obligations. Our primary sources of liquidity for the nine months ended March 31, 2013 were cash on hand at the beginning of the year, capacity under our senior revolving credit facility and cash generated from operations. Cash on hand at March 31, 2013 totaled $50.7 million and availability under the senior revolving credit facility totaled $110.1 million resulting in total funding availability of $160.8 million. We expect to fund our operations for the next twelve months through the use of cash generated from operations, existing cash balances and borrowings under our credit facility.</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Factors that routinely impact our short-term liquidity and may impact our long-term liquidity include, but are not limited to:</w:t>
      </w:r>
    </w:p>
    <w:p>
      <w:pPr>
        <w:spacing w:after="0" w:line="225" w:lineRule="exact"/>
        <w:rPr>
          <w:sz w:val="20"/>
          <w:szCs w:val="20"/>
          <w:color w:val="auto"/>
        </w:rPr>
      </w:pPr>
    </w:p>
    <w:p>
      <w:pPr>
        <w:ind w:left="980" w:right="60" w:hanging="324"/>
        <w:spacing w:after="0" w:line="277"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costs and estimated earnings in excess of billings on uncompleted contracts and billings on uncompleted contracts in excess of costs due to contract terms that determine the timing of billings to customers and the collection of those billings</w:t>
      </w:r>
    </w:p>
    <w:p>
      <w:pPr>
        <w:spacing w:after="0" w:line="170" w:lineRule="exact"/>
        <w:rPr>
          <w:rFonts w:ascii="Arial" w:cs="Arial" w:eastAsia="Arial" w:hAnsi="Arial"/>
          <w:sz w:val="18"/>
          <w:szCs w:val="18"/>
          <w:color w:val="auto"/>
        </w:rPr>
      </w:pPr>
    </w:p>
    <w:p>
      <w:pPr>
        <w:ind w:left="1620" w:right="940" w:hanging="315"/>
        <w:spacing w:after="0" w:line="277" w:lineRule="auto"/>
        <w:tabs>
          <w:tab w:leader="none" w:pos="1620" w:val="left"/>
        </w:tabs>
        <w:numPr>
          <w:ilvl w:val="1"/>
          <w:numId w:val="7"/>
        </w:numPr>
        <w:rPr>
          <w:rFonts w:ascii="Arial" w:cs="Arial" w:eastAsia="Arial" w:hAnsi="Arial"/>
          <w:sz w:val="18"/>
          <w:szCs w:val="18"/>
          <w:color w:val="auto"/>
        </w:rPr>
      </w:pPr>
      <w:r>
        <w:rPr>
          <w:rFonts w:ascii="Arial" w:cs="Arial" w:eastAsia="Arial" w:hAnsi="Arial"/>
          <w:sz w:val="18"/>
          <w:szCs w:val="18"/>
          <w:color w:val="auto"/>
        </w:rPr>
        <w:t>Some cost plus and fixed price customer contracts are billed based on milestones which may require us to incur significant expenditures prior to collections from our customers.</w:t>
      </w:r>
    </w:p>
    <w:p>
      <w:pPr>
        <w:spacing w:after="0" w:line="170" w:lineRule="exact"/>
        <w:rPr>
          <w:rFonts w:ascii="Arial" w:cs="Arial" w:eastAsia="Arial" w:hAnsi="Arial"/>
          <w:sz w:val="18"/>
          <w:szCs w:val="18"/>
          <w:color w:val="auto"/>
        </w:rPr>
      </w:pPr>
    </w:p>
    <w:p>
      <w:pPr>
        <w:ind w:left="1620" w:right="260" w:hanging="315"/>
        <w:spacing w:after="0" w:line="277" w:lineRule="auto"/>
        <w:tabs>
          <w:tab w:leader="none" w:pos="1620" w:val="left"/>
        </w:tabs>
        <w:numPr>
          <w:ilvl w:val="1"/>
          <w:numId w:val="7"/>
        </w:numPr>
        <w:rPr>
          <w:rFonts w:ascii="Arial" w:cs="Arial" w:eastAsia="Arial" w:hAnsi="Arial"/>
          <w:sz w:val="18"/>
          <w:szCs w:val="18"/>
          <w:color w:val="auto"/>
        </w:rPr>
      </w:pPr>
      <w:r>
        <w:rPr>
          <w:rFonts w:ascii="Arial" w:cs="Arial" w:eastAsia="Arial" w:hAnsi="Arial"/>
          <w:sz w:val="18"/>
          <w:szCs w:val="18"/>
          <w:color w:val="auto"/>
        </w:rPr>
        <w:t>Time and material contracts are normally billed in arrears. Therefore, we are routinely required to carry these costs until they can be billed and collected.</w:t>
      </w:r>
    </w:p>
    <w:p>
      <w:pPr>
        <w:spacing w:after="0" w:line="170" w:lineRule="exact"/>
        <w:rPr>
          <w:rFonts w:ascii="Arial" w:cs="Arial" w:eastAsia="Arial" w:hAnsi="Arial"/>
          <w:sz w:val="18"/>
          <w:szCs w:val="18"/>
          <w:color w:val="auto"/>
        </w:rPr>
      </w:pPr>
    </w:p>
    <w:p>
      <w:pPr>
        <w:ind w:left="1620" w:hanging="315"/>
        <w:spacing w:after="0"/>
        <w:tabs>
          <w:tab w:leader="none" w:pos="1620" w:val="left"/>
        </w:tabs>
        <w:numPr>
          <w:ilvl w:val="1"/>
          <w:numId w:val="7"/>
        </w:numPr>
        <w:rPr>
          <w:rFonts w:ascii="Arial" w:cs="Arial" w:eastAsia="Arial" w:hAnsi="Arial"/>
          <w:sz w:val="18"/>
          <w:szCs w:val="18"/>
          <w:color w:val="auto"/>
        </w:rPr>
      </w:pPr>
      <w:r>
        <w:rPr>
          <w:rFonts w:ascii="Arial" w:cs="Arial" w:eastAsia="Arial" w:hAnsi="Arial"/>
          <w:sz w:val="18"/>
          <w:szCs w:val="18"/>
          <w:color w:val="auto"/>
        </w:rPr>
        <w:t>Some of our large construction projects may require significant retentions or security in the form of letters of credit.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Other changes in working capital</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Capital expenditures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Other factors that may impact both short and long-term liquidity include:</w:t>
      </w:r>
    </w:p>
    <w:p>
      <w:pPr>
        <w:spacing w:after="0" w:line="225" w:lineRule="exact"/>
        <w:rPr>
          <w:sz w:val="20"/>
          <w:szCs w:val="20"/>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Acquisitions of new businesses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Strategic investments in new operations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Purchases of shares under our stock buyback program</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Contract disputes or collection issues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6"/>
          <w:szCs w:val="16"/>
          <w:color w:val="auto"/>
        </w:rPr>
      </w:pPr>
      <w:r>
        <w:rPr>
          <w:rFonts w:ascii="Arial" w:cs="Arial" w:eastAsia="Arial" w:hAnsi="Arial"/>
          <w:sz w:val="16"/>
          <w:szCs w:val="16"/>
          <w:color w:val="auto"/>
        </w:rPr>
        <w:t>Capacity constraints under our senior revolving credit facility and remaining in compliance with all covenants contained in the credit agreement</w:t>
      </w:r>
    </w:p>
    <w:p>
      <w:pPr>
        <w:spacing w:after="0" w:line="19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have an effective shelf registration statement on file with the SEC under which we may issue, from time to time, up to $400 million of senior debt securities, subordinated debt securities, common stock, preferred stock and warrants. This shelf gives us additional flexibility, when capital market conditions are favorable, to grow our business, finance acquisitions or to optimize our balance sheet in order to improve or maintain our financial flexibility. We may also elect to issue term debt or increase the</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- 21-</w:t>
      </w:r>
    </w:p>
    <w:p>
      <w:pPr>
        <w:sectPr>
          <w:pgSz w:w="11900" w:h="16838" w:orient="portrait"/>
          <w:cols w:equalWidth="0" w:num="1">
            <w:col w:w="11400"/>
          </w:cols>
          <w:pgMar w:left="240" w:top="125" w:right="25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color w:val="auto"/>
        </w:rPr>
        <w:t>amount of our revolving credit facility. We will continue to evaluate our working capital requirements and other factors to maintain sufficient liquidity.</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in the Nine Months Ended March 31, 2013</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Provided by Operating Activities</w:t>
      </w:r>
    </w:p>
    <w:p>
      <w:pPr>
        <w:spacing w:after="0" w:line="9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Cash flows provided by operating activities for the nine months ended March 31, 2013 totaled $36.2 million. Major components of cash flows from operating activities are as follows:</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Net Cash Provided by Operating Activities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(In thousands)</w:t>
      </w:r>
    </w:p>
    <w:p>
      <w:pPr>
        <w:spacing w:after="0" w:line="333" w:lineRule="exact"/>
        <w:rPr>
          <w:sz w:val="20"/>
          <w:szCs w:val="20"/>
          <w:color w:val="auto"/>
        </w:rPr>
      </w:pPr>
    </w:p>
    <w:tbl>
      <w:tblPr>
        <w:tblLayout w:type="fixed"/>
        <w:tblInd w:w="1120" w:type="dxa"/>
        <w:tblCellMar>
          <w:top w:w="0" w:type="dxa"/>
          <w:left w:w="0" w:type="dxa"/>
          <w:bottom w:w="0" w:type="dxa"/>
          <w:right w:w="0" w:type="dxa"/>
        </w:tblCellMar>
      </w:tblPr>
      <w:tr>
        <w:trPr>
          <w:trHeight w:val="270"/>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16,641</w:t>
            </w:r>
          </w:p>
        </w:tc>
      </w:tr>
      <w:tr>
        <w:trPr>
          <w:trHeight w:val="243"/>
        </w:trPr>
        <w:tc>
          <w:tcPr>
            <w:tcW w:w="8100" w:type="dxa"/>
            <w:vAlign w:val="bottom"/>
          </w:tcPr>
          <w:p>
            <w:pPr>
              <w:ind w:left="20"/>
              <w:spacing w:after="0"/>
              <w:rPr>
                <w:sz w:val="20"/>
                <w:szCs w:val="20"/>
                <w:color w:val="auto"/>
              </w:rPr>
            </w:pPr>
            <w:r>
              <w:rPr>
                <w:rFonts w:ascii="Arial" w:cs="Arial" w:eastAsia="Arial" w:hAnsi="Arial"/>
                <w:sz w:val="18"/>
                <w:szCs w:val="18"/>
                <w:color w:val="auto"/>
              </w:rPr>
              <w:t>Non-cash expenses</w:t>
            </w:r>
          </w:p>
        </w:tc>
        <w:tc>
          <w:tcPr>
            <w:tcW w:w="30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12,850</w:t>
            </w:r>
          </w:p>
        </w:tc>
      </w:tr>
      <w:tr>
        <w:trPr>
          <w:trHeight w:val="27"/>
        </w:trPr>
        <w:tc>
          <w:tcPr>
            <w:tcW w:w="8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income tax</w:t>
            </w:r>
          </w:p>
        </w:tc>
        <w:tc>
          <w:tcPr>
            <w:tcW w:w="3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208</w:t>
            </w:r>
          </w:p>
        </w:tc>
      </w:tr>
      <w:tr>
        <w:trPr>
          <w:trHeight w:val="243"/>
        </w:trPr>
        <w:tc>
          <w:tcPr>
            <w:tcW w:w="8100" w:type="dxa"/>
            <w:vAlign w:val="bottom"/>
          </w:tcPr>
          <w:p>
            <w:pPr>
              <w:ind w:left="20"/>
              <w:spacing w:after="0"/>
              <w:rPr>
                <w:sz w:val="20"/>
                <w:szCs w:val="20"/>
                <w:color w:val="auto"/>
              </w:rPr>
            </w:pPr>
            <w:r>
              <w:rPr>
                <w:rFonts w:ascii="Arial" w:cs="Arial" w:eastAsia="Arial" w:hAnsi="Arial"/>
                <w:sz w:val="18"/>
                <w:szCs w:val="18"/>
                <w:color w:val="auto"/>
              </w:rPr>
              <w:t>Cash effect of changes in operating assets and liabilities</w:t>
            </w:r>
          </w:p>
        </w:tc>
        <w:tc>
          <w:tcPr>
            <w:tcW w:w="30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6,557</w:t>
            </w:r>
          </w:p>
        </w:tc>
      </w:tr>
      <w:tr>
        <w:trPr>
          <w:trHeight w:val="27"/>
        </w:trPr>
        <w:tc>
          <w:tcPr>
            <w:tcW w:w="8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Gain on disposition of property, plant and equipment</w:t>
            </w:r>
          </w:p>
        </w:tc>
        <w:tc>
          <w:tcPr>
            <w:tcW w:w="3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43"/>
        </w:trPr>
        <w:tc>
          <w:tcPr>
            <w:tcW w:w="8100" w:type="dxa"/>
            <w:vAlign w:val="bottom"/>
          </w:tcPr>
          <w:p>
            <w:pPr>
              <w:ind w:left="2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7"/>
        </w:trPr>
        <w:tc>
          <w:tcPr>
            <w:tcW w:w="8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57"/>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36,197</w:t>
            </w:r>
          </w:p>
        </w:tc>
      </w:tr>
      <w:tr>
        <w:trPr>
          <w:trHeight w:val="20"/>
        </w:trPr>
        <w:tc>
          <w:tcPr>
            <w:tcW w:w="8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cash effect of significant changes in operating assets and liabilities include the following:</w:t>
      </w:r>
    </w:p>
    <w:p>
      <w:pPr>
        <w:spacing w:after="0" w:line="225" w:lineRule="exact"/>
        <w:rPr>
          <w:sz w:val="20"/>
          <w:szCs w:val="20"/>
          <w:color w:val="auto"/>
        </w:rPr>
      </w:pPr>
    </w:p>
    <w:p>
      <w:pPr>
        <w:ind w:left="980" w:right="120" w:hanging="324"/>
        <w:spacing w:after="0" w:line="264"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Accounts receivable increased by $23.2 million. The accounts receivable increase is due to a higher business volume and the timing of billings particularly in the Electrical Infrastructure and Industrial segments. The receivable aging categories have not deteriorated and we do not anticipate any unusual collection difficulties.</w:t>
      </w:r>
    </w:p>
    <w:p>
      <w:pPr>
        <w:spacing w:after="0" w:line="181" w:lineRule="exact"/>
        <w:rPr>
          <w:rFonts w:ascii="Arial" w:cs="Arial" w:eastAsia="Arial" w:hAnsi="Arial"/>
          <w:sz w:val="18"/>
          <w:szCs w:val="18"/>
          <w:color w:val="auto"/>
        </w:rPr>
      </w:pPr>
    </w:p>
    <w:p>
      <w:pPr>
        <w:ind w:left="980" w:hanging="324"/>
        <w:spacing w:after="0" w:line="259"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net change in the combined balance of costs and estimated earnings in excess of billings on uncompleted contracts and billings on uncompleted contracts in excess of costs and estimated earnings caused an increase to cash of $17.5 million in the nine months ended March 31, 2013. This change was primarily attributable to our project portfolio permitting a higher degree of advanced billings in the first nine months of fiscal 2013.</w:t>
      </w:r>
    </w:p>
    <w:p>
      <w:pPr>
        <w:spacing w:after="0" w:line="186"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Accounts payable increased by $9.0 million. The increase was primarily due to an increase in business activity.</w:t>
      </w:r>
    </w:p>
    <w:p>
      <w:pPr>
        <w:spacing w:after="0" w:line="225" w:lineRule="exact"/>
        <w:rPr>
          <w:rFonts w:ascii="Arial" w:cs="Arial" w:eastAsia="Arial" w:hAnsi="Arial"/>
          <w:sz w:val="18"/>
          <w:szCs w:val="18"/>
          <w:color w:val="auto"/>
        </w:rPr>
      </w:pPr>
    </w:p>
    <w:p>
      <w:pPr>
        <w:ind w:left="980" w:right="440" w:hanging="324"/>
        <w:spacing w:after="0" w:line="277"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Accrued expenses increased by $7.5 million. The increase was primarily due to higher accrued employee related expenses. The increase is primarily the result of growth in the business and the timing of payments of health benefit expenses.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Used for Investing Activities</w:t>
      </w:r>
    </w:p>
    <w:p>
      <w:pPr>
        <w:spacing w:after="0" w:line="9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Investing activities used $24.7 million of cash in the nine months ended March 31, 2013. This was due to capital expenditures of $16.6 million and the purchase of certain assets of Pelichem in the amount of $8.3 million as discussed in Note 2 - Acquisition, partially offset by proceeds from asset dispositions of $0.2 million. Capital expenditures included $8.9 million for the purchase of construction equipment, $4.7 million for transportation equipment, $2.9 million for office equipment and software and $0.1 million for land and buildings.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Used for Financing Activities</w:t>
      </w:r>
    </w:p>
    <w:p>
      <w:pPr>
        <w:spacing w:after="0" w:line="90" w:lineRule="exact"/>
        <w:rPr>
          <w:sz w:val="20"/>
          <w:szCs w:val="20"/>
          <w:color w:val="auto"/>
        </w:rPr>
      </w:pPr>
    </w:p>
    <w:p>
      <w:pPr>
        <w:jc w:val="both"/>
        <w:ind w:right="200"/>
        <w:spacing w:after="0" w:line="286" w:lineRule="auto"/>
        <w:rPr>
          <w:sz w:val="20"/>
          <w:szCs w:val="20"/>
          <w:color w:val="auto"/>
        </w:rPr>
      </w:pPr>
      <w:r>
        <w:rPr>
          <w:rFonts w:ascii="Arial" w:cs="Arial" w:eastAsia="Arial" w:hAnsi="Arial"/>
          <w:sz w:val="17"/>
          <w:szCs w:val="17"/>
          <w:color w:val="auto"/>
        </w:rPr>
        <w:t>Financing activities used $0.5 million of cash in the nine months ended March 31, 2013 primarily due to treasury share purchases of $1.1 million, offset in part by stock issuances of $0.6 million. We have no outstanding cash borrowings at March 31, 2013. Cash borrowings during the first nine months of fiscal 2013 were Canadian dollar advances under our credit agreement to mitigate foreign exchange rate risks.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Revolving Credit Facility</w:t>
      </w:r>
    </w:p>
    <w:p>
      <w:pPr>
        <w:spacing w:after="0" w:line="94"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color w:val="auto"/>
        </w:rPr>
        <w:t>The Company has a five-year, $125.0 million senior secured revolving credit facility (the “Credit Agreement”) that expires November 7, 2016. Advances under the Credit Agreement may be used for working capital, issuance of letters of credit and other lawful corporate purposes.</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- 22-</w:t>
      </w:r>
    </w:p>
    <w:p>
      <w:pPr>
        <w:sectPr>
          <w:pgSz w:w="11900" w:h="16838" w:orient="portrait"/>
          <w:cols w:equalWidth="0" w:num="1">
            <w:col w:w="11380"/>
          </w:cols>
          <w:pgMar w:left="240" w:top="125" w:right="27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The Credit Agreement includes the following covenants and borrowing limitations:</w:t>
      </w:r>
    </w:p>
    <w:p>
      <w:pPr>
        <w:spacing w:after="0" w:line="225" w:lineRule="exact"/>
        <w:rPr>
          <w:sz w:val="20"/>
          <w:szCs w:val="20"/>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Senior Leverage Ratio, as defined in the agreement, may not exceed 2.50 to 1.00 as of the end of each fiscal quarter.</w:t>
      </w:r>
    </w:p>
    <w:p>
      <w:pPr>
        <w:spacing w:after="0" w:line="225" w:lineRule="exact"/>
        <w:rPr>
          <w:rFonts w:ascii="Arial" w:cs="Arial" w:eastAsia="Arial" w:hAnsi="Arial"/>
          <w:sz w:val="18"/>
          <w:szCs w:val="18"/>
          <w:color w:val="auto"/>
        </w:rPr>
      </w:pPr>
    </w:p>
    <w:p>
      <w:pPr>
        <w:ind w:left="980" w:right="140" w:hanging="324"/>
        <w:spacing w:after="0" w:line="27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will be required to maintain a Fixed Charge Coverage Ratio, as defined in the agreement, greater than or equal to 1.25 to 1.00 as of the end of each fiscal quarter.</w:t>
      </w:r>
    </w:p>
    <w:p>
      <w:pPr>
        <w:spacing w:after="0" w:line="170"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Asset dispositions (other than inventory and obsolete or unneeded equipment disposed of in the ordinary course of business) are limited to $15.0 million per 12-month period.</w:t>
      </w:r>
    </w:p>
    <w:p>
      <w:pPr>
        <w:spacing w:after="0" w:line="116"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Amounts borrowed under the Credit Agreement bear interest at LIBOR or an Alternate Base Rate, plus in each case, an additional margin based on the Senior Leverage Ratio. The Credit Agreement includes additional margin ranges on Alternate Base Rate loans between 0.75% and 1.5% and between 1.75% and 2.5% on LIBOR-based loans.</w:t>
      </w:r>
    </w:p>
    <w:p>
      <w:pPr>
        <w:spacing w:after="0" w:line="12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Credit Agreement also permits us to borrow in Canadian dollars with a sublimit of U.S. $15.0 million. Amounts borrowed in Canadian dollars will bear interest either at the CDOR Rate, plus an additional margin based on the Senior Leverage Ratio ranging from 1.75% to 2.5%, or at the Canadian Prime Rate, plus an additional margin based on the Senior Leverage Ratio ranging from 2.25% to 3.0%. The CDOR Rate is equal to the sum of the annual rate of interest which is the rate determined as being the arithmetic average of the quotations of all institutions listed in respect of the relevant CDOR interest period for Canadian Dollar denominated bankers’ acceptances, plus 0.1%. The Canadian Prime Rate is equal to the greater of (i) the rate of interest per annum most recently announced or established by JPMorgan Chase Bank, N.A., Toronto Branch as its reference rate in effect on such day for determining interest rates for Canadian Dollar denominated commercial loans in Canada and (ii) the CDOR Rate plus 1.0%.</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The Unused Credit Facility Fee is between 0.30% and 0.45% based on the Senior Leverage Ratio.</w:t>
      </w:r>
    </w:p>
    <w:p>
      <w:pPr>
        <w:spacing w:after="0" w:line="171" w:lineRule="exact"/>
        <w:rPr>
          <w:sz w:val="20"/>
          <w:szCs w:val="20"/>
          <w:color w:val="auto"/>
        </w:rPr>
      </w:pPr>
    </w:p>
    <w:p>
      <w:pPr>
        <w:ind w:right="520"/>
        <w:spacing w:after="0" w:line="279" w:lineRule="auto"/>
        <w:rPr>
          <w:sz w:val="20"/>
          <w:szCs w:val="20"/>
          <w:color w:val="auto"/>
        </w:rPr>
      </w:pPr>
      <w:r>
        <w:rPr>
          <w:rFonts w:ascii="Arial" w:cs="Arial" w:eastAsia="Arial" w:hAnsi="Arial"/>
          <w:sz w:val="17"/>
          <w:szCs w:val="17"/>
          <w:color w:val="auto"/>
        </w:rPr>
        <w:t>As noted previously, the Credit Agreement includes a Senior Leverage Ratio covenant which provides that Consolidated Funded Indebtedness may not exceed 2.5 times Consolidated EBITDA, as defined in the agreement, over the previous four quarters. For the four quarters ended March 31, 2013, Consolidated EBITDA was $47.3 million. Accordingly, at March 31, 2013, Consolidated Funded Indebtedness in excess of $118.3 million would have violated the Senior Leverage Ratio covenant. Consolidated Funded Indebtedness at March 31, 2013 was $0.7 million.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 Policy</w:t>
      </w:r>
    </w:p>
    <w:p>
      <w:pPr>
        <w:spacing w:after="0" w:line="90"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We have never paid cash dividends on our common stock, and the terms of our Credit Agreement limit the amount of cash dividends we can pay. Under our Credit Agreement, we may declare and pay dividends on our capital stock during any fiscal year up to an amount which, when added to all other dividends paid during such fiscal year, does not exceed 50% of our cumulative net income for such fiscal year to such date. While we currently do not intend to pay cash dividends, any future dividend payments will depend on our financial condition, capital requirements and earnings as well as other relevant factors.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Repurchase Program and Treasury Shares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Treasury Shares</w:t>
      </w:r>
    </w:p>
    <w:p>
      <w:pPr>
        <w:spacing w:after="0" w:line="90"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The Company's stock buyback program, which was approved by the Board of Directors on February 4, 2009, was scheduled to expire on December 31, 2012. The program permitted the Company to purchase up to 3,000,000 shares of common stock provided that such purchases do not exceed $25.0 million in any calendar year. Since its inception, the Company has purchased a total of 886,503 shares under the stock buyback program at an average price of $9.17. On November 6, 2012, our Board of Directors approved a two year extension of the stock buyback plan, which allows the Company to purchase up to 2,113,497 shares through the end of calendar year 2014 if sufficient liquidity exists and we believe that it is in the best interest of the stockholders.</w:t>
      </w:r>
    </w:p>
    <w:p>
      <w:pPr>
        <w:spacing w:after="0" w:line="104"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In addition to the stock buyback program, the Company may withhold shares of common stock to satisfy the tax withholding obligations upon vesting of an employee’s deferred shares. Matrix withheld 102,376 shares in the first nine months of fiscal 2013 to satisfy these obligations. These shares were returned to the Company’s pool of treasury shares.</w:t>
      </w:r>
    </w:p>
    <w:p>
      <w:pPr>
        <w:spacing w:after="0" w:line="12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Company has 1,822,029 treasury shares as of March 31, 2013 and intends to utilize these treasury shares solely in connection with equity awards under the Company’s stock incentive plans.</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- 23-</w:t>
      </w:r>
    </w:p>
    <w:p>
      <w:pPr>
        <w:sectPr>
          <w:pgSz w:w="11900" w:h="16838" w:orient="portrait"/>
          <w:cols w:equalWidth="0" w:num="1">
            <w:col w:w="11400"/>
          </w:cols>
          <w:pgMar w:left="240" w:top="125" w:right="25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4"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This Form 10-Q includes “forward-looking statements” within the meaning of Section 27A of the Securities Act of 1933, as amended, and Section 21E of the Securities Exchange Act of 1934, as amended. All statements, other than statements of historical facts, included in this Form 10-Q which address activities, events or developments which we expect, believe or anticipate will or may occur in the future are forward-looking statements. The words “believes,” “intends,” “expects,” “anticipates,” “projects,” “estimates,” “predicts” and similar expressions are also intended to identify forward-looking statements.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These forward-looking statements include, among others, such things as:</w:t>
      </w:r>
    </w:p>
    <w:p>
      <w:pPr>
        <w:spacing w:after="0" w:line="225" w:lineRule="exact"/>
        <w:rPr>
          <w:sz w:val="20"/>
          <w:szCs w:val="20"/>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amounts and nature of future revenues and margins from each of our segments;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likely impact of new or existing regulations or market forces on the demand for our services;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expansion and other trends of the industries we serve;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our ability to generate sufficient cash from operations or to raise cash in order to meet our short and long-term capital requirements; and</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comply with the covenants in our credit agreement.</w:t>
      </w:r>
    </w:p>
    <w:p>
      <w:pPr>
        <w:spacing w:after="0" w:line="171"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These statements are based on certain assumptions and analyses we made in light of our experience and our historical trends, current conditions and expected future developments as well as other factors we believe are appropriate. However, whether actual results and developments will conform to our expectations and predictions is subject to a number of risks and uncertainties which could cause actual results to differ materially from our expectations, including:</w:t>
      </w:r>
    </w:p>
    <w:p>
      <w:pPr>
        <w:spacing w:after="0" w:line="147" w:lineRule="exact"/>
        <w:rPr>
          <w:sz w:val="20"/>
          <w:szCs w:val="20"/>
          <w:color w:val="auto"/>
        </w:rPr>
      </w:pPr>
    </w:p>
    <w:p>
      <w:pPr>
        <w:ind w:left="980" w:right="20" w:hanging="324"/>
        <w:spacing w:after="0" w:line="277"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risk factors discussed in our Form 10-K for the fiscal year ended June 30, 2012 and listed from time to time in our filings with the Securities and Exchange Commission;</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inherently uncertain outcome of current and future litigation;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adequacy of our reserves for contingencies;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economic, market or business conditions in general and in the oil, gas, power and mining and minerals industries in particular;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laws or regulations;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other factors, many of which are beyond our control.</w:t>
      </w:r>
    </w:p>
    <w:p>
      <w:pPr>
        <w:spacing w:after="0" w:line="17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Consequently, all of the forward-looking statements made in this Form 10-Q are qualified by these cautionary statements and there can be no assurance that the actual results or developments anticipated by us will be realized or, even if substantially realized, that they will have the expected consequences or effects on our business operations. We assume no obligation to update publicly, except as required by law, any such forward-looking statements, whether as a result of new information, future events or otherwise.</w:t>
      </w: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- 24-</w:t>
      </w:r>
    </w:p>
    <w:p>
      <w:pPr>
        <w:sectPr>
          <w:pgSz w:w="11900" w:h="16838" w:orient="portrait"/>
          <w:cols w:equalWidth="0" w:num="1">
            <w:col w:w="11360"/>
          </w:cols>
          <w:pgMar w:left="240" w:top="125" w:right="29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94"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There have been no material changes in market risk faced by us from those reported in our Annual Report on Form 10-K for the fiscal year ended June 30, 2012, filed with the Securities and Exchange Commission. For more information on market risk, see Part II, Item 7A in our fiscal 2012 Annual Report on Form 10-K.</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94"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We maintain disclosure controls and procedures that are designed to ensure that information required to be disclosed in our Securities Exchange Act reports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based on the definition of “disclosure controls and procedures” in Rule 13a-15(e).</w:t>
      </w:r>
    </w:p>
    <w:p>
      <w:pPr>
        <w:spacing w:after="0" w:line="11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disclosure controls and procedures are designed to provide reasonable, not absolute, assurance of achieving the desired control objectives. The Company’s management, including the Chief Executive Officer and Chief Financial Officer, does not expect that the disclosure controls and procedures or our internal controls over financial reporting will prevent or detect all errors or fraud. The design of our internal control system takes into account the fact that there are resource constraints and the benefits of controls must be weighed against the costs. Additionally, controls can be circumvented by the acts of key individuals, collusion or management override.</w:t>
      </w:r>
    </w:p>
    <w:p>
      <w:pPr>
        <w:spacing w:after="0" w:line="13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carried out an evaluation, under the supervision and with the participation of our management, including our Chief Executive Officer and our Chief Financial Officer, of the effectiveness of the design and operation of our disclosure controls and procedures as of March 31, 2013. Based on the foregoing, our Chief Executive Officer and Chief Financial Officer concluded that our disclosure controls and procedures were effective at the reasonable assurance level at March 31, 2013.</w:t>
      </w:r>
    </w:p>
    <w:p>
      <w:pPr>
        <w:spacing w:after="0" w:line="133"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There have been no changes in our internal controls over financial reporting that have materially affected, or are reasonably likely to materially affect our internal controls over financial reporting during the quarter ended March 31, 2013.</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- 25-</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9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a party to a number of legal proceedings. We believe that the nature and number of these proceedings are typical for a company of our size engaged in our type of business and that none of these proceedings will result in a material effect on our business, results of operations, financial condition, cash flows or liquidity.</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9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There were no material changes in our Risk Factors from those reported in Item 1A of Part I of our Annual Report on Form 10-K for the fiscal year ended June 30, 2012.</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sets forth the information with respect to purchases made by the Company of its common stock during the third quarter of fiscal year 2013.</w:t>
      </w:r>
    </w:p>
    <w:p>
      <w:pPr>
        <w:spacing w:after="0" w:line="362" w:lineRule="exact"/>
        <w:rPr>
          <w:sz w:val="20"/>
          <w:szCs w:val="20"/>
          <w:color w:val="auto"/>
        </w:rPr>
      </w:pPr>
    </w:p>
    <w:tbl>
      <w:tblPr>
        <w:tblLayout w:type="fixed"/>
        <w:tblInd w:w="50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jc w:val="center"/>
              <w:ind w:left="208"/>
              <w:spacing w:after="0"/>
              <w:rPr>
                <w:sz w:val="20"/>
                <w:szCs w:val="20"/>
                <w:color w:val="auto"/>
              </w:rPr>
            </w:pPr>
            <w:r>
              <w:rPr>
                <w:rFonts w:ascii="Arial" w:cs="Arial" w:eastAsia="Arial" w:hAnsi="Arial"/>
                <w:sz w:val="14"/>
                <w:szCs w:val="14"/>
                <w:b w:val="1"/>
                <w:bCs w:val="1"/>
                <w:color w:val="auto"/>
                <w:w w:val="95"/>
              </w:rPr>
              <w:t>Total Number</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99"/>
              </w:rPr>
              <w:t>Maximum</w:t>
            </w:r>
          </w:p>
        </w:tc>
        <w:tc>
          <w:tcPr>
            <w:tcW w:w="0" w:type="dxa"/>
            <w:vAlign w:val="bottom"/>
          </w:tcPr>
          <w:p>
            <w:pPr>
              <w:spacing w:after="0"/>
              <w:rPr>
                <w:sz w:val="1"/>
                <w:szCs w:val="1"/>
                <w:color w:val="auto"/>
              </w:rPr>
            </w:pPr>
          </w:p>
        </w:tc>
      </w:tr>
      <w:tr>
        <w:trPr>
          <w:trHeight w:val="149"/>
        </w:trPr>
        <w:tc>
          <w:tcPr>
            <w:tcW w:w="38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jc w:val="center"/>
              <w:ind w:left="188"/>
              <w:spacing w:after="0" w:line="149" w:lineRule="exact"/>
              <w:rPr>
                <w:sz w:val="20"/>
                <w:szCs w:val="20"/>
                <w:color w:val="auto"/>
              </w:rPr>
            </w:pPr>
            <w:r>
              <w:rPr>
                <w:rFonts w:ascii="Arial" w:cs="Arial" w:eastAsia="Arial" w:hAnsi="Arial"/>
                <w:sz w:val="14"/>
                <w:szCs w:val="14"/>
                <w:b w:val="1"/>
                <w:bCs w:val="1"/>
                <w:color w:val="auto"/>
                <w:w w:val="87"/>
              </w:rPr>
              <w:t>of Shares</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Number of</w:t>
            </w:r>
          </w:p>
        </w:tc>
        <w:tc>
          <w:tcPr>
            <w:tcW w:w="0" w:type="dxa"/>
            <w:vAlign w:val="bottom"/>
          </w:tcPr>
          <w:p>
            <w:pPr>
              <w:spacing w:after="0"/>
              <w:rPr>
                <w:sz w:val="1"/>
                <w:szCs w:val="1"/>
                <w:color w:val="auto"/>
              </w:rPr>
            </w:pPr>
          </w:p>
        </w:tc>
      </w:tr>
      <w:tr>
        <w:trPr>
          <w:trHeight w:val="149"/>
        </w:trPr>
        <w:tc>
          <w:tcPr>
            <w:tcW w:w="38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jc w:val="center"/>
              <w:ind w:left="188"/>
              <w:spacing w:after="0" w:line="149" w:lineRule="exact"/>
              <w:rPr>
                <w:sz w:val="20"/>
                <w:szCs w:val="20"/>
                <w:color w:val="auto"/>
              </w:rPr>
            </w:pPr>
            <w:r>
              <w:rPr>
                <w:rFonts w:ascii="Arial" w:cs="Arial" w:eastAsia="Arial" w:hAnsi="Arial"/>
                <w:sz w:val="14"/>
                <w:szCs w:val="14"/>
                <w:b w:val="1"/>
                <w:bCs w:val="1"/>
                <w:color w:val="auto"/>
                <w:w w:val="87"/>
              </w:rPr>
              <w:t>Purchased as</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Shares That</w:t>
            </w:r>
          </w:p>
        </w:tc>
        <w:tc>
          <w:tcPr>
            <w:tcW w:w="0" w:type="dxa"/>
            <w:vAlign w:val="bottom"/>
          </w:tcPr>
          <w:p>
            <w:pPr>
              <w:spacing w:after="0"/>
              <w:rPr>
                <w:sz w:val="1"/>
                <w:szCs w:val="1"/>
                <w:color w:val="auto"/>
              </w:rPr>
            </w:pPr>
          </w:p>
        </w:tc>
      </w:tr>
      <w:tr>
        <w:trPr>
          <w:trHeight w:val="149"/>
        </w:trPr>
        <w:tc>
          <w:tcPr>
            <w:tcW w:w="3880" w:type="dxa"/>
            <w:vAlign w:val="bottom"/>
          </w:tcPr>
          <w:p>
            <w:pPr>
              <w:spacing w:after="0"/>
              <w:rPr>
                <w:sz w:val="12"/>
                <w:szCs w:val="12"/>
                <w:color w:val="auto"/>
              </w:rPr>
            </w:pPr>
          </w:p>
        </w:tc>
        <w:tc>
          <w:tcPr>
            <w:tcW w:w="168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5"/>
              </w:rPr>
              <w:t>Total Number</w:t>
            </w:r>
          </w:p>
        </w:tc>
        <w:tc>
          <w:tcPr>
            <w:tcW w:w="220" w:type="dxa"/>
            <w:vAlign w:val="bottom"/>
          </w:tcPr>
          <w:p>
            <w:pPr>
              <w:spacing w:after="0"/>
              <w:rPr>
                <w:sz w:val="12"/>
                <w:szCs w:val="12"/>
                <w:color w:val="auto"/>
              </w:rPr>
            </w:pPr>
          </w:p>
        </w:tc>
        <w:tc>
          <w:tcPr>
            <w:tcW w:w="146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2"/>
              </w:rPr>
              <w:t>Average Price</w:t>
            </w:r>
          </w:p>
        </w:tc>
        <w:tc>
          <w:tcPr>
            <w:tcW w:w="1260" w:type="dxa"/>
            <w:vAlign w:val="bottom"/>
          </w:tcPr>
          <w:p>
            <w:pPr>
              <w:jc w:val="center"/>
              <w:ind w:left="188"/>
              <w:spacing w:after="0" w:line="149" w:lineRule="exact"/>
              <w:rPr>
                <w:sz w:val="20"/>
                <w:szCs w:val="20"/>
                <w:color w:val="auto"/>
              </w:rPr>
            </w:pPr>
            <w:r>
              <w:rPr>
                <w:rFonts w:ascii="Arial" w:cs="Arial" w:eastAsia="Arial" w:hAnsi="Arial"/>
                <w:sz w:val="14"/>
                <w:szCs w:val="14"/>
                <w:b w:val="1"/>
                <w:bCs w:val="1"/>
                <w:color w:val="auto"/>
                <w:w w:val="94"/>
              </w:rPr>
              <w:t>Part of Publicly</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May Yet Be</w:t>
            </w:r>
          </w:p>
        </w:tc>
        <w:tc>
          <w:tcPr>
            <w:tcW w:w="0" w:type="dxa"/>
            <w:vAlign w:val="bottom"/>
          </w:tcPr>
          <w:p>
            <w:pPr>
              <w:spacing w:after="0"/>
              <w:rPr>
                <w:sz w:val="1"/>
                <w:szCs w:val="1"/>
                <w:color w:val="auto"/>
              </w:rPr>
            </w:pPr>
          </w:p>
        </w:tc>
      </w:tr>
      <w:tr>
        <w:trPr>
          <w:trHeight w:val="149"/>
        </w:trPr>
        <w:tc>
          <w:tcPr>
            <w:tcW w:w="3880" w:type="dxa"/>
            <w:vAlign w:val="bottom"/>
          </w:tcPr>
          <w:p>
            <w:pPr>
              <w:spacing w:after="0"/>
              <w:rPr>
                <w:sz w:val="12"/>
                <w:szCs w:val="12"/>
                <w:color w:val="auto"/>
              </w:rPr>
            </w:pPr>
          </w:p>
        </w:tc>
        <w:tc>
          <w:tcPr>
            <w:tcW w:w="16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260" w:type="dxa"/>
            <w:vAlign w:val="bottom"/>
          </w:tcPr>
          <w:p>
            <w:pPr>
              <w:jc w:val="center"/>
              <w:ind w:left="208"/>
              <w:spacing w:after="0" w:line="149" w:lineRule="exact"/>
              <w:rPr>
                <w:sz w:val="20"/>
                <w:szCs w:val="20"/>
                <w:color w:val="auto"/>
              </w:rPr>
            </w:pPr>
            <w:r>
              <w:rPr>
                <w:rFonts w:ascii="Arial" w:cs="Arial" w:eastAsia="Arial" w:hAnsi="Arial"/>
                <w:sz w:val="14"/>
                <w:szCs w:val="14"/>
                <w:b w:val="1"/>
                <w:bCs w:val="1"/>
                <w:color w:val="auto"/>
                <w:w w:val="90"/>
              </w:rPr>
              <w:t>Announced</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Purchased</w:t>
            </w:r>
          </w:p>
        </w:tc>
        <w:tc>
          <w:tcPr>
            <w:tcW w:w="0" w:type="dxa"/>
            <w:vAlign w:val="bottom"/>
          </w:tcPr>
          <w:p>
            <w:pPr>
              <w:spacing w:after="0"/>
              <w:rPr>
                <w:sz w:val="1"/>
                <w:szCs w:val="1"/>
                <w:color w:val="auto"/>
              </w:rPr>
            </w:pPr>
          </w:p>
        </w:tc>
      </w:tr>
      <w:tr>
        <w:trPr>
          <w:trHeight w:val="149"/>
        </w:trPr>
        <w:tc>
          <w:tcPr>
            <w:tcW w:w="3880" w:type="dxa"/>
            <w:vAlign w:val="bottom"/>
          </w:tcPr>
          <w:p>
            <w:pPr>
              <w:spacing w:after="0"/>
              <w:rPr>
                <w:sz w:val="12"/>
                <w:szCs w:val="12"/>
                <w:color w:val="auto"/>
              </w:rPr>
            </w:pPr>
          </w:p>
        </w:tc>
        <w:tc>
          <w:tcPr>
            <w:tcW w:w="16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of Shares</w:t>
            </w:r>
          </w:p>
        </w:tc>
        <w:tc>
          <w:tcPr>
            <w:tcW w:w="220" w:type="dxa"/>
            <w:vAlign w:val="bottom"/>
          </w:tcPr>
          <w:p>
            <w:pPr>
              <w:spacing w:after="0"/>
              <w:rPr>
                <w:sz w:val="12"/>
                <w:szCs w:val="12"/>
                <w:color w:val="auto"/>
              </w:rPr>
            </w:pPr>
          </w:p>
        </w:tc>
        <w:tc>
          <w:tcPr>
            <w:tcW w:w="14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Paid</w:t>
            </w:r>
          </w:p>
        </w:tc>
        <w:tc>
          <w:tcPr>
            <w:tcW w:w="1260" w:type="dxa"/>
            <w:vAlign w:val="bottom"/>
          </w:tcPr>
          <w:p>
            <w:pPr>
              <w:jc w:val="center"/>
              <w:ind w:left="188"/>
              <w:spacing w:after="0" w:line="149" w:lineRule="exact"/>
              <w:rPr>
                <w:sz w:val="20"/>
                <w:szCs w:val="20"/>
                <w:color w:val="auto"/>
              </w:rPr>
            </w:pPr>
            <w:r>
              <w:rPr>
                <w:rFonts w:ascii="Arial" w:cs="Arial" w:eastAsia="Arial" w:hAnsi="Arial"/>
                <w:sz w:val="14"/>
                <w:szCs w:val="14"/>
                <w:b w:val="1"/>
                <w:bCs w:val="1"/>
                <w:color w:val="auto"/>
                <w:w w:val="94"/>
              </w:rPr>
              <w:t>Plans or</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Under the Plans</w:t>
            </w:r>
          </w:p>
        </w:tc>
        <w:tc>
          <w:tcPr>
            <w:tcW w:w="0" w:type="dxa"/>
            <w:vAlign w:val="bottom"/>
          </w:tcPr>
          <w:p>
            <w:pPr>
              <w:spacing w:after="0"/>
              <w:rPr>
                <w:sz w:val="1"/>
                <w:szCs w:val="1"/>
                <w:color w:val="auto"/>
              </w:rPr>
            </w:pPr>
          </w:p>
        </w:tc>
      </w:tr>
      <w:tr>
        <w:trPr>
          <w:trHeight w:val="192"/>
        </w:trPr>
        <w:tc>
          <w:tcPr>
            <w:tcW w:w="3880" w:type="dxa"/>
            <w:vAlign w:val="bottom"/>
          </w:tcPr>
          <w:p>
            <w:pPr>
              <w:spacing w:after="0"/>
              <w:rPr>
                <w:sz w:val="16"/>
                <w:szCs w:val="16"/>
                <w:color w:val="auto"/>
              </w:rPr>
            </w:pPr>
          </w:p>
        </w:tc>
        <w:tc>
          <w:tcPr>
            <w:tcW w:w="16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Purchased</w:t>
            </w:r>
          </w:p>
        </w:tc>
        <w:tc>
          <w:tcPr>
            <w:tcW w:w="220" w:type="dxa"/>
            <w:vAlign w:val="bottom"/>
          </w:tcPr>
          <w:p>
            <w:pPr>
              <w:spacing w:after="0"/>
              <w:rPr>
                <w:sz w:val="16"/>
                <w:szCs w:val="16"/>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Per Share</w:t>
            </w:r>
          </w:p>
        </w:tc>
        <w:tc>
          <w:tcPr>
            <w:tcW w:w="1260" w:type="dxa"/>
            <w:vAlign w:val="bottom"/>
          </w:tcPr>
          <w:p>
            <w:pPr>
              <w:jc w:val="center"/>
              <w:ind w:left="188"/>
              <w:spacing w:after="0"/>
              <w:rPr>
                <w:sz w:val="20"/>
                <w:szCs w:val="20"/>
                <w:color w:val="auto"/>
              </w:rPr>
            </w:pPr>
            <w:r>
              <w:rPr>
                <w:rFonts w:ascii="Arial" w:cs="Arial" w:eastAsia="Arial" w:hAnsi="Arial"/>
                <w:sz w:val="14"/>
                <w:szCs w:val="14"/>
                <w:b w:val="1"/>
                <w:bCs w:val="1"/>
                <w:color w:val="auto"/>
                <w:w w:val="91"/>
              </w:rPr>
              <w:t>Programs</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93"/>
              </w:rPr>
              <w:t>or Programs</w:t>
            </w:r>
          </w:p>
        </w:tc>
        <w:tc>
          <w:tcPr>
            <w:tcW w:w="0" w:type="dxa"/>
            <w:vAlign w:val="bottom"/>
          </w:tcPr>
          <w:p>
            <w:pPr>
              <w:spacing w:after="0"/>
              <w:rPr>
                <w:sz w:val="1"/>
                <w:szCs w:val="1"/>
                <w:color w:val="auto"/>
              </w:rPr>
            </w:pPr>
          </w:p>
        </w:tc>
      </w:tr>
      <w:tr>
        <w:trPr>
          <w:trHeight w:val="250"/>
        </w:trPr>
        <w:tc>
          <w:tcPr>
            <w:tcW w:w="38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January 1 to January 31, 2013</w:t>
            </w:r>
          </w:p>
        </w:tc>
        <w:tc>
          <w:tcPr>
            <w:tcW w:w="15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5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80" w:type="dxa"/>
            <w:vAlign w:val="bottom"/>
          </w:tcPr>
          <w:p>
            <w:pPr>
              <w:ind w:left="360"/>
              <w:spacing w:after="0"/>
              <w:rPr>
                <w:sz w:val="20"/>
                <w:szCs w:val="20"/>
                <w:color w:val="auto"/>
              </w:rPr>
            </w:pPr>
            <w:r>
              <w:rPr>
                <w:rFonts w:ascii="Arial" w:cs="Arial" w:eastAsia="Arial" w:hAnsi="Arial"/>
                <w:sz w:val="18"/>
                <w:szCs w:val="18"/>
                <w:color w:val="auto"/>
              </w:rPr>
              <w:t>Share Repurchase Program (A)</w:t>
            </w: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1"/>
                <w:szCs w:val="21"/>
                <w:color w:val="auto"/>
              </w:rPr>
            </w:pPr>
          </w:p>
        </w:tc>
        <w:tc>
          <w:tcPr>
            <w:tcW w:w="400" w:type="dxa"/>
            <w:vAlign w:val="bottom"/>
            <w:gridSpan w:val="2"/>
          </w:tcPr>
          <w:p>
            <w:pPr>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23"/>
              <w:spacing w:after="0"/>
              <w:rPr>
                <w:sz w:val="20"/>
                <w:szCs w:val="20"/>
                <w:color w:val="auto"/>
              </w:rPr>
            </w:pPr>
            <w:r>
              <w:rPr>
                <w:rFonts w:ascii="Arial" w:cs="Arial" w:eastAsia="Arial" w:hAnsi="Arial"/>
                <w:sz w:val="18"/>
                <w:szCs w:val="18"/>
                <w:color w:val="auto"/>
              </w:rPr>
              <w:t>2,113,497</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Employee Transactions (B)</w:t>
            </w:r>
          </w:p>
        </w:tc>
        <w:tc>
          <w:tcPr>
            <w:tcW w:w="15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348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12.55</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80" w:type="dxa"/>
            <w:vAlign w:val="bottom"/>
          </w:tcPr>
          <w:p>
            <w:pPr>
              <w:ind w:left="20"/>
              <w:spacing w:after="0"/>
              <w:rPr>
                <w:sz w:val="20"/>
                <w:szCs w:val="20"/>
                <w:color w:val="auto"/>
              </w:rPr>
            </w:pPr>
            <w:r>
              <w:rPr>
                <w:rFonts w:ascii="Arial" w:cs="Arial" w:eastAsia="Arial" w:hAnsi="Arial"/>
                <w:sz w:val="18"/>
                <w:szCs w:val="18"/>
                <w:b w:val="1"/>
                <w:bCs w:val="1"/>
                <w:color w:val="auto"/>
              </w:rPr>
              <w:t>February 1 to February 28, 2013</w:t>
            </w: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Share Repurchase Program (A)</w:t>
            </w:r>
          </w:p>
        </w:tc>
        <w:tc>
          <w:tcPr>
            <w:tcW w:w="1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8"/>
                <w:szCs w:val="18"/>
                <w:color w:val="auto"/>
              </w:rPr>
              <w:t>2,113,497</w:t>
            </w:r>
          </w:p>
        </w:tc>
        <w:tc>
          <w:tcPr>
            <w:tcW w:w="0" w:type="dxa"/>
            <w:vAlign w:val="bottom"/>
          </w:tcPr>
          <w:p>
            <w:pPr>
              <w:spacing w:after="0"/>
              <w:rPr>
                <w:sz w:val="1"/>
                <w:szCs w:val="1"/>
                <w:color w:val="auto"/>
              </w:rPr>
            </w:pPr>
          </w:p>
        </w:tc>
      </w:tr>
      <w:tr>
        <w:trPr>
          <w:trHeight w:val="243"/>
        </w:trPr>
        <w:tc>
          <w:tcPr>
            <w:tcW w:w="3880" w:type="dxa"/>
            <w:vAlign w:val="bottom"/>
          </w:tcPr>
          <w:p>
            <w:pPr>
              <w:ind w:left="360"/>
              <w:spacing w:after="0"/>
              <w:rPr>
                <w:sz w:val="20"/>
                <w:szCs w:val="20"/>
                <w:color w:val="auto"/>
              </w:rPr>
            </w:pPr>
            <w:r>
              <w:rPr>
                <w:rFonts w:ascii="Arial" w:cs="Arial" w:eastAsia="Arial" w:hAnsi="Arial"/>
                <w:sz w:val="18"/>
                <w:szCs w:val="18"/>
                <w:color w:val="auto"/>
              </w:rPr>
              <w:t>Employee Transactions (B)</w:t>
            </w:r>
          </w:p>
        </w:tc>
        <w:tc>
          <w:tcPr>
            <w:tcW w:w="1580" w:type="dxa"/>
            <w:vAlign w:val="bottom"/>
          </w:tcPr>
          <w:p>
            <w:pPr>
              <w:jc w:val="right"/>
              <w:ind w:right="36"/>
              <w:spacing w:after="0"/>
              <w:rPr>
                <w:sz w:val="20"/>
                <w:szCs w:val="20"/>
                <w:color w:val="auto"/>
              </w:rPr>
            </w:pPr>
            <w:r>
              <w:rPr>
                <w:rFonts w:ascii="Arial" w:cs="Arial" w:eastAsia="Arial" w:hAnsi="Arial"/>
                <w:sz w:val="18"/>
                <w:szCs w:val="18"/>
                <w:color w:val="auto"/>
              </w:rPr>
              <w:t>757</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16"/>
              <w:spacing w:after="0"/>
              <w:rPr>
                <w:sz w:val="20"/>
                <w:szCs w:val="20"/>
                <w:color w:val="auto"/>
              </w:rPr>
            </w:pPr>
            <w:r>
              <w:rPr>
                <w:rFonts w:ascii="Arial" w:cs="Arial" w:eastAsia="Arial" w:hAnsi="Arial"/>
                <w:sz w:val="18"/>
                <w:szCs w:val="18"/>
                <w:color w:val="auto"/>
              </w:rPr>
              <w:t>15.94</w:t>
            </w: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400" w:type="dxa"/>
            <w:vAlign w:val="bottom"/>
            <w:gridSpan w:val="2"/>
          </w:tcPr>
          <w:p>
            <w:pPr>
              <w:spacing w:after="0"/>
              <w:rPr>
                <w:sz w:val="20"/>
                <w:szCs w:val="20"/>
                <w:color w:val="auto"/>
              </w:rPr>
            </w:pPr>
            <w:r>
              <w:rPr>
                <w:rFonts w:ascii="Arial" w:cs="Arial" w:eastAsia="Arial" w:hAnsi="Arial"/>
                <w:sz w:val="18"/>
                <w:szCs w:val="18"/>
                <w:color w:val="auto"/>
              </w:rPr>
              <w:t>—</w:t>
            </w:r>
          </w:p>
        </w:tc>
        <w:tc>
          <w:tcPr>
            <w:tcW w:w="1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March 1 to March 31, 2013</w:t>
            </w:r>
          </w:p>
        </w:tc>
        <w:tc>
          <w:tcPr>
            <w:tcW w:w="1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80" w:type="dxa"/>
            <w:vAlign w:val="bottom"/>
          </w:tcPr>
          <w:p>
            <w:pPr>
              <w:ind w:left="360"/>
              <w:spacing w:after="0"/>
              <w:rPr>
                <w:sz w:val="20"/>
                <w:szCs w:val="20"/>
                <w:color w:val="auto"/>
              </w:rPr>
            </w:pPr>
            <w:r>
              <w:rPr>
                <w:rFonts w:ascii="Arial" w:cs="Arial" w:eastAsia="Arial" w:hAnsi="Arial"/>
                <w:sz w:val="18"/>
                <w:szCs w:val="18"/>
                <w:color w:val="auto"/>
              </w:rPr>
              <w:t>Share Repurchase Program (A)</w:t>
            </w: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1"/>
                <w:szCs w:val="21"/>
                <w:color w:val="auto"/>
              </w:rPr>
            </w:pPr>
          </w:p>
        </w:tc>
        <w:tc>
          <w:tcPr>
            <w:tcW w:w="400" w:type="dxa"/>
            <w:vAlign w:val="bottom"/>
            <w:gridSpan w:val="2"/>
          </w:tcPr>
          <w:p>
            <w:pPr>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23"/>
              <w:spacing w:after="0"/>
              <w:rPr>
                <w:sz w:val="20"/>
                <w:szCs w:val="20"/>
                <w:color w:val="auto"/>
              </w:rPr>
            </w:pPr>
            <w:r>
              <w:rPr>
                <w:rFonts w:ascii="Arial" w:cs="Arial" w:eastAsia="Arial" w:hAnsi="Arial"/>
                <w:sz w:val="18"/>
                <w:szCs w:val="18"/>
                <w:color w:val="auto"/>
              </w:rPr>
              <w:t>2,113,497</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Employee Transactions (B)</w:t>
            </w:r>
          </w:p>
        </w:tc>
        <w:tc>
          <w:tcPr>
            <w:tcW w:w="1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spacing w:after="0"/>
              <w:rPr>
                <w:sz w:val="21"/>
                <w:szCs w:val="21"/>
                <w:color w:val="auto"/>
              </w:rPr>
            </w:pPr>
          </w:p>
        </w:tc>
        <w:tc>
          <w:tcPr>
            <w:tcW w:w="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88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540" w:hanging="316"/>
        <w:spacing w:after="0"/>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Represents shares purchased under our stock buyback program.</w:t>
      </w:r>
    </w:p>
    <w:p>
      <w:pPr>
        <w:spacing w:after="0" w:line="23" w:lineRule="exact"/>
        <w:rPr>
          <w:rFonts w:ascii="Arial" w:cs="Arial" w:eastAsia="Arial" w:hAnsi="Arial"/>
          <w:sz w:val="18"/>
          <w:szCs w:val="18"/>
          <w:color w:val="auto"/>
        </w:rPr>
      </w:pPr>
    </w:p>
    <w:p>
      <w:pPr>
        <w:ind w:left="540" w:right="60" w:hanging="316"/>
        <w:spacing w:after="0" w:line="261" w:lineRule="auto"/>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Represents shares withheld to satisfy the employee’s tax withholding obligation that is incurred upon the vesting of deferred shares granted under the Company’s stock incentive plans.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94"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We have never paid cash dividends on our common stock, and the terms of our Credit Agreement limit the amount of cash dividends we can pay. Under our Credit Agreement, we may declare and pay dividends on our capital stock during any fiscal year up to an amount which, when added to all other dividends paid during such fiscal year, does not exceed 50% of our cumulative net income for such fiscal year to such date. While we currently do not intend to pay cash dividends, any future dividend payments will depend on our financial condition, capital requirements and earnings as well as other relevant factors.</w:t>
      </w:r>
    </w:p>
    <w:p>
      <w:pPr>
        <w:spacing w:after="0" w:line="200" w:lineRule="exact"/>
        <w:rPr>
          <w:sz w:val="20"/>
          <w:szCs w:val="20"/>
          <w:color w:val="auto"/>
        </w:rPr>
      </w:pPr>
    </w:p>
    <w:p>
      <w:pPr>
        <w:spacing w:after="0" w:line="2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- 26-</w:t>
      </w:r>
    </w:p>
    <w:p>
      <w:pPr>
        <w:sectPr>
          <w:pgSz w:w="11900" w:h="16838" w:orient="portrait"/>
          <w:cols w:equalWidth="0" w:num="1">
            <w:col w:w="11360"/>
          </w:cols>
          <w:pgMar w:left="240" w:top="125" w:right="29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9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There were no mine safety violations or other regulatory matters required to be disclosed in this Form 10-Q under Section 1503(a) of the Dodd-Frank Wall Street Reform and Consumer Protection Act and Item 104 of Regulation S-K.</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ectPr>
          <w:pgSz w:w="11900" w:h="16838" w:orient="portrait"/>
          <w:cols w:equalWidth="0" w:num="1">
            <w:col w:w="11420"/>
          </w:cols>
          <w:pgMar w:left="240" w:top="125" w:right="239" w:bottom="1440" w:gutter="0" w:footer="0" w:header="0"/>
        </w:sectPr>
      </w:pPr>
    </w:p>
    <w:p>
      <w:pPr>
        <w:spacing w:after="0" w:line="364" w:lineRule="exact"/>
        <w:rPr>
          <w:sz w:val="20"/>
          <w:szCs w:val="20"/>
          <w:color w:val="auto"/>
        </w:rPr>
      </w:pPr>
    </w:p>
    <w:p>
      <w:pPr>
        <w:ind w:left="40"/>
        <w:spacing w:after="0"/>
        <w:rPr>
          <w:sz w:val="20"/>
          <w:szCs w:val="20"/>
          <w:color w:val="auto"/>
        </w:rPr>
      </w:pPr>
      <w:r>
        <w:rPr>
          <w:rFonts w:ascii="Arial" w:cs="Arial" w:eastAsia="Arial" w:hAnsi="Arial"/>
          <w:sz w:val="18"/>
          <w:szCs w:val="18"/>
          <w:color w:val="auto"/>
        </w:rPr>
        <w:t>Exhibit 31.1:</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color w:val="auto"/>
        </w:rPr>
        <w:t>Exhibit 31.2:</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color w:val="auto"/>
        </w:rPr>
        <w:t>Exhibit 32.1:</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color w:val="auto"/>
        </w:rPr>
        <w:t>Exhibit 32.2:</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color w:val="auto"/>
        </w:rPr>
        <w:t>Exhibit 101.INS:</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7"/>
          <w:szCs w:val="17"/>
          <w:color w:val="auto"/>
        </w:rPr>
        <w:t>Exhibit 101.SCH:</w:t>
      </w:r>
    </w:p>
    <w:p>
      <w:pPr>
        <w:spacing w:after="0" w:line="196" w:lineRule="exact"/>
        <w:rPr>
          <w:sz w:val="20"/>
          <w:szCs w:val="20"/>
          <w:color w:val="auto"/>
        </w:rPr>
      </w:pPr>
    </w:p>
    <w:p>
      <w:pPr>
        <w:ind w:left="40"/>
        <w:spacing w:after="0"/>
        <w:rPr>
          <w:sz w:val="20"/>
          <w:szCs w:val="20"/>
          <w:color w:val="auto"/>
        </w:rPr>
      </w:pPr>
      <w:r>
        <w:rPr>
          <w:rFonts w:ascii="Arial" w:cs="Arial" w:eastAsia="Arial" w:hAnsi="Arial"/>
          <w:sz w:val="17"/>
          <w:szCs w:val="17"/>
          <w:color w:val="auto"/>
        </w:rPr>
        <w:t>Exhibit 101.CAL:</w:t>
      </w:r>
    </w:p>
    <w:p>
      <w:pPr>
        <w:spacing w:after="0" w:line="196" w:lineRule="exact"/>
        <w:rPr>
          <w:sz w:val="20"/>
          <w:szCs w:val="20"/>
          <w:color w:val="auto"/>
        </w:rPr>
      </w:pPr>
    </w:p>
    <w:p>
      <w:pPr>
        <w:ind w:left="40"/>
        <w:spacing w:after="0"/>
        <w:rPr>
          <w:sz w:val="20"/>
          <w:szCs w:val="20"/>
          <w:color w:val="auto"/>
        </w:rPr>
      </w:pPr>
      <w:r>
        <w:rPr>
          <w:rFonts w:ascii="Arial" w:cs="Arial" w:eastAsia="Arial" w:hAnsi="Arial"/>
          <w:sz w:val="17"/>
          <w:szCs w:val="17"/>
          <w:color w:val="auto"/>
        </w:rPr>
        <w:t>Exhibit 101.DEF:</w:t>
      </w:r>
    </w:p>
    <w:p>
      <w:pPr>
        <w:spacing w:after="0" w:line="196" w:lineRule="exact"/>
        <w:rPr>
          <w:sz w:val="20"/>
          <w:szCs w:val="20"/>
          <w:color w:val="auto"/>
        </w:rPr>
      </w:pPr>
    </w:p>
    <w:p>
      <w:pPr>
        <w:ind w:left="40"/>
        <w:spacing w:after="0"/>
        <w:rPr>
          <w:sz w:val="20"/>
          <w:szCs w:val="20"/>
          <w:color w:val="auto"/>
        </w:rPr>
      </w:pPr>
      <w:r>
        <w:rPr>
          <w:rFonts w:ascii="Arial" w:cs="Arial" w:eastAsia="Arial" w:hAnsi="Arial"/>
          <w:sz w:val="17"/>
          <w:szCs w:val="17"/>
          <w:color w:val="auto"/>
        </w:rPr>
        <w:t>Exhibit 101.LAB:</w:t>
      </w:r>
    </w:p>
    <w:p>
      <w:pPr>
        <w:spacing w:after="0" w:line="196" w:lineRule="exact"/>
        <w:rPr>
          <w:sz w:val="20"/>
          <w:szCs w:val="20"/>
          <w:color w:val="auto"/>
        </w:rPr>
      </w:pPr>
    </w:p>
    <w:p>
      <w:pPr>
        <w:ind w:left="40"/>
        <w:spacing w:after="0"/>
        <w:rPr>
          <w:sz w:val="20"/>
          <w:szCs w:val="20"/>
          <w:color w:val="auto"/>
        </w:rPr>
      </w:pPr>
      <w:r>
        <w:rPr>
          <w:rFonts w:ascii="Arial" w:cs="Arial" w:eastAsia="Arial" w:hAnsi="Arial"/>
          <w:sz w:val="17"/>
          <w:szCs w:val="17"/>
          <w:color w:val="auto"/>
        </w:rPr>
        <w:t>Exhibit 101.PRE:</w:t>
      </w:r>
    </w:p>
    <w:p>
      <w:pPr>
        <w:spacing w:after="0" w:line="20" w:lineRule="exact"/>
        <w:rPr>
          <w:sz w:val="20"/>
          <w:szCs w:val="20"/>
          <w:color w:val="auto"/>
        </w:rPr>
      </w:pPr>
      <w:r>
        <w:rPr>
          <w:sz w:val="20"/>
          <w:szCs w:val="20"/>
          <w:color w:val="auto"/>
        </w:rPr>
        <w:br w:type="column"/>
      </w: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color w:val="auto"/>
        </w:rPr>
        <w:t>Certification Pursuant to Section 302 of Sarbanes-Oxley Act of 2002 – CEO.</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Certification Pursuant to Section 302 of Sarbanes-Oxley Act of 2002 – CFO.</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Certification Pursuant to 18 U.S.C. 1350 (section 906 of Sarbanes-Oxley Act of 2002) – CEO.</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Certification Pursuant to 18 U.S.C. 1350 (section 906 of Sarbanes-Oxley Act of 2002) – CFO.</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XBRL Instance Document.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XBRL Taxonomy Schema Document.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XBRL Taxonomy Extension Calculation Linkbase Document.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XBRL Taxonomy Extension Definition Linkbase Document.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XBRL Taxonomy Extension Labels Linkbase Document.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XBRL Taxonomy Extension Presentation Linkbase Document.</w:t>
      </w:r>
    </w:p>
    <w:p>
      <w:pPr>
        <w:spacing w:after="0" w:line="200" w:lineRule="exact"/>
        <w:rPr>
          <w:sz w:val="20"/>
          <w:szCs w:val="20"/>
          <w:color w:val="auto"/>
        </w:rPr>
      </w:pPr>
    </w:p>
    <w:p>
      <w:pPr>
        <w:sectPr>
          <w:pgSz w:w="11900" w:h="16838" w:orient="portrait"/>
          <w:cols w:equalWidth="0" w:num="2">
            <w:col w:w="1340" w:space="600"/>
            <w:col w:w="9480"/>
          </w:cols>
          <w:pgMar w:left="240" w:top="125" w:right="239" w:bottom="1440" w:gutter="0" w:footer="0" w:header="0"/>
          <w:type w:val="continuous"/>
        </w:sectPr>
      </w:pP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w:t>
      </w:r>
    </w:p>
    <w:p>
      <w:pPr>
        <w:spacing w:after="0" w:line="17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0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760" w:type="dxa"/>
            <w:vAlign w:val="bottom"/>
          </w:tcPr>
          <w:p>
            <w:pPr>
              <w:spacing w:after="0"/>
              <w:rPr>
                <w:sz w:val="20"/>
                <w:szCs w:val="20"/>
                <w:color w:val="auto"/>
              </w:rPr>
            </w:pPr>
          </w:p>
        </w:tc>
        <w:tc>
          <w:tcPr>
            <w:tcW w:w="6620" w:type="dxa"/>
            <w:vAlign w:val="bottom"/>
          </w:tcPr>
          <w:p>
            <w:pPr>
              <w:ind w:left="20"/>
              <w:spacing w:after="0"/>
              <w:rPr>
                <w:sz w:val="20"/>
                <w:szCs w:val="20"/>
                <w:color w:val="auto"/>
              </w:rPr>
            </w:pPr>
            <w:r>
              <w:rPr>
                <w:rFonts w:ascii="Arial" w:cs="Arial" w:eastAsia="Arial" w:hAnsi="Arial"/>
                <w:sz w:val="18"/>
                <w:szCs w:val="18"/>
                <w:b w:val="1"/>
                <w:bCs w:val="1"/>
                <w:color w:val="auto"/>
              </w:rPr>
              <w:t>MATRIX SERVICE COMPANY</w:t>
            </w:r>
          </w:p>
        </w:tc>
      </w:tr>
      <w:tr>
        <w:trPr>
          <w:trHeight w:val="392"/>
        </w:trPr>
        <w:tc>
          <w:tcPr>
            <w:tcW w:w="4760" w:type="dxa"/>
            <w:vAlign w:val="bottom"/>
          </w:tcPr>
          <w:p>
            <w:pPr>
              <w:spacing w:after="0"/>
              <w:rPr>
                <w:sz w:val="20"/>
                <w:szCs w:val="20"/>
                <w:color w:val="auto"/>
              </w:rPr>
            </w:pPr>
            <w:r>
              <w:rPr>
                <w:rFonts w:ascii="Arial" w:cs="Arial" w:eastAsia="Arial" w:hAnsi="Arial"/>
                <w:sz w:val="18"/>
                <w:szCs w:val="18"/>
                <w:color w:val="auto"/>
              </w:rPr>
              <w:t>Date:   May 9, 2013</w:t>
            </w:r>
          </w:p>
        </w:tc>
        <w:tc>
          <w:tcPr>
            <w:tcW w:w="6620" w:type="dxa"/>
            <w:vAlign w:val="bottom"/>
          </w:tcPr>
          <w:p>
            <w:pPr>
              <w:ind w:left="20"/>
              <w:spacing w:after="0"/>
              <w:rPr>
                <w:sz w:val="20"/>
                <w:szCs w:val="20"/>
                <w:color w:val="auto"/>
              </w:rPr>
            </w:pPr>
            <w:r>
              <w:rPr>
                <w:rFonts w:ascii="Arial" w:cs="Arial" w:eastAsia="Arial" w:hAnsi="Arial"/>
                <w:sz w:val="18"/>
                <w:szCs w:val="18"/>
                <w:color w:val="auto"/>
              </w:rPr>
              <w:t>By: /s/ Kevin S. Cavanah</w:t>
            </w:r>
          </w:p>
        </w:tc>
      </w:tr>
      <w:tr>
        <w:trPr>
          <w:trHeight w:val="27"/>
        </w:trPr>
        <w:tc>
          <w:tcPr>
            <w:tcW w:w="4760" w:type="dxa"/>
            <w:vAlign w:val="bottom"/>
          </w:tcPr>
          <w:p>
            <w:pPr>
              <w:spacing w:after="0"/>
              <w:rPr>
                <w:sz w:val="2"/>
                <w:szCs w:val="2"/>
                <w:color w:val="auto"/>
              </w:rPr>
            </w:pPr>
          </w:p>
        </w:tc>
        <w:tc>
          <w:tcPr>
            <w:tcW w:w="6620" w:type="dxa"/>
            <w:vAlign w:val="bottom"/>
            <w:tcBorders>
              <w:bottom w:val="single" w:sz="8" w:color="auto"/>
            </w:tcBorders>
          </w:tcPr>
          <w:p>
            <w:pPr>
              <w:spacing w:after="0"/>
              <w:rPr>
                <w:sz w:val="2"/>
                <w:szCs w:val="2"/>
                <w:color w:val="auto"/>
              </w:rPr>
            </w:pPr>
          </w:p>
        </w:tc>
      </w:tr>
      <w:tr>
        <w:trPr>
          <w:trHeight w:val="222"/>
        </w:trPr>
        <w:tc>
          <w:tcPr>
            <w:tcW w:w="4760" w:type="dxa"/>
            <w:vAlign w:val="bottom"/>
          </w:tcPr>
          <w:p>
            <w:pPr>
              <w:spacing w:after="0"/>
              <w:rPr>
                <w:sz w:val="19"/>
                <w:szCs w:val="19"/>
                <w:color w:val="auto"/>
              </w:rPr>
            </w:pPr>
          </w:p>
        </w:tc>
        <w:tc>
          <w:tcPr>
            <w:tcW w:w="6620" w:type="dxa"/>
            <w:vAlign w:val="bottom"/>
          </w:tcPr>
          <w:p>
            <w:pPr>
              <w:ind w:left="20"/>
              <w:spacing w:after="0"/>
              <w:rPr>
                <w:sz w:val="20"/>
                <w:szCs w:val="20"/>
                <w:color w:val="auto"/>
              </w:rPr>
            </w:pPr>
            <w:r>
              <w:rPr>
                <w:rFonts w:ascii="Arial" w:cs="Arial" w:eastAsia="Arial" w:hAnsi="Arial"/>
                <w:sz w:val="18"/>
                <w:szCs w:val="18"/>
                <w:color w:val="auto"/>
                <w:w w:val="97"/>
              </w:rPr>
              <w:t>Kevin S. Cavanah Vice President and Chief Financial Officer signing on behalf of the</w:t>
            </w:r>
          </w:p>
        </w:tc>
      </w:tr>
      <w:tr>
        <w:trPr>
          <w:trHeight w:val="230"/>
        </w:trPr>
        <w:tc>
          <w:tcPr>
            <w:tcW w:w="4760" w:type="dxa"/>
            <w:vAlign w:val="bottom"/>
          </w:tcPr>
          <w:p>
            <w:pPr>
              <w:spacing w:after="0"/>
              <w:rPr>
                <w:sz w:val="20"/>
                <w:szCs w:val="20"/>
                <w:color w:val="auto"/>
              </w:rPr>
            </w:pPr>
          </w:p>
        </w:tc>
        <w:tc>
          <w:tcPr>
            <w:tcW w:w="6620" w:type="dxa"/>
            <w:vAlign w:val="bottom"/>
          </w:tcPr>
          <w:p>
            <w:pPr>
              <w:ind w:left="20"/>
              <w:spacing w:after="0"/>
              <w:rPr>
                <w:sz w:val="20"/>
                <w:szCs w:val="20"/>
                <w:color w:val="auto"/>
              </w:rPr>
            </w:pPr>
            <w:r>
              <w:rPr>
                <w:rFonts w:ascii="Arial" w:cs="Arial" w:eastAsia="Arial" w:hAnsi="Arial"/>
                <w:sz w:val="18"/>
                <w:szCs w:val="18"/>
                <w:color w:val="auto"/>
              </w:rPr>
              <w:t>registrant and as the registrant’s principal financial officer</w:t>
            </w:r>
          </w:p>
        </w:tc>
      </w:tr>
      <w:tr>
        <w:trPr>
          <w:trHeight w:val="702"/>
        </w:trPr>
        <w:tc>
          <w:tcPr>
            <w:tcW w:w="4760" w:type="dxa"/>
            <w:vAlign w:val="bottom"/>
          </w:tcPr>
          <w:p>
            <w:pPr>
              <w:spacing w:after="0"/>
              <w:rPr>
                <w:sz w:val="24"/>
                <w:szCs w:val="24"/>
                <w:color w:val="auto"/>
              </w:rPr>
            </w:pPr>
          </w:p>
        </w:tc>
        <w:tc>
          <w:tcPr>
            <w:tcW w:w="6620" w:type="dxa"/>
            <w:vAlign w:val="bottom"/>
          </w:tcPr>
          <w:p>
            <w:pPr>
              <w:ind w:left="740"/>
              <w:spacing w:after="0"/>
              <w:rPr>
                <w:sz w:val="20"/>
                <w:szCs w:val="20"/>
                <w:color w:val="auto"/>
              </w:rPr>
            </w:pPr>
            <w:r>
              <w:rPr>
                <w:rFonts w:ascii="Arial" w:cs="Arial" w:eastAsia="Arial" w:hAnsi="Arial"/>
                <w:sz w:val="18"/>
                <w:szCs w:val="18"/>
                <w:color w:val="auto"/>
              </w:rPr>
              <w:t>- 27-</w:t>
            </w:r>
          </w:p>
        </w:tc>
      </w:tr>
    </w:tbl>
    <w:p>
      <w:pPr>
        <w:sectPr>
          <w:pgSz w:w="11900" w:h="16838" w:orient="portrait"/>
          <w:cols w:equalWidth="0" w:num="1">
            <w:col w:w="11420"/>
          </w:cols>
          <w:pgMar w:left="240" w:top="125" w:right="239" w:bottom="1440" w:gutter="0" w:footer="0" w:header="0"/>
          <w:type w:val="continuous"/>
        </w:sectPr>
      </w:pPr>
    </w:p>
    <w:bookmarkStart w:id="29" w:name="page30"/>
    <w:bookmarkEnd w:id="2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60" w:type="dxa"/>
            <w:vAlign w:val="bottom"/>
            <w:gridSpan w:val="2"/>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Table of Contents</w:t>
              </w:r>
            </w:hyperlink>
          </w:p>
        </w:tc>
        <w:tc>
          <w:tcPr>
            <w:tcW w:w="33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360" w:type="dxa"/>
            <w:vAlign w:val="bottom"/>
          </w:tcPr>
          <w:p>
            <w:pPr>
              <w:spacing w:after="0"/>
              <w:rPr>
                <w:sz w:val="17"/>
                <w:szCs w:val="17"/>
                <w:color w:val="auto"/>
              </w:rPr>
            </w:pPr>
          </w:p>
        </w:tc>
      </w:tr>
      <w:tr>
        <w:trPr>
          <w:trHeight w:val="439"/>
        </w:trPr>
        <w:tc>
          <w:tcPr>
            <w:tcW w:w="1280" w:type="dxa"/>
            <w:vAlign w:val="bottom"/>
            <w:tcBorders>
              <w:top w:val="single" w:sz="8" w:color="0000FF"/>
            </w:tcBorders>
          </w:tcPr>
          <w:p>
            <w:pPr>
              <w:spacing w:after="0"/>
              <w:rPr>
                <w:sz w:val="24"/>
                <w:szCs w:val="24"/>
                <w:color w:val="auto"/>
              </w:rPr>
            </w:pPr>
          </w:p>
        </w:tc>
        <w:tc>
          <w:tcPr>
            <w:tcW w:w="38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14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 INDEX</w:t>
            </w:r>
          </w:p>
        </w:tc>
        <w:tc>
          <w:tcPr>
            <w:tcW w:w="2360" w:type="dxa"/>
            <w:vAlign w:val="bottom"/>
          </w:tcPr>
          <w:p>
            <w:pPr>
              <w:spacing w:after="0"/>
              <w:rPr>
                <w:sz w:val="24"/>
                <w:szCs w:val="24"/>
                <w:color w:val="auto"/>
              </w:rPr>
            </w:pPr>
          </w:p>
        </w:tc>
      </w:tr>
      <w:tr>
        <w:trPr>
          <w:trHeight w:val="588"/>
        </w:trPr>
        <w:tc>
          <w:tcPr>
            <w:tcW w:w="1660" w:type="dxa"/>
            <w:vAlign w:val="bottom"/>
            <w:gridSpan w:val="2"/>
          </w:tcPr>
          <w:p>
            <w:pPr>
              <w:ind w:left="40"/>
              <w:spacing w:after="0"/>
              <w:rPr>
                <w:sz w:val="20"/>
                <w:szCs w:val="20"/>
                <w:color w:val="auto"/>
              </w:rPr>
            </w:pPr>
            <w:r>
              <w:rPr>
                <w:rFonts w:ascii="Arial" w:cs="Arial" w:eastAsia="Arial" w:hAnsi="Arial"/>
                <w:sz w:val="18"/>
                <w:szCs w:val="18"/>
                <w:color w:val="auto"/>
              </w:rPr>
              <w:t>Exhibit 31.1:</w:t>
            </w:r>
          </w:p>
        </w:tc>
        <w:tc>
          <w:tcPr>
            <w:tcW w:w="7120" w:type="dxa"/>
            <w:vAlign w:val="bottom"/>
            <w:gridSpan w:val="3"/>
          </w:tcPr>
          <w:p>
            <w:pPr>
              <w:ind w:left="320"/>
              <w:spacing w:after="0"/>
              <w:rPr>
                <w:sz w:val="20"/>
                <w:szCs w:val="20"/>
                <w:color w:val="auto"/>
              </w:rPr>
            </w:pPr>
            <w:r>
              <w:rPr>
                <w:rFonts w:ascii="Arial" w:cs="Arial" w:eastAsia="Arial" w:hAnsi="Arial"/>
                <w:sz w:val="18"/>
                <w:szCs w:val="18"/>
                <w:color w:val="auto"/>
              </w:rPr>
              <w:t>Certification Pursuant to Section 302 of Sarbanes-Oxley Act of 2002 – CEO.</w:t>
            </w:r>
          </w:p>
        </w:tc>
      </w:tr>
      <w:tr>
        <w:trPr>
          <w:trHeight w:val="392"/>
        </w:trPr>
        <w:tc>
          <w:tcPr>
            <w:tcW w:w="1660" w:type="dxa"/>
            <w:vAlign w:val="bottom"/>
            <w:gridSpan w:val="2"/>
          </w:tcPr>
          <w:p>
            <w:pPr>
              <w:ind w:left="40"/>
              <w:spacing w:after="0"/>
              <w:rPr>
                <w:sz w:val="20"/>
                <w:szCs w:val="20"/>
                <w:color w:val="auto"/>
              </w:rPr>
            </w:pPr>
            <w:r>
              <w:rPr>
                <w:rFonts w:ascii="Arial" w:cs="Arial" w:eastAsia="Arial" w:hAnsi="Arial"/>
                <w:sz w:val="18"/>
                <w:szCs w:val="18"/>
                <w:color w:val="auto"/>
              </w:rPr>
              <w:t>Exhibit 31.2:</w:t>
            </w:r>
          </w:p>
        </w:tc>
        <w:tc>
          <w:tcPr>
            <w:tcW w:w="7120" w:type="dxa"/>
            <w:vAlign w:val="bottom"/>
            <w:gridSpan w:val="3"/>
          </w:tcPr>
          <w:p>
            <w:pPr>
              <w:ind w:left="320"/>
              <w:spacing w:after="0"/>
              <w:rPr>
                <w:sz w:val="20"/>
                <w:szCs w:val="20"/>
                <w:color w:val="auto"/>
              </w:rPr>
            </w:pPr>
            <w:r>
              <w:rPr>
                <w:rFonts w:ascii="Arial" w:cs="Arial" w:eastAsia="Arial" w:hAnsi="Arial"/>
                <w:sz w:val="18"/>
                <w:szCs w:val="18"/>
                <w:color w:val="auto"/>
              </w:rPr>
              <w:t>Certification Pursuant to Section 302 of Sarbanes-Oxley Act of 2002 – CFO.</w:t>
            </w:r>
          </w:p>
        </w:tc>
      </w:tr>
      <w:tr>
        <w:trPr>
          <w:trHeight w:val="392"/>
        </w:trPr>
        <w:tc>
          <w:tcPr>
            <w:tcW w:w="1660" w:type="dxa"/>
            <w:vAlign w:val="bottom"/>
            <w:gridSpan w:val="2"/>
          </w:tcPr>
          <w:p>
            <w:pPr>
              <w:ind w:left="40"/>
              <w:spacing w:after="0"/>
              <w:rPr>
                <w:sz w:val="20"/>
                <w:szCs w:val="20"/>
                <w:color w:val="auto"/>
              </w:rPr>
            </w:pPr>
            <w:r>
              <w:rPr>
                <w:rFonts w:ascii="Arial" w:cs="Arial" w:eastAsia="Arial" w:hAnsi="Arial"/>
                <w:sz w:val="18"/>
                <w:szCs w:val="18"/>
                <w:color w:val="auto"/>
              </w:rPr>
              <w:t>Exhibit 32.1:</w:t>
            </w:r>
          </w:p>
        </w:tc>
        <w:tc>
          <w:tcPr>
            <w:tcW w:w="7120" w:type="dxa"/>
            <w:vAlign w:val="bottom"/>
            <w:gridSpan w:val="3"/>
          </w:tcPr>
          <w:p>
            <w:pPr>
              <w:ind w:left="320"/>
              <w:spacing w:after="0"/>
              <w:rPr>
                <w:sz w:val="20"/>
                <w:szCs w:val="20"/>
                <w:color w:val="auto"/>
              </w:rPr>
            </w:pPr>
            <w:r>
              <w:rPr>
                <w:rFonts w:ascii="Arial" w:cs="Arial" w:eastAsia="Arial" w:hAnsi="Arial"/>
                <w:sz w:val="18"/>
                <w:szCs w:val="18"/>
                <w:color w:val="auto"/>
                <w:w w:val="91"/>
              </w:rPr>
              <w:t>Certification Pursuant to 18 U.S.C. 1350 (section 906 of Sarbanes-Oxley Act of 2002) – CEO.</w:t>
            </w:r>
          </w:p>
        </w:tc>
      </w:tr>
      <w:tr>
        <w:trPr>
          <w:trHeight w:val="392"/>
        </w:trPr>
        <w:tc>
          <w:tcPr>
            <w:tcW w:w="1660" w:type="dxa"/>
            <w:vAlign w:val="bottom"/>
            <w:gridSpan w:val="2"/>
          </w:tcPr>
          <w:p>
            <w:pPr>
              <w:ind w:left="40"/>
              <w:spacing w:after="0"/>
              <w:rPr>
                <w:sz w:val="20"/>
                <w:szCs w:val="20"/>
                <w:color w:val="auto"/>
              </w:rPr>
            </w:pPr>
            <w:r>
              <w:rPr>
                <w:rFonts w:ascii="Arial" w:cs="Arial" w:eastAsia="Arial" w:hAnsi="Arial"/>
                <w:sz w:val="18"/>
                <w:szCs w:val="18"/>
                <w:color w:val="auto"/>
              </w:rPr>
              <w:t>Exhibit 32.2:</w:t>
            </w:r>
          </w:p>
        </w:tc>
        <w:tc>
          <w:tcPr>
            <w:tcW w:w="7120" w:type="dxa"/>
            <w:vAlign w:val="bottom"/>
            <w:gridSpan w:val="3"/>
          </w:tcPr>
          <w:p>
            <w:pPr>
              <w:ind w:left="320"/>
              <w:spacing w:after="0"/>
              <w:rPr>
                <w:sz w:val="20"/>
                <w:szCs w:val="20"/>
                <w:color w:val="auto"/>
              </w:rPr>
            </w:pPr>
            <w:r>
              <w:rPr>
                <w:rFonts w:ascii="Arial" w:cs="Arial" w:eastAsia="Arial" w:hAnsi="Arial"/>
                <w:sz w:val="18"/>
                <w:szCs w:val="18"/>
                <w:color w:val="auto"/>
                <w:w w:val="91"/>
              </w:rPr>
              <w:t>Certification Pursuant to 18 U.S.C. 1350 (section 906 of Sarbanes-Oxley Act of 2002) – CFO.</w:t>
            </w:r>
          </w:p>
        </w:tc>
      </w:tr>
      <w:tr>
        <w:trPr>
          <w:trHeight w:val="392"/>
        </w:trPr>
        <w:tc>
          <w:tcPr>
            <w:tcW w:w="1660" w:type="dxa"/>
            <w:vAlign w:val="bottom"/>
            <w:gridSpan w:val="2"/>
          </w:tcPr>
          <w:p>
            <w:pPr>
              <w:ind w:left="40"/>
              <w:spacing w:after="0"/>
              <w:rPr>
                <w:sz w:val="20"/>
                <w:szCs w:val="20"/>
                <w:color w:val="auto"/>
              </w:rPr>
            </w:pPr>
            <w:r>
              <w:rPr>
                <w:rFonts w:ascii="Arial" w:cs="Arial" w:eastAsia="Arial" w:hAnsi="Arial"/>
                <w:sz w:val="18"/>
                <w:szCs w:val="18"/>
                <w:color w:val="auto"/>
              </w:rPr>
              <w:t>Exhibit 101.INS:</w:t>
            </w:r>
          </w:p>
        </w:tc>
        <w:tc>
          <w:tcPr>
            <w:tcW w:w="7120" w:type="dxa"/>
            <w:vAlign w:val="bottom"/>
            <w:gridSpan w:val="3"/>
          </w:tcPr>
          <w:p>
            <w:pPr>
              <w:ind w:left="320"/>
              <w:spacing w:after="0"/>
              <w:rPr>
                <w:sz w:val="20"/>
                <w:szCs w:val="20"/>
                <w:color w:val="auto"/>
              </w:rPr>
            </w:pPr>
            <w:r>
              <w:rPr>
                <w:rFonts w:ascii="Arial" w:cs="Arial" w:eastAsia="Arial" w:hAnsi="Arial"/>
                <w:sz w:val="18"/>
                <w:szCs w:val="18"/>
                <w:color w:val="auto"/>
              </w:rPr>
              <w:t>XBRL Instance Document.</w:t>
            </w:r>
          </w:p>
        </w:tc>
      </w:tr>
      <w:tr>
        <w:trPr>
          <w:trHeight w:val="392"/>
        </w:trPr>
        <w:tc>
          <w:tcPr>
            <w:tcW w:w="1660" w:type="dxa"/>
            <w:vAlign w:val="bottom"/>
            <w:gridSpan w:val="2"/>
          </w:tcPr>
          <w:p>
            <w:pPr>
              <w:ind w:left="40"/>
              <w:spacing w:after="0"/>
              <w:rPr>
                <w:sz w:val="20"/>
                <w:szCs w:val="20"/>
                <w:color w:val="auto"/>
              </w:rPr>
            </w:pPr>
            <w:r>
              <w:rPr>
                <w:rFonts w:ascii="Arial" w:cs="Arial" w:eastAsia="Arial" w:hAnsi="Arial"/>
                <w:sz w:val="18"/>
                <w:szCs w:val="18"/>
                <w:color w:val="auto"/>
              </w:rPr>
              <w:t>Exhibit 101.SCH:</w:t>
            </w:r>
          </w:p>
        </w:tc>
        <w:tc>
          <w:tcPr>
            <w:tcW w:w="7120" w:type="dxa"/>
            <w:vAlign w:val="bottom"/>
            <w:gridSpan w:val="3"/>
          </w:tcPr>
          <w:p>
            <w:pPr>
              <w:ind w:left="320"/>
              <w:spacing w:after="0"/>
              <w:rPr>
                <w:sz w:val="20"/>
                <w:szCs w:val="20"/>
                <w:color w:val="auto"/>
              </w:rPr>
            </w:pPr>
            <w:r>
              <w:rPr>
                <w:rFonts w:ascii="Arial" w:cs="Arial" w:eastAsia="Arial" w:hAnsi="Arial"/>
                <w:sz w:val="18"/>
                <w:szCs w:val="18"/>
                <w:color w:val="auto"/>
              </w:rPr>
              <w:t>XBRL Taxonomy Schema Document.</w:t>
            </w:r>
          </w:p>
        </w:tc>
      </w:tr>
      <w:tr>
        <w:trPr>
          <w:trHeight w:val="392"/>
        </w:trPr>
        <w:tc>
          <w:tcPr>
            <w:tcW w:w="1660" w:type="dxa"/>
            <w:vAlign w:val="bottom"/>
            <w:gridSpan w:val="2"/>
          </w:tcPr>
          <w:p>
            <w:pPr>
              <w:ind w:left="40"/>
              <w:spacing w:after="0"/>
              <w:rPr>
                <w:sz w:val="20"/>
                <w:szCs w:val="20"/>
                <w:color w:val="auto"/>
              </w:rPr>
            </w:pPr>
            <w:r>
              <w:rPr>
                <w:rFonts w:ascii="Arial" w:cs="Arial" w:eastAsia="Arial" w:hAnsi="Arial"/>
                <w:sz w:val="18"/>
                <w:szCs w:val="18"/>
                <w:color w:val="auto"/>
              </w:rPr>
              <w:t>Exhibit 101.CAL:</w:t>
            </w:r>
          </w:p>
        </w:tc>
        <w:tc>
          <w:tcPr>
            <w:tcW w:w="7120" w:type="dxa"/>
            <w:vAlign w:val="bottom"/>
            <w:gridSpan w:val="3"/>
          </w:tcPr>
          <w:p>
            <w:pPr>
              <w:ind w:left="320"/>
              <w:spacing w:after="0"/>
              <w:rPr>
                <w:sz w:val="20"/>
                <w:szCs w:val="20"/>
                <w:color w:val="auto"/>
              </w:rPr>
            </w:pPr>
            <w:r>
              <w:rPr>
                <w:rFonts w:ascii="Arial" w:cs="Arial" w:eastAsia="Arial" w:hAnsi="Arial"/>
                <w:sz w:val="18"/>
                <w:szCs w:val="18"/>
                <w:color w:val="auto"/>
              </w:rPr>
              <w:t>XBRL Taxonomy Extension Calculation Linkbase Document.</w:t>
            </w:r>
          </w:p>
        </w:tc>
      </w:tr>
      <w:tr>
        <w:trPr>
          <w:trHeight w:val="392"/>
        </w:trPr>
        <w:tc>
          <w:tcPr>
            <w:tcW w:w="1660" w:type="dxa"/>
            <w:vAlign w:val="bottom"/>
            <w:gridSpan w:val="2"/>
          </w:tcPr>
          <w:p>
            <w:pPr>
              <w:ind w:left="40"/>
              <w:spacing w:after="0"/>
              <w:rPr>
                <w:sz w:val="20"/>
                <w:szCs w:val="20"/>
                <w:color w:val="auto"/>
              </w:rPr>
            </w:pPr>
            <w:r>
              <w:rPr>
                <w:rFonts w:ascii="Arial" w:cs="Arial" w:eastAsia="Arial" w:hAnsi="Arial"/>
                <w:sz w:val="18"/>
                <w:szCs w:val="18"/>
                <w:color w:val="auto"/>
              </w:rPr>
              <w:t>Exhibit 101.DEF:</w:t>
            </w:r>
          </w:p>
        </w:tc>
        <w:tc>
          <w:tcPr>
            <w:tcW w:w="7120" w:type="dxa"/>
            <w:vAlign w:val="bottom"/>
            <w:gridSpan w:val="3"/>
          </w:tcPr>
          <w:p>
            <w:pPr>
              <w:ind w:left="320"/>
              <w:spacing w:after="0"/>
              <w:rPr>
                <w:sz w:val="20"/>
                <w:szCs w:val="20"/>
                <w:color w:val="auto"/>
              </w:rPr>
            </w:pPr>
            <w:r>
              <w:rPr>
                <w:rFonts w:ascii="Arial" w:cs="Arial" w:eastAsia="Arial" w:hAnsi="Arial"/>
                <w:sz w:val="18"/>
                <w:szCs w:val="18"/>
                <w:color w:val="auto"/>
              </w:rPr>
              <w:t>XBRL Taxonomy Extension Definition Linkbase Document.</w:t>
            </w:r>
          </w:p>
        </w:tc>
      </w:tr>
      <w:tr>
        <w:trPr>
          <w:trHeight w:val="392"/>
        </w:trPr>
        <w:tc>
          <w:tcPr>
            <w:tcW w:w="1660" w:type="dxa"/>
            <w:vAlign w:val="bottom"/>
            <w:gridSpan w:val="2"/>
          </w:tcPr>
          <w:p>
            <w:pPr>
              <w:ind w:left="40"/>
              <w:spacing w:after="0"/>
              <w:rPr>
                <w:sz w:val="20"/>
                <w:szCs w:val="20"/>
                <w:color w:val="auto"/>
              </w:rPr>
            </w:pPr>
            <w:r>
              <w:rPr>
                <w:rFonts w:ascii="Arial" w:cs="Arial" w:eastAsia="Arial" w:hAnsi="Arial"/>
                <w:sz w:val="18"/>
                <w:szCs w:val="18"/>
                <w:color w:val="auto"/>
              </w:rPr>
              <w:t>Exhibit 101.LAB:</w:t>
            </w:r>
          </w:p>
        </w:tc>
        <w:tc>
          <w:tcPr>
            <w:tcW w:w="7120" w:type="dxa"/>
            <w:vAlign w:val="bottom"/>
            <w:gridSpan w:val="3"/>
          </w:tcPr>
          <w:p>
            <w:pPr>
              <w:ind w:left="320"/>
              <w:spacing w:after="0"/>
              <w:rPr>
                <w:sz w:val="20"/>
                <w:szCs w:val="20"/>
                <w:color w:val="auto"/>
              </w:rPr>
            </w:pPr>
            <w:r>
              <w:rPr>
                <w:rFonts w:ascii="Arial" w:cs="Arial" w:eastAsia="Arial" w:hAnsi="Arial"/>
                <w:sz w:val="18"/>
                <w:szCs w:val="18"/>
                <w:color w:val="auto"/>
              </w:rPr>
              <w:t>XBRL Taxonomy Extension Labels Linkbase Document.</w:t>
            </w:r>
          </w:p>
        </w:tc>
      </w:tr>
      <w:tr>
        <w:trPr>
          <w:trHeight w:val="392"/>
        </w:trPr>
        <w:tc>
          <w:tcPr>
            <w:tcW w:w="1660" w:type="dxa"/>
            <w:vAlign w:val="bottom"/>
            <w:gridSpan w:val="2"/>
          </w:tcPr>
          <w:p>
            <w:pPr>
              <w:ind w:left="40"/>
              <w:spacing w:after="0"/>
              <w:rPr>
                <w:sz w:val="20"/>
                <w:szCs w:val="20"/>
                <w:color w:val="auto"/>
              </w:rPr>
            </w:pPr>
            <w:r>
              <w:rPr>
                <w:rFonts w:ascii="Arial" w:cs="Arial" w:eastAsia="Arial" w:hAnsi="Arial"/>
                <w:sz w:val="18"/>
                <w:szCs w:val="18"/>
                <w:color w:val="auto"/>
              </w:rPr>
              <w:t>Exhibit 101.PRE:</w:t>
            </w:r>
          </w:p>
        </w:tc>
        <w:tc>
          <w:tcPr>
            <w:tcW w:w="7120" w:type="dxa"/>
            <w:vAlign w:val="bottom"/>
            <w:gridSpan w:val="3"/>
          </w:tcPr>
          <w:p>
            <w:pPr>
              <w:ind w:left="320"/>
              <w:spacing w:after="0"/>
              <w:rPr>
                <w:sz w:val="20"/>
                <w:szCs w:val="20"/>
                <w:color w:val="auto"/>
              </w:rPr>
            </w:pPr>
            <w:r>
              <w:rPr>
                <w:rFonts w:ascii="Arial" w:cs="Arial" w:eastAsia="Arial" w:hAnsi="Arial"/>
                <w:sz w:val="18"/>
                <w:szCs w:val="18"/>
                <w:color w:val="auto"/>
              </w:rPr>
              <w:t>XBRL Taxonomy Extension Presentation Linkbase Document.</w:t>
            </w:r>
          </w:p>
        </w:tc>
      </w:tr>
      <w:tr>
        <w:trPr>
          <w:trHeight w:val="702"/>
        </w:trPr>
        <w:tc>
          <w:tcPr>
            <w:tcW w:w="1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760" w:type="dxa"/>
            <w:vAlign w:val="bottom"/>
            <w:gridSpan w:val="2"/>
          </w:tcPr>
          <w:p>
            <w:pPr>
              <w:ind w:left="3880"/>
              <w:spacing w:after="0"/>
              <w:rPr>
                <w:sz w:val="20"/>
                <w:szCs w:val="20"/>
                <w:color w:val="auto"/>
              </w:rPr>
            </w:pPr>
            <w:r>
              <w:rPr>
                <w:rFonts w:ascii="Arial" w:cs="Arial" w:eastAsia="Arial" w:hAnsi="Arial"/>
                <w:sz w:val="18"/>
                <w:szCs w:val="18"/>
                <w:color w:val="auto"/>
              </w:rPr>
              <w:t>- 28-</w:t>
            </w:r>
          </w:p>
        </w:tc>
        <w:tc>
          <w:tcPr>
            <w:tcW w:w="2360" w:type="dxa"/>
            <w:vAlign w:val="bottom"/>
          </w:tcPr>
          <w:p>
            <w:pPr>
              <w:spacing w:after="0"/>
              <w:rPr>
                <w:sz w:val="24"/>
                <w:szCs w:val="24"/>
                <w:color w:val="auto"/>
              </w:rPr>
            </w:pPr>
          </w:p>
        </w:tc>
      </w:tr>
    </w:tbl>
    <w:p>
      <w:pPr>
        <w:sectPr>
          <w:pgSz w:w="11900" w:h="16838" w:orient="portrait"/>
          <w:cols w:equalWidth="0" w:num="1">
            <w:col w:w="10219"/>
          </w:cols>
          <w:pgMar w:left="240" w:top="108" w:right="1440"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John R. Hewitt, certify that:</w:t>
      </w:r>
    </w:p>
    <w:p>
      <w:pPr>
        <w:spacing w:after="0" w:line="171" w:lineRule="exact"/>
        <w:rPr>
          <w:sz w:val="20"/>
          <w:szCs w:val="20"/>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Matrix Service Company;</w:t>
      </w:r>
    </w:p>
    <w:p>
      <w:pPr>
        <w:spacing w:after="0" w:line="171" w:lineRule="exact"/>
        <w:rPr>
          <w:rFonts w:ascii="Arial" w:cs="Arial" w:eastAsia="Arial" w:hAnsi="Arial"/>
          <w:sz w:val="18"/>
          <w:szCs w:val="18"/>
          <w:color w:val="auto"/>
        </w:rPr>
      </w:pPr>
    </w:p>
    <w:p>
      <w:pPr>
        <w:ind w:left="980" w:right="40" w:hanging="324"/>
        <w:spacing w:after="0" w:line="264"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980" w:right="200" w:hanging="324"/>
        <w:spacing w:after="0" w:line="308" w:lineRule="auto"/>
        <w:tabs>
          <w:tab w:leader="none" w:pos="9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980" w:right="160" w:hanging="324"/>
        <w:spacing w:after="0" w:line="291" w:lineRule="auto"/>
        <w:tabs>
          <w:tab w:leader="none" w:pos="9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98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56" w:lineRule="exact"/>
        <w:rPr>
          <w:rFonts w:ascii="Arial" w:cs="Arial" w:eastAsia="Arial" w:hAnsi="Arial"/>
          <w:sz w:val="16"/>
          <w:szCs w:val="16"/>
          <w:color w:val="auto"/>
        </w:rPr>
      </w:pPr>
    </w:p>
    <w:p>
      <w:pPr>
        <w:ind w:left="1620" w:right="200" w:hanging="640"/>
        <w:spacing w:after="0" w:line="286" w:lineRule="auto"/>
        <w:tabs>
          <w:tab w:leader="none" w:pos="1620" w:val="left"/>
        </w:tabs>
        <w:numPr>
          <w:ilvl w:val="1"/>
          <w:numId w:val="14"/>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7"/>
          <w:szCs w:val="17"/>
          <w:color w:val="auto"/>
        </w:rPr>
      </w:pPr>
    </w:p>
    <w:p>
      <w:pPr>
        <w:ind w:left="1620" w:right="260" w:hanging="640"/>
        <w:spacing w:after="0" w:line="264" w:lineRule="auto"/>
        <w:tabs>
          <w:tab w:leader="none" w:pos="16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620" w:right="60" w:hanging="640"/>
        <w:spacing w:after="0" w:line="342" w:lineRule="auto"/>
        <w:tabs>
          <w:tab w:leader="none" w:pos="1620" w:val="left"/>
        </w:tabs>
        <w:numPr>
          <w:ilvl w:val="1"/>
          <w:numId w:val="1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620" w:right="60" w:hanging="640"/>
        <w:spacing w:after="0" w:line="264" w:lineRule="auto"/>
        <w:tabs>
          <w:tab w:leader="none" w:pos="16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980" w:right="120" w:hanging="324"/>
        <w:spacing w:after="0" w:line="342" w:lineRule="auto"/>
        <w:tabs>
          <w:tab w:leader="none" w:pos="9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6"/>
          <w:szCs w:val="16"/>
          <w:color w:val="auto"/>
        </w:rPr>
      </w:pPr>
    </w:p>
    <w:p>
      <w:pPr>
        <w:ind w:left="1620" w:right="300" w:hanging="640"/>
        <w:spacing w:after="0" w:line="342" w:lineRule="auto"/>
        <w:tabs>
          <w:tab w:leader="none" w:pos="1620" w:val="left"/>
        </w:tabs>
        <w:numPr>
          <w:ilvl w:val="1"/>
          <w:numId w:val="1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620" w:right="580" w:hanging="640"/>
        <w:spacing w:after="0" w:line="277" w:lineRule="auto"/>
        <w:tabs>
          <w:tab w:leader="none" w:pos="16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640" w:val="left"/>
        </w:tabs>
        <w:rPr>
          <w:sz w:val="20"/>
          <w:szCs w:val="20"/>
          <w:color w:val="auto"/>
        </w:rPr>
      </w:pPr>
      <w:r>
        <w:rPr>
          <w:rFonts w:ascii="Arial" w:cs="Arial" w:eastAsia="Arial" w:hAnsi="Arial"/>
          <w:sz w:val="18"/>
          <w:szCs w:val="18"/>
          <w:color w:val="auto"/>
        </w:rPr>
        <w:t>Date:</w:t>
        <w:tab/>
        <w:t>May 9, 2013</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John R. Hewitt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31521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John R. Hewitt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580" w:right="2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Kevin S. Cavanah, certify that:</w:t>
      </w:r>
    </w:p>
    <w:p>
      <w:pPr>
        <w:spacing w:after="0" w:line="171" w:lineRule="exact"/>
        <w:rPr>
          <w:sz w:val="20"/>
          <w:szCs w:val="20"/>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Matrix Service Company;</w:t>
      </w:r>
    </w:p>
    <w:p>
      <w:pPr>
        <w:spacing w:after="0" w:line="171" w:lineRule="exact"/>
        <w:rPr>
          <w:rFonts w:ascii="Arial" w:cs="Arial" w:eastAsia="Arial" w:hAnsi="Arial"/>
          <w:sz w:val="18"/>
          <w:szCs w:val="18"/>
          <w:color w:val="auto"/>
        </w:rPr>
      </w:pPr>
    </w:p>
    <w:p>
      <w:pPr>
        <w:ind w:left="980" w:right="40" w:hanging="324"/>
        <w:spacing w:after="0" w:line="264"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980" w:right="200" w:hanging="324"/>
        <w:spacing w:after="0" w:line="308" w:lineRule="auto"/>
        <w:tabs>
          <w:tab w:leader="none" w:pos="9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980" w:right="160" w:hanging="324"/>
        <w:spacing w:after="0" w:line="291" w:lineRule="auto"/>
        <w:tabs>
          <w:tab w:leader="none" w:pos="9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98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56" w:lineRule="exact"/>
        <w:rPr>
          <w:rFonts w:ascii="Arial" w:cs="Arial" w:eastAsia="Arial" w:hAnsi="Arial"/>
          <w:sz w:val="16"/>
          <w:szCs w:val="16"/>
          <w:color w:val="auto"/>
        </w:rPr>
      </w:pPr>
    </w:p>
    <w:p>
      <w:pPr>
        <w:ind w:left="1620" w:right="200" w:hanging="640"/>
        <w:spacing w:after="0" w:line="286" w:lineRule="auto"/>
        <w:tabs>
          <w:tab w:leader="none" w:pos="1620" w:val="left"/>
        </w:tabs>
        <w:numPr>
          <w:ilvl w:val="1"/>
          <w:numId w:val="15"/>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7"/>
          <w:szCs w:val="17"/>
          <w:color w:val="auto"/>
        </w:rPr>
      </w:pPr>
    </w:p>
    <w:p>
      <w:pPr>
        <w:ind w:left="1620" w:right="260" w:hanging="640"/>
        <w:spacing w:after="0" w:line="264" w:lineRule="auto"/>
        <w:tabs>
          <w:tab w:leader="none" w:pos="16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620" w:right="60" w:hanging="640"/>
        <w:spacing w:after="0" w:line="342" w:lineRule="auto"/>
        <w:tabs>
          <w:tab w:leader="none" w:pos="1620" w:val="left"/>
        </w:tabs>
        <w:numPr>
          <w:ilvl w:val="1"/>
          <w:numId w:val="1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620" w:right="60" w:hanging="640"/>
        <w:spacing w:after="0" w:line="264" w:lineRule="auto"/>
        <w:tabs>
          <w:tab w:leader="none" w:pos="16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980" w:right="120" w:hanging="324"/>
        <w:spacing w:after="0" w:line="342" w:lineRule="auto"/>
        <w:tabs>
          <w:tab w:leader="none" w:pos="9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6"/>
          <w:szCs w:val="16"/>
          <w:color w:val="auto"/>
        </w:rPr>
      </w:pPr>
    </w:p>
    <w:p>
      <w:pPr>
        <w:ind w:left="1620" w:right="300" w:hanging="640"/>
        <w:spacing w:after="0" w:line="342" w:lineRule="auto"/>
        <w:tabs>
          <w:tab w:leader="none" w:pos="1620" w:val="left"/>
        </w:tabs>
        <w:numPr>
          <w:ilvl w:val="1"/>
          <w:numId w:val="1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620" w:right="580" w:hanging="640"/>
        <w:spacing w:after="0" w:line="277" w:lineRule="auto"/>
        <w:tabs>
          <w:tab w:leader="none" w:pos="16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6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May 9, 2013</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Kevin S. Cavanah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5901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9016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Kevin S. Cavanah</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Vice President and Chief Financial Officer</w:t>
      </w:r>
    </w:p>
    <w:p>
      <w:pPr>
        <w:sectPr>
          <w:pgSz w:w="11900" w:h="16838" w:orient="portrait"/>
          <w:cols w:equalWidth="0" w:num="1">
            <w:col w:w="11420"/>
          </w:cols>
          <w:pgMar w:left="240" w:top="580" w:right="2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32.1</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18 U.S.C. Section 1350,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Sarbanes-Oxley Act of 2002</w:t>
      </w:r>
    </w:p>
    <w:p>
      <w:pPr>
        <w:spacing w:after="0" w:line="157"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In connection with the Quarterly Report of Matrix Service Company (the “Company”) on Form 10-Q for the period ending March 31, 2013 as filed with the Securities and Exchange Commission on the date hereof (the “Report”), I, John R. Hewitt, President and Chief Executive Officer of the Company, certify, pursuant to 18 U.S.C. ss. 1350, as adopted pursuant to ss. 906 of the Sarbanes-Oxley Act of 2002, that based on my knowledge:</w:t>
      </w:r>
    </w:p>
    <w:p>
      <w:pPr>
        <w:spacing w:after="0" w:line="166" w:lineRule="exact"/>
        <w:rPr>
          <w:sz w:val="20"/>
          <w:szCs w:val="20"/>
          <w:color w:val="auto"/>
        </w:rPr>
      </w:pPr>
    </w:p>
    <w:p>
      <w:pPr>
        <w:ind w:left="1300" w:hanging="644"/>
        <w:spacing w:after="0"/>
        <w:tabs>
          <w:tab w:leader="none" w:pos="13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36" w:lineRule="exact"/>
        <w:rPr>
          <w:rFonts w:ascii="Arial" w:cs="Arial" w:eastAsia="Arial" w:hAnsi="Arial"/>
          <w:sz w:val="17"/>
          <w:szCs w:val="17"/>
          <w:color w:val="auto"/>
        </w:rPr>
      </w:pPr>
    </w:p>
    <w:p>
      <w:pPr>
        <w:ind w:left="1300" w:right="440" w:hanging="644"/>
        <w:spacing w:after="0" w:line="277"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16" w:lineRule="exact"/>
        <w:rPr>
          <w:sz w:val="20"/>
          <w:szCs w:val="20"/>
          <w:color w:val="auto"/>
        </w:rPr>
      </w:pPr>
    </w:p>
    <w:p>
      <w:pPr>
        <w:ind w:left="40"/>
        <w:spacing w:after="0"/>
        <w:tabs>
          <w:tab w:leader="none" w:pos="640" w:val="left"/>
        </w:tabs>
        <w:rPr>
          <w:sz w:val="20"/>
          <w:szCs w:val="20"/>
          <w:color w:val="auto"/>
        </w:rPr>
      </w:pPr>
      <w:r>
        <w:rPr>
          <w:rFonts w:ascii="Arial" w:cs="Arial" w:eastAsia="Arial" w:hAnsi="Arial"/>
          <w:sz w:val="18"/>
          <w:szCs w:val="18"/>
          <w:color w:val="auto"/>
        </w:rPr>
        <w:t>Date:</w:t>
        <w:tab/>
        <w:t>May 9, 2013</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John R. Hewitt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31521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John R. Hewitt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580" w:right="2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32.2</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18 U.S.C. Section 1350,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Sarbanes-Oxley Act of 2002</w:t>
      </w:r>
    </w:p>
    <w:p>
      <w:pPr>
        <w:spacing w:after="0" w:line="157"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In connection with the Quarterly Report of Matrix Service Company (the “Company”) on Form 10-Q for the period ending March 31, 2013 as filed with the Securities and Exchange Commission on the date hereof (the “Report”), I, Kevin S. Cavanah, Vice President and Chief Financial Officer of the Company, certify, pursuant to 18 U.S.C. ss. 1350, as adopted pursuant to ss. 906 of the Sarbanes-Oxley Act of 2002, that based on my knowledge:</w:t>
      </w:r>
    </w:p>
    <w:p>
      <w:pPr>
        <w:spacing w:after="0" w:line="166" w:lineRule="exact"/>
        <w:rPr>
          <w:sz w:val="20"/>
          <w:szCs w:val="20"/>
          <w:color w:val="auto"/>
        </w:rPr>
      </w:pPr>
    </w:p>
    <w:p>
      <w:pPr>
        <w:ind w:left="1300" w:hanging="644"/>
        <w:spacing w:after="0"/>
        <w:tabs>
          <w:tab w:leader="none" w:pos="13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36" w:lineRule="exact"/>
        <w:rPr>
          <w:rFonts w:ascii="Arial" w:cs="Arial" w:eastAsia="Arial" w:hAnsi="Arial"/>
          <w:sz w:val="17"/>
          <w:szCs w:val="17"/>
          <w:color w:val="auto"/>
        </w:rPr>
      </w:pPr>
    </w:p>
    <w:p>
      <w:pPr>
        <w:ind w:left="1300" w:right="440" w:hanging="644"/>
        <w:spacing w:after="0" w:line="277"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16" w:lineRule="exact"/>
        <w:rPr>
          <w:sz w:val="20"/>
          <w:szCs w:val="20"/>
          <w:color w:val="auto"/>
        </w:rPr>
      </w:pPr>
    </w:p>
    <w:p>
      <w:pPr>
        <w:ind w:left="40"/>
        <w:spacing w:after="0"/>
        <w:tabs>
          <w:tab w:leader="none" w:pos="6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May 9, 2013</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Kevin S. Cavanah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5901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59016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Kevin S. Cavanah</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Vice President and Chief Financial Officer</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x"/>
      <w:numFmt w:val="bullet"/>
      <w:start w:val="1"/>
    </w:lvl>
  </w:abstractNum>
  <w:abstractNum w:abstractNumId="1">
    <w:nsid w:val="12200854"/>
    <w:multiLevelType w:val="hybridMultilevel"/>
    <w:lvl w:ilvl="0">
      <w:lvlJc w:val="left"/>
      <w:lvlText w:val="o"/>
      <w:numFmt w:val="bullet"/>
      <w:start w:val="1"/>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
      <w:numFmt w:val="bullet"/>
      <w:start w:val="1"/>
    </w:lvl>
  </w:abstractNum>
  <w:abstractNum w:abstractNumId="4">
    <w:nsid w:val="1F16E9E8"/>
    <w:multiLevelType w:val="hybridMultilevel"/>
    <w:lvl w:ilvl="0">
      <w:lvlJc w:val="left"/>
      <w:lvlText w:val="•"/>
      <w:numFmt w:val="bullet"/>
      <w:start w:val="1"/>
    </w:lvl>
  </w:abstractNum>
  <w:abstractNum w:abstractNumId="5">
    <w:nsid w:val="1190CDE7"/>
    <w:multiLevelType w:val="hybridMultilevel"/>
    <w:lvl w:ilvl="0">
      <w:lvlJc w:val="left"/>
      <w:lvlText w:val="•"/>
      <w:numFmt w:val="bullet"/>
      <w:start w:val="1"/>
    </w:lvl>
    <w:lvl w:ilvl="1">
      <w:lvlJc w:val="left"/>
      <w:lvlText w:val="-"/>
      <w:numFmt w:val="bullet"/>
      <w:start w:val="1"/>
    </w:lvl>
  </w:abstractNum>
  <w:abstractNum w:abstractNumId="6">
    <w:nsid w:val="66EF438D"/>
    <w:multiLevelType w:val="hybridMultilevel"/>
    <w:lvl w:ilvl="0">
      <w:lvlJc w:val="left"/>
      <w:lvlText w:val="•"/>
      <w:numFmt w:val="bullet"/>
      <w:start w:val="1"/>
    </w:lvl>
    <w:lvl w:ilvl="1">
      <w:lvlJc w:val="left"/>
      <w:lvlText w:val="•"/>
      <w:numFmt w:val="bullet"/>
      <w:start w:val="1"/>
    </w:lvl>
  </w:abstractNum>
  <w:abstractNum w:abstractNumId="7">
    <w:nsid w:val="140E0F76"/>
    <w:multiLevelType w:val="hybridMultilevel"/>
    <w:lvl w:ilvl="0">
      <w:lvlJc w:val="left"/>
      <w:lvlText w:val="•"/>
      <w:numFmt w:val="bullet"/>
      <w:start w:val="1"/>
    </w:lvl>
  </w:abstractNum>
  <w:abstractNum w:abstractNumId="8">
    <w:nsid w:val="3352255A"/>
    <w:multiLevelType w:val="hybridMultilevel"/>
    <w:lvl w:ilvl="0">
      <w:lvlJc w:val="left"/>
      <w:lvlText w:val="•"/>
      <w:numFmt w:val="bullet"/>
      <w:start w:val="1"/>
    </w:lvl>
  </w:abstractNum>
  <w:abstractNum w:abstractNumId="9">
    <w:nsid w:val="109CF92E"/>
    <w:multiLevelType w:val="hybridMultilevel"/>
    <w:lvl w:ilvl="0">
      <w:lvlJc w:val="left"/>
      <w:lvlText w:val="•"/>
      <w:numFmt w:val="bullet"/>
      <w:start w:val="1"/>
    </w:lvl>
  </w:abstractNum>
  <w:abstractNum w:abstractNumId="10">
    <w:nsid w:val="DED7263"/>
    <w:multiLevelType w:val="hybridMultilevel"/>
    <w:lvl w:ilvl="0">
      <w:lvlJc w:val="left"/>
      <w:lvlText w:val="•"/>
      <w:numFmt w:val="bullet"/>
      <w:start w:val="1"/>
    </w:lvl>
  </w:abstractNum>
  <w:abstractNum w:abstractNumId="11">
    <w:nsid w:val="7FDCC233"/>
    <w:multiLevelType w:val="hybridMultilevel"/>
    <w:lvl w:ilvl="0">
      <w:lvlJc w:val="left"/>
      <w:lvlText w:val="•"/>
      <w:numFmt w:val="bullet"/>
      <w:start w:val="1"/>
    </w:lvl>
  </w:abstractNum>
  <w:abstractNum w:abstractNumId="12">
    <w:nsid w:val="1BEFD79F"/>
    <w:multiLevelType w:val="hybridMultilevel"/>
    <w:lvl w:ilvl="0">
      <w:lvlJc w:val="left"/>
      <w:lvlText w:val="(%1)"/>
      <w:numFmt w:val="upperLetter"/>
      <w:start w:val="1"/>
    </w:lvl>
  </w:abstractNum>
  <w:abstractNum w:abstractNumId="13">
    <w:nsid w:val="41A7C4C9"/>
    <w:multiLevelType w:val="hybridMultilevel"/>
    <w:lvl w:ilvl="0">
      <w:lvlJc w:val="left"/>
      <w:lvlText w:val="%1."/>
      <w:numFmt w:val="decimal"/>
      <w:start w:val="1"/>
    </w:lvl>
    <w:lvl w:ilvl="1">
      <w:lvlJc w:val="left"/>
      <w:lvlText w:val="%2."/>
      <w:numFmt w:val="lowerLetter"/>
      <w:start w:val="1"/>
    </w:lvl>
  </w:abstractNum>
  <w:abstractNum w:abstractNumId="14">
    <w:nsid w:val="6B68079A"/>
    <w:multiLevelType w:val="hybridMultilevel"/>
    <w:lvl w:ilvl="0">
      <w:lvlJc w:val="left"/>
      <w:lvlText w:val="%1."/>
      <w:numFmt w:val="decimal"/>
      <w:start w:val="1"/>
    </w:lvl>
    <w:lvl w:ilvl="1">
      <w:lvlJc w:val="left"/>
      <w:lvlText w:val="%2."/>
      <w:numFmt w:val="lowerLetter"/>
      <w:start w:val="1"/>
    </w:lvl>
  </w:abstractNum>
  <w:abstractNum w:abstractNumId="15">
    <w:nsid w:val="4E6AFB66"/>
    <w:multiLevelType w:val="hybridMultilevel"/>
    <w:lvl w:ilvl="0">
      <w:lvlJc w:val="left"/>
      <w:lvlText w:val="(%1)"/>
      <w:numFmt w:val="decimal"/>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2019-12-06T04:00:23Z</dcterms:created>
  <dcterms:modified xsi:type="dcterms:W3CDTF">2019-12-06T04:00:23Z</dcterms:modified>
</cp:coreProperties>
</file>