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963"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963"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963"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700,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January 30, 2015 there were 27,888,217 shares of the Company’s common stock, $0.01 par value per share, issued and 26,710,693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63" w:right="279" w:bottom="1440" w:gutter="0" w:footer="0" w:header="0"/>
          <w:type w:val="continuous"/>
        </w:sectPr>
      </w:pPr>
    </w:p>
    <w:bookmarkStart w:id="1" w:name="page2"/>
    <w:bookmarkEnd w:id="1"/>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Income for the Three and Six Months Ended December 31, 2014 and 2013</w:t>
              </w:r>
            </w:hyperlink>
          </w:p>
        </w:tc>
        <w:tc>
          <w:tcPr>
            <w:tcW w:w="1300" w:type="dxa"/>
            <w:vAlign w:val="bottom"/>
            <w:gridSpan w:val="3"/>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Comprehensive Income for the Three and Six Months Ended December 31, 2014 and 2013</w:t>
              </w:r>
            </w:hyperlink>
          </w:p>
        </w:tc>
        <w:tc>
          <w:tcPr>
            <w:tcW w:w="440" w:type="dxa"/>
            <w:vAlign w:val="bottom"/>
            <w:vMerge w:val="restart"/>
          </w:tcPr>
          <w:p>
            <w:pPr>
              <w:jc w:val="center"/>
              <w:ind w:left="1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December 31, 2014 and June 30, 2014</w:t>
              </w:r>
            </w:hyperlink>
          </w:p>
        </w:tc>
        <w:tc>
          <w:tcPr>
            <w:tcW w:w="3420" w:type="dxa"/>
            <w:vAlign w:val="bottom"/>
            <w:gridSpan w:val="6"/>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December 31, 2014 and 2013</w:t>
              </w:r>
            </w:hyperlink>
          </w:p>
        </w:tc>
        <w:tc>
          <w:tcPr>
            <w:tcW w:w="1760" w:type="dxa"/>
            <w:vAlign w:val="bottom"/>
            <w:gridSpan w:val="4"/>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EE"/>
                <w:w w:val="92"/>
              </w:rPr>
            </w:pPr>
            <w:hyperlink w:anchor="page8">
              <w:r>
                <w:rPr>
                  <w:rFonts w:ascii="Arial" w:cs="Arial" w:eastAsia="Arial" w:hAnsi="Arial"/>
                  <w:sz w:val="18"/>
                  <w:szCs w:val="18"/>
                  <w:color w:val="0000EE"/>
                  <w:w w:val="92"/>
                </w:rPr>
                <w:t>Condensed Consolidated Statements of Changes in Stockholders’ Equity for the Six Months Ended December 31, 2014 and 2013</w:t>
              </w:r>
            </w:hyperlink>
          </w:p>
        </w:tc>
        <w:tc>
          <w:tcPr>
            <w:tcW w:w="440" w:type="dxa"/>
            <w:vAlign w:val="bottom"/>
            <w:vMerge w:val="restart"/>
          </w:tcPr>
          <w:p>
            <w:pPr>
              <w:jc w:val="center"/>
              <w:ind w:left="151"/>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Notes to Condensed Consolidated Financial Statements</w:t>
              </w:r>
            </w:hyperlink>
          </w:p>
        </w:tc>
        <w:tc>
          <w:tcPr>
            <w:tcW w:w="5560" w:type="dxa"/>
            <w:vAlign w:val="bottom"/>
            <w:gridSpan w:val="8"/>
          </w:tcPr>
          <w:p>
            <w:pPr>
              <w:spacing w:after="0"/>
              <w:rPr>
                <w:sz w:val="24"/>
                <w:szCs w:val="24"/>
                <w:color w:val="auto"/>
              </w:rPr>
            </w:pPr>
          </w:p>
        </w:tc>
        <w:tc>
          <w:tcPr>
            <w:tcW w:w="440" w:type="dxa"/>
            <w:vAlign w:val="bottom"/>
          </w:tcPr>
          <w:p>
            <w:pPr>
              <w:jc w:val="center"/>
              <w:ind w:left="15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440" w:type="dxa"/>
            <w:vAlign w:val="bottom"/>
          </w:tcPr>
          <w:p>
            <w:pPr>
              <w:jc w:val="center"/>
              <w:ind w:left="171"/>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19</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100" w:type="dxa"/>
            <w:vAlign w:val="bottom"/>
            <w:gridSpan w:val="5"/>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200" w:type="dxa"/>
            <w:vAlign w:val="bottom"/>
            <w:gridSpan w:val="7"/>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3">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Legal Proceedings</w:t>
              </w:r>
            </w:hyperlink>
          </w:p>
        </w:tc>
        <w:tc>
          <w:tcPr>
            <w:tcW w:w="8240" w:type="dxa"/>
            <w:vAlign w:val="bottom"/>
            <w:gridSpan w:val="12"/>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8240" w:type="dxa"/>
            <w:vAlign w:val="bottom"/>
            <w:gridSpan w:val="12"/>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5200" w:type="dxa"/>
            <w:vAlign w:val="bottom"/>
            <w:gridSpan w:val="7"/>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Defaults Upon Senior Securities</w:t>
              </w:r>
            </w:hyperlink>
          </w:p>
        </w:tc>
        <w:tc>
          <w:tcPr>
            <w:tcW w:w="5200" w:type="dxa"/>
            <w:vAlign w:val="bottom"/>
            <w:gridSpan w:val="7"/>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10"/>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1"/>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8240" w:type="dxa"/>
            <w:vAlign w:val="bottom"/>
            <w:gridSpan w:val="12"/>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jc w:val="center"/>
              <w:ind w:left="17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20"/>
          </w:cols>
          <w:pgMar w:left="280" w:top="58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data)</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664,563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537,215</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326,925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276,848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620,229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477,589</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59,626</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19,333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39,458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34,047</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25,579</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14,406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24,862</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federal, state and foreign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7,999</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16,863</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Net income attributable to Matrix Service Company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10,306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16,858</w:t>
            </w:r>
          </w:p>
        </w:tc>
      </w:tr>
      <w:tr>
        <w:trPr>
          <w:trHeight w:val="67"/>
        </w:trPr>
        <w:tc>
          <w:tcPr>
            <w:tcW w:w="60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78"/>
        </w:trPr>
        <w:tc>
          <w:tcPr>
            <w:tcW w:w="6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0.64</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0.63</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26,180</w:t>
            </w:r>
          </w:p>
        </w:tc>
      </w:tr>
      <w:tr>
        <w:trPr>
          <w:trHeight w:val="243"/>
        </w:trPr>
        <w:tc>
          <w:tcPr>
            <w:tcW w:w="6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27,156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26,884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26,772</w:t>
            </w: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360"/>
          </w:cols>
          <w:pgMar w:left="280" w:top="58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16,863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16,688</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(loss) attributable to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9,829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5,929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16,683</w:t>
            </w:r>
          </w:p>
        </w:tc>
      </w:tr>
      <w:tr>
        <w:trPr>
          <w:trHeight w:val="20"/>
        </w:trPr>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68,568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(December 31, 2014— $563 and June 30, 2014—$204)</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215,142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204,692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73,008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5,994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receivable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8,897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376,044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375,548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Land and buildings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31,737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Transportation equipment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45,098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42,087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Office equipment and software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9,892</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192,487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depreciation</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(103,315)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89,172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72,212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69,837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28,676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5,699</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566,082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568,932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93,154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111,863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108,440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8,605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4,727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269,861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5,167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credit facility</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11,621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284,288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286,649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December 31, 2014,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and June 30, 2014</w:t>
            </w:r>
          </w:p>
        </w:tc>
        <w:tc>
          <w:tcPr>
            <w:tcW w:w="16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119,777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186,437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177,237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303,115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297,111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8"/>
              </w:rPr>
              <w:t>Less: Treasury stock, at cost— 1,193,039 shares as of December 31, 2014, and 1,453,770 shares as of June 30, 2014</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289,403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280,516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281,794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282,283</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566,082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568,932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16,863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(used)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11,540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7,551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2,515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11,665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32,712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(5,174)</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50,464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(Note 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(51,398)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(63,037)</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580" w:right="239" w:bottom="1440" w:gutter="0" w:footer="0" w:header="0"/>
        </w:sectPr>
      </w:pPr>
    </w:p>
    <w:bookmarkStart w:id="7" w:name="page8"/>
    <w:bookmarkEnd w:id="7"/>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benefit of exercised stock options and vesting of deferred shares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credit agreement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9,272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33,318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received for treasury shares sold to Employee Stock Purchase Plan</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shares purchased from employees to satisfy tax withholding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financing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22,199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9,542</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77,115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63,750</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68,568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73,292</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6,812</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64"/>
        </w:trPr>
        <w:tc>
          <w:tcPr>
            <w:tcW w:w="8800" w:type="dxa"/>
            <w:vAlign w:val="bottom"/>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1,079</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144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2014</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119,777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282,283</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(3,271)</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(42,450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1,731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(314,003 shares)</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4,584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Plan (4,972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obligations (100,694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Balances, December 31,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119,852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186,437</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(13,712)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(7,609)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281,794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June 30,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238,162</w:t>
            </w: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16,858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16,863</w:t>
            </w:r>
          </w:p>
        </w:tc>
        <w:tc>
          <w:tcPr>
            <w:tcW w:w="0" w:type="dxa"/>
            <w:vAlign w:val="bottom"/>
          </w:tcPr>
          <w:p>
            <w:pPr>
              <w:spacing w:after="0"/>
              <w:rPr>
                <w:sz w:val="1"/>
                <w:szCs w:val="1"/>
                <w:color w:val="auto"/>
              </w:rPr>
            </w:pPr>
          </w:p>
        </w:tc>
      </w:tr>
      <w:tr>
        <w:trPr>
          <w:trHeight w:val="47"/>
        </w:trPr>
        <w:tc>
          <w:tcPr>
            <w:tcW w:w="3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Consolidated joint venture included in acquisition</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vMerge w:val="restart"/>
          </w:tcPr>
          <w:p>
            <w:pPr>
              <w:jc w:val="right"/>
              <w:ind w:right="20"/>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(Note 2)</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(55,600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1,075</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(247,856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vMerge w:val="restart"/>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98"/>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Plan (2,152 shares)</w:t>
            </w: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(1,638)</w:t>
            </w:r>
          </w:p>
        </w:tc>
        <w:tc>
          <w:tcPr>
            <w:tcW w:w="0" w:type="dxa"/>
            <w:vAlign w:val="bottom"/>
          </w:tcPr>
          <w:p>
            <w:pPr>
              <w:spacing w:after="0"/>
              <w:rPr>
                <w:sz w:val="1"/>
                <w:szCs w:val="1"/>
                <w:color w:val="auto"/>
              </w:rPr>
            </w:pPr>
          </w:p>
        </w:tc>
      </w:tr>
      <w:tr>
        <w:trPr>
          <w:trHeight w:val="98"/>
        </w:trPr>
        <w:tc>
          <w:tcPr>
            <w:tcW w:w="35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obligations (75,533 shares)</w:t>
            </w:r>
          </w:p>
        </w:tc>
        <w:tc>
          <w:tcPr>
            <w:tcW w:w="16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0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80" w:type="dxa"/>
            <w:vAlign w:val="bottom"/>
            <w:gridSpan w:val="2"/>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540" w:type="dxa"/>
            <w:vAlign w:val="bottom"/>
            <w:tcBorders>
              <w:bottom w:val="single" w:sz="8" w:color="CCEEFF"/>
            </w:tcBorders>
            <w:vMerge w:val="continue"/>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47"/>
        </w:trPr>
        <w:tc>
          <w:tcPr>
            <w:tcW w:w="35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117,043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95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However, the information furnished reflects all adjustments, consisting of normal recurring adjustments and other adjustments described herein,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2014, included in the Company’s Annual Report on Form 10-K for the year then ended.</w:t>
      </w:r>
    </w:p>
    <w:p>
      <w:pPr>
        <w:spacing w:after="0" w:line="11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Quarterly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Accordingly, results for any interim period may not necessarily be indicative of future operating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17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"Revenue from Contracts with Customers."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applying the revenue model to contracts within its scope, an entity:</w:t>
      </w:r>
    </w:p>
    <w:p>
      <w:pPr>
        <w:spacing w:after="0" w:line="23"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Identifies the contract(s) with a customer (step 1).</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Identifies the performance obligations in the contract (step 2).</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Determines the transaction price (step 3).</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Allocates the transaction price to the performance obligations in the contract (step 4).</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Recognizes revenue when (or as) the entity satisfies a performance obligation (step 5).</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w:t>
      </w:r>
    </w:p>
    <w:p>
      <w:pPr>
        <w:spacing w:after="0" w:line="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661" w:right="239" w:bottom="1440" w:gutter="0" w:footer="0" w:header="0"/>
        </w:sectPr>
      </w:pPr>
    </w:p>
    <w:bookmarkStart w:id="10" w:name="page11"/>
    <w:bookmarkEnd w:id="10"/>
    <w:p>
      <w:pPr>
        <w:ind w:right="20"/>
        <w:spacing w:after="0" w:line="273" w:lineRule="auto"/>
        <w:rPr>
          <w:sz w:val="20"/>
          <w:szCs w:val="20"/>
          <w:color w:val="auto"/>
        </w:rPr>
      </w:pPr>
      <w:r>
        <w:rPr>
          <w:rFonts w:ascii="Arial" w:cs="Arial" w:eastAsia="Arial" w:hAnsi="Arial"/>
          <w:sz w:val="17"/>
          <w:szCs w:val="17"/>
          <w:color w:val="auto"/>
        </w:rPr>
        <w:t>On April 10, 2014, the FASB issued ASU 2014-08, " Reporting Discontinued Operations and Disclosures of Disposals of Components of an Entity" which amends the definition of a discontinued operation in ASC 205-20 and requires entities to provide additional disclosures about discontinued operations as well as disposal transactions that do not meet the discontinued-operations criteria. The FASB issued the ASU to provide additional information and to make it more difficult for a disposal transaction to qualify as a discontinued operation (since the FASB believes that too many disposal transactions were qualifying as discontinued operations under the old definition). Under the previous guidance in ASC 205-20-45-1, the results of operations of a component of an entity were classified as a discontinued operation if all of the following conditions were met:</w:t>
      </w:r>
    </w:p>
    <w:p>
      <w:pPr>
        <w:spacing w:after="0" w:line="43" w:lineRule="exact"/>
        <w:rPr>
          <w:sz w:val="20"/>
          <w:szCs w:val="20"/>
          <w:color w:val="auto"/>
        </w:rPr>
      </w:pPr>
    </w:p>
    <w:p>
      <w:pPr>
        <w:ind w:left="120" w:hanging="112"/>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component “has been disposed of or is classified as held for sale.”</w:t>
      </w:r>
    </w:p>
    <w:p>
      <w:pPr>
        <w:spacing w:after="0" w:line="23" w:lineRule="exact"/>
        <w:rPr>
          <w:rFonts w:ascii="Arial" w:cs="Arial" w:eastAsia="Arial" w:hAnsi="Arial"/>
          <w:sz w:val="18"/>
          <w:szCs w:val="18"/>
          <w:color w:val="auto"/>
        </w:rPr>
      </w:pPr>
    </w:p>
    <w:p>
      <w:pPr>
        <w:ind w:right="2300" w:firstLine="8"/>
        <w:spacing w:after="0" w:line="250" w:lineRule="auto"/>
        <w:tabs>
          <w:tab w:leader="none" w:pos="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operations and cash flows of the component have been (or will be) eliminated from the ongoing operations of the entity as a result of the disposal transaction.”</w:t>
      </w:r>
    </w:p>
    <w:p>
      <w:pPr>
        <w:ind w:right="2820" w:firstLine="8"/>
        <w:spacing w:after="0" w:line="261" w:lineRule="auto"/>
        <w:tabs>
          <w:tab w:leader="none" w:pos="10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entity will not have any significant continuing involvement in the operations of the component after the disposal transaction.”</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new guidance eliminates the second and third criteria above and instead requires discontinued operations treatment for disposals of a component or group of components that represents a strategic shift that has or will have a major impact on an entity’s operations or financial results. The ASU also expands the scope of ASC 205-20 to disposals of equity method investments and businesses that, upon initial acquisition, qualify as held for sale.The ASU is effective prospectively for all disposals (except disposals classified as held for sale before the adoption date) or components initially classified as held for sale in periods beginning on or after December 15, 2014. The Company adopted this standard as of January 1, 2015. The adoption of this standard did not have a material impact on our consolidated financial statements.</w:t>
      </w:r>
    </w:p>
    <w:p>
      <w:pPr>
        <w:spacing w:after="0" w:line="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6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early adoption is permitted. We expect to adopt this standard in fiscal 2017.</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HDB Ltd. Limited Partnership</w:t>
      </w:r>
    </w:p>
    <w:p>
      <w:pPr>
        <w:spacing w:after="0" w:line="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August 22, 2014 the Company purchased substantially all of the assets of HDB Ltd. Limited Partnership ("HDB"). HDB, headquartered in Bakersfield, California provides construction, fabrication and turnaround services to energy companies throughout California’s central valley. The acquisition advances a strategic goal of the Company to expand into the upstream energy market. The acquisition purchase price was $5.6 million and was funded with cash on hand. Commencing on August 22, 2014, HDB's operating results are included in the Oil Gas &amp; Chemical Segment.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purchase price was allocated to the major categories of assets and liabilities based on their estimated fair value at the acquisition date. The following table summarizes the preliminary purchase price allocation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9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deductible goodwill</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1,062</w:t>
            </w:r>
          </w:p>
        </w:tc>
      </w:tr>
      <w:tr>
        <w:trPr>
          <w:trHeight w:val="27"/>
        </w:trPr>
        <w:tc>
          <w:tcPr>
            <w:tcW w:w="93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5,551</w:t>
            </w:r>
          </w:p>
        </w:tc>
      </w:tr>
      <w:tr>
        <w:trPr>
          <w:trHeight w:val="20"/>
        </w:trPr>
        <w:tc>
          <w:tcPr>
            <w:tcW w:w="9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of the recorded goodwill from the HDB acquisition is tax deductible. The operating data related to this acquisition was not material.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66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Purchase of Kvaerner North American Construction</w:t>
      </w:r>
    </w:p>
    <w:p>
      <w:pPr>
        <w:spacing w:after="0" w:line="9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Effective as of December 21, 2013, the Company acquired 100% of the stock and voting rights of Kvaerner North American Construction Ltd. and substantially all of the assets of Kvaerner North American Construction Inc,. together referenced as "KNAC". The businesses are now known as Matrix North American Construction Ltd. and Matrix North American Construction, Inc., together referenced as "Matrix NAC". Matrix NAC is a premier provider of maintenance and capital construction services to power generation, integrated iron and steel, and industrial process facilities. The acquisition significantly expanded the Company's presence in the Electrical Infrastructure and Industrial Segments, and to a lesser extent, the Oil Gas &amp; Chemical segment.</w:t>
      </w:r>
    </w:p>
    <w:p>
      <w:pPr>
        <w:spacing w:after="0" w:line="10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purchased KNAC for $88.3 million. The acquisition was funded through a combination of cash-on-hand and borrowings under our senior revolving credit facility. The purchase price was allocated to the major categories of assets and liabilities based on their estimated fair value at the acquisition date. The following table summarizes the purchase price allocation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83,575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11,377</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39,295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24,009</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158,256</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68,115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Noncontrolling interest of consolidated joint venture</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700</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88,262</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36,655</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51,607</w:t>
            </w: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Goodwill represents the excess of the purchase price over the fair value of the underlying net tangible and intangible assets. This acquisition generated $39.3 million of goodwill, of which $28.5 million is tax deductible.</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equity in consolidated joint venture represents the acquired equity in KVPB Power Partners. KVPB Power Partners was subsequently renamed to MXPB Power Partners (the "Joint Venture"). The Joint Venture was formed by Kvaerner North American Construction Inc. and an engineering firm to engineer and construct a combined cycle power plant in Dover, Delaware. The Company holds a 65% voting and economic interest in the Joint Venture. The total acquired equity of the Joint Venture was $2.0 million of which the Company's portion was approximately $1.3 million and the other party owns a non-controlling interest of $0.7 million. At December 31, 2014, the noncontrolling interest holder's share of the equity of the Joint Venture was a negative $7.6 million. The Company's share at December 31, 2014 was a negative $14.1 million.</w:t>
      </w:r>
    </w:p>
    <w:p>
      <w:pPr>
        <w:spacing w:after="0" w:line="1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unaudited financial information in the table below for the three and six months ended December 30, 2013 is presented on a pro forma basis, as though Matrix Service Company and Matrix NAC had been combined as of July 1, 2012. The pro forma earnings for the three and six months ended December 31, 2013 were adjusted to include incremental amortization expense of $1.1 million and $2.1 million, respectively, and depreciation expense of $0.6 million and $1.2 million,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600" w:type="dxa"/>
            <w:vAlign w:val="bottom"/>
            <w:tcBorders>
              <w:bottom w:val="single" w:sz="8" w:color="auto"/>
            </w:tcBorders>
            <w:gridSpan w:val="2"/>
          </w:tcPr>
          <w:p>
            <w:pPr>
              <w:jc w:val="center"/>
              <w:ind w:left="68"/>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52"/>
        </w:trPr>
        <w:tc>
          <w:tcPr>
            <w:tcW w:w="46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3"/>
                <w:szCs w:val="13"/>
                <w:color w:val="auto"/>
              </w:rPr>
            </w:pPr>
          </w:p>
        </w:tc>
        <w:tc>
          <w:tcPr>
            <w:tcW w:w="112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46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w w:val="89"/>
              </w:rPr>
              <w:t>2013</w:t>
            </w:r>
          </w:p>
        </w:tc>
      </w:tr>
      <w:tr>
        <w:trPr>
          <w:trHeight w:val="276"/>
        </w:trPr>
        <w:tc>
          <w:tcPr>
            <w:tcW w:w="4660" w:type="dxa"/>
            <w:vAlign w:val="bottom"/>
            <w:shd w:val="clear" w:color="auto" w:fill="CCEEFF"/>
          </w:tcPr>
          <w:p>
            <w:pPr>
              <w:spacing w:after="0"/>
              <w:rPr>
                <w:sz w:val="24"/>
                <w:szCs w:val="24"/>
                <w:color w:val="auto"/>
              </w:rPr>
            </w:pPr>
          </w:p>
        </w:tc>
        <w:tc>
          <w:tcPr>
            <w:tcW w:w="36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(pro forma)</w:t>
            </w:r>
          </w:p>
        </w:tc>
        <w:tc>
          <w:tcPr>
            <w:tcW w:w="1120" w:type="dxa"/>
            <w:vAlign w:val="bottom"/>
            <w:shd w:val="clear" w:color="auto" w:fill="CCEEFF"/>
          </w:tcPr>
          <w:p>
            <w:pPr>
              <w:spacing w:after="0"/>
              <w:rPr>
                <w:sz w:val="24"/>
                <w:szCs w:val="24"/>
                <w:color w:val="auto"/>
              </w:rPr>
            </w:pPr>
          </w:p>
        </w:tc>
      </w:tr>
      <w:tr>
        <w:trPr>
          <w:trHeight w:val="264"/>
        </w:trPr>
        <w:tc>
          <w:tcPr>
            <w:tcW w:w="46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4"/>
          </w:tcPr>
          <w:p>
            <w:pPr>
              <w:jc w:val="right"/>
              <w:ind w:right="336"/>
              <w:spacing w:after="0"/>
              <w:rPr>
                <w:sz w:val="20"/>
                <w:szCs w:val="20"/>
                <w:color w:val="auto"/>
              </w:rPr>
            </w:pPr>
            <w:r>
              <w:rPr>
                <w:rFonts w:ascii="Arial" w:cs="Arial" w:eastAsia="Arial" w:hAnsi="Arial"/>
                <w:sz w:val="14"/>
                <w:szCs w:val="14"/>
                <w:color w:val="auto"/>
                <w:w w:val="98"/>
              </w:rPr>
              <w:t>(In thousands, except per share data)</w:t>
            </w: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4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395,600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671,832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40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12,422</w:t>
            </w:r>
          </w:p>
        </w:tc>
        <w:tc>
          <w:tcPr>
            <w:tcW w:w="1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19,834</w:t>
            </w:r>
          </w:p>
        </w:tc>
      </w:tr>
      <w:tr>
        <w:trPr>
          <w:trHeight w:val="27"/>
        </w:trPr>
        <w:tc>
          <w:tcPr>
            <w:tcW w:w="46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40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0.76</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40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0.74</w:t>
            </w:r>
          </w:p>
        </w:tc>
      </w:tr>
      <w:tr>
        <w:trPr>
          <w:trHeight w:val="486"/>
        </w:trPr>
        <w:tc>
          <w:tcPr>
            <w:tcW w:w="4660" w:type="dxa"/>
            <w:vAlign w:val="bottom"/>
          </w:tcPr>
          <w:p>
            <w:pPr>
              <w:spacing w:after="0"/>
              <w:rPr>
                <w:sz w:val="24"/>
                <w:szCs w:val="24"/>
                <w:color w:val="auto"/>
              </w:rPr>
            </w:pPr>
          </w:p>
        </w:tc>
        <w:tc>
          <w:tcPr>
            <w:tcW w:w="3680" w:type="dxa"/>
            <w:vAlign w:val="bottom"/>
          </w:tcPr>
          <w:p>
            <w:pPr>
              <w:jc w:val="right"/>
              <w:ind w:right="2370"/>
              <w:spacing w:after="0"/>
              <w:rPr>
                <w:sz w:val="20"/>
                <w:szCs w:val="20"/>
                <w:color w:val="auto"/>
              </w:rPr>
            </w:pPr>
            <w:r>
              <w:rPr>
                <w:rFonts w:ascii="Arial" w:cs="Arial" w:eastAsia="Arial" w:hAnsi="Arial"/>
                <w:sz w:val="18"/>
                <w:szCs w:val="18"/>
                <w:color w:val="auto"/>
              </w:rPr>
              <w:t>- 10-</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9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1,649,633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1,435,242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1,707,674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1,470,674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on balance sheet as: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69,573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73,008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127,614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108,440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(58,041)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(35,432)</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Progress billings in accounts receivable at December 31, 2014 and June 30, 2014 included retentions to be collected within one year of $28.2 million and $30.0 million, respectively. Contract retentions collectible beyond one year are included in Other Assets on the Condensed Consolidated Balance Sheet and totaled $2.5 million at December 31, 2014 and $4.3 million at June 30,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the three month and six months ended December 31, 2014, our results of operations were materially impacted by charges resulting from a change in estimate related to an acquired EPC joint venture project in the Electrical Infrastructure segment, as described in Note 2 - Acquisitions. The charges resulted in a reduction to operating income of $22.9 million and $26.2 million and an after-tax reduction of $7.9 million and $9.0 million to net income attributable to Matrix Service Company for the three and six months ended December 31, 2014, respectively. At December 31, 2014, the project was approximately 74% complete. The Company expects the project to be completed by the end of the current fiscal year. The change in estimate was driven primarily by delays, technical impacts, and additional work that has compressed the Company's delivery schedule obligations. The charges reflect management's best estimate of the total contract revenues to be recognized and total costs at completion.</w:t>
      </w:r>
    </w:p>
    <w:p>
      <w:pPr>
        <w:spacing w:after="0" w:line="4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During the second quarter of fiscal 2014, our results of operations were materially impacted by a charge resulting from a change in estimate on an aboveground storage tank project. The charge resulted in a $4.4 million and $4.0 million decrease in operating income for the three and six months ended December 31, 2013,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60,896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Cumulative impairment loss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2014</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43,243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related adjustment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HDB (2)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(3)</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December 31, 2014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42,886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9,824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72,212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$25.0 million impairment charge was recorded in February 2005 as a result of the Company’s operating performance in fiscal 2005.</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Amount represents goodwill in connection with the Company's acquisition of HDB. The acquisition is discussed further in Note 2 - Acquisitions.</w:t>
      </w:r>
    </w:p>
    <w:p>
      <w:pPr>
        <w:spacing w:after="0" w:line="20" w:lineRule="exact"/>
        <w:rPr>
          <w:rFonts w:ascii="Arial" w:cs="Arial" w:eastAsia="Arial" w:hAnsi="Arial"/>
          <w:sz w:val="17"/>
          <w:szCs w:val="17"/>
          <w:color w:val="auto"/>
        </w:rPr>
      </w:pPr>
    </w:p>
    <w:p>
      <w:pPr>
        <w:ind w:left="540" w:right="400" w:hanging="316"/>
        <w:spacing w:after="0" w:line="25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translation adjustments relate to the periodic translation of Canadian Dollar denominated goodwill recorded as a part of a prior Canadian acquisition as well as the periodic translation of the Canadian entity acquired with the purchase of KNAC. The acquisition of KNAC is discussed further in Note 2 - Acquisitions.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December 31,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3"/>
                <w:szCs w:val="13"/>
                <w:color w:val="auto"/>
              </w:rPr>
            </w:pPr>
          </w:p>
        </w:tc>
        <w:tc>
          <w:tcPr>
            <w:tcW w:w="13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23,078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33,596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26,797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vMerge w:val="restart"/>
          </w:tcPr>
          <w:p>
            <w:pPr>
              <w:jc w:val="right"/>
              <w:ind w:right="675"/>
              <w:spacing w:after="0"/>
              <w:rPr>
                <w:sz w:val="20"/>
                <w:szCs w:val="20"/>
                <w:color w:val="auto"/>
              </w:rPr>
            </w:pPr>
            <w:r>
              <w:rPr>
                <w:rFonts w:ascii="Arial" w:cs="Arial" w:eastAsia="Arial" w:hAnsi="Arial"/>
                <w:sz w:val="18"/>
                <w:szCs w:val="18"/>
                <w:color w:val="auto"/>
              </w:rPr>
              <w:t>- 12-</w:t>
            </w: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2014</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6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2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6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Customer based</w:t>
            </w:r>
          </w:p>
        </w:tc>
        <w:tc>
          <w:tcPr>
            <w:tcW w:w="26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27,662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24,713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5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intangibles</w:t>
            </w: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640" w:type="dxa"/>
            <w:vAlign w:val="bottom"/>
            <w:gridSpan w:val="2"/>
          </w:tcPr>
          <w:p>
            <w:pPr>
              <w:ind w:left="80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2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33,049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increase in the gross carrying amount of other intangible assets at December 31, 2014 compared to June 30, 2014 is due to the August 22, 2014 acquisition of HDB. The HDB intangible asset consists of amortizing customer-based intangibles with a fair value of $0.9 million and useful life of 10 years. Please refer to Note 2 - Acquisitions for additional information.</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December 31, 2014, the Company redesignated a trade name with a value of $1.4 million from an indefinite lived to a definite lived intangible asset and assigned a useful life of three years. The change in designation was an impairment indicator. The Company conducted an impairment analysis and concluded that no impairment existed.</w:t>
      </w:r>
    </w:p>
    <w:p>
      <w:pPr>
        <w:spacing w:after="0" w:line="12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Amortization expense totaled $2.4 million in the six months ended December 31, 2014 and $0.5 million in the six months ended December 31, 2013. We estimate that the remaining amortization expense at 12/31/2014 will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tcPr>
          <w:p>
            <w:pPr>
              <w:ind w:left="40"/>
              <w:spacing w:after="0"/>
              <w:rPr>
                <w:sz w:val="20"/>
                <w:szCs w:val="20"/>
                <w:color w:val="auto"/>
              </w:rPr>
            </w:pPr>
            <w:r>
              <w:rPr>
                <w:rFonts w:ascii="Arial" w:cs="Arial" w:eastAsia="Arial" w:hAnsi="Arial"/>
                <w:sz w:val="18"/>
                <w:szCs w:val="18"/>
                <w:color w:val="auto"/>
              </w:rPr>
              <w:t>Remainder of Fiscal 2015</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2,584</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2016</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2017</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3,291</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2,583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12,014</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12/31/2014</w:t>
            </w:r>
          </w:p>
        </w:tc>
        <w:tc>
          <w:tcPr>
            <w:tcW w:w="7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26,797</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a five-year $200.0 million senior secured revolving credit facility under a credit agreement (the "Credit Agreement") that expires March 13, 2019. Advances under the credit facility may be used for working capital, acquisitions, capital expenditures, issuances of letters of credit and other lawful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December 31, 2014, Consolidated EBITDA, as defined in the Credit Agreement, was $75.3 million. Accordingly, at December 31, 2014, there was a restriction on our ability to access the full amount of the credit facility. Consolidated Funded Indebtedness at December 31, 2014 was $34.2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11,818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11,621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145,867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165,362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Outstanding borrowings at December 31, 2014 under our Credit Agreement were used primarily for Canadian dollar advances required for short term working capital, including cross-border purchases of materials and services.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2014, the Company is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9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Deferred income taxes are computed using the liability method whereby deferred tax assets and liabilities are recognized based on temporary differences between the financial and tax basis of assets and liabilities using presently enacted tax rates. Deferred tax assets are reduced by a valuation allowance when a determination is made that it is more likely than not that some, or all, of the deferred tax assets will not be realized based on the weight of all available evidence. Evidence which is objectively verifiable carries a higher weight in the analysis. The ultimate realization of deferred tax assets is dependent upon the existence of sufficient taxable income of the appropriate character within the carryback and carryforward period available under the tax law. Sources of taxable income include future reversals of existing taxable temporary differences, future earnings and available tax planning strategies.</w:t>
      </w:r>
    </w:p>
    <w:p>
      <w:pPr>
        <w:spacing w:after="0" w:line="1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effective tax rate was (31.3)% and 103.8% for the three and six months ended December 31, 2014, respectively. The primary reason for the significant variation between the Company's effective tax rate and the statutory tax rate is due to charges the Company took in connection with an acquired EPC joint venture project, as described in Note 3 - Uncompleted Contracts.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Company consolidates the joint venture and reports a noncontrolling interest. Accordingly, the Company does not receive a tax benefit for the noncontrolling interest holder's share of the project loss.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$9.6 million at December 31, 2014 and $13.1 million at June 30, 2014.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3"/>
                <w:szCs w:val="13"/>
                <w:color w:val="auto"/>
              </w:rPr>
            </w:pPr>
          </w:p>
        </w:tc>
        <w:tc>
          <w:tcPr>
            <w:tcW w:w="11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6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181"/>
        </w:trPr>
        <w:tc>
          <w:tcPr>
            <w:tcW w:w="6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ind w:left="220"/>
              <w:spacing w:after="0"/>
              <w:rPr>
                <w:sz w:val="20"/>
                <w:szCs w:val="20"/>
                <w:color w:val="auto"/>
              </w:rPr>
            </w:pPr>
            <w:r>
              <w:rPr>
                <w:rFonts w:ascii="Arial" w:cs="Arial" w:eastAsia="Arial" w:hAnsi="Arial"/>
                <w:sz w:val="13"/>
                <w:szCs w:val="13"/>
                <w:color w:val="auto"/>
              </w:rPr>
              <w:t>(In thousands, except per share data)</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5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304"/>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Matrix Service Company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3,286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10,306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9,200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16,858</w:t>
            </w:r>
          </w:p>
        </w:tc>
      </w:tr>
      <w:tr>
        <w:trPr>
          <w:trHeight w:val="251"/>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26,180</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EPS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0.64</w:t>
            </w:r>
          </w:p>
        </w:tc>
      </w:tr>
      <w:tr>
        <w:trPr>
          <w:trHeight w:val="23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26,600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26,245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26,535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26,180</w:t>
            </w:r>
          </w:p>
        </w:tc>
      </w:tr>
      <w:tr>
        <w:trPr>
          <w:trHeight w:val="27"/>
        </w:trPr>
        <w:tc>
          <w:tcPr>
            <w:tcW w:w="6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Dilutive nonvested deferred shares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435</w:t>
            </w:r>
          </w:p>
        </w:tc>
      </w:tr>
      <w:tr>
        <w:trPr>
          <w:trHeight w:val="27"/>
        </w:trPr>
        <w:tc>
          <w:tcPr>
            <w:tcW w:w="6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27,156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26,884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27,154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26,772</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1"/>
        </w:trPr>
        <w:tc>
          <w:tcPr>
            <w:tcW w:w="60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0.63</w:t>
            </w:r>
          </w:p>
        </w:tc>
      </w:tr>
      <w:tr>
        <w:trPr>
          <w:trHeight w:val="20"/>
        </w:trPr>
        <w:tc>
          <w:tcPr>
            <w:tcW w:w="6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- 15-</w:t>
      </w:r>
    </w:p>
    <w:p>
      <w:pPr>
        <w:sectPr>
          <w:pgSz w:w="11900" w:h="16838" w:orient="portrait"/>
          <w:cols w:equalWidth="0" w:num="1">
            <w:col w:w="11400"/>
          </w:cols>
          <w:pgMar w:left="240" w:top="125"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640" w:type="dxa"/>
            <w:vAlign w:val="bottom"/>
            <w:tcBorders>
              <w:bottom w:val="single" w:sz="8" w:color="auto"/>
            </w:tcBorders>
            <w:gridSpan w:val="2"/>
          </w:tcPr>
          <w:p>
            <w:pPr>
              <w:jc w:val="right"/>
              <w:ind w:right="58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2"/>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3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3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34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3720" w:type="dxa"/>
            <w:vAlign w:val="bottom"/>
          </w:tcPr>
          <w:p>
            <w:pPr>
              <w:spacing w:after="0"/>
              <w:rPr>
                <w:sz w:val="16"/>
                <w:szCs w:val="16"/>
                <w:color w:val="auto"/>
              </w:rPr>
            </w:pPr>
          </w:p>
        </w:tc>
        <w:tc>
          <w:tcPr>
            <w:tcW w:w="36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2014</w:t>
            </w:r>
          </w:p>
        </w:tc>
        <w:tc>
          <w:tcPr>
            <w:tcW w:w="1280" w:type="dxa"/>
            <w:vAlign w:val="bottom"/>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340" w:type="dxa"/>
            <w:vAlign w:val="bottom"/>
          </w:tcPr>
          <w:p>
            <w:pPr>
              <w:jc w:val="right"/>
              <w:ind w:right="504"/>
              <w:spacing w:after="0"/>
              <w:rPr>
                <w:sz w:val="20"/>
                <w:szCs w:val="20"/>
                <w:color w:val="auto"/>
              </w:rPr>
            </w:pPr>
            <w:r>
              <w:rPr>
                <w:rFonts w:ascii="Arial" w:cs="Arial" w:eastAsia="Arial" w:hAnsi="Arial"/>
                <w:sz w:val="14"/>
                <w:szCs w:val="14"/>
                <w:b w:val="1"/>
                <w:bCs w:val="1"/>
                <w:color w:val="auto"/>
              </w:rPr>
              <w:t>2014</w:t>
            </w:r>
          </w:p>
        </w:tc>
        <w:tc>
          <w:tcPr>
            <w:tcW w:w="1260" w:type="dxa"/>
            <w:vAlign w:val="bottom"/>
          </w:tcPr>
          <w:p>
            <w:pPr>
              <w:jc w:val="right"/>
              <w:ind w:right="402"/>
              <w:spacing w:after="0"/>
              <w:rPr>
                <w:sz w:val="20"/>
                <w:szCs w:val="20"/>
                <w:color w:val="auto"/>
              </w:rPr>
            </w:pPr>
            <w:r>
              <w:rPr>
                <w:rFonts w:ascii="Arial" w:cs="Arial" w:eastAsia="Arial" w:hAnsi="Arial"/>
                <w:sz w:val="14"/>
                <w:szCs w:val="14"/>
                <w:b w:val="1"/>
                <w:bCs w:val="1"/>
                <w:color w:val="auto"/>
              </w:rPr>
              <w:t>2013</w:t>
            </w:r>
          </w:p>
        </w:tc>
      </w:tr>
      <w:tr>
        <w:trPr>
          <w:trHeight w:val="196"/>
        </w:trPr>
        <w:tc>
          <w:tcPr>
            <w:tcW w:w="3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right"/>
              <w:ind w:right="904"/>
              <w:spacing w:after="0"/>
              <w:rPr>
                <w:sz w:val="20"/>
                <w:szCs w:val="20"/>
                <w:color w:val="auto"/>
              </w:rPr>
            </w:pPr>
            <w:r>
              <w:rPr>
                <w:rFonts w:ascii="Arial" w:cs="Arial" w:eastAsia="Arial" w:hAnsi="Arial"/>
                <w:sz w:val="14"/>
                <w:szCs w:val="14"/>
                <w:color w:val="auto"/>
              </w:rPr>
              <w:t>(In thousands)</w:t>
            </w:r>
          </w:p>
        </w:tc>
        <w:tc>
          <w:tcPr>
            <w:tcW w:w="1260" w:type="dxa"/>
            <w:vAlign w:val="bottom"/>
            <w:tcBorders>
              <w:top w:val="single" w:sz="8" w:color="auto"/>
            </w:tcBorders>
          </w:tcPr>
          <w:p>
            <w:pPr>
              <w:spacing w:after="0"/>
              <w:rPr>
                <w:sz w:val="17"/>
                <w:szCs w:val="17"/>
                <w:color w:val="auto"/>
              </w:rPr>
            </w:pPr>
          </w:p>
        </w:tc>
      </w:tr>
      <w:tr>
        <w:trPr>
          <w:trHeight w:val="256"/>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deferred shares</w:t>
            </w:r>
          </w:p>
        </w:tc>
        <w:tc>
          <w:tcPr>
            <w:tcW w:w="36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123</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8"/>
                <w:szCs w:val="18"/>
                <w:color w:val="auto"/>
              </w:rPr>
              <w:t>227</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w:t>
            </w:r>
          </w:p>
        </w:tc>
      </w:tr>
      <w:tr>
        <w:trPr>
          <w:trHeight w:val="459"/>
        </w:trPr>
        <w:tc>
          <w:tcPr>
            <w:tcW w:w="3720" w:type="dxa"/>
            <w:vAlign w:val="bottom"/>
          </w:tcPr>
          <w:p>
            <w:pPr>
              <w:spacing w:after="0"/>
              <w:rPr>
                <w:sz w:val="24"/>
                <w:szCs w:val="24"/>
                <w:color w:val="auto"/>
              </w:rPr>
            </w:pPr>
          </w:p>
        </w:tc>
        <w:tc>
          <w:tcPr>
            <w:tcW w:w="2300" w:type="dxa"/>
            <w:vAlign w:val="bottom"/>
          </w:tcPr>
          <w:p>
            <w:pPr>
              <w:jc w:val="right"/>
              <w:ind w:right="96"/>
              <w:spacing w:after="0"/>
              <w:rPr>
                <w:sz w:val="20"/>
                <w:szCs w:val="20"/>
                <w:color w:val="auto"/>
              </w:rPr>
            </w:pPr>
            <w:r>
              <w:rPr>
                <w:rFonts w:ascii="Arial" w:cs="Arial" w:eastAsia="Arial" w:hAnsi="Arial"/>
                <w:sz w:val="18"/>
                <w:szCs w:val="18"/>
                <w:color w:val="auto"/>
              </w:rPr>
              <w:t>- 16-</w:t>
            </w:r>
          </w:p>
        </w:tc>
        <w:tc>
          <w:tcPr>
            <w:tcW w:w="1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 hydroexcavating, chemical cleaning and vacuum services. We also perform work in the petrochemical, natural gas, gas processing and compression, and upstream petroleum markets.</w:t>
      </w:r>
    </w:p>
    <w:p>
      <w:pPr>
        <w:spacing w:after="0" w:line="12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Storage Solutions segment includes new construction of crude and refined products aboveground storage tanks (“ASTs”), as well as planned and emergency maintenance services. Also included in the Storage Solutions segment is work related to specialty storage tanks, including liquefied natural gas (“LNG”), liquid nitrogen/liquid oxygen (“LIN/LOX”), liquid petroleum (“LPG”) tanks and other specialty vessels, including spheres. We also offer AST products including floating roof seals. Finally, the Storage Solutions segment includes balance of plant work in storage terminals and tank farms.</w:t>
      </w:r>
    </w:p>
    <w:p>
      <w:pPr>
        <w:spacing w:after="0" w:line="10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2014. Intersegment sales and transfers are recorded at cost; therefore, no intercompany profit or loss recognized.</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58,533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114,206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124,913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129,987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180,655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263,337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289,201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79,972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8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344,911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311,086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667,493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537,992</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inter-segment revenues</w:t>
            </w:r>
          </w:p>
        </w:tc>
        <w:tc>
          <w:tcPr>
            <w:tcW w:w="18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58,533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37,180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114,206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70,057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124,606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129,805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180,577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263,096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288,731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53,821</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consolidated revenues</w:t>
            </w:r>
          </w:p>
        </w:tc>
        <w:tc>
          <w:tcPr>
            <w:tcW w:w="18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342,880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310,998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664,563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537,215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 (loss)</w:t>
            </w:r>
          </w:p>
        </w:tc>
        <w:tc>
          <w:tcPr>
            <w:tcW w:w="1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(16,547)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7,184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14,217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14,231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19,788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28,749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32,625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10,430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profit</w:t>
            </w:r>
          </w:p>
        </w:tc>
        <w:tc>
          <w:tcPr>
            <w:tcW w:w="18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15,955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44,334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59,626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860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(22,178)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13,730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16,592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18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14,817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25,579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79,843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72,406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200,493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99,084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105,049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8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70,720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566,082</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568,932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20" w:type="dxa"/>
            <w:vAlign w:val="bottom"/>
            <w:vMerge w:val="restart"/>
          </w:tcPr>
          <w:p>
            <w:pPr>
              <w:jc w:val="right"/>
              <w:ind w:right="90"/>
              <w:spacing w:after="0"/>
              <w:rPr>
                <w:sz w:val="20"/>
                <w:szCs w:val="20"/>
                <w:color w:val="auto"/>
              </w:rPr>
            </w:pPr>
            <w:r>
              <w:rPr>
                <w:rFonts w:ascii="Arial" w:cs="Arial" w:eastAsia="Arial" w:hAnsi="Arial"/>
                <w:sz w:val="18"/>
                <w:szCs w:val="18"/>
                <w:color w:val="auto"/>
              </w:rPr>
              <w:t>- 18-</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2014 Annual Report on Form 10-K filed with the SEC. For more information on our critical accounting policies, see Part II, Item 7 of our fiscal 2014 Annual Report on Form 10-K. The following section provides certain information with respect to our critical accounting estimates as of the close of our most recent quarterly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has five significant reporting units with goodwill representing 59%, 12%, 8%, 8% and 6% of the total goodwill balance. Our most recent annual goodwill impairment test, performed in the fourth quarter of fiscal 2014, indicated that the fair value of these reporting units exceeded their respective carrying values by 94%, 182%, 124%, 165% and 193%, respectively. The remaining 6% of total goodwill is spread between two other reporting units. Based on the excess of estimated fair value over carrying value and the absence of any indicators of impairment at December 31, 2014, the Company does not currently anticipate recording a goodwill impairment charge for any of its operating units.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Intangible assets that have finite useful lives are amortized by the straight-line method over their useful lives ranging from 1.5 to 15 years. Intangible assets that have indefinite useful lives are not amortized but are tested at least annually for impairment. Annually, we evaluate the remaining useful lives of intangible assets not being amortized to determine whether facts and circumstances continue to support an indefinite useful life and review both amortizing and non-amortizing intangible assets for impairment indicators. Based on these reviews, effective December 31, 2014 the Company redesignated a trade name with a value of $1.4 million from an indefinite lived to a definite lived intangible asset and assigned a useful life of three years. The change in designation was an impairment indicator. The Company conducted an impairment analysis and concluded that no impairment existed. Excluding the redesignated trade name discussed above, the Company determined that no other impairment indicators existed at December 31,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$9.6 million at December 31, 2014 and $13.1 million at June 30, 2014. The amounts ultimately realized may be significantly different than the recorded amounts resulting in a material adjustment to future earnings.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(Topic 606), Revenue from Contracts with Customers</w:t>
      </w:r>
    </w:p>
    <w:p>
      <w:pPr>
        <w:spacing w:after="0" w:line="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May 28, 2014, the Financial Accounting Standards Board ("FASB") issued Accounting Standards Update ("ASU") No. 2014-09, "Revenue from Contracts with Customers."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applying the revenue model to contracts within its scope, an entity:</w:t>
      </w:r>
    </w:p>
    <w:p>
      <w:pPr>
        <w:spacing w:after="0" w:line="23" w:lineRule="exact"/>
        <w:rPr>
          <w:sz w:val="20"/>
          <w:szCs w:val="20"/>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the contract(s) with a customer (step 1).</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Identifies the performance obligations in the contract (step 2).</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Determines the transaction price (step 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580" w:right="239" w:bottom="1440" w:gutter="0" w:footer="0" w:header="0"/>
        </w:sectPr>
      </w:pPr>
    </w:p>
    <w:bookmarkStart w:id="21" w:name="page22"/>
    <w:bookmarkEnd w:id="21"/>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Allocates the transaction price to the performance obligations in the contract (step 4).</w:t>
      </w:r>
    </w:p>
    <w:p>
      <w:pPr>
        <w:spacing w:after="0" w:line="90" w:lineRule="exact"/>
        <w:rPr>
          <w:rFonts w:ascii="Arial" w:cs="Arial" w:eastAsia="Arial" w:hAnsi="Arial"/>
          <w:sz w:val="18"/>
          <w:szCs w:val="18"/>
          <w:color w:val="auto"/>
        </w:rPr>
      </w:pPr>
    </w:p>
    <w:p>
      <w:pPr>
        <w:ind w:left="120" w:hanging="112"/>
        <w:spacing w:after="0"/>
        <w:tabs>
          <w:tab w:leader="none" w:pos="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Recognizes revenue when (or as) the entity satisfies a performance obligation (step 5).</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 For public entities, the ASU is effective for annual reporting periods (including interim reporting periods within those periods) beginning after December 15, 2016. Early application is not permitted. We expect to adopt this standard in fiscal 2018 and are currently evaluating its expected impact on our financial statements.</w:t>
      </w:r>
    </w:p>
    <w:p>
      <w:pPr>
        <w:spacing w:after="0" w:line="4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Accounting Standards Update 2014-08 (Topics 205 and 360), Presentation of Financial Statements (Topic 205) and Property, Plant, and Equipment (Topic 360): Reporting Discontinued Operations and Disclosures of Disposals of Components of an Entity</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April 10, 2014, the FASB issued ASU 2014-08, " Reporting Discontinued Operations and Disclosures of Disposals of Components of an Entity" which amends the definition of a discontinued operation in ASC 205-20 and requires entities to provide additional disclosures about discontinued operations as well as disposal transactions that do not meet the discontinued-operations criteria. The FASB issued the ASU to provide additional information and to make it more difficult for a disposal transaction to qualify as a discontinued operation (since the FASB believes that too many disposal transactions were qualifying as discontinued operations under the old definition). Under the previous guidance in ASC 205-20-45-1, the results of operations of a component of an entity were classified as a discontinued operation if all of the following conditions were met:</w:t>
      </w:r>
    </w:p>
    <w:p>
      <w:pPr>
        <w:spacing w:after="0" w:line="43" w:lineRule="exact"/>
        <w:rPr>
          <w:sz w:val="20"/>
          <w:szCs w:val="20"/>
          <w:color w:val="auto"/>
        </w:rPr>
      </w:pPr>
    </w:p>
    <w:p>
      <w:pPr>
        <w:ind w:left="120" w:hanging="112"/>
        <w:spacing w:after="0"/>
        <w:tabs>
          <w:tab w:leader="none" w:pos="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component “has been disposed of or is classified as held for sale.”</w:t>
      </w:r>
    </w:p>
    <w:p>
      <w:pPr>
        <w:spacing w:after="0" w:line="23" w:lineRule="exact"/>
        <w:rPr>
          <w:rFonts w:ascii="Arial" w:cs="Arial" w:eastAsia="Arial" w:hAnsi="Arial"/>
          <w:sz w:val="18"/>
          <w:szCs w:val="18"/>
          <w:color w:val="auto"/>
        </w:rPr>
      </w:pPr>
    </w:p>
    <w:p>
      <w:pPr>
        <w:ind w:right="2300" w:firstLine="8"/>
        <w:spacing w:after="0" w:line="250" w:lineRule="auto"/>
        <w:tabs>
          <w:tab w:leader="none" w:pos="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operations and cash flows of the component have been (or will be) eliminated from the ongoing operations of the entity as a result of the disposal transaction.”</w:t>
      </w:r>
    </w:p>
    <w:p>
      <w:pPr>
        <w:ind w:right="2820" w:firstLine="8"/>
        <w:spacing w:after="0" w:line="261" w:lineRule="auto"/>
        <w:tabs>
          <w:tab w:leader="none" w:pos="10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entity will not have any significant continuing involvement in the operations of the component after the disposal transaction.”</w:t>
      </w:r>
    </w:p>
    <w:p>
      <w:pPr>
        <w:spacing w:after="0" w:line="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new guidance eliminates the second and third criteria above and instead requires discontinued operations treatment for disposals of a component or group of components that represents a strategic shift that has or will have a major impact on an entity’s operations or financial results. The ASU also expands the scope of ASC 205-20 to disposals of equity method investments and businesses that, upon initial acquisition, qualify as held for sale.The ASU is effective prospectively for all disposals (except disposals classified as held for sale before the adoption date) or components initially classified as held for sale in periods beginning on or after December 15, 2014. The Company adopted this standard as of January 1, 2015. The adoption of this standard did not have a material impact on our consolidated financial statements.</w:t>
      </w:r>
    </w:p>
    <w:p>
      <w:pPr>
        <w:spacing w:after="0" w:line="3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Accounting Standards Update 2014-15 (Subtopic 205-40)—Presentation of Financial Statements—Going Concern : Disclosure of Uncertainties about an Entity’s Ability to Continue as a Going Concern</w:t>
      </w:r>
    </w:p>
    <w:p>
      <w:pPr>
        <w:spacing w:after="0" w:line="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 We expect to adopt this standard in fiscal 2017.</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the following four segments: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Oil Gas &amp; Chemical segment includes our traditional turnaround activities, plant maintenance services and construction in the downstream petroleum industry. Another key offering is industrial cleaning services, which include hydroblasting,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665" w:right="239" w:bottom="1440" w:gutter="0" w:footer="0" w:header="0"/>
        </w:sectPr>
      </w:pPr>
    </w:p>
    <w:bookmarkStart w:id="22" w:name="page23"/>
    <w:bookmarkEnd w:id="22"/>
    <w:p>
      <w:pPr>
        <w:ind w:right="440"/>
        <w:spacing w:after="0" w:line="277" w:lineRule="auto"/>
        <w:rPr>
          <w:sz w:val="20"/>
          <w:szCs w:val="20"/>
          <w:color w:val="auto"/>
        </w:rPr>
      </w:pPr>
      <w:r>
        <w:rPr>
          <w:rFonts w:ascii="Arial" w:cs="Arial" w:eastAsia="Arial" w:hAnsi="Arial"/>
          <w:sz w:val="18"/>
          <w:szCs w:val="18"/>
          <w:color w:val="auto"/>
        </w:rPr>
        <w:t>hydroexcavating, chemical cleaning and vacuum services. We also perform work in the petrochemical, natural gas, gas processing and compression, and upstream petroleum markets.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Storage Solutions segment includes new construction of crude and refined products ASTs, as well as planned and emergency maintenance services. Also included in the Storage Solutions segment is work related to specialty storage tanks including LNG, LIN/LOX, LPG tanks and other specialty vessels including spheres. We also offer AST products including floating roof seals. Finally, the Storage Solutions segment includes balance of plant work in storage terminals and tank farms.</w:t>
      </w:r>
    </w:p>
    <w:p>
      <w:pPr>
        <w:spacing w:after="0" w:line="13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Industrial segment includes construction and maintenance work in the iron and steel and mining and minerals industries, bulk material handling and fertilizer production facilities, as well as work for clients in other industrial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December 31, 2014 Compared to the Three Months Ended December 31,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Consolidated revenues were $342.9 million for the three months ended December 31, 2014, an increase of $31.9 million, or 10.3%, from consolidated revenues of $311.0 million in the same period in the prior fiscal year. As discussed in Note 2 - Acquisitions, the Company acquired Kvaerner North American Construction, which we refer to as Matrix NAC, late in the second quarter of fiscal 2014. Therefore, the impact to fiscal 2014 revenue was not significant. The revenue increase is primarily attributable to the inclusion of a full quarter of Matrix NAC revenue in fiscal 2015. On a segment basis, consolidated revenues increased in the Industrial, Electrical Infrastructure and Oil Gas &amp; Chemical segments by $48.0 million, $21.3 million and $13.4 million respectively, partially offset by a decrease in the Storage Solutions segment of $50.8 million.</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gross profit was $16.0 million in the three months ended December 31, 2014 compared to $34.2 million in the three months ended December 31, 2013. Fiscal 2015 gross margins were reduced 6.7% to 4.7% due to an acquired EPC joint venture project charge of $22.9 million, as described in Note 3 - Uncompleted Contracts. Fiscal 2014 gross margins were 11.0%.</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Consolidated SG&amp;A expenses were $19.6 million in the three months ended December 31, 2014 compared to $19.3 million in the same period a year earlier. SG&amp;A expense as a percentage of revenue decreased to 5.7% in the three months ended December 31, 2014 compared to 6.2% for the three months ended December 31, 2013.</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Interest expense was $0.3 million in the three months ended December 31, 2014, and $0.4 million in the three months ended December 31, 2013. Fiscal 2015 results include $0.3 million of interest income attributable to an award received due to the settlement of a customer dispute.</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consolidates the joint venture described in Note 2 - Acquisitions, and reports a noncontrolling interest. Accordingly, the Company's operating income includes the noncontrolling interest holder's share of the acquired EPC project loss for which the Company does not receive a tax benefit.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reflects the Company's effective tax rate exclusive of the noncontrolling interest for the three months ended December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3"/>
            <w:shd w:val="clear" w:color="auto" w:fill="CCEEFF"/>
          </w:tcPr>
          <w:p>
            <w:pPr>
              <w:jc w:val="center"/>
              <w:ind w:left="557"/>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Borders>
              <w:bottom w:val="single" w:sz="8" w:color="auto"/>
            </w:tcBorders>
            <w:shd w:val="clear" w:color="auto" w:fill="CCEEFF"/>
          </w:tcPr>
          <w:p>
            <w:pPr>
              <w:spacing w:after="0"/>
              <w:rPr>
                <w:sz w:val="22"/>
                <w:szCs w:val="22"/>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2014</w:t>
            </w: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2013</w:t>
            </w:r>
          </w:p>
        </w:tc>
      </w:tr>
      <w:tr>
        <w:trPr>
          <w:trHeight w:val="256"/>
        </w:trPr>
        <w:tc>
          <w:tcPr>
            <w:tcW w:w="7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500" w:type="dxa"/>
            <w:vAlign w:val="bottom"/>
            <w:gridSpan w:val="3"/>
            <w:shd w:val="clear" w:color="auto" w:fill="CCEEFF"/>
          </w:tcPr>
          <w:p>
            <w:pPr>
              <w:jc w:val="center"/>
              <w:ind w:left="557"/>
              <w:spacing w:after="0"/>
              <w:rPr>
                <w:sz w:val="20"/>
                <w:szCs w:val="20"/>
                <w:color w:val="auto"/>
              </w:rPr>
            </w:pPr>
            <w:r>
              <w:rPr>
                <w:rFonts w:ascii="Arial" w:cs="Arial" w:eastAsia="Arial" w:hAnsi="Arial"/>
                <w:sz w:val="14"/>
                <w:szCs w:val="14"/>
                <w:color w:val="auto"/>
                <w:w w:val="91"/>
              </w:rPr>
              <w:t>(In thousands)</w:t>
            </w:r>
          </w:p>
        </w:tc>
        <w:tc>
          <w:tcPr>
            <w:tcW w:w="94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(loss) before income tax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(3,691)</w:t>
            </w:r>
          </w:p>
        </w:tc>
        <w:tc>
          <w:tcPr>
            <w:tcW w:w="12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14,406</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Loss attributable to the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8,132</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 attributable to Matrix Service Company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14,406</w:t>
            </w: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4,095</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Effective tax rate exclusive of noncontrolling interest</w:t>
            </w: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fiscal 2015 effective tax rate includes an additional tax benefit of $0.8 million from the reinstatement of the R&amp;D tax credit through calendar year 2014. For the three months ended December 31, 2013, the Company received a tax benefit of $1.7 million as the result of an increase in the estimated R&amp;D tax credit.</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months ended December 31, 2014, net income attributable to Matrix Service Company and the related fully diluted earnings per share were $3.3 million and $0.12 compared to $10.3 million and $0.38 in the same period a year earlier.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Revenues for the Electrical Infrastructure segment increased $21.3 million to $58.5 million in the three months ended December 31, 2014 compared to $37.2 million in the same period a year earlier. The increased revenue volume in the three months ended December 31, 2014 was due to the inclusion of a full quarter of Matrix NAC activity and favorable volumes in our legacy transmission and distribution business. The acquired EPC joint venture project charge reduced gross margins by 39.3% to (27.4%) in the three months ended December 31, 2014. Gross margins were 10.4% in the same period a year earlier. The acquired EPC joint venture project is a loss project which requires recognition of the entire estimated loss. Therefore, all future revenues associated with this project will be recognized with zero margin that will negatively impact margins in this segment until project completion, which is expected to occur in late fiscal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Revenues for the Oil Gas &amp; Chemical segment increased to $75.5 million in the three months ended December 31, 2014 compared to $62.1 million in the same period a year earlier. The increase of $13.4 million, or 21.6%, was primarily due to higher levels of maintenance and routine capital work. Gross margins decreased to 9.7% in fiscal 2015 from 10.8% in the three months ended December 31, 2013. Project execution remained strong in the second quarter of fiscal 2015. Although improved from the first quarter, the under recovery of construction overhead costs continued to negatively impact margins in this segment. We expect higher margins in this segment for the remainder of fiscal 2015 as work volumes increase leading to a more efficient utilization of construction overhead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for the Storage Solutions segment decreased to $129.8 million in the three months ended December 31, 2014 compared to $180.6 million in the same period a year earlier. The revenue attributable to aboveground storage tank work is consistent with prior year volumes. The decline is primarily due to a significant spike in terminal balance of plant work in the prior period. Gross margins were 11.0% for fiscal 2015 and fiscal 2014. The prior year gross margins were reduced by 2.6% due to a project charge of $4.4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for the Industrial segment increased to $79.1 million in the three months ended December 31, 2014 compared to $31.1 million in the same period a year earlier. The increase of $48.0 million was primarily due to the inclusion of a full quarter of Matrix NAC activity. Gross margins were 13.2% in the three months ended December 31, 2014 compared to 12.3% in the same period a year earlier. Fiscal 2015 gross margins were positively impacted by a favorable settlement with a customer.</w:t>
      </w:r>
    </w:p>
    <w:p>
      <w:pPr>
        <w:spacing w:after="0" w:line="264" w:lineRule="exact"/>
        <w:rPr>
          <w:sz w:val="20"/>
          <w:szCs w:val="20"/>
          <w:color w:val="auto"/>
        </w:rPr>
      </w:pPr>
    </w:p>
    <w:p>
      <w:pPr>
        <w:ind w:right="4180"/>
        <w:spacing w:after="0" w:line="376" w:lineRule="auto"/>
        <w:rPr>
          <w:sz w:val="20"/>
          <w:szCs w:val="20"/>
          <w:color w:val="auto"/>
        </w:rPr>
      </w:pPr>
      <w:r>
        <w:rPr>
          <w:rFonts w:ascii="Arial" w:cs="Arial" w:eastAsia="Arial" w:hAnsi="Arial"/>
          <w:sz w:val="18"/>
          <w:szCs w:val="18"/>
          <w:b w:val="1"/>
          <w:bCs w:val="1"/>
          <w:color w:val="auto"/>
        </w:rPr>
        <w:t xml:space="preserve">Six Months Ended December 31, 2014 Compared to the Six Months Ended December 31, 2013 </w:t>
      </w:r>
      <w:r>
        <w:rPr>
          <w:rFonts w:ascii="Arial" w:cs="Arial" w:eastAsia="Arial" w:hAnsi="Arial"/>
          <w:sz w:val="18"/>
          <w:szCs w:val="18"/>
          <w:b w:val="1"/>
          <w:bCs w:val="1"/>
          <w:i w:val="1"/>
          <w:iCs w:val="1"/>
          <w:color w:val="auto"/>
        </w:rPr>
        <w:t>Consolidated</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Consolidated revenues were $664.6 million for the six months ended December 31, 2014, an increase of $127.4 million, or 23.7%, from consolidated revenues of $537.2 million in the same period in the prior fiscal year. As discussed in Note 2 - Acquisitions, the Company acquired Kvaerner North American Construction, which we refer to as Matrix NAC, late in the second quarter of fiscal 2014. Therefore, the impact to fiscal 2014 revenue was not significant. The revenue increase is primarily attributable to the inclusion of six months of Matrix NAC revenue in fiscal 2015. On a segment basis, consolidated revenues increased in the Industrial, Electrical Infrastructure and Oil Gas &amp; Chemical segments by $104.7 million, $44.1 million and $4.2 million respectively, partially offset by a decrease in the Storage Solutions segment of $25.6 million.</w:t>
      </w:r>
    </w:p>
    <w:p>
      <w:pPr>
        <w:spacing w:after="0" w:line="17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Consolidated gross profit was $44.3 million in the six months ended December 31, 2014 compared to $59.6 million in the six months ended December 31, 2013. Fiscal 2015 gross margins were reduced by 4.4% to 6.7% related to an acquired EPC joint venture project charge of $26.2 million. Fiscal 2014 gross margins were 11.1%.</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Consolidated SG&amp;A expenses were $39.5 million in the six months ended December 31, 2014 compared to $34.0 million in the same period a year earlier. The increase of $5.5 million, or 16.2%, is primarily attributable to increased business volumes. SG&amp;A expense as a percentage of revenue was 5.9% in the six months ended December 31, 2014 compared to 6.3% in the same period a year earlier.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800" w:right="239" w:bottom="1440" w:gutter="0" w:footer="0" w:header="0"/>
        </w:sectPr>
      </w:pPr>
    </w:p>
    <w:bookmarkStart w:id="24" w:name="page25"/>
    <w:bookmarkEnd w:id="24"/>
    <w:p>
      <w:pPr>
        <w:ind w:right="360"/>
        <w:spacing w:after="0" w:line="308" w:lineRule="auto"/>
        <w:rPr>
          <w:sz w:val="20"/>
          <w:szCs w:val="20"/>
          <w:color w:val="auto"/>
        </w:rPr>
      </w:pPr>
      <w:r>
        <w:rPr>
          <w:rFonts w:ascii="Arial" w:cs="Arial" w:eastAsia="Arial" w:hAnsi="Arial"/>
          <w:sz w:val="17"/>
          <w:szCs w:val="17"/>
          <w:color w:val="auto"/>
        </w:rPr>
        <w:t>Interest expense was $0.7 million in the six months ended December 31, 2014, and $0.6 million in the six months ended December 31, 2013. Fiscal 2015 results include $0.3 million of interest income attributable to an award received due to the settlement of a customer dispute.</w:t>
      </w:r>
    </w:p>
    <w:p>
      <w:pPr>
        <w:spacing w:after="0" w:line="14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consolidates the joint venture described in Note 2 - Acquisitions, and reports a noncontrolling interest. Accordingly, the Company's operating income includes the noncontrolling interest holder's share of the acquired EPC project loss for which the Company does not receive a tax benefit.</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 below reflects the Company's effective tax rate exclusive of the noncontrolling interest for the six months ended December 31, 2014 and December 31, 2013: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440" w:type="dxa"/>
            <w:vAlign w:val="bottom"/>
            <w:tcBorders>
              <w:bottom w:val="single" w:sz="8" w:color="auto"/>
            </w:tcBorders>
            <w:gridSpan w:val="3"/>
            <w:shd w:val="clear" w:color="auto" w:fill="CCEEFF"/>
          </w:tcPr>
          <w:p>
            <w:pPr>
              <w:jc w:val="center"/>
              <w:ind w:left="617"/>
              <w:spacing w:after="0"/>
              <w:rPr>
                <w:sz w:val="20"/>
                <w:szCs w:val="20"/>
                <w:color w:val="auto"/>
              </w:rPr>
            </w:pPr>
            <w:r>
              <w:rPr>
                <w:rFonts w:ascii="Arial" w:cs="Arial" w:eastAsia="Arial" w:hAnsi="Arial"/>
                <w:sz w:val="14"/>
                <w:szCs w:val="14"/>
                <w:b w:val="1"/>
                <w:bCs w:val="1"/>
                <w:color w:val="auto"/>
                <w:w w:val="93"/>
              </w:rPr>
              <w:t>Six Months Ended</w:t>
            </w:r>
          </w:p>
        </w:tc>
        <w:tc>
          <w:tcPr>
            <w:tcW w:w="1000" w:type="dxa"/>
            <w:vAlign w:val="bottom"/>
            <w:tcBorders>
              <w:bottom w:val="single" w:sz="8" w:color="auto"/>
            </w:tcBorders>
            <w:shd w:val="clear" w:color="auto" w:fill="CCEEFF"/>
          </w:tcPr>
          <w:p>
            <w:pPr>
              <w:spacing w:after="0"/>
              <w:rPr>
                <w:sz w:val="22"/>
                <w:szCs w:val="22"/>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2014</w:t>
            </w: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2013</w:t>
            </w:r>
          </w:p>
        </w:tc>
      </w:tr>
      <w:tr>
        <w:trPr>
          <w:trHeight w:val="256"/>
        </w:trPr>
        <w:tc>
          <w:tcPr>
            <w:tcW w:w="76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440" w:type="dxa"/>
            <w:vAlign w:val="bottom"/>
            <w:gridSpan w:val="3"/>
            <w:shd w:val="clear" w:color="auto" w:fill="CCEEFF"/>
          </w:tcPr>
          <w:p>
            <w:pPr>
              <w:jc w:val="center"/>
              <w:ind w:left="617"/>
              <w:spacing w:after="0"/>
              <w:rPr>
                <w:sz w:val="20"/>
                <w:szCs w:val="20"/>
                <w:color w:val="auto"/>
              </w:rPr>
            </w:pPr>
            <w:r>
              <w:rPr>
                <w:rFonts w:ascii="Arial" w:cs="Arial" w:eastAsia="Arial" w:hAnsi="Arial"/>
                <w:sz w:val="14"/>
                <w:szCs w:val="14"/>
                <w:color w:val="auto"/>
                <w:w w:val="91"/>
              </w:rPr>
              <w:t>(In thousands)</w:t>
            </w:r>
          </w:p>
        </w:tc>
        <w:tc>
          <w:tcPr>
            <w:tcW w:w="1000" w:type="dxa"/>
            <w:vAlign w:val="bottom"/>
            <w:shd w:val="clear" w:color="auto" w:fill="CCEEFF"/>
          </w:tcPr>
          <w:p>
            <w:pPr>
              <w:spacing w:after="0"/>
              <w:rPr>
                <w:sz w:val="22"/>
                <w:szCs w:val="22"/>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97"/>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21"/>
                <w:szCs w:val="21"/>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24,862</w:t>
            </w:r>
          </w:p>
        </w:tc>
      </w:tr>
      <w:tr>
        <w:trPr>
          <w:trHeight w:val="27"/>
        </w:trPr>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Loss attributable to the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9,376</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Pretax income attributable to Matrix Service Company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rPr>
              <w:t>13,979</w:t>
            </w:r>
          </w:p>
        </w:tc>
        <w:tc>
          <w:tcPr>
            <w:tcW w:w="1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24,862</w:t>
            </w:r>
          </w:p>
        </w:tc>
      </w:tr>
      <w:tr>
        <w:trPr>
          <w:trHeight w:val="25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7,999</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8"/>
                <w:szCs w:val="18"/>
                <w:color w:val="auto"/>
              </w:rPr>
              <w:t>Effective tax rate exclusive of noncontrolling interest</w:t>
            </w: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0"/>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fiscal 2015 effective tax rate includes an additional tax benefit of $0.8 million from the reinstatement of the R&amp;D tax credit through calendar year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December 31, 2013, the Company received a tax benefit of $1.7 million as the result of an increase in the estimated R&amp;D tax credit.</w:t>
      </w:r>
    </w:p>
    <w:p>
      <w:pPr>
        <w:spacing w:after="0" w:line="23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For the six months ended December 31, 2014, net income attributable to Matrix Service Company and the related fully diluted earnings per share were $9.2 million and $0.34 compared to $16.9 million and $0.63 in the same period a year earlier.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3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Revenues for the Electrical Infrastructure segment increased $44.1 million to $114.2 million in the six months ended December 31, 2014 compared to $70.1 million in the same period a year earlier. The increased revenue volume in the six months ended December 31, 2014 was primarily due to the inclusion of Matrix NAC activity and favorable volumes in our legacy transmission and distribution business. The acquired EPC joint venture project charge reduced gross margins by 25.1% to (14.5%) in the six months ended December 31, 2014. Gross margins were 10.3% in the same period a year earlier. The acquired EPC joint venture project is a loss project which requires recognition of the entire estimated loss. Therefore, all future revenues associated with this project will be recognized with zero margin that will negatively impact margins in this segment until project completion, which is expected to occur in late fiscal 2015.</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Revenues for the Oil Gas &amp; Chemical segment increased to $128.8 million in the six months ended December 31, 2014 compared to $124.6 million in the same period a year earlier. The increase of $4.2 million was primarily due to higher levels of maintenance and routine capital work. Gross margins were 9.1% in the six months ended December 31, 2014 compared to 11.4% a year earlier. Project execution remained strong in fiscal 2015. Although the recovery of overhead improved in the second quarter, year to date results were negatively affected by under recovered construction overhead costs. We expect higher margins in this segment for the remainder of fiscal 2015 as work volumes increase leading to a more efficient utilization of construction overhead costs.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Revenues for the Storage Solutions segment decreased to $263.1 million in the six months ended December 31, 2014 compared to $288.7 million in the same period a year earlier. The decline is primarily due to a significant spike in terminal balance of plant work in the prior period, partially offset by higher revenue attributable to aboveground storage tank work in the current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584" w:right="239" w:bottom="1440" w:gutter="0" w:footer="0" w:header="0"/>
        </w:sectPr>
      </w:pPr>
    </w:p>
    <w:bookmarkStart w:id="25" w:name="page26"/>
    <w:bookmarkEnd w:id="25"/>
    <w:p>
      <w:pPr>
        <w:ind w:right="320"/>
        <w:spacing w:after="0" w:line="277" w:lineRule="auto"/>
        <w:rPr>
          <w:sz w:val="20"/>
          <w:szCs w:val="20"/>
          <w:color w:val="auto"/>
        </w:rPr>
      </w:pPr>
      <w:r>
        <w:rPr>
          <w:rFonts w:ascii="Arial" w:cs="Arial" w:eastAsia="Arial" w:hAnsi="Arial"/>
          <w:sz w:val="18"/>
          <w:szCs w:val="18"/>
          <w:color w:val="auto"/>
        </w:rPr>
        <w:t>period, which has increased across the business. Fiscal 2015 gross margins were 10.9% compared to 11.3% in the same period in the prior year. The fiscal 2014 gross margins were reduced by 1.7% to 11.3% due to a project charge of $4.0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Revenues for the Industrial segment increased to $158.5 million in the six months ended December 31, 2014 compared to $53.8 million in the same period a year earlier. The increase of $104.7 million was primarily due to the inclusion of Matrix NAC activity for the full six-month period. Gross margins were</w:t>
      </w:r>
    </w:p>
    <w:p>
      <w:pPr>
        <w:ind w:right="280"/>
        <w:spacing w:after="0" w:line="261" w:lineRule="auto"/>
        <w:rPr>
          <w:sz w:val="20"/>
          <w:szCs w:val="20"/>
          <w:color w:val="auto"/>
        </w:rPr>
      </w:pPr>
      <w:r>
        <w:rPr>
          <w:rFonts w:ascii="Arial" w:cs="Arial" w:eastAsia="Arial" w:hAnsi="Arial"/>
          <w:sz w:val="18"/>
          <w:szCs w:val="18"/>
          <w:color w:val="auto"/>
        </w:rPr>
        <w:t>12.9% in the six months ended December 31, 2014 compared to 10.4% in the same period a year earlier. The gross margins were higher than expected and primarily due to profit recognized on favorable project completions and a favorable settlement with a customer.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define backlog as the total dollar amount of revenues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revenues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September 30,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150,023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145,499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538,038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151,100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984,660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32,668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77,665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38,644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48,214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197,191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(75,457)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(342,880)</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Backlog as of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124,158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147,707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446,877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120,229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838,971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- 24-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0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162,136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482,631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160,842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915,826</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76,228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166,306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227,342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117,832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587,708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(114,206)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(128,816)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(263,096)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(664,563)</w:t>
            </w:r>
          </w:p>
        </w:tc>
        <w:tc>
          <w:tcPr>
            <w:tcW w:w="0" w:type="dxa"/>
            <w:vAlign w:val="bottom"/>
          </w:tcPr>
          <w:p>
            <w:pPr>
              <w:spacing w:after="0"/>
              <w:rPr>
                <w:sz w:val="1"/>
                <w:szCs w:val="1"/>
                <w:color w:val="auto"/>
              </w:rPr>
            </w:pP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color w:val="auto"/>
              </w:rPr>
              <w:t>Backlog as of December 31, 2014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124,158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147,707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446,877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120,229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838,971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typically have the greatest volatility because the project awards can be less frequent and more significant. The second quarter project awards in all segments were generally in line with the Company's expectations. In particular, the Company saw no unusual project award delays or cancellations that were the result of the recent decline in crude oil prices.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 Subsequent Event</w:t>
      </w:r>
    </w:p>
    <w:p>
      <w:pPr>
        <w:spacing w:after="0" w:line="17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January of 2015, the Company received a project award of approximately $450.0 million. The award is for the construction of a combined cycle power generation station in Canada. The project award will be recorded as an increase to the Electrical Infrastructure segment backlog in the third quarter of fiscal 2015.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Crude Oil Prices</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 of declining crude prices on our results for the three and six months ended December 31, 2014 was not significant, and there has been no reduction to our backlog as a result of project cancellations. In addition, we expect that any future impact to the Electrical Infrastructure and Industrial segments will be minimal as these segments have limited exposure to the price of crude.</w:t>
      </w:r>
    </w:p>
    <w:p>
      <w:pPr>
        <w:spacing w:after="0" w:line="12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our Storage Solutions segment, our customers continue to take a long-term view of the crude market but are becoming more cautious short-term. If the prices continue at current levels or decline further into fiscal 2016, we would expect to see some reduction in customer spending. Although we do not expect the impact to future earnings to be significant, we cannot predict the direction of crude oil prices or our customers’ ultimate reaction to the market.</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mid and downstream portions of the Oil Gas &amp; Chemical segment we expect minimal impact to our revenue volume attributable to maintenance work. However, since some of our customers are integrated oil companies with exposure to the price of crude, if the prices continue at current levels or decline further into fiscal 2016, spending levels may be reduced. Our exposure to upstream clients in the Oil Gas &amp; Chemical segment, who have direct exposure to the price of crude, is limited to the operations from our recent acquisition of substantially all of the assets of HDB Ltd. Limited Partnership which conducts most of its business with upstream exploration companies. Although we expect this customer base to reduce spending, our exposure to upstream clients is not currently significant.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necessarily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18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3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25-</w:t>
      </w:r>
    </w:p>
    <w:p>
      <w:pPr>
        <w:sectPr>
          <w:pgSz w:w="11900" w:h="16838" w:orient="portrait"/>
          <w:cols w:equalWidth="0" w:num="1">
            <w:col w:w="11380"/>
          </w:cols>
          <w:pgMar w:left="240" w:top="746" w:right="279" w:bottom="1440" w:gutter="0" w:footer="0" w:header="0"/>
        </w:sectPr>
      </w:pPr>
    </w:p>
    <w:bookmarkStart w:id="27" w:name="page28"/>
    <w:bookmarkEnd w:id="27"/>
    <w:p>
      <w:pPr>
        <w:ind w:left="980" w:right="2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10,306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16,858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574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11,540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7,551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26,171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32,982</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for the six months ended December 31, 2014 were cash on hand at the beginning of the fiscal year, capacity under our senior revolving credit facility and cash generated from operations. Cash on hand at December 31, 2014 totaled $68.6 million and availability under the senior revolving credit facility totaled $145.9 million resulting in available liquidity of $214.4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225" w:lineRule="exact"/>
        <w:rPr>
          <w:sz w:val="20"/>
          <w:szCs w:val="20"/>
          <w:color w:val="auto"/>
        </w:rPr>
      </w:pPr>
    </w:p>
    <w:p>
      <w:pPr>
        <w:ind w:left="980" w:right="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disputes or collection issues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Capacity constraints under our senior revolving credit facility and remaining in compliance with all covenants contained in the credit agreement</w:t>
      </w:r>
    </w:p>
    <w:p>
      <w:pPr>
        <w:spacing w:after="0" w:line="275" w:lineRule="exact"/>
        <w:rPr>
          <w:rFonts w:ascii="Arial" w:cs="Arial" w:eastAsia="Arial" w:hAnsi="Arial"/>
          <w:sz w:val="16"/>
          <w:szCs w:val="16"/>
          <w:color w:val="auto"/>
        </w:rPr>
      </w:pPr>
    </w:p>
    <w:p>
      <w:pPr>
        <w:ind w:left="5640" w:hanging="98"/>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8" w:name="page29"/>
    <w:bookmarkEnd w:id="28"/>
    <w:p>
      <w:pPr>
        <w:ind w:right="60"/>
        <w:spacing w:after="0" w:line="279" w:lineRule="auto"/>
        <w:rPr>
          <w:sz w:val="20"/>
          <w:szCs w:val="20"/>
          <w:color w:val="auto"/>
        </w:rPr>
      </w:pPr>
      <w:r>
        <w:rPr>
          <w:rFonts w:ascii="Arial" w:cs="Arial" w:eastAsia="Arial" w:hAnsi="Arial"/>
          <w:sz w:val="17"/>
          <w:szCs w:val="17"/>
          <w:color w:val="auto"/>
        </w:rPr>
        <w:t>The HDB acquisition discussed in Note 2 of the Notes to Condensed Consolidated Financial Statements included in Part 1, Item 1 of this Quarterly Report on Form 10-Q was funded with cash on hand. The Company believes that the remaining availability under our credit facility, as discussed under the caption "Senior Revolving Credit Facility" included in this Financial Condition and Liquidity section of the Form 10-Q, along with cash on hand and cash generated from operations will provide sufficient liquidity to achieve both our short and long-term business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2014</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Cash flows provided by operating activities for the six months ended December 31, 2014 totaled $5.4 million. The various components of cash flows from operating activities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60" w:type="dxa"/>
            <w:vAlign w:val="bottom"/>
          </w:tcPr>
          <w:p>
            <w:pPr>
              <w:spacing w:after="0"/>
              <w:rPr>
                <w:sz w:val="19"/>
                <w:szCs w:val="19"/>
                <w:color w:val="auto"/>
              </w:rPr>
            </w:pPr>
          </w:p>
        </w:tc>
        <w:tc>
          <w:tcPr>
            <w:tcW w:w="6440" w:type="dxa"/>
            <w:vAlign w:val="bottom"/>
            <w:gridSpan w:val="2"/>
          </w:tcPr>
          <w:p>
            <w:pPr>
              <w:jc w:val="right"/>
              <w:ind w:right="3050"/>
              <w:spacing w:after="0"/>
              <w:rPr>
                <w:sz w:val="20"/>
                <w:szCs w:val="20"/>
                <w:color w:val="auto"/>
              </w:rPr>
            </w:pPr>
            <w:r>
              <w:rPr>
                <w:rFonts w:ascii="Arial" w:cs="Arial" w:eastAsia="Arial" w:hAnsi="Arial"/>
                <w:sz w:val="18"/>
                <w:szCs w:val="18"/>
                <w:b w:val="1"/>
                <w:bCs w:val="1"/>
                <w:color w:val="auto"/>
                <w:w w:val="90"/>
              </w:rPr>
              <w:t>Net Cash Provided by Operating Activities</w:t>
            </w:r>
          </w:p>
        </w:tc>
        <w:tc>
          <w:tcPr>
            <w:tcW w:w="9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p>
        </w:tc>
        <w:tc>
          <w:tcPr>
            <w:tcW w:w="6440" w:type="dxa"/>
            <w:vAlign w:val="bottom"/>
            <w:gridSpan w:val="2"/>
          </w:tcPr>
          <w:p>
            <w:pPr>
              <w:jc w:val="right"/>
              <w:ind w:right="41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324"/>
        </w:trPr>
        <w:tc>
          <w:tcPr>
            <w:tcW w:w="406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4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13,308</w:t>
            </w: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1,011</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w w:val="89"/>
              </w:rPr>
              <w:t>Cash effect of changes in operating assets and liabilities</w:t>
            </w:r>
          </w:p>
        </w:tc>
        <w:tc>
          <w:tcPr>
            <w:tcW w:w="6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(8,883)</w:t>
            </w:r>
          </w:p>
        </w:tc>
      </w:tr>
      <w:tr>
        <w:trPr>
          <w:trHeight w:val="27"/>
        </w:trPr>
        <w:tc>
          <w:tcPr>
            <w:tcW w:w="4060" w:type="dxa"/>
            <w:vAlign w:val="bottom"/>
          </w:tcPr>
          <w:p>
            <w:pPr>
              <w:spacing w:after="0"/>
              <w:rPr>
                <w:sz w:val="2"/>
                <w:szCs w:val="2"/>
                <w:color w:val="auto"/>
              </w:rPr>
            </w:pPr>
          </w:p>
        </w:tc>
        <w:tc>
          <w:tcPr>
            <w:tcW w:w="6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57"/>
        </w:trPr>
        <w:tc>
          <w:tcPr>
            <w:tcW w:w="406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0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5,378</w:t>
            </w:r>
          </w:p>
        </w:tc>
      </w:tr>
      <w:tr>
        <w:trPr>
          <w:trHeight w:val="20"/>
        </w:trPr>
        <w:tc>
          <w:tcPr>
            <w:tcW w:w="40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cash effect of significant changes in operating assets and liabilities net of the effects from acquisitions include the following:</w:t>
      </w:r>
    </w:p>
    <w:p>
      <w:pPr>
        <w:spacing w:after="0" w:line="225" w:lineRule="exact"/>
        <w:rPr>
          <w:sz w:val="20"/>
          <w:szCs w:val="20"/>
          <w:color w:val="auto"/>
        </w:rPr>
      </w:pPr>
    </w:p>
    <w:p>
      <w:pPr>
        <w:ind w:left="980" w:right="40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change in accounts receivable caused a decrease in cash of $9.2 million. The negative variance is primarily due to the timing of project billings and collections.</w:t>
      </w:r>
    </w:p>
    <w:p>
      <w:pPr>
        <w:spacing w:after="0" w:line="170" w:lineRule="exact"/>
        <w:rPr>
          <w:rFonts w:ascii="Arial" w:cs="Arial" w:eastAsia="Arial" w:hAnsi="Arial"/>
          <w:sz w:val="18"/>
          <w:szCs w:val="18"/>
          <w:color w:val="auto"/>
        </w:rPr>
      </w:pPr>
    </w:p>
    <w:p>
      <w:pPr>
        <w:ind w:left="980" w:right="140" w:hanging="324"/>
        <w:spacing w:after="0" w:line="25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change in the combined balance of costs and estimated earnings in excess of billings on uncompleted contracts and billings on uncompleted contracts in excess of costs and estimated earnings caused an increase to cash of $22.6 million at December 31, 2014. The favorable variance is attributable to a decrease in costs and estimated earnings in excess of billings of $3.4 million and a $19.2 million increase in billings on uncompleted contracts in excess of costs and estimated earnings both of which were driven by project billings milestones and collections.</w:t>
      </w:r>
    </w:p>
    <w:p>
      <w:pPr>
        <w:spacing w:after="0" w:line="188"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change in accounts payable resulted in a decrease to cash of $19.4 million. The unfavorable variance is primarily due to the timing of vendor payments.</w:t>
      </w:r>
    </w:p>
    <w:p>
      <w:pPr>
        <w:spacing w:after="0" w:line="170" w:lineRule="exact"/>
        <w:rPr>
          <w:rFonts w:ascii="Arial" w:cs="Arial" w:eastAsia="Arial" w:hAnsi="Arial"/>
          <w:sz w:val="18"/>
          <w:szCs w:val="18"/>
          <w:color w:val="auto"/>
        </w:rPr>
      </w:pPr>
    </w:p>
    <w:p>
      <w:pPr>
        <w:ind w:left="980" w:right="360" w:hanging="324"/>
        <w:spacing w:after="0" w:line="286"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net change in accrued wages and benefits and other accrued expenses resulted in a decrease to cash of $6.4 million. The unfavorable variance is primarily attributable to the payment of short term incentives accrued at June 30, 2014 but paid out during the first quarter of the current fiscal year and the remaining accrued project charge from our joint venture as described in Note 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90"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Investing activities used $13.0 million of cash in the first six months of fiscal 2015 primarily due to the purchase of HDB in the amount of $5.6 million and capital expenditures of $7.7 million. The HDB acquisition is discussed in Note 2 of the Notes to Condensed Consolidated Financial Statements included in Part 1, Item 1 of this Quarterly Report on Form 10-Q. Capital expenditures consisted primarily of $2.4 million for the purchase of construction equipment, $1.8 million for transportation and fabrication equipment, $3.1 million for office equipment, $0.2 million for land and buildings, and $0.2 million for small tools.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Financing activities used less than $0.1 million of cash in the first six months of fiscal 2015 primarily due to net borrowings of $0.2 million under our credit facility and treasury share purchases of $2.4 million, partially offset with $0.4 million of cash received for issuance of stock options and $0.1 million in cash received from employees participating in the Company's employee stock purchase program. The excess tax benefit of exercised stock options and vesting of deferred shares provided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746" w:right="239" w:bottom="1440" w:gutter="0" w:footer="0" w:header="0"/>
        </w:sectPr>
      </w:pPr>
    </w:p>
    <w:bookmarkStart w:id="29" w:name="page30"/>
    <w:bookmarkEnd w:id="29"/>
    <w:p>
      <w:pPr>
        <w:ind w:right="580"/>
        <w:spacing w:after="0" w:line="264" w:lineRule="auto"/>
        <w:rPr>
          <w:sz w:val="20"/>
          <w:szCs w:val="20"/>
          <w:color w:val="auto"/>
        </w:rPr>
      </w:pPr>
      <w:r>
        <w:rPr>
          <w:rFonts w:ascii="Arial" w:cs="Arial" w:eastAsia="Arial" w:hAnsi="Arial"/>
          <w:sz w:val="18"/>
          <w:szCs w:val="18"/>
          <w:color w:val="auto"/>
        </w:rPr>
        <w:t>$1.7 million of cash. Cash borrowings and repayments for the first six months of fiscal 2015 were $9.3 million and $9.1 million, respectively. Cash borrowings were used for Canadian dollar advances to fund our existing Canadian operations including amounts to settle intercompany cross currency billings and other borrowings to finance our short-term working capital requirements.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jc w:val="both"/>
        <w:ind w:left="60" w:right="40"/>
        <w:spacing w:after="0" w:line="264" w:lineRule="auto"/>
        <w:rPr>
          <w:sz w:val="20"/>
          <w:szCs w:val="20"/>
          <w:color w:val="auto"/>
        </w:rPr>
      </w:pPr>
      <w:r>
        <w:rPr>
          <w:rFonts w:ascii="Arial" w:cs="Arial" w:eastAsia="Arial" w:hAnsi="Arial"/>
          <w:sz w:val="18"/>
          <w:szCs w:val="18"/>
          <w:color w:val="auto"/>
        </w:rPr>
        <w:t>As noted previously in Note 5 of the Notes to Condensed Consolidated Financial Statements included in Part 1, Item 1 of this Quarterly Report on Form 10-Q, the Company has a five-year $200.0 million senior secured revolving credit facility under a credit agreement (the "Credit Agreement") that expires March 13,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Senior Leverage Ratio, as defined in the agreement, may not exceed 2.50 to 1.00, determined as of the end of each fiscal quarter.</w:t>
      </w:r>
    </w:p>
    <w:p>
      <w:pPr>
        <w:spacing w:after="0" w:line="182" w:lineRule="exact"/>
        <w:rPr>
          <w:rFonts w:ascii="Arial" w:cs="Arial" w:eastAsia="Arial" w:hAnsi="Arial"/>
          <w:sz w:val="17"/>
          <w:szCs w:val="17"/>
          <w:color w:val="auto"/>
        </w:rPr>
      </w:pPr>
    </w:p>
    <w:p>
      <w:pPr>
        <w:ind w:left="1300" w:right="160" w:hanging="48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as defined in the agreement, greater than or equal to 1.25 to 1.00, determined as of the end of each fiscal quarter.</w:t>
      </w:r>
    </w:p>
    <w:p>
      <w:pPr>
        <w:spacing w:after="0" w:line="116" w:lineRule="exact"/>
        <w:rPr>
          <w:rFonts w:ascii="Arial" w:cs="Arial" w:eastAsia="Arial" w:hAnsi="Arial"/>
          <w:sz w:val="18"/>
          <w:szCs w:val="18"/>
          <w:color w:val="auto"/>
        </w:rPr>
      </w:pPr>
    </w:p>
    <w:p>
      <w:pPr>
        <w:ind w:left="1300" w:right="160" w:hanging="48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Asset dispositions (other than inventory and obsolete or unneeded equipment disposed of in the ordinary course of business) are limited to $20.0 million per 12-month period.</w:t>
      </w:r>
    </w:p>
    <w:p>
      <w:pPr>
        <w:spacing w:after="0" w:line="116" w:lineRule="exact"/>
        <w:rPr>
          <w:sz w:val="20"/>
          <w:szCs w:val="20"/>
          <w:color w:val="auto"/>
        </w:rPr>
      </w:pPr>
    </w:p>
    <w:p>
      <w:pPr>
        <w:ind w:left="60" w:right="400"/>
        <w:spacing w:after="0" w:line="264" w:lineRule="auto"/>
        <w:rPr>
          <w:sz w:val="20"/>
          <w:szCs w:val="20"/>
          <w:color w:val="auto"/>
        </w:rPr>
      </w:pPr>
      <w:r>
        <w:rPr>
          <w:rFonts w:ascii="Arial" w:cs="Arial" w:eastAsia="Arial" w:hAnsi="Arial"/>
          <w:sz w:val="18"/>
          <w:szCs w:val="18"/>
          <w:color w:val="auto"/>
        </w:rPr>
        <w:t>Amounts borrowed under the Credit Agreement bear interest at LIBOR or an Alternate Base Rate, plus in each case, an additional margin based on the Senior Leverage Ratio. The additional margin on Alternate Base Rate and LIBOR-based loans ranges between 0.25% and 1.0% and between 1.25% and 2.0%, respectively.</w:t>
      </w:r>
    </w:p>
    <w:p>
      <w:pPr>
        <w:spacing w:after="0" w:line="12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Credit Agreement also permits us to borrow in Canadian dollars with a sublimit of U.S. $40.0 million. Amounts borrowed in Canadian dollars will bear interest either at the CDOR Rate, plus an additional margin based on the Senior Leverage Ratio ranging from 1.25% to 2.0%, or at the Canadian Prime Rate, plus an additional margin based on the Senior Leverage Ratio ranging from 1.75% to 2.5%. The CDOR Rate is equal to the sum of the annual rate of interest, which is the rate determined as being the arithmetic average of the quotations of all institutions listed in respect of the relevant CDOR interest period for Canadian Dollar denominated bankers’ acceptances, plus 0.1%. The Canadian Prime Rate is equal to the greater of (i) the rate of interest per annum most recently announced or established by JPMorgan Chase Bank, N.A., Toronto Branch as its reference rate in effect on such day for determining interest rates for Canadian Dollar denominated commercial loans in Canada and (ii) the CDOR Rate plus 1.0%.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0.35% based on the Senior Leverage Ratio.</w:t>
      </w:r>
    </w:p>
    <w:p>
      <w:pPr>
        <w:spacing w:after="0" w:line="23"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The Credit Agreement includes a Senior Leverage Ratio covenant, which provides that Consolidated Funded Indebtedness, as of the end of any fiscal quarter, may not exceed 2.5 times Consolidated EBITDA, as defined in the Credit Agreement, over the previous four quarters. For the four quarters ended December 31, 2014, Consolidated EBITDA, as defined in the Credit Agreement, was $75.3 million. Accordingly, at December 31, 2014, there was a restriction on our ability to access the full amount of the credit facility. Consolidated Funded Indebtedness at December 31, 2014 was $34.2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December 31, 2014 and June 30, 2014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11,818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188,182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11,789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11,621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30,526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23,017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145,867</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165,362</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Outstanding borrowings at December 31, 2014 included Canadian dollar advances to fund our existing Canadian operations including amounts to settle intercompany cross currency billings and other borrowings to finance our short-term working capital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 compliance with all affirmative, negative, and financial covenants under the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Dividend Policy</w:t>
      </w:r>
    </w:p>
    <w:p>
      <w:pPr>
        <w:spacing w:after="0" w:line="9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4, 2014 the Board of Directors approved a stock buyback program that replaced the program that had been in place since November 2012. The new program, which expires on December 31, 2016, allows the Company to purchase up to $25.0 million of common stock annually if sufficient liquidity exists and management believes the purchase would be accretive to the Company's stockholders. The annual share limitation is applied on a calendar year basis. The cumulative number of shares repurchased cannot exceed 2,653,399, which represents 10% of the shares outstanding on the date the new repurchase program was approved.</w:t>
      </w:r>
    </w:p>
    <w:p>
      <w:pPr>
        <w:spacing w:after="0" w:line="13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100,694 shares in the first six months of fiscal 2015 to satisfy these obligations. These shares were returned to the Company’s pool of treasury shares.</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Company has 1,193,039 treasury shares as of December 31, 2014 and intends to utilize these treasury shares solely in connection with equity awards under the Company’s stock incentive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225"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171"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2014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400"/>
          </w:cols>
          <w:pgMar w:left="240" w:top="827" w:right="259" w:bottom="1440" w:gutter="0" w:footer="0" w:header="0"/>
        </w:sectPr>
      </w:pPr>
    </w:p>
    <w:bookmarkStart w:id="31" w:name="page32"/>
    <w:bookmarkEnd w:id="31"/>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and mining and minerals industries in particular;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340"/>
          </w:cols>
          <w:pgMar w:left="240" w:top="584"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2014, filed with the Securities and Exchange Commission. For more information on market risk, see Part II, Item 7A in our fiscal 2014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2014. Based on the foregoing, our Chief Executive Officer and Chief Financial Officer concluded that our disclosure controls and procedures were effective at the reasonable assurance level at December 31, 2014.</w:t>
      </w:r>
    </w:p>
    <w:p>
      <w:pPr>
        <w:spacing w:after="0" w:line="187" w:lineRule="exact"/>
        <w:rPr>
          <w:sz w:val="20"/>
          <w:szCs w:val="20"/>
          <w:color w:val="auto"/>
        </w:rPr>
      </w:pPr>
    </w:p>
    <w:p>
      <w:pPr>
        <w:ind w:right="2300"/>
        <w:spacing w:after="0" w:line="273" w:lineRule="auto"/>
        <w:rPr>
          <w:sz w:val="20"/>
          <w:szCs w:val="20"/>
          <w:color w:val="auto"/>
        </w:rPr>
      </w:pPr>
      <w:r>
        <w:rPr>
          <w:rFonts w:ascii="Arial" w:cs="Arial" w:eastAsia="Arial" w:hAnsi="Arial"/>
          <w:sz w:val="17"/>
          <w:szCs w:val="17"/>
          <w:color w:val="auto"/>
        </w:rPr>
        <w:t>We completed the acquisition of Matrix NAC effective December 21, 2013. We are in the process of assessing and, to the extent necessary, making changes to the internal control over financial reporting of Matrix NAC to conform such internal control to that used on our other operations. However, we are not yet required to evaluate, and have not yet fully evaluated, changes in Matrix NAC's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00"/>
          </w:cols>
          <w:pgMar w:left="240" w:top="823" w:right="25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2015.</w:t>
      </w:r>
    </w:p>
    <w:p>
      <w:pPr>
        <w:spacing w:after="0" w:line="36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Number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w:t>
            </w: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Plans or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 Share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Programs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(C)</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2014</w:t>
            </w: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2,113,497</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6,325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November 1 to November 30, 2014</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2,653,399</w:t>
            </w: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41,776</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$27.42</w:t>
            </w:r>
          </w:p>
        </w:tc>
        <w:tc>
          <w:tcPr>
            <w:tcW w:w="100" w:type="dxa"/>
            <w:vAlign w:val="bottom"/>
          </w:tcPr>
          <w:p>
            <w:pPr>
              <w:spacing w:after="0"/>
              <w:rPr>
                <w:sz w:val="21"/>
                <w:szCs w:val="21"/>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2014</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2,653,399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19,289</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$20.66</w:t>
            </w:r>
          </w:p>
        </w:tc>
        <w:tc>
          <w:tcPr>
            <w:tcW w:w="10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right="40" w:hanging="316"/>
        <w:spacing w:after="0" w:line="270"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November 4, 2014 the Board of Directors approved a stock buyback program that replaces the program that had been in place since November 2012. The new program, which expires on December 31, 2016, allows the Company to purchase up to $25.0 million annually of common stock if sufficient liquidity exist and management believes the shares purchase would be accretive to the Company's stockholders. The annual share limitation is applied on a calendar year basis. The shares included in this column represent the maximum number of shares that were available to be purchased under the November 2012 plan, which was in effect for month ended October 2014, and the plan that was approved on November 4, 2014, which was in effect for the months ended November and December 2014.</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Credit Agreement limit the amount of cash dividends we can pay. Under our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380"/>
          </w:cols>
          <w:pgMar w:left="240" w:top="58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340"/>
          </w:cols>
          <w:pgMar w:left="240" w:top="580" w:right="319" w:bottom="1440" w:gutter="0" w:footer="0" w:header="0"/>
        </w:sectPr>
      </w:pPr>
    </w:p>
    <w:p>
      <w:pPr>
        <w:spacing w:after="0" w:line="3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Exhibit 10.1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Amendment Number 1 to Matrix Service Company 2012 Stock and Incentive Compensation Plan (filed as Exhibit A to the Company's Proxy Statement for Annual Meeting of Stockholders dated October 10, 2014, and incorporated by reference herein).</w:t>
      </w:r>
    </w:p>
    <w:p>
      <w:pPr>
        <w:spacing w:after="0" w:line="141"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Section 302 of Sarbanes-Oxley Act of 2002 – CEO.</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Section 302 of Sarbanes-Oxley Act of 2002 – CFO.</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(section 906 of Sarbanes-Oxley Act of 2002) – CEO.</w:t>
      </w:r>
    </w:p>
    <w:p>
      <w:pPr>
        <w:spacing w:after="0" w:line="211"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95:</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Mine Safety Disclosure.</w:t>
      </w:r>
    </w:p>
    <w:p>
      <w:pPr>
        <w:spacing w:after="0" w:line="207" w:lineRule="exact"/>
        <w:rPr>
          <w:sz w:val="20"/>
          <w:szCs w:val="20"/>
          <w:color w:val="auto"/>
        </w:rPr>
      </w:pPr>
    </w:p>
    <w:p>
      <w:pPr>
        <w:sectPr>
          <w:pgSz w:w="11900" w:h="16838" w:orient="portrait"/>
          <w:cols w:equalWidth="0" w:num="2">
            <w:col w:w="1220" w:space="7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1260" w:space="68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Schema Document.</w:t>
      </w:r>
    </w:p>
    <w:p>
      <w:pPr>
        <w:spacing w:after="0" w:line="200" w:lineRule="exact"/>
        <w:rPr>
          <w:sz w:val="20"/>
          <w:szCs w:val="20"/>
          <w:color w:val="auto"/>
        </w:rPr>
      </w:pPr>
    </w:p>
    <w:p>
      <w:pPr>
        <w:sectPr>
          <w:pgSz w:w="11900" w:h="16838" w:orient="portrait"/>
          <w:cols w:equalWidth="0" w:num="2">
            <w:col w:w="1320" w:space="620"/>
            <w:col w:w="9400"/>
          </w:cols>
          <w:pgMar w:left="240" w:top="580" w:right="31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7" w:lineRule="exact"/>
        <w:rPr>
          <w:sz w:val="20"/>
          <w:szCs w:val="20"/>
          <w:color w:val="auto"/>
        </w:rPr>
      </w:pPr>
    </w:p>
    <w:p>
      <w:pPr>
        <w:sectPr>
          <w:pgSz w:w="11900" w:h="16838" w:orient="portrait"/>
          <w:cols w:equalWidth="0" w:num="2">
            <w:col w:w="1340" w:space="60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7" w:lineRule="exact"/>
        <w:rPr>
          <w:sz w:val="20"/>
          <w:szCs w:val="20"/>
          <w:color w:val="auto"/>
        </w:rPr>
      </w:pPr>
    </w:p>
    <w:p>
      <w:pPr>
        <w:sectPr>
          <w:pgSz w:w="11900" w:h="16838" w:orient="portrait"/>
          <w:cols w:equalWidth="0" w:num="2">
            <w:col w:w="1320" w:space="62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207" w:lineRule="exact"/>
        <w:rPr>
          <w:sz w:val="20"/>
          <w:szCs w:val="20"/>
          <w:color w:val="auto"/>
        </w:rPr>
      </w:pPr>
    </w:p>
    <w:p>
      <w:pPr>
        <w:sectPr>
          <w:pgSz w:w="11900" w:h="16838" w:orient="portrait"/>
          <w:cols w:equalWidth="0" w:num="2">
            <w:col w:w="1340" w:space="600"/>
            <w:col w:w="9400"/>
          </w:cols>
          <w:pgMar w:left="240" w:top="580"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300" w:space="640"/>
            <w:col w:w="9400"/>
          </w:cols>
          <w:pgMar w:left="240" w:top="580" w:right="319" w:bottom="1440" w:gutter="0" w:footer="0" w:header="0"/>
          <w:type w:val="continuous"/>
        </w:sectPr>
      </w:pP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2015</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34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340"/>
          </w:cols>
          <w:pgMar w:left="240" w:top="580" w:right="31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840" w:type="dxa"/>
            <w:vAlign w:val="bottom"/>
          </w:tcPr>
          <w:p>
            <w:pPr>
              <w:spacing w:after="0"/>
              <w:rPr>
                <w:sz w:val="17"/>
                <w:szCs w:val="17"/>
                <w:color w:val="auto"/>
              </w:rPr>
            </w:pPr>
          </w:p>
        </w:tc>
      </w:tr>
      <w:tr>
        <w:trPr>
          <w:trHeight w:val="695"/>
        </w:trPr>
        <w:tc>
          <w:tcPr>
            <w:tcW w:w="1620" w:type="dxa"/>
            <w:vAlign w:val="bottom"/>
          </w:tcPr>
          <w:p>
            <w:pPr>
              <w:spacing w:after="0"/>
              <w:rPr>
                <w:sz w:val="20"/>
                <w:szCs w:val="20"/>
                <w:color w:val="auto"/>
              </w:rPr>
            </w:pPr>
            <w:r>
              <w:rPr>
                <w:rFonts w:ascii="Arial" w:cs="Arial" w:eastAsia="Arial" w:hAnsi="Arial"/>
                <w:sz w:val="18"/>
                <w:szCs w:val="18"/>
                <w:color w:val="auto"/>
              </w:rPr>
              <w:t>Exhibit 10.1</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w w:val="95"/>
              </w:rPr>
              <w:t>Amendment Number 1 to Matrix Service Company 2012 Stock and Incentive Compensation Plan (filed as Exhibit A to the</w:t>
            </w:r>
          </w:p>
        </w:tc>
      </w:tr>
      <w:tr>
        <w:trPr>
          <w:trHeight w:val="230"/>
        </w:trPr>
        <w:tc>
          <w:tcPr>
            <w:tcW w:w="1620" w:type="dxa"/>
            <w:vAlign w:val="bottom"/>
          </w:tcPr>
          <w:p>
            <w:pPr>
              <w:spacing w:after="0"/>
              <w:rPr>
                <w:sz w:val="20"/>
                <w:szCs w:val="20"/>
                <w:color w:val="auto"/>
              </w:rPr>
            </w:pP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w w:val="90"/>
              </w:rPr>
              <w:t>Company's Proxy Statement for Annual Meeting of Stockholders dated October 10, 2014, and incorporated by reference herein).</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31.1:</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31.2:</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32.1:</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32.2:</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95:</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101.INS:</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101.SCH:</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101.CAL:</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101.DEF:</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101.LAB:</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20" w:type="dxa"/>
            <w:vAlign w:val="bottom"/>
          </w:tcPr>
          <w:p>
            <w:pPr>
              <w:spacing w:after="0"/>
              <w:rPr>
                <w:sz w:val="20"/>
                <w:szCs w:val="20"/>
                <w:color w:val="auto"/>
              </w:rPr>
            </w:pPr>
            <w:r>
              <w:rPr>
                <w:rFonts w:ascii="Arial" w:cs="Arial" w:eastAsia="Arial" w:hAnsi="Arial"/>
                <w:sz w:val="18"/>
                <w:szCs w:val="18"/>
                <w:color w:val="auto"/>
              </w:rPr>
              <w:t>Exhibit 101.PRE:</w:t>
            </w:r>
          </w:p>
        </w:tc>
        <w:tc>
          <w:tcPr>
            <w:tcW w:w="960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620" w:type="dxa"/>
            <w:vAlign w:val="bottom"/>
          </w:tcPr>
          <w:p>
            <w:pPr>
              <w:spacing w:after="0"/>
              <w:rPr>
                <w:sz w:val="24"/>
                <w:szCs w:val="24"/>
                <w:color w:val="auto"/>
              </w:rPr>
            </w:pPr>
          </w:p>
        </w:tc>
        <w:tc>
          <w:tcPr>
            <w:tcW w:w="4760" w:type="dxa"/>
            <w:vAlign w:val="bottom"/>
            <w:gridSpan w:val="2"/>
          </w:tcPr>
          <w:p>
            <w:pPr>
              <w:ind w:left="3880"/>
              <w:spacing w:after="0"/>
              <w:rPr>
                <w:sz w:val="20"/>
                <w:szCs w:val="20"/>
                <w:color w:val="auto"/>
              </w:rPr>
            </w:pPr>
            <w:r>
              <w:rPr>
                <w:rFonts w:ascii="Arial" w:cs="Arial" w:eastAsia="Arial" w:hAnsi="Arial"/>
                <w:sz w:val="18"/>
                <w:szCs w:val="18"/>
                <w:color w:val="auto"/>
              </w:rPr>
              <w:t>- 34-</w:t>
            </w:r>
          </w:p>
        </w:tc>
        <w:tc>
          <w:tcPr>
            <w:tcW w:w="4840" w:type="dxa"/>
            <w:vAlign w:val="bottom"/>
          </w:tcPr>
          <w:p>
            <w:pPr>
              <w:spacing w:after="0"/>
              <w:rPr>
                <w:sz w:val="24"/>
                <w:szCs w:val="24"/>
                <w:color w:val="auto"/>
              </w:rPr>
            </w:pPr>
          </w:p>
        </w:tc>
      </w:tr>
    </w:tbl>
    <w:p>
      <w:pPr>
        <w:sectPr>
          <w:pgSz w:w="11900" w:h="16838" w:orient="portrait"/>
          <w:cols w:equalWidth="0" w:num="1">
            <w:col w:w="11220"/>
          </w:cols>
          <w:pgMar w:left="280" w:top="567" w:right="3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6,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6,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6, 2015</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0" w:name="page41"/>
    <w:bookmarkEnd w:id="40"/>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54875" cy="16376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163766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rPr>
              <w:t>Mining</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100" w:type="dxa"/>
            <w:vAlign w:val="bottom"/>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8</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1</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9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ind w:left="40"/>
              <w:spacing w:after="0" w:line="157" w:lineRule="exact"/>
              <w:rPr>
                <w:sz w:val="20"/>
                <w:szCs w:val="20"/>
                <w:color w:val="auto"/>
              </w:rPr>
            </w:pPr>
            <w:r>
              <w:rPr>
                <w:rFonts w:ascii="Arial" w:cs="Arial" w:eastAsia="Arial" w:hAnsi="Arial"/>
                <w:sz w:val="14"/>
                <w:szCs w:val="14"/>
                <w:color w:val="auto"/>
              </w:rPr>
              <w:t>Freeport-</w:t>
            </w: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20" w:type="dxa"/>
            <w:vAlign w:val="bottom"/>
          </w:tcPr>
          <w:p>
            <w:pPr>
              <w:ind w:left="40"/>
              <w:spacing w:after="0" w:line="149" w:lineRule="exact"/>
              <w:rPr>
                <w:sz w:val="20"/>
                <w:szCs w:val="20"/>
                <w:color w:val="auto"/>
              </w:rPr>
            </w:pPr>
            <w:r>
              <w:rPr>
                <w:rFonts w:ascii="Arial" w:cs="Arial" w:eastAsia="Arial" w:hAnsi="Arial"/>
                <w:sz w:val="14"/>
                <w:szCs w:val="14"/>
                <w:color w:val="auto"/>
              </w:rPr>
              <w:t>McMoran</w:t>
            </w:r>
          </w:p>
        </w:tc>
        <w:tc>
          <w:tcPr>
            <w:tcW w:w="9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0</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89"/>
              </w:rPr>
              <w:t>No</w:t>
            </w:r>
          </w:p>
        </w:tc>
        <w:tc>
          <w:tcPr>
            <w:tcW w:w="900" w:type="dxa"/>
            <w:vAlign w:val="bottom"/>
            <w:vMerge w:val="restart"/>
          </w:tcPr>
          <w:p>
            <w:pPr>
              <w:jc w:val="center"/>
              <w:spacing w:after="0"/>
              <w:rPr>
                <w:sz w:val="20"/>
                <w:szCs w:val="20"/>
                <w:color w:val="auto"/>
              </w:rPr>
            </w:pPr>
            <w:r>
              <w:rPr>
                <w:rFonts w:ascii="Arial" w:cs="Arial" w:eastAsia="Arial" w:hAnsi="Arial"/>
                <w:sz w:val="14"/>
                <w:szCs w:val="14"/>
                <w:color w:val="auto"/>
              </w:rPr>
              <w:t>No</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820" w:type="dxa"/>
            <w:vAlign w:val="bottom"/>
            <w:vMerge w:val="restart"/>
          </w:tcPr>
          <w:p>
            <w:pPr>
              <w:jc w:val="center"/>
              <w:spacing w:after="0"/>
              <w:rPr>
                <w:sz w:val="20"/>
                <w:szCs w:val="20"/>
                <w:color w:val="auto"/>
              </w:rPr>
            </w:pPr>
            <w:r>
              <w:rPr>
                <w:rFonts w:ascii="Arial" w:cs="Arial" w:eastAsia="Arial" w:hAnsi="Arial"/>
                <w:sz w:val="14"/>
                <w:szCs w:val="14"/>
                <w:color w:val="auto"/>
                <w:w w:val="76"/>
              </w:rPr>
              <w:t>0</w:t>
            </w:r>
          </w:p>
        </w:tc>
        <w:tc>
          <w:tcPr>
            <w:tcW w:w="0" w:type="dxa"/>
            <w:vAlign w:val="bottom"/>
          </w:tcPr>
          <w:p>
            <w:pPr>
              <w:spacing w:after="0"/>
              <w:rPr>
                <w:sz w:val="1"/>
                <w:szCs w:val="1"/>
                <w:color w:val="auto"/>
              </w:rPr>
            </w:pPr>
          </w:p>
        </w:tc>
      </w:tr>
      <w:tr>
        <w:trPr>
          <w:trHeight w:val="101"/>
        </w:trPr>
        <w:tc>
          <w:tcPr>
            <w:tcW w:w="11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Safford Inc. 02-</w:t>
            </w:r>
          </w:p>
        </w:tc>
        <w:tc>
          <w:tcPr>
            <w:tcW w:w="9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40"/>
              <w:spacing w:after="0"/>
              <w:rPr>
                <w:sz w:val="20"/>
                <w:szCs w:val="20"/>
                <w:color w:val="auto"/>
              </w:rPr>
            </w:pPr>
            <w:r>
              <w:rPr>
                <w:rFonts w:ascii="Arial" w:cs="Arial" w:eastAsia="Arial" w:hAnsi="Arial"/>
                <w:sz w:val="14"/>
                <w:szCs w:val="14"/>
                <w:color w:val="auto"/>
              </w:rPr>
              <w:t>03131</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60" w:right="360" w:hanging="252"/>
        <w:spacing w:after="0" w:line="256"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ind w:left="220" w:hanging="212"/>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39" w:lineRule="exact"/>
        <w:rPr>
          <w:rFonts w:ascii="Arial" w:cs="Arial" w:eastAsia="Arial" w:hAnsi="Arial"/>
          <w:sz w:val="13"/>
          <w:szCs w:val="13"/>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28" w:lineRule="exact"/>
        <w:rPr>
          <w:rFonts w:ascii="Arial" w:cs="Arial" w:eastAsia="Arial" w:hAnsi="Arial"/>
          <w:sz w:val="14"/>
          <w:szCs w:val="14"/>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58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x"/>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lvl w:ilvl="1">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lvl w:ilvl="1">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upperLetter"/>
      <w:start w:val="1"/>
    </w:lvl>
  </w:abstractNum>
  <w:abstractNum w:abstractNumId="20">
    <w:nsid w:val="2D1D5AE9"/>
    <w:multiLevelType w:val="hybridMultilevel"/>
    <w:lvl w:ilvl="0">
      <w:lvlJc w:val="left"/>
      <w:lvlText w:val="%1."/>
      <w:numFmt w:val="decimal"/>
      <w:start w:val="1"/>
    </w:lvl>
    <w:lvl w:ilvl="1">
      <w:lvlJc w:val="left"/>
      <w:lvlText w:val="%2."/>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2019-12-29T18:56:48Z</dcterms:created>
  <dcterms:modified xsi:type="dcterms:W3CDTF">2019-12-29T18:56:48Z</dcterms:modified>
</cp:coreProperties>
</file>