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683260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ind w:left="40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3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_______________________________________</w:t>
      </w:r>
    </w:p>
    <w:p>
      <w:pPr>
        <w:jc w:val="center"/>
        <w:ind w:right="-119"/>
        <w:spacing w:after="0"/>
        <w:rPr>
          <w:sz w:val="20"/>
          <w:szCs w:val="20"/>
          <w:color w:val="auto"/>
        </w:rPr>
      </w:pPr>
      <w:r>
        <w:rPr>
          <w:rFonts w:ascii="Arial" w:cs="Arial" w:eastAsia="Arial" w:hAnsi="Arial"/>
          <w:sz w:val="14"/>
          <w:szCs w:val="14"/>
          <w:color w:val="auto"/>
        </w:rPr>
        <w:t>(Mark One)</w:t>
      </w:r>
    </w:p>
    <w:p>
      <w:pPr>
        <w:spacing w:after="0" w:line="21" w:lineRule="exact"/>
        <w:rPr>
          <w:sz w:val="24"/>
          <w:szCs w:val="24"/>
          <w:color w:val="auto"/>
        </w:rPr>
      </w:pPr>
    </w:p>
    <w:p>
      <w:pPr>
        <w:ind w:left="1820" w:hanging="449"/>
        <w:spacing w:after="0"/>
        <w:tabs>
          <w:tab w:leader="none" w:pos="18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5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December 31, 2020</w:t>
      </w:r>
    </w:p>
    <w:p>
      <w:pPr>
        <w:spacing w:after="0" w:line="1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1820" w:hanging="449"/>
        <w:spacing w:after="0"/>
        <w:tabs>
          <w:tab w:leader="none" w:pos="182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155" w:lineRule="exact"/>
        <w:rPr>
          <w:sz w:val="24"/>
          <w:szCs w:val="24"/>
          <w:color w:val="auto"/>
        </w:rPr>
      </w:pPr>
    </w:p>
    <w:p>
      <w:pPr>
        <w:ind w:left="38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3933190</wp:posOffset>
            </wp:positionH>
            <wp:positionV relativeFrom="paragraph">
              <wp:posOffset>-7620</wp:posOffset>
            </wp:positionV>
            <wp:extent cx="7804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No. 1-15461</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133"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MATRIX SERVICE COMPANY</w:t>
      </w:r>
    </w:p>
    <w:p>
      <w:pPr>
        <w:spacing w:after="0" w:line="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120"/>
          </w:cols>
          <w:pgMar w:left="320" w:top="476" w:right="459" w:bottom="1440" w:gutter="0" w:footer="0" w:header="0"/>
        </w:sectPr>
      </w:pPr>
    </w:p>
    <w:p>
      <w:pPr>
        <w:spacing w:after="0" w:line="135" w:lineRule="exact"/>
        <w:rPr>
          <w:sz w:val="24"/>
          <w:szCs w:val="24"/>
          <w:color w:val="auto"/>
        </w:rPr>
      </w:pPr>
    </w:p>
    <w:p>
      <w:pPr>
        <w:ind w:left="25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50" w:lineRule="exact"/>
        <w:rPr>
          <w:sz w:val="24"/>
          <w:szCs w:val="24"/>
          <w:color w:val="auto"/>
        </w:rPr>
      </w:pPr>
    </w:p>
    <w:p>
      <w:pPr>
        <w:sectPr>
          <w:pgSz w:w="11900" w:h="16838" w:orient="portrait"/>
          <w:cols w:equalWidth="0" w:num="2">
            <w:col w:w="7260" w:space="720"/>
            <w:col w:w="3140"/>
          </w:cols>
          <w:pgMar w:left="320" w:top="476" w:right="459" w:bottom="1440" w:gutter="0" w:footer="0" w:header="0"/>
          <w:type w:val="continuous"/>
        </w:sectPr>
      </w:pPr>
    </w:p>
    <w:p>
      <w:pPr>
        <w:ind w:left="220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83" w:lineRule="exact"/>
        <w:rPr>
          <w:sz w:val="24"/>
          <w:szCs w:val="24"/>
          <w:color w:val="auto"/>
        </w:rPr>
      </w:pPr>
    </w:p>
    <w:p>
      <w:pPr>
        <w:sectPr>
          <w:pgSz w:w="11900" w:h="16838" w:orient="portrait"/>
          <w:cols w:equalWidth="0" w:num="2">
            <w:col w:w="6600" w:space="720"/>
            <w:col w:w="3800"/>
          </w:cols>
          <w:pgMar w:left="320" w:top="476" w:right="4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5100 East Skelly Drive, Suite 500, Tulsa, Oklahoma 74135</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w:t>
      </w:r>
    </w:p>
    <w:p>
      <w:pPr>
        <w:spacing w:after="0" w:line="8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4"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3520" w:type="dxa"/>
            <w:vAlign w:val="bottom"/>
            <w:gridSpan w:val="2"/>
          </w:tcPr>
          <w:p>
            <w:pPr>
              <w:jc w:val="center"/>
              <w:ind w:right="2180"/>
              <w:spacing w:after="0"/>
              <w:rPr>
                <w:sz w:val="20"/>
                <w:szCs w:val="20"/>
                <w:color w:val="auto"/>
              </w:rPr>
            </w:pPr>
            <w:r>
              <w:rPr>
                <w:rFonts w:ascii="Arial" w:cs="Arial" w:eastAsia="Arial" w:hAnsi="Arial"/>
                <w:sz w:val="18"/>
                <w:szCs w:val="18"/>
                <w:b w:val="1"/>
                <w:bCs w:val="1"/>
                <w:color w:val="auto"/>
                <w:w w:val="86"/>
              </w:rPr>
              <w:t>Title of each class</w:t>
            </w:r>
          </w:p>
        </w:tc>
        <w:tc>
          <w:tcPr>
            <w:tcW w:w="20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360" w:type="dxa"/>
            <w:vAlign w:val="bottom"/>
            <w:gridSpan w:val="3"/>
          </w:tcPr>
          <w:p>
            <w:pPr>
              <w:jc w:val="center"/>
              <w:ind w:right="1340"/>
              <w:spacing w:after="0"/>
              <w:rPr>
                <w:sz w:val="20"/>
                <w:szCs w:val="20"/>
                <w:color w:val="auto"/>
              </w:rPr>
            </w:pPr>
            <w:r>
              <w:rPr>
                <w:rFonts w:ascii="Arial" w:cs="Arial" w:eastAsia="Arial" w:hAnsi="Arial"/>
                <w:sz w:val="18"/>
                <w:szCs w:val="18"/>
                <w:color w:val="auto"/>
                <w:w w:val="89"/>
              </w:rPr>
              <w:t>Common Stock, par value $0.01 per share</w:t>
            </w:r>
          </w:p>
        </w:tc>
        <w:tc>
          <w:tcPr>
            <w:tcW w:w="2060" w:type="dxa"/>
            <w:vAlign w:val="bottom"/>
            <w:gridSpan w:val="2"/>
          </w:tcPr>
          <w:p>
            <w:pPr>
              <w:jc w:val="center"/>
              <w:ind w:right="580"/>
              <w:spacing w:after="0"/>
              <w:rPr>
                <w:sz w:val="20"/>
                <w:szCs w:val="20"/>
                <w:color w:val="auto"/>
              </w:rPr>
            </w:pPr>
            <w:r>
              <w:rPr>
                <w:rFonts w:ascii="Arial" w:cs="Arial" w:eastAsia="Arial" w:hAnsi="Arial"/>
                <w:sz w:val="18"/>
                <w:szCs w:val="18"/>
                <w:color w:val="auto"/>
              </w:rPr>
              <w:t>MTRX</w:t>
            </w:r>
          </w:p>
        </w:tc>
        <w:tc>
          <w:tcPr>
            <w:tcW w:w="60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48" w:lineRule="exact"/>
        <w:rPr>
          <w:sz w:val="24"/>
          <w:szCs w:val="24"/>
          <w:color w:val="auto"/>
        </w:rPr>
      </w:pPr>
    </w:p>
    <w:p>
      <w:pPr>
        <w:ind w:right="180"/>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35" w:lineRule="exact"/>
        <w:rPr>
          <w:sz w:val="24"/>
          <w:szCs w:val="24"/>
          <w:color w:val="auto"/>
        </w:rPr>
      </w:pPr>
    </w:p>
    <w:p>
      <w:pPr>
        <w:ind w:right="240"/>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47"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3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3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27" w:lineRule="exact"/>
        <w:rPr>
          <w:sz w:val="24"/>
          <w:szCs w:val="24"/>
          <w:color w:val="auto"/>
        </w:rPr>
      </w:pPr>
    </w:p>
    <w:p>
      <w:pPr>
        <w:ind w:right="4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4" w:lineRule="exact"/>
        <w:rPr>
          <w:sz w:val="24"/>
          <w:szCs w:val="24"/>
          <w:color w:val="auto"/>
        </w:rPr>
      </w:pPr>
    </w:p>
    <w:p>
      <w:pPr>
        <w:spacing w:after="0" w:line="242" w:lineRule="exact"/>
        <w:tabs>
          <w:tab w:leader="none" w:pos="8340" w:val="left"/>
          <w:tab w:leader="none" w:pos="90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130" w:lineRule="exact"/>
        <w:rPr>
          <w:sz w:val="24"/>
          <w:szCs w:val="24"/>
          <w:color w:val="auto"/>
        </w:rPr>
      </w:pPr>
    </w:p>
    <w:p>
      <w:pPr>
        <w:ind w:right="760"/>
        <w:spacing w:after="0" w:line="277" w:lineRule="auto"/>
        <w:rPr>
          <w:sz w:val="20"/>
          <w:szCs w:val="20"/>
          <w:color w:val="auto"/>
        </w:rPr>
      </w:pPr>
      <w:r>
        <w:rPr>
          <w:rFonts w:ascii="Arial" w:cs="Arial" w:eastAsia="Arial" w:hAnsi="Arial"/>
          <w:sz w:val="18"/>
          <w:szCs w:val="18"/>
          <w:color w:val="auto"/>
        </w:rPr>
        <w:t>As of February 5, 2021 there were 27,888,217 shares of the Company’s common stock, $0.01 par value per share, issued and 26,510,217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476" w:right="45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ind w:left="260"/>
              <w:spacing w:after="0"/>
              <w:rPr>
                <w:sz w:val="20"/>
                <w:szCs w:val="20"/>
                <w:color w:val="auto"/>
              </w:rPr>
            </w:pPr>
            <w:r>
              <w:rPr>
                <w:rFonts w:ascii="Arial" w:cs="Arial" w:eastAsia="Arial" w:hAnsi="Arial"/>
                <w:sz w:val="14"/>
                <w:szCs w:val="14"/>
                <w:b w:val="1"/>
                <w:bCs w:val="1"/>
                <w:color w:val="auto"/>
              </w:rPr>
              <w:t>PAGE</w:t>
            </w:r>
          </w:p>
        </w:tc>
      </w:tr>
      <w:tr>
        <w:trPr>
          <w:trHeight w:val="242"/>
        </w:trPr>
        <w:tc>
          <w:tcPr>
            <w:tcW w:w="1000" w:type="dxa"/>
            <w:vAlign w:val="bottom"/>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w:t>
              </w:r>
            </w:hyperlink>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5920" w:type="dxa"/>
            <w:vAlign w:val="bottom"/>
            <w:gridSpan w:val="8"/>
          </w:tcPr>
          <w:p>
            <w:pPr>
              <w:jc w:val="center"/>
              <w:ind w:right="3340"/>
              <w:spacing w:after="0"/>
              <w:rPr>
                <w:sz w:val="20"/>
                <w:szCs w:val="20"/>
                <w:color w:val="auto"/>
              </w:rPr>
            </w:pPr>
            <w:r>
              <w:rPr>
                <w:rFonts w:ascii="Arial" w:cs="Arial" w:eastAsia="Arial" w:hAnsi="Arial"/>
                <w:sz w:val="18"/>
                <w:szCs w:val="18"/>
                <w:b w:val="1"/>
                <w:bCs w:val="1"/>
                <w:color w:val="auto"/>
              </w:rPr>
              <w:t>FINANCIAL INFORMATION</w:t>
            </w:r>
          </w:p>
        </w:tc>
        <w:tc>
          <w:tcPr>
            <w:tcW w:w="960" w:type="dxa"/>
            <w:vAlign w:val="bottom"/>
          </w:tcPr>
          <w:p>
            <w:pPr>
              <w:spacing w:after="0"/>
              <w:rPr>
                <w:sz w:val="21"/>
                <w:szCs w:val="21"/>
                <w:color w:val="auto"/>
              </w:rPr>
            </w:pPr>
          </w:p>
        </w:tc>
      </w:tr>
      <w:tr>
        <w:trPr>
          <w:trHeight w:val="283"/>
        </w:trPr>
        <w:tc>
          <w:tcPr>
            <w:tcW w:w="1000" w:type="dxa"/>
            <w:vAlign w:val="bottom"/>
          </w:tcPr>
          <w:p>
            <w:pPr>
              <w:ind w:left="20"/>
              <w:spacing w:after="0"/>
              <w:rPr>
                <w:sz w:val="20"/>
                <w:szCs w:val="20"/>
                <w:color w:val="auto"/>
              </w:rPr>
            </w:pPr>
            <w:r>
              <w:rPr>
                <w:rFonts w:ascii="Arial" w:cs="Arial" w:eastAsia="Arial" w:hAnsi="Arial"/>
                <w:sz w:val="18"/>
                <w:szCs w:val="18"/>
                <w:color w:val="auto"/>
              </w:rPr>
              <w:t>Item 1.</w:t>
            </w:r>
          </w:p>
        </w:tc>
        <w:tc>
          <w:tcPr>
            <w:tcW w:w="9280" w:type="dxa"/>
            <w:vAlign w:val="bottom"/>
            <w:gridSpan w:val="11"/>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(Unaudited)</w:t>
              </w:r>
            </w:hyperlink>
          </w:p>
        </w:tc>
        <w:tc>
          <w:tcPr>
            <w:tcW w:w="960" w:type="dxa"/>
            <w:vAlign w:val="bottom"/>
          </w:tcPr>
          <w:p>
            <w:pPr>
              <w:spacing w:after="0"/>
              <w:rPr>
                <w:sz w:val="24"/>
                <w:szCs w:val="24"/>
                <w:color w:val="auto"/>
              </w:rPr>
            </w:pPr>
          </w:p>
        </w:tc>
      </w:tr>
      <w:tr>
        <w:trPr>
          <w:trHeight w:val="243"/>
        </w:trPr>
        <w:tc>
          <w:tcPr>
            <w:tcW w:w="1000" w:type="dxa"/>
            <w:vAlign w:val="bottom"/>
          </w:tcPr>
          <w:p>
            <w:pPr>
              <w:spacing w:after="0"/>
              <w:rPr>
                <w:sz w:val="21"/>
                <w:szCs w:val="21"/>
                <w:color w:val="auto"/>
              </w:rPr>
            </w:pPr>
          </w:p>
        </w:tc>
        <w:tc>
          <w:tcPr>
            <w:tcW w:w="9280" w:type="dxa"/>
            <w:vAlign w:val="bottom"/>
            <w:gridSpan w:val="1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Statements of Income for the Three and Six Months Ended December </w:t>
              </w:r>
            </w:hyperlink>
            <w:r>
              <w:rPr>
                <w:rFonts w:ascii="Arial" w:cs="Arial" w:eastAsia="Arial" w:hAnsi="Arial"/>
                <w:sz w:val="18"/>
                <w:szCs w:val="18"/>
                <w:color w:val="0000FF"/>
              </w:rPr>
              <w:t>31</w:t>
            </w:r>
            <w:hyperlink w:anchor="page3">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 and 2019</w:t>
              </w:r>
            </w:hyperlink>
          </w:p>
        </w:tc>
        <w:tc>
          <w:tcPr>
            <w:tcW w:w="960" w:type="dxa"/>
            <w:vAlign w:val="bottom"/>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1</w:t>
              </w:r>
            </w:hyperlink>
          </w:p>
        </w:tc>
      </w:tr>
      <w:tr>
        <w:trPr>
          <w:trHeight w:val="20"/>
        </w:trPr>
        <w:tc>
          <w:tcPr>
            <w:tcW w:w="10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63"/>
        </w:trPr>
        <w:tc>
          <w:tcPr>
            <w:tcW w:w="1000" w:type="dxa"/>
            <w:vAlign w:val="bottom"/>
          </w:tcPr>
          <w:p>
            <w:pPr>
              <w:spacing w:after="0"/>
              <w:rPr>
                <w:sz w:val="22"/>
                <w:szCs w:val="22"/>
                <w:color w:val="auto"/>
              </w:rPr>
            </w:pPr>
          </w:p>
        </w:tc>
        <w:tc>
          <w:tcPr>
            <w:tcW w:w="9280" w:type="dxa"/>
            <w:vAlign w:val="bottom"/>
            <w:gridSpan w:val="11"/>
          </w:tcPr>
          <w:p>
            <w:pPr>
              <w:spacing w:after="0"/>
              <w:rPr>
                <w:rFonts w:ascii="Arial" w:cs="Arial" w:eastAsia="Arial" w:hAnsi="Arial"/>
                <w:sz w:val="18"/>
                <w:szCs w:val="18"/>
                <w:color w:val="0000FF"/>
                <w:w w:val="92"/>
              </w:rPr>
            </w:pPr>
            <w:hyperlink w:anchor="page3">
              <w:r>
                <w:rPr>
                  <w:rFonts w:ascii="Arial" w:cs="Arial" w:eastAsia="Arial" w:hAnsi="Arial"/>
                  <w:sz w:val="18"/>
                  <w:szCs w:val="18"/>
                  <w:u w:val="single" w:color="auto"/>
                  <w:color w:val="0000FF"/>
                  <w:w w:val="92"/>
                </w:rPr>
                <w:t>Condensed Consolidated Statements of Comprehensive Income for the Three</w:t>
              </w:r>
              <w:r>
                <w:rPr>
                  <w:rFonts w:ascii="Arial" w:cs="Arial" w:eastAsia="Arial" w:hAnsi="Arial"/>
                  <w:sz w:val="18"/>
                  <w:szCs w:val="18"/>
                  <w:color w:val="0000FF"/>
                  <w:w w:val="92"/>
                </w:rPr>
                <w:t xml:space="preserve"> and Six Months Ended December 31, 2020 and</w:t>
              </w:r>
            </w:hyperlink>
          </w:p>
        </w:tc>
        <w:tc>
          <w:tcPr>
            <w:tcW w:w="960" w:type="dxa"/>
            <w:vAlign w:val="bottom"/>
          </w:tcPr>
          <w:p>
            <w:pPr>
              <w:spacing w:after="0"/>
              <w:rPr>
                <w:sz w:val="22"/>
                <w:szCs w:val="22"/>
                <w:color w:val="auto"/>
              </w:rPr>
            </w:pPr>
          </w:p>
        </w:tc>
      </w:tr>
      <w:tr>
        <w:trPr>
          <w:trHeight w:val="156"/>
        </w:trPr>
        <w:tc>
          <w:tcPr>
            <w:tcW w:w="1000" w:type="dxa"/>
            <w:vAlign w:val="bottom"/>
          </w:tcPr>
          <w:p>
            <w:pPr>
              <w:spacing w:after="0"/>
              <w:rPr>
                <w:sz w:val="13"/>
                <w:szCs w:val="13"/>
                <w:color w:val="auto"/>
              </w:rPr>
            </w:pPr>
          </w:p>
        </w:tc>
        <w:tc>
          <w:tcPr>
            <w:tcW w:w="360" w:type="dxa"/>
            <w:vAlign w:val="bottom"/>
            <w:tcBorders>
              <w:bottom w:val="single" w:sz="8" w:color="0000FF"/>
            </w:tcBorders>
          </w:tcPr>
          <w:p>
            <w:pPr>
              <w:spacing w:after="0" w:line="156" w:lineRule="exact"/>
              <w:rPr>
                <w:rFonts w:ascii="Arial" w:cs="Arial" w:eastAsia="Arial" w:hAnsi="Arial"/>
                <w:sz w:val="18"/>
                <w:szCs w:val="18"/>
                <w:color w:val="0000FF"/>
                <w:w w:val="84"/>
              </w:rPr>
            </w:pPr>
            <w:hyperlink w:anchor="page3">
              <w:r>
                <w:rPr>
                  <w:rFonts w:ascii="Arial" w:cs="Arial" w:eastAsia="Arial" w:hAnsi="Arial"/>
                  <w:sz w:val="18"/>
                  <w:szCs w:val="18"/>
                  <w:color w:val="0000FF"/>
                  <w:w w:val="84"/>
                </w:rPr>
                <w:t>2019</w:t>
              </w:r>
            </w:hyperlink>
          </w:p>
        </w:tc>
        <w:tc>
          <w:tcPr>
            <w:tcW w:w="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8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center"/>
              <w:spacing w:after="0" w:line="156" w:lineRule="exact"/>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2</w:t>
              </w:r>
            </w:hyperlink>
          </w:p>
        </w:tc>
      </w:tr>
      <w:tr>
        <w:trPr>
          <w:trHeight w:val="263"/>
        </w:trPr>
        <w:tc>
          <w:tcPr>
            <w:tcW w:w="1000" w:type="dxa"/>
            <w:vAlign w:val="bottom"/>
          </w:tcPr>
          <w:p>
            <w:pPr>
              <w:spacing w:after="0"/>
              <w:rPr>
                <w:sz w:val="22"/>
                <w:szCs w:val="22"/>
                <w:color w:val="auto"/>
              </w:rPr>
            </w:pPr>
          </w:p>
        </w:tc>
        <w:tc>
          <w:tcPr>
            <w:tcW w:w="9280" w:type="dxa"/>
            <w:vAlign w:val="bottom"/>
            <w:gridSpan w:val="11"/>
          </w:tcPr>
          <w:p>
            <w:pPr>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Condensed Consolidated Balance Sheets as of</w:t>
              </w:r>
              <w:r>
                <w:rPr>
                  <w:rFonts w:ascii="Arial" w:cs="Arial" w:eastAsia="Arial" w:hAnsi="Arial"/>
                  <w:sz w:val="18"/>
                  <w:szCs w:val="18"/>
                  <w:color w:val="0000FF"/>
                </w:rPr>
                <w:t xml:space="preserve"> December </w:t>
              </w:r>
            </w:hyperlink>
            <w:r>
              <w:rPr>
                <w:rFonts w:ascii="Arial" w:cs="Arial" w:eastAsia="Arial" w:hAnsi="Arial"/>
                <w:sz w:val="18"/>
                <w:szCs w:val="18"/>
                <w:color w:val="0000FF"/>
              </w:rPr>
              <w:t>31</w:t>
            </w:r>
            <w:hyperlink w:anchor="page4">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 and June 30, 2020</w:t>
              </w:r>
            </w:hyperlink>
          </w:p>
        </w:tc>
        <w:tc>
          <w:tcPr>
            <w:tcW w:w="960" w:type="dxa"/>
            <w:vAlign w:val="bottom"/>
          </w:tcPr>
          <w:p>
            <w:pPr>
              <w:jc w:val="cente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3</w:t>
              </w:r>
            </w:hyperlink>
          </w:p>
        </w:tc>
      </w:tr>
      <w:tr>
        <w:trPr>
          <w:trHeight w:val="20"/>
        </w:trPr>
        <w:tc>
          <w:tcPr>
            <w:tcW w:w="10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9280" w:type="dxa"/>
            <w:vAlign w:val="bottom"/>
            <w:gridSpan w:val="11"/>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Statements of Cash Flows for the Six Months Ended December 31, </w:t>
              </w:r>
              <w:r>
                <w:rPr>
                  <w:rFonts w:ascii="Arial" w:cs="Arial" w:eastAsia="Arial" w:hAnsi="Arial"/>
                  <w:sz w:val="18"/>
                  <w:szCs w:val="18"/>
                  <w:u w:val="single" w:color="auto"/>
                  <w:color w:val="0000FF"/>
                </w:rPr>
                <w:t>2020 and 2019</w:t>
              </w:r>
            </w:hyperlink>
          </w:p>
        </w:tc>
        <w:tc>
          <w:tcPr>
            <w:tcW w:w="960" w:type="dxa"/>
            <w:vAlign w:val="bottom"/>
          </w:tcPr>
          <w:p>
            <w:pPr>
              <w:jc w:val="center"/>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5</w:t>
              </w:r>
            </w:hyperlink>
          </w:p>
        </w:tc>
      </w:tr>
      <w:tr>
        <w:trPr>
          <w:trHeight w:val="20"/>
        </w:trPr>
        <w:tc>
          <w:tcPr>
            <w:tcW w:w="10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520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63"/>
        </w:trPr>
        <w:tc>
          <w:tcPr>
            <w:tcW w:w="1000" w:type="dxa"/>
            <w:vAlign w:val="bottom"/>
          </w:tcPr>
          <w:p>
            <w:pPr>
              <w:spacing w:after="0"/>
              <w:rPr>
                <w:sz w:val="22"/>
                <w:szCs w:val="22"/>
                <w:color w:val="auto"/>
              </w:rPr>
            </w:pPr>
          </w:p>
        </w:tc>
        <w:tc>
          <w:tcPr>
            <w:tcW w:w="9280" w:type="dxa"/>
            <w:vAlign w:val="bottom"/>
            <w:gridSpan w:val="11"/>
          </w:tcPr>
          <w:p>
            <w:pPr>
              <w:spacing w:after="0"/>
              <w:rPr>
                <w:rFonts w:ascii="Arial" w:cs="Arial" w:eastAsia="Arial" w:hAnsi="Arial"/>
                <w:sz w:val="18"/>
                <w:szCs w:val="18"/>
                <w:color w:val="0000FF"/>
                <w:w w:val="93"/>
              </w:rPr>
            </w:pPr>
            <w:hyperlink w:anchor="page8">
              <w:r>
                <w:rPr>
                  <w:rFonts w:ascii="Arial" w:cs="Arial" w:eastAsia="Arial" w:hAnsi="Arial"/>
                  <w:sz w:val="18"/>
                  <w:szCs w:val="18"/>
                  <w:u w:val="single" w:color="auto"/>
                  <w:color w:val="0000FF"/>
                  <w:w w:val="93"/>
                </w:rPr>
                <w:t>Condensed Consolidated Statements of Changes in Stockholders’ Equity for the Three</w:t>
              </w:r>
              <w:r>
                <w:rPr>
                  <w:rFonts w:ascii="Arial" w:cs="Arial" w:eastAsia="Arial" w:hAnsi="Arial"/>
                  <w:sz w:val="18"/>
                  <w:szCs w:val="18"/>
                  <w:color w:val="0000FF"/>
                  <w:w w:val="93"/>
                </w:rPr>
                <w:t xml:space="preserve"> and Six Months Ended December 31,</w:t>
              </w:r>
            </w:hyperlink>
          </w:p>
        </w:tc>
        <w:tc>
          <w:tcPr>
            <w:tcW w:w="960" w:type="dxa"/>
            <w:vAlign w:val="bottom"/>
          </w:tcPr>
          <w:p>
            <w:pPr>
              <w:spacing w:after="0"/>
              <w:rPr>
                <w:sz w:val="22"/>
                <w:szCs w:val="22"/>
                <w:color w:val="auto"/>
              </w:rPr>
            </w:pPr>
          </w:p>
        </w:tc>
      </w:tr>
      <w:tr>
        <w:trPr>
          <w:trHeight w:val="155"/>
        </w:trPr>
        <w:tc>
          <w:tcPr>
            <w:tcW w:w="1000" w:type="dxa"/>
            <w:vAlign w:val="bottom"/>
          </w:tcPr>
          <w:p>
            <w:pPr>
              <w:spacing w:after="0"/>
              <w:rPr>
                <w:sz w:val="13"/>
                <w:szCs w:val="13"/>
                <w:color w:val="auto"/>
              </w:rPr>
            </w:pPr>
          </w:p>
        </w:tc>
        <w:tc>
          <w:tcPr>
            <w:tcW w:w="6260" w:type="dxa"/>
            <w:vAlign w:val="bottom"/>
            <w:gridSpan w:val="6"/>
          </w:tcPr>
          <w:p>
            <w:pPr>
              <w:spacing w:after="0" w:line="156" w:lineRule="exact"/>
              <w:rPr>
                <w:rFonts w:ascii="Arial" w:cs="Arial" w:eastAsia="Arial" w:hAnsi="Arial"/>
                <w:sz w:val="18"/>
                <w:szCs w:val="18"/>
                <w:color w:val="0000FF"/>
              </w:rPr>
            </w:pPr>
            <w:hyperlink w:anchor="page8">
              <w:r>
                <w:rPr>
                  <w:rFonts w:ascii="Arial" w:cs="Arial" w:eastAsia="Arial" w:hAnsi="Arial"/>
                  <w:sz w:val="18"/>
                  <w:szCs w:val="18"/>
                  <w:color w:val="0000FF"/>
                </w:rPr>
                <w:t>2020 and 2019</w:t>
              </w:r>
            </w:hyperlink>
          </w:p>
        </w:tc>
        <w:tc>
          <w:tcPr>
            <w:tcW w:w="2700" w:type="dxa"/>
            <w:vAlign w:val="bottom"/>
            <w:tcBorders>
              <w:top w:val="single" w:sz="8" w:color="0000FF"/>
            </w:tcBorders>
            <w:gridSpan w:val="3"/>
          </w:tcPr>
          <w:p>
            <w:pPr>
              <w:spacing w:after="0"/>
              <w:rPr>
                <w:sz w:val="13"/>
                <w:szCs w:val="13"/>
                <w:color w:val="auto"/>
              </w:rPr>
            </w:pPr>
          </w:p>
        </w:tc>
        <w:tc>
          <w:tcPr>
            <w:tcW w:w="320" w:type="dxa"/>
            <w:vAlign w:val="bottom"/>
            <w:gridSpan w:val="2"/>
          </w:tcPr>
          <w:p>
            <w:pPr>
              <w:spacing w:after="0"/>
              <w:rPr>
                <w:sz w:val="13"/>
                <w:szCs w:val="13"/>
                <w:color w:val="auto"/>
              </w:rPr>
            </w:pPr>
          </w:p>
        </w:tc>
        <w:tc>
          <w:tcPr>
            <w:tcW w:w="960" w:type="dxa"/>
            <w:vAlign w:val="bottom"/>
          </w:tcPr>
          <w:p>
            <w:pPr>
              <w:jc w:val="center"/>
              <w:spacing w:after="0" w:line="156" w:lineRule="exact"/>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6</w:t>
              </w:r>
            </w:hyperlink>
          </w:p>
        </w:tc>
      </w:tr>
      <w:tr>
        <w:trPr>
          <w:trHeight w:val="20"/>
        </w:trPr>
        <w:tc>
          <w:tcPr>
            <w:tcW w:w="10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22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9280" w:type="dxa"/>
            <w:vAlign w:val="bottom"/>
            <w:gridSpan w:val="11"/>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Notes to Condensed Consolidated Financial Statements</w:t>
              </w:r>
            </w:hyperlink>
          </w:p>
        </w:tc>
        <w:tc>
          <w:tcPr>
            <w:tcW w:w="960" w:type="dxa"/>
            <w:vAlign w:val="bottom"/>
          </w:tcPr>
          <w:p>
            <w:pPr>
              <w:jc w:val="center"/>
              <w:spacing w:after="0"/>
              <w:rPr>
                <w:rFonts w:ascii="Arial" w:cs="Arial" w:eastAsia="Arial" w:hAnsi="Arial"/>
                <w:sz w:val="18"/>
                <w:szCs w:val="18"/>
                <w:u w:val="single" w:color="auto"/>
                <w:color w:val="0000FF"/>
                <w:w w:val="99"/>
              </w:rPr>
            </w:pPr>
            <w:hyperlink w:anchor="page10">
              <w:r>
                <w:rPr>
                  <w:rFonts w:ascii="Arial" w:cs="Arial" w:eastAsia="Arial" w:hAnsi="Arial"/>
                  <w:sz w:val="18"/>
                  <w:szCs w:val="18"/>
                  <w:u w:val="single" w:color="auto"/>
                  <w:color w:val="0000FF"/>
                  <w:w w:val="99"/>
                </w:rPr>
                <w:t>9</w:t>
              </w:r>
            </w:hyperlink>
          </w:p>
        </w:tc>
      </w:tr>
      <w:tr>
        <w:trPr>
          <w:trHeight w:val="284"/>
        </w:trPr>
        <w:tc>
          <w:tcPr>
            <w:tcW w:w="1000" w:type="dxa"/>
            <w:vAlign w:val="bottom"/>
          </w:tcPr>
          <w:p>
            <w:pPr>
              <w:ind w:left="20"/>
              <w:spacing w:after="0"/>
              <w:rPr>
                <w:sz w:val="20"/>
                <w:szCs w:val="20"/>
                <w:color w:val="auto"/>
              </w:rPr>
            </w:pPr>
            <w:r>
              <w:rPr>
                <w:rFonts w:ascii="Arial" w:cs="Arial" w:eastAsia="Arial" w:hAnsi="Arial"/>
                <w:sz w:val="18"/>
                <w:szCs w:val="18"/>
                <w:color w:val="auto"/>
              </w:rPr>
              <w:t>Item 2.</w:t>
            </w:r>
          </w:p>
        </w:tc>
        <w:tc>
          <w:tcPr>
            <w:tcW w:w="9280" w:type="dxa"/>
            <w:vAlign w:val="bottom"/>
            <w:gridSpan w:val="11"/>
          </w:tcPr>
          <w:p>
            <w:pPr>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Management’s Discussion and Analysis of Financial Condition and Results of Operations</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23">
              <w:r>
                <w:rPr>
                  <w:rFonts w:ascii="Arial" w:cs="Arial" w:eastAsia="Arial" w:hAnsi="Arial"/>
                  <w:sz w:val="18"/>
                  <w:szCs w:val="18"/>
                  <w:u w:val="single" w:color="auto"/>
                  <w:color w:val="0000FF"/>
                  <w:w w:val="89"/>
                </w:rPr>
                <w:t>22</w:t>
              </w:r>
            </w:hyperlink>
          </w:p>
        </w:tc>
      </w:tr>
      <w:tr>
        <w:trPr>
          <w:trHeight w:val="283"/>
        </w:trPr>
        <w:tc>
          <w:tcPr>
            <w:tcW w:w="1000" w:type="dxa"/>
            <w:vAlign w:val="bottom"/>
          </w:tcPr>
          <w:p>
            <w:pPr>
              <w:ind w:left="20"/>
              <w:spacing w:after="0"/>
              <w:rPr>
                <w:sz w:val="20"/>
                <w:szCs w:val="20"/>
                <w:color w:val="auto"/>
              </w:rPr>
            </w:pPr>
            <w:r>
              <w:rPr>
                <w:rFonts w:ascii="Arial" w:cs="Arial" w:eastAsia="Arial" w:hAnsi="Arial"/>
                <w:sz w:val="18"/>
                <w:szCs w:val="18"/>
                <w:color w:val="auto"/>
              </w:rPr>
              <w:t>Item 3.</w:t>
            </w:r>
          </w:p>
        </w:tc>
        <w:tc>
          <w:tcPr>
            <w:tcW w:w="9280" w:type="dxa"/>
            <w:vAlign w:val="bottom"/>
            <w:gridSpan w:val="11"/>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Quantitative and Qualitative Disclosures About Market Risk</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40">
              <w:r>
                <w:rPr>
                  <w:rFonts w:ascii="Arial" w:cs="Arial" w:eastAsia="Arial" w:hAnsi="Arial"/>
                  <w:sz w:val="18"/>
                  <w:szCs w:val="18"/>
                  <w:u w:val="single" w:color="auto"/>
                  <w:color w:val="0000FF"/>
                  <w:w w:val="89"/>
                </w:rPr>
                <w:t>38</w:t>
              </w:r>
            </w:hyperlink>
          </w:p>
        </w:tc>
      </w:tr>
      <w:tr>
        <w:trPr>
          <w:trHeight w:val="283"/>
        </w:trPr>
        <w:tc>
          <w:tcPr>
            <w:tcW w:w="1000" w:type="dxa"/>
            <w:vAlign w:val="bottom"/>
          </w:tcPr>
          <w:p>
            <w:pPr>
              <w:ind w:left="20"/>
              <w:spacing w:after="0"/>
              <w:rPr>
                <w:sz w:val="20"/>
                <w:szCs w:val="20"/>
                <w:color w:val="auto"/>
              </w:rPr>
            </w:pPr>
            <w:r>
              <w:rPr>
                <w:rFonts w:ascii="Arial" w:cs="Arial" w:eastAsia="Arial" w:hAnsi="Arial"/>
                <w:sz w:val="18"/>
                <w:szCs w:val="18"/>
                <w:color w:val="auto"/>
              </w:rPr>
              <w:t>Item 4.</w:t>
            </w:r>
          </w:p>
        </w:tc>
        <w:tc>
          <w:tcPr>
            <w:tcW w:w="9280" w:type="dxa"/>
            <w:vAlign w:val="bottom"/>
            <w:gridSpan w:val="11"/>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Controls and Procedures</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40">
              <w:r>
                <w:rPr>
                  <w:rFonts w:ascii="Arial" w:cs="Arial" w:eastAsia="Arial" w:hAnsi="Arial"/>
                  <w:sz w:val="18"/>
                  <w:szCs w:val="18"/>
                  <w:u w:val="single" w:color="auto"/>
                  <w:color w:val="0000FF"/>
                  <w:w w:val="89"/>
                </w:rPr>
                <w:t>38</w:t>
              </w:r>
            </w:hyperlink>
          </w:p>
        </w:tc>
      </w:tr>
      <w:tr>
        <w:trPr>
          <w:trHeight w:val="499"/>
        </w:trPr>
        <w:tc>
          <w:tcPr>
            <w:tcW w:w="1000" w:type="dxa"/>
            <w:vAlign w:val="bottom"/>
          </w:tcPr>
          <w:p>
            <w:pPr>
              <w:ind w:left="20"/>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PART II</w:t>
              </w:r>
            </w:hyperlink>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920" w:type="dxa"/>
            <w:vAlign w:val="bottom"/>
            <w:gridSpan w:val="8"/>
          </w:tcPr>
          <w:p>
            <w:pPr>
              <w:jc w:val="center"/>
              <w:ind w:right="3340"/>
              <w:spacing w:after="0"/>
              <w:rPr>
                <w:sz w:val="20"/>
                <w:szCs w:val="20"/>
                <w:color w:val="auto"/>
              </w:rPr>
            </w:pPr>
            <w:r>
              <w:rPr>
                <w:rFonts w:ascii="Arial" w:cs="Arial" w:eastAsia="Arial" w:hAnsi="Arial"/>
                <w:sz w:val="18"/>
                <w:szCs w:val="18"/>
                <w:b w:val="1"/>
                <w:bCs w:val="1"/>
                <w:color w:val="auto"/>
              </w:rPr>
              <w:t>OTHER INFORMATION</w:t>
            </w:r>
          </w:p>
        </w:tc>
        <w:tc>
          <w:tcPr>
            <w:tcW w:w="960" w:type="dxa"/>
            <w:vAlign w:val="bottom"/>
          </w:tcPr>
          <w:p>
            <w:pPr>
              <w:spacing w:after="0"/>
              <w:rPr>
                <w:sz w:val="24"/>
                <w:szCs w:val="24"/>
                <w:color w:val="auto"/>
              </w:rPr>
            </w:pPr>
          </w:p>
        </w:tc>
      </w:tr>
      <w:tr>
        <w:trPr>
          <w:trHeight w:val="283"/>
        </w:trPr>
        <w:tc>
          <w:tcPr>
            <w:tcW w:w="1000" w:type="dxa"/>
            <w:vAlign w:val="bottom"/>
          </w:tcPr>
          <w:p>
            <w:pPr>
              <w:ind w:left="20"/>
              <w:spacing w:after="0"/>
              <w:rPr>
                <w:sz w:val="20"/>
                <w:szCs w:val="20"/>
                <w:color w:val="auto"/>
              </w:rPr>
            </w:pPr>
            <w:r>
              <w:rPr>
                <w:rFonts w:ascii="Arial" w:cs="Arial" w:eastAsia="Arial" w:hAnsi="Arial"/>
                <w:sz w:val="18"/>
                <w:szCs w:val="18"/>
                <w:color w:val="auto"/>
              </w:rPr>
              <w:t>Item 1.</w:t>
            </w:r>
          </w:p>
        </w:tc>
        <w:tc>
          <w:tcPr>
            <w:tcW w:w="9280" w:type="dxa"/>
            <w:vAlign w:val="bottom"/>
            <w:gridSpan w:val="11"/>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Legal Proceedings</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39</w:t>
              </w:r>
            </w:hyperlink>
          </w:p>
        </w:tc>
      </w:tr>
      <w:tr>
        <w:trPr>
          <w:trHeight w:val="284"/>
        </w:trPr>
        <w:tc>
          <w:tcPr>
            <w:tcW w:w="1000" w:type="dxa"/>
            <w:vAlign w:val="bottom"/>
          </w:tcPr>
          <w:p>
            <w:pPr>
              <w:ind w:left="20"/>
              <w:spacing w:after="0"/>
              <w:rPr>
                <w:sz w:val="20"/>
                <w:szCs w:val="20"/>
                <w:color w:val="auto"/>
              </w:rPr>
            </w:pPr>
            <w:r>
              <w:rPr>
                <w:rFonts w:ascii="Arial" w:cs="Arial" w:eastAsia="Arial" w:hAnsi="Arial"/>
                <w:sz w:val="18"/>
                <w:szCs w:val="18"/>
                <w:color w:val="auto"/>
              </w:rPr>
              <w:t>Item 1A.</w:t>
            </w:r>
          </w:p>
        </w:tc>
        <w:tc>
          <w:tcPr>
            <w:tcW w:w="9280" w:type="dxa"/>
            <w:vAlign w:val="bottom"/>
            <w:gridSpan w:val="11"/>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Risk Factors</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39</w:t>
              </w:r>
            </w:hyperlink>
          </w:p>
        </w:tc>
      </w:tr>
      <w:tr>
        <w:trPr>
          <w:trHeight w:val="283"/>
        </w:trPr>
        <w:tc>
          <w:tcPr>
            <w:tcW w:w="1000" w:type="dxa"/>
            <w:vAlign w:val="bottom"/>
          </w:tcPr>
          <w:p>
            <w:pPr>
              <w:ind w:left="20"/>
              <w:spacing w:after="0"/>
              <w:rPr>
                <w:sz w:val="20"/>
                <w:szCs w:val="20"/>
                <w:color w:val="auto"/>
              </w:rPr>
            </w:pPr>
            <w:r>
              <w:rPr>
                <w:rFonts w:ascii="Arial" w:cs="Arial" w:eastAsia="Arial" w:hAnsi="Arial"/>
                <w:sz w:val="18"/>
                <w:szCs w:val="18"/>
                <w:color w:val="auto"/>
              </w:rPr>
              <w:t>Item 2.</w:t>
            </w:r>
          </w:p>
        </w:tc>
        <w:tc>
          <w:tcPr>
            <w:tcW w:w="9280" w:type="dxa"/>
            <w:vAlign w:val="bottom"/>
            <w:gridSpan w:val="11"/>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Unregistered Sales of Equity Securities and Use of Proceeds</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39</w:t>
              </w:r>
            </w:hyperlink>
          </w:p>
        </w:tc>
      </w:tr>
      <w:tr>
        <w:trPr>
          <w:trHeight w:val="283"/>
        </w:trPr>
        <w:tc>
          <w:tcPr>
            <w:tcW w:w="1000" w:type="dxa"/>
            <w:vAlign w:val="bottom"/>
          </w:tcPr>
          <w:p>
            <w:pPr>
              <w:ind w:left="20"/>
              <w:spacing w:after="0"/>
              <w:rPr>
                <w:sz w:val="20"/>
                <w:szCs w:val="20"/>
                <w:color w:val="auto"/>
              </w:rPr>
            </w:pPr>
            <w:r>
              <w:rPr>
                <w:rFonts w:ascii="Arial" w:cs="Arial" w:eastAsia="Arial" w:hAnsi="Arial"/>
                <w:sz w:val="18"/>
                <w:szCs w:val="18"/>
                <w:color w:val="auto"/>
              </w:rPr>
              <w:t>Item 3.</w:t>
            </w:r>
          </w:p>
        </w:tc>
        <w:tc>
          <w:tcPr>
            <w:tcW w:w="9280" w:type="dxa"/>
            <w:vAlign w:val="bottom"/>
            <w:gridSpan w:val="11"/>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Defaults Upon Senior Securities</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40</w:t>
              </w:r>
            </w:hyperlink>
          </w:p>
        </w:tc>
      </w:tr>
      <w:tr>
        <w:trPr>
          <w:trHeight w:val="283"/>
        </w:trPr>
        <w:tc>
          <w:tcPr>
            <w:tcW w:w="1000" w:type="dxa"/>
            <w:vAlign w:val="bottom"/>
          </w:tcPr>
          <w:p>
            <w:pPr>
              <w:ind w:left="20"/>
              <w:spacing w:after="0"/>
              <w:rPr>
                <w:sz w:val="20"/>
                <w:szCs w:val="20"/>
                <w:color w:val="auto"/>
              </w:rPr>
            </w:pPr>
            <w:r>
              <w:rPr>
                <w:rFonts w:ascii="Arial" w:cs="Arial" w:eastAsia="Arial" w:hAnsi="Arial"/>
                <w:sz w:val="18"/>
                <w:szCs w:val="18"/>
                <w:color w:val="auto"/>
              </w:rPr>
              <w:t>Item 4.</w:t>
            </w:r>
          </w:p>
        </w:tc>
        <w:tc>
          <w:tcPr>
            <w:tcW w:w="9280" w:type="dxa"/>
            <w:vAlign w:val="bottom"/>
            <w:gridSpan w:val="11"/>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Mine Safety Disclosures</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40</w:t>
              </w:r>
            </w:hyperlink>
          </w:p>
        </w:tc>
      </w:tr>
      <w:tr>
        <w:trPr>
          <w:trHeight w:val="284"/>
        </w:trPr>
        <w:tc>
          <w:tcPr>
            <w:tcW w:w="1000" w:type="dxa"/>
            <w:vAlign w:val="bottom"/>
          </w:tcPr>
          <w:p>
            <w:pPr>
              <w:ind w:left="20"/>
              <w:spacing w:after="0"/>
              <w:rPr>
                <w:sz w:val="20"/>
                <w:szCs w:val="20"/>
                <w:color w:val="auto"/>
              </w:rPr>
            </w:pPr>
            <w:r>
              <w:rPr>
                <w:rFonts w:ascii="Arial" w:cs="Arial" w:eastAsia="Arial" w:hAnsi="Arial"/>
                <w:sz w:val="18"/>
                <w:szCs w:val="18"/>
                <w:color w:val="auto"/>
              </w:rPr>
              <w:t>Item 5.</w:t>
            </w:r>
          </w:p>
        </w:tc>
        <w:tc>
          <w:tcPr>
            <w:tcW w:w="9280" w:type="dxa"/>
            <w:vAlign w:val="bottom"/>
            <w:gridSpan w:val="11"/>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Other Information</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40</w:t>
              </w:r>
            </w:hyperlink>
          </w:p>
        </w:tc>
      </w:tr>
      <w:tr>
        <w:trPr>
          <w:trHeight w:val="283"/>
        </w:trPr>
        <w:tc>
          <w:tcPr>
            <w:tcW w:w="1000" w:type="dxa"/>
            <w:vAlign w:val="bottom"/>
          </w:tcPr>
          <w:p>
            <w:pPr>
              <w:ind w:left="20"/>
              <w:spacing w:after="0"/>
              <w:rPr>
                <w:sz w:val="20"/>
                <w:szCs w:val="20"/>
                <w:color w:val="auto"/>
              </w:rPr>
            </w:pPr>
            <w:r>
              <w:rPr>
                <w:rFonts w:ascii="Arial" w:cs="Arial" w:eastAsia="Arial" w:hAnsi="Arial"/>
                <w:sz w:val="18"/>
                <w:szCs w:val="18"/>
                <w:color w:val="auto"/>
              </w:rPr>
              <w:t>Item 6.</w:t>
            </w:r>
          </w:p>
        </w:tc>
        <w:tc>
          <w:tcPr>
            <w:tcW w:w="9280" w:type="dxa"/>
            <w:vAlign w:val="bottom"/>
            <w:gridSpan w:val="11"/>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Exhibits</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40</w:t>
              </w:r>
            </w:hyperlink>
          </w:p>
        </w:tc>
      </w:tr>
      <w:tr>
        <w:trPr>
          <w:trHeight w:val="283"/>
        </w:trPr>
        <w:tc>
          <w:tcPr>
            <w:tcW w:w="1000" w:type="dxa"/>
            <w:vAlign w:val="bottom"/>
          </w:tcPr>
          <w:p>
            <w:pPr>
              <w:ind w:left="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Signature</w:t>
              </w:r>
            </w:hyperlink>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center"/>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42</w:t>
              </w:r>
            </w:hyperlink>
          </w:p>
        </w:tc>
      </w:tr>
      <w:tr>
        <w:trPr>
          <w:trHeight w:val="993"/>
        </w:trPr>
        <w:tc>
          <w:tcPr>
            <w:tcW w:w="1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58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Six Months Ended</w:t>
            </w:r>
          </w:p>
        </w:tc>
      </w:tr>
      <w:tr>
        <w:trPr>
          <w:trHeight w:val="134"/>
        </w:trPr>
        <w:tc>
          <w:tcPr>
            <w:tcW w:w="56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52"/>
              <w:spacing w:after="0" w:line="135" w:lineRule="exact"/>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2"/>
              <w:spacing w:after="0" w:line="135" w:lineRule="exact"/>
              <w:rPr>
                <w:sz w:val="20"/>
                <w:szCs w:val="20"/>
                <w:color w:val="auto"/>
              </w:rPr>
            </w:pPr>
            <w:r>
              <w:rPr>
                <w:rFonts w:ascii="Arial" w:cs="Arial" w:eastAsia="Arial" w:hAnsi="Arial"/>
                <w:sz w:val="14"/>
                <w:szCs w:val="14"/>
                <w:b w:val="1"/>
                <w:bCs w:val="1"/>
                <w:color w:val="auto"/>
                <w:w w:val="96"/>
              </w:rPr>
              <w:t>December 31,</w:t>
            </w:r>
          </w:p>
        </w:tc>
      </w:tr>
      <w:tr>
        <w:trPr>
          <w:trHeight w:val="188"/>
        </w:trPr>
        <w:tc>
          <w:tcPr>
            <w:tcW w:w="56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656,774</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320,576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594,308</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62,466</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46,856</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other intangible asset impairments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38,515</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(22,905)</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30"/>
        </w:trPr>
        <w:tc>
          <w:tcPr>
            <w:tcW w:w="56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Loss before income tax benefit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(22,448)</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federal, state and foreign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(21,857)</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5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Basic loss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(0.81)</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loss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26,930</w:t>
            </w:r>
          </w:p>
        </w:tc>
      </w:tr>
      <w:tr>
        <w:trPr>
          <w:trHeight w:val="230"/>
        </w:trPr>
        <w:tc>
          <w:tcPr>
            <w:tcW w:w="5660" w:type="dxa"/>
            <w:vAlign w:val="bottom"/>
          </w:tcPr>
          <w:p>
            <w:pPr>
              <w:ind w:left="3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26,930</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580" w:type="dxa"/>
            <w:vAlign w:val="bottom"/>
            <w:gridSpan w:val="4"/>
          </w:tcPr>
          <w:p>
            <w:pPr>
              <w:jc w:val="right"/>
              <w:ind w:right="71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4"/>
        </w:trPr>
        <w:tc>
          <w:tcPr>
            <w:tcW w:w="56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7"/>
              <w:spacing w:after="0" w:line="135"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7"/>
              <w:spacing w:after="0" w:line="135"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8"/>
        </w:trPr>
        <w:tc>
          <w:tcPr>
            <w:tcW w:w="56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499"/>
              <w:spacing w:after="0"/>
              <w:rPr>
                <w:sz w:val="20"/>
                <w:szCs w:val="20"/>
                <w:color w:val="auto"/>
              </w:rPr>
            </w:pPr>
            <w:r>
              <w:rPr>
                <w:rFonts w:ascii="Arial" w:cs="Arial" w:eastAsia="Arial" w:hAnsi="Arial"/>
                <w:sz w:val="18"/>
                <w:szCs w:val="18"/>
                <w:color w:val="auto"/>
                <w:w w:val="91"/>
              </w:rPr>
              <w:t>(7,628)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(21,857)</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Foreign currency translation gain (net of tax expense of $41 and $53 for</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the three and six months ended December 31, 2020, respectively, and</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5"/>
              </w:rPr>
              <w:t>$59 and $37 for the three and six months ended December 31, 2019,</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center"/>
              <w:ind w:left="539"/>
              <w:spacing w:after="0"/>
              <w:rPr>
                <w:sz w:val="20"/>
                <w:szCs w:val="20"/>
                <w:color w:val="auto"/>
              </w:rPr>
            </w:pPr>
            <w:r>
              <w:rPr>
                <w:rFonts w:ascii="Arial" w:cs="Arial" w:eastAsia="Arial" w:hAnsi="Arial"/>
                <w:sz w:val="18"/>
                <w:szCs w:val="18"/>
                <w:color w:val="auto"/>
                <w:w w:val="88"/>
              </w:rPr>
              <w:t>1,223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center"/>
              <w:ind w:left="499"/>
              <w:spacing w:after="0"/>
              <w:rPr>
                <w:sz w:val="20"/>
                <w:szCs w:val="20"/>
                <w:color w:val="auto"/>
              </w:rPr>
            </w:pPr>
            <w:r>
              <w:rPr>
                <w:rFonts w:ascii="Arial" w:cs="Arial" w:eastAsia="Arial" w:hAnsi="Arial"/>
                <w:sz w:val="18"/>
                <w:szCs w:val="18"/>
                <w:color w:val="auto"/>
                <w:w w:val="91"/>
              </w:rPr>
              <w:t>(6,405)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(21,728)</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w:t>
            </w:r>
          </w:p>
        </w:tc>
      </w:tr>
      <w:tr>
        <w:trPr>
          <w:trHeight w:val="186"/>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211"/>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100,036</w:t>
            </w: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Accounts receivable, less allowances (December 31, 2020—$853 and June 30, 2020—$905)</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151,068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160,671</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59,548</w:t>
            </w: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6,460</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r>
      <w:tr>
        <w:trPr>
          <w:trHeight w:val="229"/>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335,160</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Land and buildings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42,695</w:t>
            </w: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Construction equipment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94,893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94,154</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Transportation equipment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55,864</w:t>
            </w: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Office equipment and software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39,356</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w:t>
            </w:r>
          </w:p>
        </w:tc>
      </w:tr>
      <w:tr>
        <w:trPr>
          <w:trHeight w:val="223"/>
        </w:trPr>
        <w:tc>
          <w:tcPr>
            <w:tcW w:w="8560" w:type="dxa"/>
            <w:vAlign w:val="bottom"/>
          </w:tcPr>
          <w:p>
            <w:pPr>
              <w:ind w:left="140"/>
              <w:spacing w:after="0"/>
              <w:rPr>
                <w:sz w:val="20"/>
                <w:szCs w:val="20"/>
                <w:color w:val="auto"/>
              </w:rPr>
            </w:pPr>
            <w:r>
              <w:rPr>
                <w:rFonts w:ascii="Arial" w:cs="Arial" w:eastAsia="Arial" w:hAnsi="Arial"/>
                <w:sz w:val="18"/>
                <w:szCs w:val="18"/>
                <w:color w:val="auto"/>
              </w:rPr>
              <w:t>Total property, plant and equipment - at cost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234,526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236,496</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(158,774)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(155,748)</w:t>
            </w:r>
          </w:p>
        </w:tc>
      </w:tr>
      <w:tr>
        <w:trPr>
          <w:trHeight w:val="223"/>
        </w:trPr>
        <w:tc>
          <w:tcPr>
            <w:tcW w:w="8560" w:type="dxa"/>
            <w:vAlign w:val="bottom"/>
          </w:tcPr>
          <w:p>
            <w:pPr>
              <w:ind w:left="140"/>
              <w:spacing w:after="0"/>
              <w:rPr>
                <w:sz w:val="20"/>
                <w:szCs w:val="20"/>
                <w:color w:val="auto"/>
              </w:rPr>
            </w:pPr>
            <w:r>
              <w:rPr>
                <w:rFonts w:ascii="Arial" w:cs="Arial" w:eastAsia="Arial" w:hAnsi="Arial"/>
                <w:sz w:val="18"/>
                <w:szCs w:val="18"/>
                <w:color w:val="auto"/>
              </w:rPr>
              <w:t>Property, plant and equipment -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75,752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80,748</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21,375</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60,605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60,369</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 of accumulated amortization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5,988</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4,833</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479,910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517,310</w:t>
            </w:r>
          </w:p>
        </w:tc>
      </w:tr>
      <w:tr>
        <w:trPr>
          <w:trHeight w:val="21"/>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73,094</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62,244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63,889</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wages and benefits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16,205</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Accrued insurance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7,301</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175,947</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19,997</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Borrowings under senior secured revolving credit facility</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9,208</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175,621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209,421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3"/>
              </w:rPr>
              <w:t>Common stock—$.01 par value; 60,000,000 shares authorized; 27,888,217 shares issued as of December 31,</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1"/>
              </w:rPr>
              <w:t>2020 and June 30, 2020; 26,502,960 and 26,141,528 shares outstanding as of December 31, 2020 and June 30,</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133,957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138,966</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206,402</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(8,373)</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337,274</w:t>
            </w:r>
          </w:p>
        </w:tc>
        <w:tc>
          <w:tcPr>
            <w:tcW w:w="0" w:type="dxa"/>
            <w:vAlign w:val="bottom"/>
          </w:tcPr>
          <w:p>
            <w:pPr>
              <w:spacing w:after="0"/>
              <w:rPr>
                <w:sz w:val="1"/>
                <w:szCs w:val="1"/>
                <w:color w:val="auto"/>
              </w:rPr>
            </w:pPr>
          </w:p>
        </w:tc>
      </w:tr>
      <w:tr>
        <w:trPr>
          <w:trHeight w:val="175"/>
        </w:trPr>
        <w:tc>
          <w:tcPr>
            <w:tcW w:w="8560" w:type="dxa"/>
            <w:vAlign w:val="bottom"/>
          </w:tcPr>
          <w:p>
            <w:pPr>
              <w:ind w:left="340"/>
              <w:spacing w:after="0" w:line="176" w:lineRule="exact"/>
              <w:rPr>
                <w:sz w:val="20"/>
                <w:szCs w:val="20"/>
                <w:color w:val="auto"/>
              </w:rPr>
            </w:pPr>
            <w:r>
              <w:rPr>
                <w:rFonts w:ascii="Arial" w:cs="Arial" w:eastAsia="Arial" w:hAnsi="Arial"/>
                <w:sz w:val="18"/>
                <w:szCs w:val="18"/>
                <w:color w:val="auto"/>
                <w:w w:val="90"/>
              </w:rPr>
              <w:t>Less: Treasury stock, at cost — 1,385,257 shares as of December 31, 2020, and 1,746,689 shares as of June 30,</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(21,571)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(29,385)</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304,289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307,889</w:t>
            </w:r>
          </w:p>
        </w:tc>
        <w:tc>
          <w:tcPr>
            <w:tcW w:w="0" w:type="dxa"/>
            <w:vAlign w:val="bottom"/>
          </w:tcPr>
          <w:p>
            <w:pPr>
              <w:spacing w:after="0"/>
              <w:rPr>
                <w:sz w:val="1"/>
                <w:szCs w:val="1"/>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479,910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517,310</w:t>
            </w: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Six Months Ended</w:t>
            </w:r>
          </w:p>
        </w:tc>
      </w:tr>
      <w:tr>
        <w:trPr>
          <w:trHeight w:val="134"/>
        </w:trPr>
        <w:tc>
          <w:tcPr>
            <w:tcW w:w="8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100" w:type="dxa"/>
            <w:vAlign w:val="bottom"/>
          </w:tcPr>
          <w:p>
            <w:pPr>
              <w:jc w:val="right"/>
              <w:ind w:right="132"/>
              <w:spacing w:after="0" w:line="135" w:lineRule="exact"/>
              <w:rPr>
                <w:sz w:val="20"/>
                <w:szCs w:val="20"/>
                <w:color w:val="auto"/>
              </w:rPr>
            </w:pPr>
            <w:r>
              <w:rPr>
                <w:rFonts w:ascii="Arial" w:cs="Arial" w:eastAsia="Arial" w:hAnsi="Arial"/>
                <w:sz w:val="14"/>
                <w:szCs w:val="14"/>
                <w:b w:val="1"/>
                <w:bCs w:val="1"/>
                <w:color w:val="auto"/>
                <w:w w:val="94"/>
              </w:rPr>
              <w:t>December 31,</w:t>
            </w:r>
          </w:p>
        </w:tc>
      </w:tr>
      <w:tr>
        <w:trPr>
          <w:trHeight w:val="188"/>
        </w:trPr>
        <w:tc>
          <w:tcPr>
            <w:tcW w:w="8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r>
      <w:tr>
        <w:trPr>
          <w:trHeight w:val="211"/>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(7,628)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(21,857)</w:t>
            </w: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5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9,702</w:t>
            </w:r>
          </w:p>
        </w:tc>
      </w:tr>
      <w:tr>
        <w:trPr>
          <w:trHeight w:val="229"/>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 and other intangible asset impairment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38,515</w:t>
            </w:r>
          </w:p>
        </w:tc>
      </w:tr>
      <w:tr>
        <w:trPr>
          <w:trHeight w:val="230"/>
        </w:trPr>
        <w:tc>
          <w:tcPr>
            <w:tcW w:w="854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5,813</w:t>
            </w:r>
          </w:p>
        </w:tc>
      </w:tr>
      <w:tr>
        <w:trPr>
          <w:trHeight w:val="229"/>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impairment due to restructuring</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40" w:type="dxa"/>
            <w:vAlign w:val="bottom"/>
          </w:tcPr>
          <w:p>
            <w:pPr>
              <w:ind w:left="340"/>
              <w:spacing w:after="0"/>
              <w:rPr>
                <w:sz w:val="20"/>
                <w:szCs w:val="20"/>
                <w:color w:val="auto"/>
              </w:rPr>
            </w:pPr>
            <w:r>
              <w:rPr>
                <w:rFonts w:ascii="Arial" w:cs="Arial" w:eastAsia="Arial" w:hAnsi="Arial"/>
                <w:sz w:val="18"/>
                <w:szCs w:val="18"/>
                <w:color w:val="auto"/>
              </w:rPr>
              <w:t>Deferred income tax</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(2,934)</w:t>
            </w:r>
          </w:p>
        </w:tc>
      </w:tr>
      <w:tr>
        <w:trPr>
          <w:trHeight w:val="229"/>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property, plant and equipment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29"/>
        </w:trPr>
        <w:tc>
          <w:tcPr>
            <w:tcW w:w="8540" w:type="dxa"/>
            <w:vAlign w:val="bottom"/>
          </w:tcPr>
          <w:p>
            <w:pPr>
              <w:ind w:left="340"/>
              <w:spacing w:after="0"/>
              <w:rPr>
                <w:sz w:val="20"/>
                <w:szCs w:val="20"/>
                <w:color w:val="auto"/>
              </w:rPr>
            </w:pPr>
            <w:r>
              <w:rPr>
                <w:rFonts w:ascii="Arial" w:cs="Arial" w:eastAsia="Arial" w:hAnsi="Arial"/>
                <w:sz w:val="18"/>
                <w:szCs w:val="18"/>
                <w:color w:val="auto"/>
              </w:rPr>
              <w:t>Provision for uncollectible accounts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1,193</w:t>
            </w:r>
          </w:p>
        </w:tc>
      </w:tr>
      <w:tr>
        <w:trPr>
          <w:trHeight w:val="230"/>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854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 increasing (decreasing) cash:</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18,173</w:t>
            </w:r>
          </w:p>
        </w:tc>
      </w:tr>
      <w:tr>
        <w:trPr>
          <w:trHeight w:val="229"/>
        </w:trPr>
        <w:tc>
          <w:tcPr>
            <w:tcW w:w="8540" w:type="dxa"/>
            <w:vAlign w:val="bottom"/>
          </w:tcPr>
          <w:p>
            <w:pPr>
              <w:ind w:left="6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38,860</w:t>
            </w:r>
          </w:p>
        </w:tc>
      </w:tr>
      <w:tr>
        <w:trPr>
          <w:trHeight w:val="230"/>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29"/>
        </w:trPr>
        <w:tc>
          <w:tcPr>
            <w:tcW w:w="8540" w:type="dxa"/>
            <w:vAlign w:val="bottom"/>
          </w:tcPr>
          <w:p>
            <w:pPr>
              <w:ind w:left="660"/>
              <w:spacing w:after="0"/>
              <w:rPr>
                <w:sz w:val="20"/>
                <w:szCs w:val="20"/>
                <w:color w:val="auto"/>
              </w:rPr>
            </w:pPr>
            <w:r>
              <w:rPr>
                <w:rFonts w:ascii="Arial" w:cs="Arial" w:eastAsia="Arial" w:hAnsi="Arial"/>
                <w:sz w:val="18"/>
                <w:szCs w:val="18"/>
                <w:color w:val="auto"/>
              </w:rPr>
              <w:t>Other assets and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1,547</w:t>
            </w:r>
          </w:p>
        </w:tc>
      </w:tr>
      <w:tr>
        <w:trPr>
          <w:trHeight w:val="230"/>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(38,182)</w:t>
            </w:r>
          </w:p>
        </w:tc>
      </w:tr>
      <w:tr>
        <w:trPr>
          <w:trHeight w:val="230"/>
        </w:trPr>
        <w:tc>
          <w:tcPr>
            <w:tcW w:w="8540" w:type="dxa"/>
            <w:vAlign w:val="bottom"/>
          </w:tcPr>
          <w:p>
            <w:pPr>
              <w:ind w:left="66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4,936</w:t>
            </w:r>
          </w:p>
        </w:tc>
      </w:tr>
      <w:tr>
        <w:trPr>
          <w:trHeight w:val="230"/>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(17,475)</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38,625</w:t>
            </w: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(14,492)</w:t>
            </w: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asset sales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24"/>
        </w:trPr>
        <w:tc>
          <w:tcPr>
            <w:tcW w:w="854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(14,115)</w:t>
            </w:r>
          </w:p>
        </w:tc>
      </w:tr>
    </w:tbl>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8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100" w:type="dxa"/>
            <w:vAlign w:val="bottom"/>
          </w:tcPr>
          <w:p>
            <w:pPr>
              <w:jc w:val="right"/>
              <w:ind w:right="132"/>
              <w:spacing w:after="0" w:line="135"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Advances under senior secured revolving credit facility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17,395</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advances under senior secured revolving credit facility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Payment of debt amendment fees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Open market purchase of treasury shares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 for payment of statutory taxes due on equity-based compensation</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Net cash used by financing activities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20,780</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100,036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89,715</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93,481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110,495</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Interest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40" w:type="dxa"/>
            <w:vAlign w:val="bottom"/>
            <w:vMerge w:val="continue"/>
          </w:tcPr>
          <w:p>
            <w:pPr>
              <w:spacing w:after="0"/>
              <w:rPr>
                <w:sz w:val="15"/>
                <w:szCs w:val="15"/>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1,039</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Non-cash investing and financing activities: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 on account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
        </w:trPr>
        <w:tc>
          <w:tcPr>
            <w:tcW w:w="8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1"/>
                <w:szCs w:val="11"/>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1"/>
                <w:szCs w:val="11"/>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Income(Loss)</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October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132,687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203,365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(22,342)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(7,969)</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306,020</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(4,591)</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Issuance of deferred shares (35,615 shares)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shares sold to Employee Stock Purchase Plan (8,585 shares)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35"/>
        </w:trPr>
        <w:tc>
          <w:tcPr>
            <w:tcW w:w="4540" w:type="dxa"/>
            <w:vAlign w:val="bottom"/>
          </w:tcPr>
          <w:p>
            <w:pPr>
              <w:ind w:left="20"/>
              <w:spacing w:after="0" w:line="135" w:lineRule="exact"/>
              <w:rPr>
                <w:sz w:val="20"/>
                <w:szCs w:val="20"/>
                <w:color w:val="auto"/>
              </w:rPr>
            </w:pPr>
            <w:r>
              <w:rPr>
                <w:rFonts w:ascii="Arial" w:cs="Arial" w:eastAsia="Arial" w:hAnsi="Arial"/>
                <w:sz w:val="14"/>
                <w:szCs w:val="14"/>
                <w:color w:val="auto"/>
              </w:rPr>
              <w:t>Treasury shares purchased to satisfy tax withholding obligations (1,436</w:t>
            </w:r>
          </w:p>
        </w:tc>
        <w:tc>
          <w:tcPr>
            <w:tcW w:w="14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1,981</w:t>
            </w:r>
          </w:p>
        </w:tc>
        <w:tc>
          <w:tcPr>
            <w:tcW w:w="0" w:type="dxa"/>
            <w:vAlign w:val="bottom"/>
          </w:tcPr>
          <w:p>
            <w:pPr>
              <w:spacing w:after="0"/>
              <w:rPr>
                <w:sz w:val="1"/>
                <w:szCs w:val="1"/>
                <w:color w:val="auto"/>
              </w:rPr>
            </w:pPr>
          </w:p>
        </w:tc>
      </w:tr>
      <w:tr>
        <w:trPr>
          <w:trHeight w:val="179"/>
        </w:trPr>
        <w:tc>
          <w:tcPr>
            <w:tcW w:w="4540" w:type="dxa"/>
            <w:vAlign w:val="bottom"/>
          </w:tcPr>
          <w:p>
            <w:pPr>
              <w:ind w:left="20"/>
              <w:spacing w:after="0"/>
              <w:rPr>
                <w:sz w:val="20"/>
                <w:szCs w:val="20"/>
                <w:color w:val="auto"/>
              </w:rPr>
            </w:pPr>
            <w:r>
              <w:rPr>
                <w:rFonts w:ascii="Arial" w:cs="Arial" w:eastAsia="Arial" w:hAnsi="Arial"/>
                <w:sz w:val="14"/>
                <w:szCs w:val="14"/>
                <w:color w:val="auto"/>
              </w:rPr>
              <w:t>Balances, December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133,957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198,774</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(21,571)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(7,150)</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304,289</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Balances, October 1, 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132,936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245,627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(13,270)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(8,145)</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357,427</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(28,008)</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deferred shares (40,786 shares)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Treasury shares sold to Employee Stock Purchase Plan (4,468 shares)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Open market purchase of treasury shares (500,000 shares)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(9,913)</w:t>
            </w:r>
          </w:p>
        </w:tc>
        <w:tc>
          <w:tcPr>
            <w:tcW w:w="0" w:type="dxa"/>
            <w:vAlign w:val="bottom"/>
          </w:tcPr>
          <w:p>
            <w:pPr>
              <w:spacing w:after="0"/>
              <w:rPr>
                <w:sz w:val="1"/>
                <w:szCs w:val="1"/>
                <w:color w:val="auto"/>
              </w:rPr>
            </w:pPr>
          </w:p>
        </w:tc>
      </w:tr>
      <w:tr>
        <w:trPr>
          <w:trHeight w:val="135"/>
        </w:trPr>
        <w:tc>
          <w:tcPr>
            <w:tcW w:w="4540" w:type="dxa"/>
            <w:vAlign w:val="bottom"/>
          </w:tcPr>
          <w:p>
            <w:pPr>
              <w:ind w:left="20"/>
              <w:spacing w:after="0" w:line="135" w:lineRule="exact"/>
              <w:rPr>
                <w:sz w:val="20"/>
                <w:szCs w:val="20"/>
                <w:color w:val="auto"/>
              </w:rPr>
            </w:pPr>
            <w:r>
              <w:rPr>
                <w:rFonts w:ascii="Arial" w:cs="Arial" w:eastAsia="Arial" w:hAnsi="Arial"/>
                <w:sz w:val="14"/>
                <w:szCs w:val="14"/>
                <w:color w:val="auto"/>
              </w:rPr>
              <w:t>Treasury shares purchased to satisfy tax withholding obligations (4,586</w:t>
            </w:r>
          </w:p>
        </w:tc>
        <w:tc>
          <w:tcPr>
            <w:tcW w:w="14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2,789</w:t>
            </w:r>
          </w:p>
        </w:tc>
        <w:tc>
          <w:tcPr>
            <w:tcW w:w="0" w:type="dxa"/>
            <w:vAlign w:val="bottom"/>
          </w:tcPr>
          <w:p>
            <w:pPr>
              <w:spacing w:after="0"/>
              <w:rPr>
                <w:sz w:val="1"/>
                <w:szCs w:val="1"/>
                <w:color w:val="auto"/>
              </w:rPr>
            </w:pPr>
          </w:p>
        </w:tc>
      </w:tr>
      <w:tr>
        <w:trPr>
          <w:trHeight w:val="179"/>
        </w:trPr>
        <w:tc>
          <w:tcPr>
            <w:tcW w:w="4540" w:type="dxa"/>
            <w:vAlign w:val="bottom"/>
          </w:tcPr>
          <w:p>
            <w:pPr>
              <w:ind w:left="20"/>
              <w:spacing w:after="0"/>
              <w:rPr>
                <w:sz w:val="20"/>
                <w:szCs w:val="20"/>
                <w:color w:val="auto"/>
              </w:rPr>
            </w:pPr>
            <w:r>
              <w:rPr>
                <w:rFonts w:ascii="Arial" w:cs="Arial" w:eastAsia="Arial" w:hAnsi="Arial"/>
                <w:sz w:val="14"/>
                <w:szCs w:val="14"/>
                <w:color w:val="auto"/>
              </w:rPr>
              <w:t>Balances, December 31,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135,057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217,619</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(22,538)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(7,622)</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322,795</w:t>
            </w:r>
          </w:p>
        </w:tc>
        <w:tc>
          <w:tcPr>
            <w:tcW w:w="0" w:type="dxa"/>
            <w:vAlign w:val="bottom"/>
          </w:tcPr>
          <w:p>
            <w:pPr>
              <w:spacing w:after="0"/>
              <w:rPr>
                <w:sz w:val="1"/>
                <w:szCs w:val="1"/>
                <w:color w:val="auto"/>
              </w:rPr>
            </w:pPr>
          </w:p>
        </w:tc>
      </w:tr>
      <w:tr>
        <w:trPr>
          <w:trHeight w:val="24"/>
        </w:trPr>
        <w:tc>
          <w:tcPr>
            <w:tcW w:w="4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36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rPr>
                <w:sz w:val="11"/>
                <w:szCs w:val="11"/>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Income(Loss)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July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138,966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206,402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(29,385)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(8,373)</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307,889</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(7,628)</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Issuance of deferred shares (514,318 shares)</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(9,067)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shares sold to Employee Stock Purchase Plan (17,315 shares)</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35"/>
        </w:trPr>
        <w:tc>
          <w:tcPr>
            <w:tcW w:w="4540" w:type="dxa"/>
            <w:vAlign w:val="bottom"/>
          </w:tcPr>
          <w:p>
            <w:pPr>
              <w:ind w:left="20"/>
              <w:spacing w:after="0" w:line="135" w:lineRule="exact"/>
              <w:rPr>
                <w:sz w:val="20"/>
                <w:szCs w:val="20"/>
                <w:color w:val="auto"/>
              </w:rPr>
            </w:pPr>
            <w:r>
              <w:rPr>
                <w:rFonts w:ascii="Arial" w:cs="Arial" w:eastAsia="Arial" w:hAnsi="Arial"/>
                <w:sz w:val="14"/>
                <w:szCs w:val="14"/>
                <w:color w:val="auto"/>
                <w:w w:val="98"/>
              </w:rPr>
              <w:t>Treasury shares purchased to satisfy tax withholding obligations (170,201</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(1,549)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(1,549)</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4,199</w:t>
            </w:r>
          </w:p>
        </w:tc>
        <w:tc>
          <w:tcPr>
            <w:tcW w:w="0" w:type="dxa"/>
            <w:vAlign w:val="bottom"/>
          </w:tcPr>
          <w:p>
            <w:pPr>
              <w:spacing w:after="0"/>
              <w:rPr>
                <w:sz w:val="1"/>
                <w:szCs w:val="1"/>
                <w:color w:val="auto"/>
              </w:rPr>
            </w:pPr>
          </w:p>
        </w:tc>
      </w:tr>
      <w:tr>
        <w:trPr>
          <w:trHeight w:val="179"/>
        </w:trPr>
        <w:tc>
          <w:tcPr>
            <w:tcW w:w="4540" w:type="dxa"/>
            <w:vAlign w:val="bottom"/>
          </w:tcPr>
          <w:p>
            <w:pPr>
              <w:ind w:left="20"/>
              <w:spacing w:after="0"/>
              <w:rPr>
                <w:sz w:val="20"/>
                <w:szCs w:val="20"/>
                <w:color w:val="auto"/>
              </w:rPr>
            </w:pPr>
            <w:r>
              <w:rPr>
                <w:rFonts w:ascii="Arial" w:cs="Arial" w:eastAsia="Arial" w:hAnsi="Arial"/>
                <w:sz w:val="14"/>
                <w:szCs w:val="14"/>
                <w:color w:val="auto"/>
              </w:rPr>
              <w:t>Balances, December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133,957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198,774</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(21,571)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(7,150)</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304,289</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Balances, July 1, 2019</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137,712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239,476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(17,759)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(7,751)</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351,957</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(21,857)</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deferred shares (535,060 shares)</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Treasury shares sold to Employee Stock Purchase Plan (8,521 shares)</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Open market purchase of treasury shares (500,000 shares)</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(9,913)</w:t>
            </w:r>
          </w:p>
        </w:tc>
        <w:tc>
          <w:tcPr>
            <w:tcW w:w="0" w:type="dxa"/>
            <w:vAlign w:val="bottom"/>
          </w:tcPr>
          <w:p>
            <w:pPr>
              <w:spacing w:after="0"/>
              <w:rPr>
                <w:sz w:val="1"/>
                <w:szCs w:val="1"/>
                <w:color w:val="auto"/>
              </w:rPr>
            </w:pPr>
          </w:p>
        </w:tc>
      </w:tr>
      <w:tr>
        <w:trPr>
          <w:trHeight w:val="135"/>
        </w:trPr>
        <w:tc>
          <w:tcPr>
            <w:tcW w:w="4540" w:type="dxa"/>
            <w:vAlign w:val="bottom"/>
          </w:tcPr>
          <w:p>
            <w:pPr>
              <w:ind w:left="20"/>
              <w:spacing w:after="0" w:line="135" w:lineRule="exact"/>
              <w:rPr>
                <w:sz w:val="20"/>
                <w:szCs w:val="20"/>
                <w:color w:val="auto"/>
              </w:rPr>
            </w:pPr>
            <w:r>
              <w:rPr>
                <w:rFonts w:ascii="Arial" w:cs="Arial" w:eastAsia="Arial" w:hAnsi="Arial"/>
                <w:sz w:val="14"/>
                <w:szCs w:val="14"/>
                <w:color w:val="auto"/>
                <w:w w:val="98"/>
              </w:rPr>
              <w:t>Treasury shares purchased to satisfy tax withholding obligations (178,670</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(3,491)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(3,491)</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5,813</w:t>
            </w:r>
          </w:p>
        </w:tc>
        <w:tc>
          <w:tcPr>
            <w:tcW w:w="0" w:type="dxa"/>
            <w:vAlign w:val="bottom"/>
          </w:tcPr>
          <w:p>
            <w:pPr>
              <w:spacing w:after="0"/>
              <w:rPr>
                <w:sz w:val="1"/>
                <w:szCs w:val="1"/>
                <w:color w:val="auto"/>
              </w:rPr>
            </w:pPr>
          </w:p>
        </w:tc>
      </w:tr>
      <w:tr>
        <w:trPr>
          <w:trHeight w:val="179"/>
        </w:trPr>
        <w:tc>
          <w:tcPr>
            <w:tcW w:w="4540" w:type="dxa"/>
            <w:vAlign w:val="bottom"/>
          </w:tcPr>
          <w:p>
            <w:pPr>
              <w:ind w:left="20"/>
              <w:spacing w:after="0"/>
              <w:rPr>
                <w:sz w:val="20"/>
                <w:szCs w:val="20"/>
                <w:color w:val="auto"/>
              </w:rPr>
            </w:pPr>
            <w:r>
              <w:rPr>
                <w:rFonts w:ascii="Arial" w:cs="Arial" w:eastAsia="Arial" w:hAnsi="Arial"/>
                <w:sz w:val="14"/>
                <w:szCs w:val="14"/>
                <w:color w:val="auto"/>
              </w:rPr>
              <w:t>Balances, December 31,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135,057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217,619</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(22,538)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(7,622)</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322,795</w:t>
            </w:r>
          </w:p>
        </w:tc>
        <w:tc>
          <w:tcPr>
            <w:tcW w:w="0" w:type="dxa"/>
            <w:vAlign w:val="bottom"/>
          </w:tcPr>
          <w:p>
            <w:pPr>
              <w:spacing w:after="0"/>
              <w:rPr>
                <w:sz w:val="1"/>
                <w:szCs w:val="1"/>
                <w:color w:val="auto"/>
              </w:rPr>
            </w:pPr>
          </w:p>
        </w:tc>
      </w:tr>
      <w:tr>
        <w:trPr>
          <w:trHeight w:val="24"/>
        </w:trPr>
        <w:tc>
          <w:tcPr>
            <w:tcW w:w="4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and its subsidiaries (“Matrix”, “we”, “our”, “us”, “its” or the “Company”), unless otherwise indicated. Intercompany balances and transactions have been eliminated in consolidation.</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2020, included in the Company’s Annual Report on Form 10-K for the year then ended. The results of operations for the three and six month periods ended December 31, 2020 may not necessarily be indicative of the results of operations for the full year ending June 30,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has updated its significant accounting policies as a result of adopting the Financial Accounting Standards Board ("FASB") Accounting Standards Update ("ASU") No.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on July 1, 2020, and our change in reportable segments effective July 1, 2020. The Company's other significant accounting policies are detailed in “Note 1 - Summary of Significant Accounting Policies” of our Annual Report on Form 10-K for the year ended June 30,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Credit Losses Standard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16, 2016, the FASB issued ASU 2016-13, Financial Instruments - Credit Losses (Topic 326), which changed how the Company accounts for credit losses, including those related to its accounts receivable and contract assets. Under this guidance, a financial asset (or a group of financial assets) are required to be presented at the net amount expected to be collected. The income statement reflects any increases or decreases of expected credit losses that have taken place during the period.</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amendments in this update eliminate the probable initial recognition threshold and, instead, reflect the Company's current estimate of all lifetime expected credit losses on its accounts receivable and contract asset balances. The measurement of expected credit losses is based on relevant information about past events, including historical experience, current conditions, and reasonable and supportable forecasts that affect the collectibility of the reported amounts. The Company determines its allowance for credit losses by using a loss-rate methodology, in which it assesses historical write-offs against total receivables and contract asset balances over several periods. In addition, the Company places reserves on specific balances as needed based on the most recent estimates of collectibility. The Company's adoption of this standard on July 1, 2020 did not have a material impact on its estimate of the allowance for credit losses.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Reportable Segments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changing markets facing our clients and to better align the financial reporting of the Company with our long-term strategic growth areas, we began reporting our financial results under new reportable segments effective July 1, 2020. The new reportable segments along with a description of each are as follows: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Utility and Power Infrastructure</w:t>
      </w:r>
      <w:r>
        <w:rPr>
          <w:rFonts w:ascii="Arial" w:cs="Arial" w:eastAsia="Arial" w:hAnsi="Arial"/>
          <w:sz w:val="18"/>
          <w:szCs w:val="18"/>
          <w:color w:val="auto"/>
        </w:rPr>
        <w:t>: consists of power delivery services provided to investor owned utilities, including construction of new</w:t>
      </w:r>
      <w:r>
        <w:rPr>
          <w:rFonts w:ascii="Arial" w:cs="Arial" w:eastAsia="Arial" w:hAnsi="Arial"/>
          <w:sz w:val="18"/>
          <w:szCs w:val="18"/>
          <w:b w:val="1"/>
          <w:bCs w:val="1"/>
          <w:color w:val="auto"/>
        </w:rPr>
        <w:t xml:space="preserve"> </w:t>
      </w:r>
      <w:r>
        <w:rPr>
          <w:rFonts w:ascii="Arial" w:cs="Arial" w:eastAsia="Arial" w:hAnsi="Arial"/>
          <w:sz w:val="18"/>
          <w:szCs w:val="18"/>
          <w:color w:val="auto"/>
        </w:rPr>
        <w:t>substations, upgrades of existing substations, transmission and distribution line installations, upgrades and maintenance, as well as emergency and storm restoration services. The Company also provides construction and maintenance services to a variety of power generation facilities, including gas fired facilities in simple or combined cycle configuration, and provides engineering, fabrication, and construction services for liquefied natural gas ("LNG") utility peak shaving facilities.</w:t>
      </w:r>
    </w:p>
    <w:p>
      <w:pPr>
        <w:spacing w:after="0" w:line="129"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Process and Industrial Facilities</w:t>
      </w:r>
      <w:r>
        <w:rPr>
          <w:rFonts w:ascii="Arial" w:cs="Arial" w:eastAsia="Arial" w:hAnsi="Arial"/>
          <w:sz w:val="18"/>
          <w:szCs w:val="18"/>
          <w:color w:val="auto"/>
        </w:rPr>
        <w:t>: primarily serves customers in the downstream and midstream petroleum industries who are engaged in refining</w:t>
      </w:r>
      <w:r>
        <w:rPr>
          <w:rFonts w:ascii="Arial" w:cs="Arial" w:eastAsia="Arial" w:hAnsi="Arial"/>
          <w:sz w:val="18"/>
          <w:szCs w:val="18"/>
          <w:b w:val="1"/>
          <w:bCs w:val="1"/>
          <w:color w:val="auto"/>
        </w:rPr>
        <w:t xml:space="preserve"> </w:t>
      </w:r>
      <w:r>
        <w:rPr>
          <w:rFonts w:ascii="Arial" w:cs="Arial" w:eastAsia="Arial" w:hAnsi="Arial"/>
          <w:sz w:val="18"/>
          <w:szCs w:val="18"/>
          <w:color w:val="auto"/>
        </w:rPr>
        <w:t>crude oil and processing, fractionating, and marketing of natural gas and natural gas liquids. The Company also serves customers in various other industries such as petrochemical, sulfur, mining and minerals companies engaged primarily in the extraction of non-ferrous metals, aerospace and defense, cement, agriculture, and other industrial customers. The Company's services include plant maintenance, turnarounds, industrial cleaning services, engineering, fabrication, and capital construction.</w:t>
      </w:r>
    </w:p>
    <w:p>
      <w:pPr>
        <w:spacing w:after="0" w:line="12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Storage and Terminal Solutions</w:t>
      </w:r>
      <w:r>
        <w:rPr>
          <w:rFonts w:ascii="Arial" w:cs="Arial" w:eastAsia="Arial" w:hAnsi="Arial"/>
          <w:sz w:val="18"/>
          <w:szCs w:val="18"/>
          <w:color w:val="auto"/>
        </w:rPr>
        <w:t>: consists of work related to aboveground storage tanks and terminals. Also included in this segment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cryogenic and other specialty storage tanks and terminals, including LNG, liquid nitrogen/liquid oxygen, liquid petroleum, hydrogen and other specialty vessels such as spheres, as well as marine structures and truck and rail loading/offloading facilities. The Company's services include engineering, fabrication, construction, and maintenance and repair, which includes planned and emergency services for both tanks and full terminals. Finally, the Company offers tank products, including geodesic domes, aluminum internal floating roofs, floating suction and skimmer systems, roof drain systems and floating roof seals.</w:t>
      </w:r>
    </w:p>
    <w:p>
      <w:pPr>
        <w:spacing w:after="0" w:line="13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All prior period segment information has been restated to conform with our new reportable segments. In addition, beginning July 1, 2020, the Company is reporting separately corporate selling, general and administrative expenses and other corporate expenses that were previously allocated to the segments. Refer to Note 9 - Segment Information, and Part I, Item 2 - Management's Discussion and Analysis - Results of Operations, 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$418.0 million of remaining performance obligations yet to be satisfied as of December 31, 2020. The Company expects to recognize $315.3 million of its remaining performance obligations as revenue within the next twelve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 terms with customers include the timing of billing and payment, which usually differs from the timing of revenue recognition. As a result, we carry contract assets and liabilities in our balance sheet. These contract assets and liabilities are calculated on a contract-by-contract basis and reported on a net basis at the end of each period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billings in excess of revenue recognized. The following table provides information about CIE and BIE:</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4"/>
                <w:szCs w:val="14"/>
                <w:color w:val="auto"/>
              </w:rPr>
            </w:pPr>
          </w:p>
        </w:tc>
        <w:tc>
          <w:tcPr>
            <w:tcW w:w="10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7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(in thousands)</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437"/>
              <w:spacing w:after="0"/>
              <w:rPr>
                <w:sz w:val="20"/>
                <w:szCs w:val="20"/>
                <w:color w:val="auto"/>
              </w:rPr>
            </w:pPr>
            <w:r>
              <w:rPr>
                <w:rFonts w:ascii="Arial" w:cs="Arial" w:eastAsia="Arial" w:hAnsi="Arial"/>
                <w:sz w:val="18"/>
                <w:szCs w:val="18"/>
                <w:color w:val="auto"/>
                <w:w w:val="87"/>
              </w:rPr>
              <w:t>41,398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(18,150)</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417"/>
              <w:spacing w:after="0"/>
              <w:rPr>
                <w:sz w:val="20"/>
                <w:szCs w:val="20"/>
                <w:color w:val="auto"/>
              </w:rPr>
            </w:pPr>
            <w:r>
              <w:rPr>
                <w:rFonts w:ascii="Arial" w:cs="Arial" w:eastAsia="Arial" w:hAnsi="Arial"/>
                <w:sz w:val="18"/>
                <w:szCs w:val="18"/>
                <w:color w:val="auto"/>
                <w:w w:val="92"/>
              </w:rPr>
              <w:t>(62,244)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417"/>
              <w:spacing w:after="0"/>
              <w:rPr>
                <w:sz w:val="20"/>
                <w:szCs w:val="20"/>
                <w:color w:val="auto"/>
              </w:rPr>
            </w:pPr>
            <w:r>
              <w:rPr>
                <w:rFonts w:ascii="Arial" w:cs="Arial" w:eastAsia="Arial" w:hAnsi="Arial"/>
                <w:sz w:val="18"/>
                <w:szCs w:val="18"/>
                <w:color w:val="auto"/>
                <w:w w:val="92"/>
              </w:rPr>
              <w:t>(20,846)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(16,505)</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difference between the beginning and ending balances of the Company's CIE and BIE primarily results from the timing of revenue recognized relative to its billings. The amount of revenue recognized during the six months ended December 31, 2020 that was included in the June 30, 2020 BIE balance was $52.8 million. This revenue consists primarily of work performed during the period on contracts with customers that had advance billings.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Progress billings in accounts receivable at December 31, 2020 and June 30, 2020 included retentions to be collected within one year of $35.4 million and $37.3 million, respectively. Contract retentions collectible beyond one year are included in other assets in the Condensed Consolidated Balance Sheet and totaled $2.2 million as of December 31, 2020 and $1.6 million as of June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disaggregated by reportable segment is presented in Note 9 - Segment Information. The following series of tables presents revenue disaggregated by geographic area where the work was performed and by contract type: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Geographic Disaggregation: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480" w:type="dxa"/>
            <w:vAlign w:val="bottom"/>
            <w:gridSpan w:val="4"/>
          </w:tcPr>
          <w:p>
            <w:pPr>
              <w:jc w:val="right"/>
              <w:ind w:right="67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58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58"/>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97"/>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5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81"/>
        </w:trPr>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ind w:left="7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291,348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307,577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605,765</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Canada</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38,743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45,872</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international</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167,468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318,677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350,239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656,774</w:t>
            </w:r>
          </w:p>
        </w:tc>
        <w:tc>
          <w:tcPr>
            <w:tcW w:w="0" w:type="dxa"/>
            <w:vAlign w:val="bottom"/>
          </w:tcPr>
          <w:p>
            <w:pPr>
              <w:spacing w:after="0"/>
              <w:rPr>
                <w:sz w:val="1"/>
                <w:szCs w:val="1"/>
                <w:color w:val="auto"/>
              </w:rPr>
            </w:pPr>
          </w:p>
        </w:tc>
      </w:tr>
      <w:tr>
        <w:trPr>
          <w:trHeight w:val="21"/>
        </w:trPr>
        <w:tc>
          <w:tcPr>
            <w:tcW w:w="5840" w:type="dxa"/>
            <w:vAlign w:val="bottom"/>
            <w:vMerge w:val="restart"/>
          </w:tcPr>
          <w:p>
            <w:pPr>
              <w:spacing w:after="0"/>
              <w:rPr>
                <w:sz w:val="20"/>
                <w:szCs w:val="20"/>
                <w:color w:val="auto"/>
              </w:rPr>
            </w:pPr>
            <w:r>
              <w:rPr>
                <w:rFonts w:ascii="Arial" w:cs="Arial" w:eastAsia="Arial" w:hAnsi="Arial"/>
                <w:sz w:val="18"/>
                <w:szCs w:val="18"/>
                <w:color w:val="auto"/>
              </w:rPr>
              <w:t>Contract Type Disaggregation:</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5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2480" w:type="dxa"/>
            <w:vAlign w:val="bottom"/>
            <w:gridSpan w:val="4"/>
          </w:tcPr>
          <w:p>
            <w:pPr>
              <w:jc w:val="right"/>
              <w:ind w:right="67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4"/>
        </w:trPr>
        <w:tc>
          <w:tcPr>
            <w:tcW w:w="58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58"/>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97"/>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5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81"/>
        </w:trPr>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ind w:left="7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113,871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174,773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247,227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351,093</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Time and materials and other cost reimbursable contracts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143,904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305,681</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656,774</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Typically, the Company assumes more risk with fixed-price contracts since increases in costs to perform the work may not be recoverable. However, these types of contracts typically offer higher profits than time and materials and other cost reimbursable contracts when completed at or below the costs originally estimated. The profitability of time and materials and other cost reimbursable contracts is typically lower than fixed-price contracts and is usually less volatile than fixed-price contracts since the profit component is factored into the rates charged for labor, equipment and materials, or is expressed in the contract as a percentage of the reimbursable costs incurred.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three and six months ended December 31, 2020, our results of operations were materially impacted by changes in estimate of the forecasted costs to complete a large crude oil storage terminal capital project. The changes in estimate resulted in decreases in operating income of $5.8 million and $7.7 million during the three and six months ended December 31, 2020, respectively. The Company has achieved mechanical completion and is demobilizing from the project. We continue to work through final closeout and outstanding change orders with the client.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enters into lease arrangements for real estate, construction equipment and information technology equipment in the normal course of business. Real estate leases accounted for approximately 92% of all right-of-use assets as of December 31, 2020. Most real estate and information technology equipment leases generally have fixed payments that follow an agreed upon payment schedule and have remaining lease terms ranging from less than a year to 15 years. Construction equipment leases generally have "month-to-month" lease terms that automatically renew as long as the equipment remains in use.</w:t>
      </w:r>
    </w:p>
    <w:p>
      <w:pPr>
        <w:spacing w:after="0" w:line="13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six months ended December 31, 2020, the Company recognized $0.2 million of impairments of a right-of-use asset in connection with the closure of a leased office space. The impairments are included in restructuring costs in the condensed consolidated statements of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in the condensed consolidated statements of income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12"/>
        </w:trPr>
        <w:tc>
          <w:tcPr>
            <w:tcW w:w="2580" w:type="dxa"/>
            <w:vAlign w:val="bottom"/>
            <w:gridSpan w:val="2"/>
          </w:tcPr>
          <w:p>
            <w:pPr>
              <w:ind w:left="20"/>
              <w:spacing w:after="0"/>
              <w:rPr>
                <w:sz w:val="20"/>
                <w:szCs w:val="20"/>
                <w:color w:val="auto"/>
              </w:rPr>
            </w:pPr>
            <w:r>
              <w:rPr>
                <w:rFonts w:ascii="Arial" w:cs="Arial" w:eastAsia="Arial" w:hAnsi="Arial"/>
                <w:sz w:val="18"/>
                <w:szCs w:val="18"/>
                <w:b w:val="1"/>
                <w:bCs w:val="1"/>
                <w:color w:val="auto"/>
              </w:rPr>
              <w:t>Lease expense</w:t>
            </w:r>
          </w:p>
        </w:tc>
        <w:tc>
          <w:tcPr>
            <w:tcW w:w="3340" w:type="dxa"/>
            <w:vAlign w:val="bottom"/>
            <w:gridSpan w:val="2"/>
          </w:tcPr>
          <w:p>
            <w:pPr>
              <w:ind w:left="840"/>
              <w:spacing w:after="0"/>
              <w:rPr>
                <w:sz w:val="20"/>
                <w:szCs w:val="20"/>
                <w:color w:val="auto"/>
              </w:rPr>
            </w:pPr>
            <w:r>
              <w:rPr>
                <w:rFonts w:ascii="Arial" w:cs="Arial" w:eastAsia="Arial" w:hAnsi="Arial"/>
                <w:sz w:val="18"/>
                <w:szCs w:val="18"/>
                <w:b w:val="1"/>
                <w:bCs w:val="1"/>
                <w:color w:val="auto"/>
              </w:rPr>
              <w:t>Location of Expense</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gridSpan w:val="3"/>
          </w:tcPr>
          <w:p>
            <w:pPr>
              <w:jc w:val="right"/>
              <w:ind w:right="76"/>
              <w:spacing w:after="0"/>
              <w:rPr>
                <w:sz w:val="20"/>
                <w:szCs w:val="20"/>
                <w:color w:val="auto"/>
              </w:rPr>
            </w:pPr>
            <w:r>
              <w:rPr>
                <w:rFonts w:ascii="Arial" w:cs="Arial" w:eastAsia="Arial" w:hAnsi="Arial"/>
                <w:sz w:val="14"/>
                <w:szCs w:val="14"/>
                <w:color w:val="auto"/>
              </w:rPr>
              <w:t>(in thousands)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Operating lease expense</w:t>
            </w:r>
          </w:p>
        </w:tc>
        <w:tc>
          <w:tcPr>
            <w:tcW w:w="120" w:type="dxa"/>
            <w:vAlign w:val="bottom"/>
            <w:tcBorders>
              <w:top w:val="single" w:sz="8" w:color="CCEEFF"/>
            </w:tcBorders>
            <w:shd w:val="clear" w:color="auto" w:fill="CCEEFF"/>
          </w:tcPr>
          <w:p>
            <w:pPr>
              <w:spacing w:after="0"/>
              <w:rPr>
                <w:sz w:val="14"/>
                <w:szCs w:val="14"/>
                <w:color w:val="auto"/>
              </w:rPr>
            </w:pPr>
          </w:p>
        </w:tc>
        <w:tc>
          <w:tcPr>
            <w:tcW w:w="32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9"/>
              </w:rPr>
              <w:t>Cost of revenue and selling, general and</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vMerge w:val="restart"/>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vMerge w:val="restart"/>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vMerge w:val="restart"/>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vMerge w:val="restart"/>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3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Short-term lease expense</w:t>
            </w:r>
            <w:r>
              <w:rPr>
                <w:rFonts w:ascii="Arial" w:cs="Arial" w:eastAsia="Arial" w:hAnsi="Arial"/>
                <w:sz w:val="23"/>
                <w:szCs w:val="23"/>
                <w:color w:val="auto"/>
                <w:vertAlign w:val="superscript"/>
              </w:rPr>
              <w:t>(1)</w:t>
            </w:r>
          </w:p>
        </w:tc>
        <w:tc>
          <w:tcPr>
            <w:tcW w:w="3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11,007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20,615</w:t>
            </w:r>
          </w:p>
        </w:tc>
        <w:tc>
          <w:tcPr>
            <w:tcW w:w="0" w:type="dxa"/>
            <w:vAlign w:val="bottom"/>
          </w:tcPr>
          <w:p>
            <w:pPr>
              <w:spacing w:after="0"/>
              <w:rPr>
                <w:sz w:val="1"/>
                <w:szCs w:val="1"/>
                <w:color w:val="auto"/>
              </w:rPr>
            </w:pPr>
          </w:p>
        </w:tc>
      </w:tr>
      <w:tr>
        <w:trPr>
          <w:trHeight w:val="248"/>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expense</w:t>
            </w:r>
          </w:p>
        </w:tc>
        <w:tc>
          <w:tcPr>
            <w:tcW w:w="3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14,263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26,987</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969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326" w:lineRule="exact"/>
        <w:rPr>
          <w:sz w:val="20"/>
          <w:szCs w:val="20"/>
          <w:color w:val="auto"/>
        </w:rPr>
      </w:pPr>
    </w:p>
    <w:p>
      <w:pPr>
        <w:ind w:left="560" w:hanging="309"/>
        <w:spacing w:after="0"/>
        <w:tabs>
          <w:tab w:leader="none" w:pos="56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Primarily represents the lease expense of construction equipment that is subject to month-to-month rental agreements with expected rental durations of less than one year.</w:t>
      </w:r>
    </w:p>
    <w:p>
      <w:pPr>
        <w:spacing w:after="0" w:line="248"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color w:val="auto"/>
        </w:rPr>
        <w:t>The future undiscounted lease payments, as reconciled to the discounted operating lease liabilities presented in the Company's Condensed Consolidated Balance Sheets, were as follows:</w:t>
      </w: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December 31, 2020</w:t>
            </w:r>
          </w:p>
        </w:tc>
      </w:tr>
      <w:tr>
        <w:trPr>
          <w:trHeight w:val="216"/>
        </w:trPr>
        <w:tc>
          <w:tcPr>
            <w:tcW w:w="9480" w:type="dxa"/>
            <w:vAlign w:val="bottom"/>
          </w:tcPr>
          <w:p>
            <w:pPr>
              <w:ind w:left="20"/>
              <w:spacing w:after="0"/>
              <w:rPr>
                <w:sz w:val="20"/>
                <w:szCs w:val="20"/>
                <w:color w:val="auto"/>
              </w:rPr>
            </w:pPr>
            <w:r>
              <w:rPr>
                <w:rFonts w:ascii="Arial" w:cs="Arial" w:eastAsia="Arial" w:hAnsi="Arial"/>
                <w:sz w:val="18"/>
                <w:szCs w:val="18"/>
                <w:b w:val="1"/>
                <w:bCs w:val="1"/>
                <w:color w:val="auto"/>
              </w:rPr>
              <w:t>Maturity Analysis:</w:t>
            </w:r>
          </w:p>
        </w:tc>
        <w:tc>
          <w:tcPr>
            <w:tcW w:w="200" w:type="dxa"/>
            <w:vAlign w:val="bottom"/>
          </w:tcPr>
          <w:p>
            <w:pPr>
              <w:spacing w:after="0"/>
              <w:rPr>
                <w:sz w:val="18"/>
                <w:szCs w:val="18"/>
                <w:color w:val="auto"/>
              </w:rPr>
            </w:pPr>
          </w:p>
        </w:tc>
        <w:tc>
          <w:tcPr>
            <w:tcW w:w="1560" w:type="dxa"/>
            <w:vAlign w:val="bottom"/>
          </w:tcPr>
          <w:p>
            <w:pPr>
              <w:jc w:val="right"/>
              <w:ind w:right="393"/>
              <w:spacing w:after="0"/>
              <w:rPr>
                <w:sz w:val="20"/>
                <w:szCs w:val="20"/>
                <w:color w:val="auto"/>
              </w:rPr>
            </w:pPr>
            <w:r>
              <w:rPr>
                <w:rFonts w:ascii="Arial" w:cs="Arial" w:eastAsia="Arial" w:hAnsi="Arial"/>
                <w:sz w:val="14"/>
                <w:szCs w:val="14"/>
                <w:color w:val="auto"/>
              </w:rPr>
              <w:t>(in thousands)</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2021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5,350</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2,822</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9,601</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operating lease payments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27,667</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(4,787)</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present value of future lease payments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22,880</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w:t>
            </w: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17,521</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weighted average remaining operating lease term and weighted average discount rate as of December 31, 2020: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4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years</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4140" w:type="dxa"/>
            <w:vAlign w:val="bottom"/>
          </w:tcPr>
          <w:p>
            <w:pPr>
              <w:jc w:val="right"/>
              <w:spacing w:after="0"/>
              <w:rPr>
                <w:sz w:val="20"/>
                <w:szCs w:val="20"/>
                <w:color w:val="auto"/>
              </w:rPr>
            </w:pPr>
            <w:r>
              <w:rPr>
                <w:rFonts w:ascii="Arial" w:cs="Arial" w:eastAsia="Arial" w:hAnsi="Arial"/>
                <w:sz w:val="18"/>
                <w:szCs w:val="18"/>
                <w:color w:val="auto"/>
              </w:rPr>
              <w:t>5.6 %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center"/>
              <w:ind w:right="155"/>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135"/>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395"/>
              <w:spacing w:after="0"/>
              <w:rPr>
                <w:sz w:val="20"/>
                <w:szCs w:val="20"/>
                <w:color w:val="auto"/>
              </w:rPr>
            </w:pPr>
            <w:r>
              <w:rPr>
                <w:rFonts w:ascii="Arial" w:cs="Arial" w:eastAsia="Arial" w:hAnsi="Arial"/>
                <w:sz w:val="14"/>
                <w:szCs w:val="14"/>
                <w:color w:val="auto"/>
                <w:w w:val="92"/>
              </w:rPr>
              <w:t>(in thousands)</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Cash paid for amounts included in the measurement of lease liabilities:</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715"/>
        </w:trPr>
        <w:tc>
          <w:tcPr>
            <w:tcW w:w="5200" w:type="dxa"/>
            <w:vAlign w:val="bottom"/>
          </w:tcPr>
          <w:p>
            <w:pPr>
              <w:spacing w:after="0"/>
              <w:rPr>
                <w:sz w:val="20"/>
                <w:szCs w:val="20"/>
                <w:color w:val="auto"/>
              </w:rPr>
            </w:pPr>
            <w:r>
              <w:rPr>
                <w:rFonts w:ascii="Arial" w:cs="Arial" w:eastAsia="Arial" w:hAnsi="Arial"/>
                <w:sz w:val="18"/>
                <w:szCs w:val="18"/>
                <w:b w:val="1"/>
                <w:bCs w:val="1"/>
                <w:color w:val="auto"/>
              </w:rPr>
              <w:t>Note 4 – Intangible Assets Including Goodwill</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0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40" w:type="dxa"/>
            <w:vAlign w:val="bottom"/>
            <w:gridSpan w:val="2"/>
          </w:tcPr>
          <w:p>
            <w:pPr>
              <w:spacing w:after="0"/>
              <w:rPr>
                <w:sz w:val="20"/>
                <w:szCs w:val="20"/>
                <w:color w:val="auto"/>
              </w:rPr>
            </w:pPr>
            <w:r>
              <w:rPr>
                <w:rFonts w:ascii="Arial" w:cs="Arial" w:eastAsia="Arial" w:hAnsi="Arial"/>
                <w:sz w:val="18"/>
                <w:szCs w:val="18"/>
                <w:color w:val="auto"/>
                <w:w w:val="91"/>
              </w:rPr>
              <w:t>The changes in the carrying value of goodwill by segment are as follows: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Utility and Power</w:t>
            </w: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Process and Industrial</w:t>
            </w:r>
          </w:p>
        </w:tc>
        <w:tc>
          <w:tcPr>
            <w:tcW w:w="14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6"/>
              </w:rPr>
              <w:t>Storage and Terminal</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Infrastructure</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Facilities</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w w:val="90"/>
              </w:rPr>
              <w:t>Solutions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balance at June 30,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60,369</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Translation adjustment</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balance at December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60,605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969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326" w:lineRule="exact"/>
        <w:rPr>
          <w:sz w:val="20"/>
          <w:szCs w:val="20"/>
          <w:color w:val="auto"/>
        </w:rPr>
      </w:pPr>
    </w:p>
    <w:p>
      <w:pPr>
        <w:ind w:left="580" w:hanging="329"/>
        <w:spacing w:after="0" w:line="273" w:lineRule="auto"/>
        <w:tabs>
          <w:tab w:leader="none" w:pos="572"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tests its goodwill for impairment annually in May. While there continues to be uncertainty around the near-term level of spending by some of our customers due to the impacts of the COVID-19 pandemic on our markets and the economy, this uncertainty did not result in any impairment indicators as of December 31, 2020. We will continue to monitor the latest developments and perform interim tests for goodwill impairment as needed.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At December 31, 2020</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122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6"/>
                <w:szCs w:val="16"/>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81"/>
        </w:trPr>
        <w:tc>
          <w:tcPr>
            <w:tcW w:w="520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(Years)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1"/>
              </w:rPr>
              <w:t>(In thousands)</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10 to 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Customer-based</w:t>
            </w:r>
          </w:p>
        </w:tc>
        <w:tc>
          <w:tcPr>
            <w:tcW w:w="15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0"/>
              </w:rPr>
              <w:t>6 to 15</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7,206</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amortizing intangible assets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5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At June 30, 2020</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122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6"/>
                <w:szCs w:val="16"/>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81"/>
        </w:trPr>
        <w:tc>
          <w:tcPr>
            <w:tcW w:w="520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(Years)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1"/>
              </w:rPr>
              <w:t>(In thousands)</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10 to 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Customer-based</w:t>
            </w:r>
          </w:p>
        </w:tc>
        <w:tc>
          <w:tcPr>
            <w:tcW w:w="15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0"/>
              </w:rPr>
              <w:t>6 to 15</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amortizing intangible assets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totaled $0.5 million and $1.1 million during the three and six months ended December 31, 2020 and $0.9 million and $1.9 million during the three and six months ended December 31, 2019,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remaining amortization expense related to December 31, 2020 amortizing intangible assets will be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80" w:type="dxa"/>
            <w:vAlign w:val="bottom"/>
          </w:tcPr>
          <w:p>
            <w:pPr>
              <w:ind w:left="20"/>
              <w:spacing w:after="0"/>
              <w:rPr>
                <w:sz w:val="20"/>
                <w:szCs w:val="20"/>
                <w:color w:val="auto"/>
              </w:rPr>
            </w:pPr>
            <w:r>
              <w:rPr>
                <w:rFonts w:ascii="Arial" w:cs="Arial" w:eastAsia="Arial" w:hAnsi="Arial"/>
                <w:sz w:val="18"/>
                <w:szCs w:val="18"/>
                <w:b w:val="1"/>
                <w:bCs w:val="1"/>
                <w:color w:val="auto"/>
              </w:rPr>
              <w:t>Period ending:</w:t>
            </w: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2021</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1,816</w:t>
            </w: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1,416</w:t>
            </w: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Fiscal 2026</w:t>
            </w: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23"/>
        </w:trPr>
        <w:tc>
          <w:tcPr>
            <w:tcW w:w="9380" w:type="dxa"/>
            <w:vAlign w:val="bottom"/>
          </w:tcPr>
          <w:p>
            <w:pPr>
              <w:ind w:left="20"/>
              <w:spacing w:after="0"/>
              <w:rPr>
                <w:sz w:val="20"/>
                <w:szCs w:val="20"/>
                <w:color w:val="auto"/>
              </w:rPr>
            </w:pPr>
            <w:r>
              <w:rPr>
                <w:rFonts w:ascii="Arial" w:cs="Arial" w:eastAsia="Arial" w:hAnsi="Arial"/>
                <w:sz w:val="18"/>
                <w:szCs w:val="18"/>
                <w:color w:val="auto"/>
              </w:rPr>
              <w:t>Total estimated remaining amortization expense at December 31, 2020</w:t>
            </w: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7,743</w:t>
            </w:r>
          </w:p>
        </w:tc>
      </w:tr>
      <w:tr>
        <w:trPr>
          <w:trHeight w:val="21"/>
        </w:trPr>
        <w:tc>
          <w:tcPr>
            <w:tcW w:w="9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November 2, 2020, the Company entered into the Fifth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 which replaced the Fourth Amended and Restated Credit Agreement (the "Prior Credit Agreement") that was in place at June 30, 2020, which is described in Part II, Item 8. Financial Statements and Supplementary Data, Note 5 - Debt, in the Company's Annual Report on Form 10-K for the year ended June 30, 2020.</w:t>
      </w:r>
    </w:p>
    <w:p>
      <w:pPr>
        <w:spacing w:after="0" w:line="1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Credit Agreement provides for a three-year senior secured revolving credit facility of $200.0 million that expires November 2, 2023. The credit facility may be used for working capital, acquisitions, capital expenditures, issuances of letters of credit and other lawful purposes.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facility includes a U.S. Dollar equivalent sublimit of $75.0 million for revolving loans denominated in Australian Dollars, Canadian Dollars, Euros and Pounds Sterling and letters of credit in Australian Dollars, Euros, and Pounds Sterling.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right="220" w:hanging="482"/>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Adjusted LIBO Rate or the Adjusted EURIBOR Rate, in the case of revolving loans denominated in Pounds Sterling or Australian Dollars; or</w:t>
      </w:r>
    </w:p>
    <w:p>
      <w:pPr>
        <w:spacing w:after="0" w:line="116"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Adjusted EURIBOR Rate, in the case of revolving loans denominated in Euros,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1.00% and 2.00%. The Applicable Margin for Adjusted LIBO, Adjusted EURIBOR and CDOR loans ranges between 2.00% and 3.00% and the Applicable Margin for Canadian Prime Rate loans ranges between 2.50% and 3.50%.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0.35% and 0.50% based on the Leverage Ratio.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Covenants and limitations under the Credit Agreement include the following:</w:t>
      </w:r>
    </w:p>
    <w:p>
      <w:pPr>
        <w:spacing w:after="0" w:line="252" w:lineRule="exact"/>
        <w:rPr>
          <w:sz w:val="20"/>
          <w:szCs w:val="20"/>
          <w:color w:val="auto"/>
        </w:rPr>
      </w:pPr>
    </w:p>
    <w:p>
      <w:pPr>
        <w:jc w:val="both"/>
        <w:ind w:left="1300" w:hanging="482"/>
        <w:spacing w:after="0" w:line="311" w:lineRule="auto"/>
        <w:tabs>
          <w:tab w:leader="none" w:pos="1295"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Leverage Ratio, determined as of the end of each fiscal quarter, may not exceed 3.00 to 1.00. The Leverage Ratio covenant requires that Consolidated Funded Indebtedness, as defined in the Credit Agreement, as of the end of any fiscal quarter, may not exceed 3.0 times Consolidated EBITDA, as defined in the Credit Agreement, or "Covenant EBITDA," over the previous four 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00" w:hanging="482"/>
        <w:spacing w:after="0" w:line="27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("FCCR"), determined as of the end of each fiscal quarter, greater than or equal to 1.25 to 1.00. The FCCR is calculated as follows:</w:t>
      </w:r>
    </w:p>
    <w:p>
      <w:pPr>
        <w:spacing w:after="0" w:line="116" w:lineRule="exact"/>
        <w:rPr>
          <w:rFonts w:ascii="Arial" w:cs="Arial" w:eastAsia="Arial" w:hAnsi="Arial"/>
          <w:sz w:val="18"/>
          <w:szCs w:val="18"/>
          <w:color w:val="auto"/>
        </w:rPr>
      </w:pPr>
    </w:p>
    <w:p>
      <w:pPr>
        <w:jc w:val="both"/>
        <w:ind w:left="1960" w:hanging="494"/>
        <w:spacing w:after="0" w:line="259" w:lineRule="auto"/>
        <w:tabs>
          <w:tab w:leader="none" w:pos="1970" w:val="left"/>
        </w:tabs>
        <w:numPr>
          <w:ilvl w:val="1"/>
          <w:numId w:val="8"/>
        </w:numPr>
        <w:rPr>
          <w:rFonts w:ascii="Arial" w:cs="Arial" w:eastAsia="Arial" w:hAnsi="Arial"/>
          <w:sz w:val="18"/>
          <w:szCs w:val="18"/>
          <w:color w:val="auto"/>
        </w:rPr>
      </w:pPr>
      <w:r>
        <w:rPr>
          <w:rFonts w:ascii="Arial" w:cs="Arial" w:eastAsia="Arial" w:hAnsi="Arial"/>
          <w:sz w:val="18"/>
          <w:szCs w:val="18"/>
          <w:color w:val="auto"/>
        </w:rPr>
        <w:t>If no borrowings are outstanding at quarter end, then the FCCR covenant requires that, as of the end of any fiscal quarter, Covenant EBITDA, after deducting capital expenditures and dividends for the previous four quarters, may not be less than 1.25 times the total of interest expense and cash paid for income taxes over the previous four quarters plus scheduled maturities of certain indebtedness for the next four quarters.</w:t>
      </w:r>
    </w:p>
    <w:p>
      <w:pPr>
        <w:spacing w:after="0" w:line="132" w:lineRule="exact"/>
        <w:rPr>
          <w:rFonts w:ascii="Arial" w:cs="Arial" w:eastAsia="Arial" w:hAnsi="Arial"/>
          <w:sz w:val="18"/>
          <w:szCs w:val="18"/>
          <w:color w:val="auto"/>
        </w:rPr>
      </w:pPr>
    </w:p>
    <w:p>
      <w:pPr>
        <w:ind w:left="1940" w:hanging="474"/>
        <w:spacing w:after="0"/>
        <w:tabs>
          <w:tab w:leader="none" w:pos="1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If borrowings are outstanding at quarter end:</w:t>
      </w:r>
    </w:p>
    <w:p>
      <w:pPr>
        <w:spacing w:after="0" w:line="171" w:lineRule="exact"/>
        <w:rPr>
          <w:rFonts w:ascii="Arial" w:cs="Arial" w:eastAsia="Arial" w:hAnsi="Arial"/>
          <w:sz w:val="18"/>
          <w:szCs w:val="18"/>
          <w:color w:val="auto"/>
        </w:rPr>
      </w:pPr>
    </w:p>
    <w:p>
      <w:pPr>
        <w:jc w:val="both"/>
        <w:ind w:left="2600" w:hanging="486"/>
        <w:spacing w:after="0" w:line="259" w:lineRule="auto"/>
        <w:tabs>
          <w:tab w:leader="none" w:pos="2610" w:val="left"/>
        </w:tabs>
        <w:numPr>
          <w:ilvl w:val="2"/>
          <w:numId w:val="8"/>
        </w:numPr>
        <w:rPr>
          <w:rFonts w:ascii="Arial" w:cs="Arial" w:eastAsia="Arial" w:hAnsi="Arial"/>
          <w:sz w:val="18"/>
          <w:szCs w:val="18"/>
          <w:color w:val="auto"/>
        </w:rPr>
      </w:pPr>
      <w:r>
        <w:rPr>
          <w:rFonts w:ascii="Arial" w:cs="Arial" w:eastAsia="Arial" w:hAnsi="Arial"/>
          <w:sz w:val="18"/>
          <w:szCs w:val="18"/>
          <w:color w:val="auto"/>
        </w:rPr>
        <w:t>for the fiscal quarters ending September 30, 2020 through June 30, 2021, Covenant EBITDA, after deducting capital expenditures, dividends, and share repurchases in excess of $7.5 million for the previous four quarters, may not be less than 1.25 times the total of interest expense and cash paid for income taxes over the previous four quarters plus scheduled maturities of certain indebtedness for the next four quarters.</w:t>
      </w:r>
    </w:p>
    <w:p>
      <w:pPr>
        <w:spacing w:after="0" w:line="132" w:lineRule="exact"/>
        <w:rPr>
          <w:rFonts w:ascii="Arial" w:cs="Arial" w:eastAsia="Arial" w:hAnsi="Arial"/>
          <w:sz w:val="18"/>
          <w:szCs w:val="18"/>
          <w:color w:val="auto"/>
        </w:rPr>
      </w:pPr>
    </w:p>
    <w:p>
      <w:pPr>
        <w:ind w:left="2600" w:hanging="486"/>
        <w:spacing w:after="0" w:line="277" w:lineRule="auto"/>
        <w:tabs>
          <w:tab w:leader="none" w:pos="2610" w:val="left"/>
        </w:tabs>
        <w:numPr>
          <w:ilvl w:val="2"/>
          <w:numId w:val="8"/>
        </w:numPr>
        <w:rPr>
          <w:rFonts w:ascii="Arial" w:cs="Arial" w:eastAsia="Arial" w:hAnsi="Arial"/>
          <w:sz w:val="18"/>
          <w:szCs w:val="18"/>
          <w:color w:val="auto"/>
        </w:rPr>
      </w:pPr>
      <w:r>
        <w:rPr>
          <w:rFonts w:ascii="Arial" w:cs="Arial" w:eastAsia="Arial" w:hAnsi="Arial"/>
          <w:sz w:val="18"/>
          <w:szCs w:val="18"/>
          <w:color w:val="auto"/>
        </w:rPr>
        <w:t>for all fiscal quarters ending on or after September 30, 2021, the FCCR is calculated the same except that all share repurchases for the previous four quarters are deducted from Covenant EBITDA.</w:t>
      </w:r>
    </w:p>
    <w:p>
      <w:pPr>
        <w:spacing w:after="0" w:line="116" w:lineRule="exact"/>
        <w:rPr>
          <w:rFonts w:ascii="Arial" w:cs="Arial" w:eastAsia="Arial" w:hAnsi="Arial"/>
          <w:sz w:val="18"/>
          <w:szCs w:val="18"/>
          <w:color w:val="auto"/>
        </w:rPr>
      </w:pPr>
    </w:p>
    <w:p>
      <w:pPr>
        <w:jc w:val="both"/>
        <w:ind w:left="1300" w:hanging="482"/>
        <w:spacing w:after="0" w:line="263"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129" w:lineRule="exact"/>
        <w:rPr>
          <w:rFonts w:ascii="Arial" w:cs="Arial" w:eastAsia="Arial" w:hAnsi="Arial"/>
          <w:sz w:val="18"/>
          <w:szCs w:val="18"/>
          <w:color w:val="auto"/>
        </w:rPr>
      </w:pPr>
    </w:p>
    <w:p>
      <w:pPr>
        <w:ind w:left="1300" w:hanging="48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 repurchases are limited to $30.0 million per calendar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Company is in compliance with all affirmative, negative, and financial covenants under the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Availability at December 31, 2020 and June 30, 2020 under the new and prior senior secured revolving credit facilities, respectively, were as follows: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4"/>
                <w:szCs w:val="14"/>
                <w:color w:val="auto"/>
              </w:rPr>
            </w:pPr>
          </w:p>
        </w:tc>
        <w:tc>
          <w:tcPr>
            <w:tcW w:w="1080" w:type="dxa"/>
            <w:vAlign w:val="bottom"/>
          </w:tcPr>
          <w:p>
            <w:pPr>
              <w:jc w:val="right"/>
              <w:ind w:right="415"/>
              <w:spacing w:after="0"/>
              <w:rPr>
                <w:sz w:val="20"/>
                <w:szCs w:val="20"/>
                <w:color w:val="auto"/>
              </w:rPr>
            </w:pPr>
            <w:r>
              <w:rPr>
                <w:rFonts w:ascii="Arial" w:cs="Arial" w:eastAsia="Arial" w:hAnsi="Arial"/>
                <w:sz w:val="14"/>
                <w:szCs w:val="14"/>
                <w:b w:val="1"/>
                <w:bCs w:val="1"/>
                <w:color w:val="auto"/>
                <w:w w:val="99"/>
              </w:rPr>
              <w:t>June 30,</w:t>
            </w:r>
          </w:p>
        </w:tc>
      </w:tr>
      <w:tr>
        <w:trPr>
          <w:trHeight w:val="188"/>
        </w:trPr>
        <w:tc>
          <w:tcPr>
            <w:tcW w:w="8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180"/>
        </w:trPr>
        <w:tc>
          <w:tcPr>
            <w:tcW w:w="8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080" w:type="dxa"/>
            <w:vAlign w:val="bottom"/>
          </w:tcPr>
          <w:p>
            <w:pPr>
              <w:spacing w:after="0"/>
              <w:rPr>
                <w:sz w:val="15"/>
                <w:szCs w:val="15"/>
                <w:color w:val="auto"/>
              </w:rPr>
            </w:pPr>
          </w:p>
        </w:tc>
      </w:tr>
      <w:tr>
        <w:trPr>
          <w:trHeight w:val="23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revolving credit facility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Capacity constraint due to the Leverage Ratio</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131,690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162,864</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Capacity under the credit facility</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137,136</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Letters of credit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34,899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34,529</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outstanding</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9,208</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Availability under the senior secured revolving credit facility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33,411</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93,399</w:t>
            </w:r>
          </w:p>
        </w:tc>
      </w:tr>
      <w:tr>
        <w:trPr>
          <w:trHeight w:val="21"/>
        </w:trPr>
        <w:tc>
          <w:tcPr>
            <w:tcW w:w="8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Availability under the new $200.0 million senior secured revolving credit facility at June 30, 2020 would have been the same if the Credit Agreement had been in place on such date due to the capacity constraint.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rates for the three and six months ended December 31, 2020 were 20.9% and 11.0%, respectively; compared to 10.5% and 2.6% for the three and six months ended December 31, 2019, respectively. We expect our effective tax rate to be approximately 27.0% for the remainder of fiscal 2021. The effective tax rate in fiscal 2021 was negatively impacted by deferred tax asset adjustments of $0.2 million and $1.2 million during the three and six months ended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Payroll Taxes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deferred $11.1 million of U.S. payroll tax as of December 31, 2020 through provisions of the Coronavirus Aid, Relief, and Economic Security (CARES) Act (the "CARES Act"). The deferred payroll taxes are included within other accrued expenses and other liabilities in the consolidated balance sheets. The Company must repay half of the deferred payroll tax by December 31, 2021 and the remainder by December 31, 2022.</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Unpriced Change Orders and Claims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$13.0 million at December 31, 2020 and $14.5 million at June 30, 2020. Generally, collection of amounts related to unpriced change orders and claims is expected within twelve months. However, since customers may not pay these amounts until final resolution of related claims, collection of these amounts may extend beyond one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of fiscal 2020, the Company commenced litigation in an effort to collect accounts receivable from an iron and steel customer following the deterioration of the relationship in the second quarter of fiscal 2020. The unpaid receivable balance at December 31, 2020 was $16.9 million. Litigation is unpredictable, however, based on the terms of the contract with this customer, the Company is entitled to collect the full amount owed under the contract.</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other known legal actions, including a contract dispute with a customer involving the construction of a crude terminal, will have a material impact on the Company’s financial position, results of operations or liquidity.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 In the event we report a loss, stock options and nonvested deferred shares are not included since they are anti-dilutive.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58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Six Months Ended</w:t>
            </w:r>
          </w:p>
        </w:tc>
      </w:tr>
      <w:tr>
        <w:trPr>
          <w:trHeight w:val="134"/>
        </w:trPr>
        <w:tc>
          <w:tcPr>
            <w:tcW w:w="56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8"/>
              <w:spacing w:after="0" w:line="135"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5"/>
              <w:spacing w:after="0" w:line="135" w:lineRule="exact"/>
              <w:rPr>
                <w:sz w:val="20"/>
                <w:szCs w:val="20"/>
                <w:color w:val="auto"/>
              </w:rPr>
            </w:pPr>
            <w:r>
              <w:rPr>
                <w:rFonts w:ascii="Arial" w:cs="Arial" w:eastAsia="Arial" w:hAnsi="Arial"/>
                <w:sz w:val="14"/>
                <w:szCs w:val="14"/>
                <w:b w:val="1"/>
                <w:bCs w:val="1"/>
                <w:color w:val="auto"/>
                <w:w w:val="96"/>
              </w:rPr>
              <w:t>December 31,</w:t>
            </w:r>
          </w:p>
        </w:tc>
      </w:tr>
      <w:tr>
        <w:trPr>
          <w:trHeight w:val="188"/>
        </w:trPr>
        <w:tc>
          <w:tcPr>
            <w:tcW w:w="5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163"/>
        </w:trPr>
        <w:tc>
          <w:tcPr>
            <w:tcW w:w="5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ind w:left="280"/>
              <w:spacing w:after="0"/>
              <w:rPr>
                <w:sz w:val="20"/>
                <w:szCs w:val="20"/>
                <w:color w:val="auto"/>
              </w:rPr>
            </w:pPr>
            <w:r>
              <w:rPr>
                <w:rFonts w:ascii="Arial" w:cs="Arial" w:eastAsia="Arial" w:hAnsi="Arial"/>
                <w:sz w:val="13"/>
                <w:szCs w:val="13"/>
                <w:color w:val="auto"/>
              </w:rPr>
              <w:t>(In thousands, except per share data)</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7"/>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(21,857)</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26,930</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640" w:type="dxa"/>
            <w:vAlign w:val="bottom"/>
          </w:tcPr>
          <w:p>
            <w:pPr>
              <w:ind w:left="20"/>
              <w:spacing w:after="0" w:line="203" w:lineRule="exact"/>
              <w:rPr>
                <w:sz w:val="20"/>
                <w:szCs w:val="20"/>
                <w:color w:val="auto"/>
              </w:rPr>
            </w:pPr>
            <w:r>
              <w:rPr>
                <w:rFonts w:ascii="Arial" w:cs="Arial" w:eastAsia="Arial" w:hAnsi="Arial"/>
                <w:sz w:val="18"/>
                <w:szCs w:val="18"/>
                <w:color w:val="auto"/>
              </w:rPr>
              <w:t>Basic loss per share</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(0.17)</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(0.29)</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(0.81)</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5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EPS: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Diluted weighted average shares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26,930</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loss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securities are considered antidilutive and have been excluded from the calculation of Diluted EPS: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60" w:type="dxa"/>
            <w:vAlign w:val="bottom"/>
            <w:gridSpan w:val="4"/>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2760" w:type="dxa"/>
            <w:vAlign w:val="bottom"/>
            <w:gridSpan w:val="3"/>
          </w:tcPr>
          <w:p>
            <w:pPr>
              <w:jc w:val="right"/>
              <w:ind w:right="717"/>
              <w:spacing w:after="0"/>
              <w:rPr>
                <w:sz w:val="20"/>
                <w:szCs w:val="20"/>
                <w:color w:val="auto"/>
              </w:rPr>
            </w:pPr>
            <w:r>
              <w:rPr>
                <w:rFonts w:ascii="Arial" w:cs="Arial" w:eastAsia="Arial" w:hAnsi="Arial"/>
                <w:sz w:val="14"/>
                <w:szCs w:val="14"/>
                <w:b w:val="1"/>
                <w:bCs w:val="1"/>
                <w:color w:val="auto"/>
              </w:rPr>
              <w:t>Six Months Ended</w:t>
            </w:r>
          </w:p>
        </w:tc>
      </w:tr>
      <w:tr>
        <w:trPr>
          <w:trHeight w:val="134"/>
        </w:trPr>
        <w:tc>
          <w:tcPr>
            <w:tcW w:w="5620" w:type="dxa"/>
            <w:vAlign w:val="bottom"/>
          </w:tcPr>
          <w:p>
            <w:pPr>
              <w:spacing w:after="0"/>
              <w:rPr>
                <w:sz w:val="11"/>
                <w:szCs w:val="11"/>
                <w:color w:val="auto"/>
              </w:rPr>
            </w:pPr>
          </w:p>
        </w:tc>
        <w:tc>
          <w:tcPr>
            <w:tcW w:w="1440" w:type="dxa"/>
            <w:vAlign w:val="bottom"/>
            <w:tcBorders>
              <w:top w:val="single" w:sz="8" w:color="auto"/>
            </w:tcBorders>
            <w:gridSpan w:val="2"/>
          </w:tcPr>
          <w:p>
            <w:pPr>
              <w:ind w:left="240"/>
              <w:spacing w:after="0" w:line="135" w:lineRule="exact"/>
              <w:rPr>
                <w:sz w:val="20"/>
                <w:szCs w:val="20"/>
                <w:color w:val="auto"/>
              </w:rPr>
            </w:pPr>
            <w:r>
              <w:rPr>
                <w:rFonts w:ascii="Arial" w:cs="Arial" w:eastAsia="Arial" w:hAnsi="Arial"/>
                <w:sz w:val="14"/>
                <w:szCs w:val="14"/>
                <w:b w:val="1"/>
                <w:bCs w:val="1"/>
                <w:color w:val="auto"/>
              </w:rPr>
              <w:t>December 31,</w:t>
            </w:r>
          </w:p>
        </w:tc>
        <w:tc>
          <w:tcPr>
            <w:tcW w:w="1320" w:type="dxa"/>
            <w:vAlign w:val="bottom"/>
            <w:tcBorders>
              <w:top w:val="single" w:sz="8" w:color="auto"/>
            </w:tcBorders>
          </w:tcPr>
          <w:p>
            <w:pPr>
              <w:jc w:val="right"/>
              <w:ind w:right="159"/>
              <w:spacing w:after="0" w:line="135"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1440" w:type="dxa"/>
            <w:vAlign w:val="bottom"/>
            <w:tcBorders>
              <w:top w:val="single" w:sz="8" w:color="auto"/>
            </w:tcBorders>
            <w:gridSpan w:val="2"/>
          </w:tcPr>
          <w:p>
            <w:pPr>
              <w:ind w:left="240"/>
              <w:spacing w:after="0" w:line="135" w:lineRule="exact"/>
              <w:rPr>
                <w:sz w:val="20"/>
                <w:szCs w:val="20"/>
                <w:color w:val="auto"/>
              </w:rPr>
            </w:pPr>
            <w:r>
              <w:rPr>
                <w:rFonts w:ascii="Arial" w:cs="Arial" w:eastAsia="Arial" w:hAnsi="Arial"/>
                <w:sz w:val="14"/>
                <w:szCs w:val="14"/>
                <w:b w:val="1"/>
                <w:bCs w:val="1"/>
                <w:color w:val="auto"/>
              </w:rPr>
              <w:t>December 31,</w:t>
            </w:r>
          </w:p>
        </w:tc>
        <w:tc>
          <w:tcPr>
            <w:tcW w:w="1320" w:type="dxa"/>
            <w:vAlign w:val="bottom"/>
            <w:tcBorders>
              <w:top w:val="single" w:sz="8" w:color="auto"/>
            </w:tcBorders>
          </w:tcPr>
          <w:p>
            <w:pPr>
              <w:jc w:val="right"/>
              <w:ind w:right="157"/>
              <w:spacing w:after="0" w:line="135" w:lineRule="exact"/>
              <w:rPr>
                <w:sz w:val="20"/>
                <w:szCs w:val="20"/>
                <w:color w:val="auto"/>
              </w:rPr>
            </w:pPr>
            <w:r>
              <w:rPr>
                <w:rFonts w:ascii="Arial" w:cs="Arial" w:eastAsia="Arial" w:hAnsi="Arial"/>
                <w:sz w:val="14"/>
                <w:szCs w:val="14"/>
                <w:b w:val="1"/>
                <w:bCs w:val="1"/>
                <w:color w:val="auto"/>
              </w:rPr>
              <w:t>December 31,</w:t>
            </w:r>
          </w:p>
        </w:tc>
      </w:tr>
      <w:tr>
        <w:trPr>
          <w:trHeight w:val="188"/>
        </w:trPr>
        <w:tc>
          <w:tcPr>
            <w:tcW w:w="5620" w:type="dxa"/>
            <w:vAlign w:val="bottom"/>
          </w:tcPr>
          <w:p>
            <w:pPr>
              <w:spacing w:after="0"/>
              <w:rPr>
                <w:sz w:val="16"/>
                <w:szCs w:val="16"/>
                <w:color w:val="auto"/>
              </w:rPr>
            </w:pP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r>
      <w:tr>
        <w:trPr>
          <w:trHeight w:val="180"/>
        </w:trPr>
        <w:tc>
          <w:tcPr>
            <w:tcW w:w="5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4"/>
          </w:tcPr>
          <w:p>
            <w:pPr>
              <w:ind w:left="960"/>
              <w:spacing w:after="0"/>
              <w:rPr>
                <w:sz w:val="20"/>
                <w:szCs w:val="20"/>
                <w:color w:val="auto"/>
              </w:rPr>
            </w:pPr>
            <w:r>
              <w:rPr>
                <w:rFonts w:ascii="Arial" w:cs="Arial" w:eastAsia="Arial" w:hAnsi="Arial"/>
                <w:sz w:val="14"/>
                <w:szCs w:val="14"/>
                <w:color w:val="auto"/>
              </w:rPr>
              <w:t>(In thousands)</w:t>
            </w:r>
          </w:p>
        </w:tc>
        <w:tc>
          <w:tcPr>
            <w:tcW w:w="1320" w:type="dxa"/>
            <w:vAlign w:val="bottom"/>
          </w:tcPr>
          <w:p>
            <w:pPr>
              <w:spacing w:after="0"/>
              <w:rPr>
                <w:sz w:val="15"/>
                <w:szCs w:val="15"/>
                <w:color w:val="auto"/>
              </w:rPr>
            </w:pPr>
          </w:p>
        </w:tc>
      </w:tr>
      <w:tr>
        <w:trPr>
          <w:trHeight w:val="23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Nonvested deferred shares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Reportable Segments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changing markets facing our clients and to better align the financial reporting of the Company with our long-term strategic growth areas, we began reporting our financial results under new reportable segments effective July 1, 2020. The new reportable segments along with a description of each are as follows:</w:t>
      </w:r>
    </w:p>
    <w:p>
      <w:pPr>
        <w:spacing w:after="0" w:line="126" w:lineRule="exact"/>
        <w:rPr>
          <w:sz w:val="20"/>
          <w:szCs w:val="20"/>
          <w:color w:val="auto"/>
        </w:rPr>
      </w:pPr>
    </w:p>
    <w:p>
      <w:pPr>
        <w:jc w:val="both"/>
        <w:ind w:left="660" w:hanging="328"/>
        <w:spacing w:after="0" w:line="25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Utility and Power Infrastructure</w:t>
      </w:r>
      <w:r>
        <w:rPr>
          <w:rFonts w:ascii="Arial" w:cs="Arial" w:eastAsia="Arial" w:hAnsi="Arial"/>
          <w:sz w:val="18"/>
          <w:szCs w:val="18"/>
          <w:color w:val="auto"/>
        </w:rPr>
        <w:t>: consists of power delivery services provided to investor owned utilities, including construction of new</w:t>
      </w:r>
      <w:r>
        <w:rPr>
          <w:rFonts w:ascii="Arial" w:cs="Arial" w:eastAsia="Arial" w:hAnsi="Arial"/>
          <w:sz w:val="18"/>
          <w:szCs w:val="18"/>
          <w:b w:val="1"/>
          <w:bCs w:val="1"/>
          <w:color w:val="auto"/>
        </w:rPr>
        <w:t xml:space="preserve"> </w:t>
      </w:r>
      <w:r>
        <w:rPr>
          <w:rFonts w:ascii="Arial" w:cs="Arial" w:eastAsia="Arial" w:hAnsi="Arial"/>
          <w:sz w:val="18"/>
          <w:szCs w:val="18"/>
          <w:color w:val="auto"/>
        </w:rPr>
        <w:t>substations, upgrades of existing substations, transmission and distribution line installations, upgrades and maintenance, as well as emergency and storm restoration services. The Company also provides construction and maintenance services to a variety of power generation facilities, including gas fired facilities in simple or combined cycle configuration and provides engineering, fabrication, and construction services for LNG utility peak shaving facilities.</w:t>
      </w:r>
    </w:p>
    <w:p>
      <w:pPr>
        <w:spacing w:after="0" w:line="210" w:lineRule="exact"/>
        <w:rPr>
          <w:rFonts w:ascii="Arial" w:cs="Arial" w:eastAsia="Arial" w:hAnsi="Arial"/>
          <w:sz w:val="18"/>
          <w:szCs w:val="18"/>
          <w:color w:val="auto"/>
        </w:rPr>
      </w:pPr>
    </w:p>
    <w:p>
      <w:pPr>
        <w:ind w:left="660" w:right="20" w:hanging="328"/>
        <w:spacing w:after="0" w:line="258" w:lineRule="auto"/>
        <w:tabs>
          <w:tab w:leader="none" w:pos="65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Process and Industrial Facilities</w:t>
      </w:r>
      <w:r>
        <w:rPr>
          <w:rFonts w:ascii="Arial" w:cs="Arial" w:eastAsia="Arial" w:hAnsi="Arial"/>
          <w:sz w:val="18"/>
          <w:szCs w:val="18"/>
          <w:color w:val="auto"/>
        </w:rPr>
        <w:t>: primarily serves customers in the downstream and midstream petroleum industries who are engaged in refining</w:t>
      </w:r>
      <w:r>
        <w:rPr>
          <w:rFonts w:ascii="Arial" w:cs="Arial" w:eastAsia="Arial" w:hAnsi="Arial"/>
          <w:sz w:val="18"/>
          <w:szCs w:val="18"/>
          <w:b w:val="1"/>
          <w:bCs w:val="1"/>
          <w:color w:val="auto"/>
        </w:rPr>
        <w:t xml:space="preserve"> </w:t>
      </w:r>
      <w:r>
        <w:rPr>
          <w:rFonts w:ascii="Arial" w:cs="Arial" w:eastAsia="Arial" w:hAnsi="Arial"/>
          <w:sz w:val="18"/>
          <w:szCs w:val="18"/>
          <w:color w:val="auto"/>
        </w:rPr>
        <w:t>crude oil and processing, fractionating, and marketing of natural gas and natural gas liquids. The Company also serves customers in various other industries such as petrochemical, sulfur, mining and minerals companies engaged primarily in the extraction of non-ferrous metals, aerospace and defense, cement, agriculture, and other industrial customers. The Company's services include plant maintenance, turnarounds, industrial cleaning services, engineering, fabrication, and capital construction.</w:t>
      </w:r>
    </w:p>
    <w:p>
      <w:pPr>
        <w:spacing w:after="0" w:line="129" w:lineRule="exact"/>
        <w:rPr>
          <w:rFonts w:ascii="Arial" w:cs="Arial" w:eastAsia="Arial" w:hAnsi="Arial"/>
          <w:sz w:val="18"/>
          <w:szCs w:val="18"/>
          <w:b w:val="1"/>
          <w:bCs w:val="1"/>
          <w:color w:val="auto"/>
        </w:rPr>
      </w:pPr>
    </w:p>
    <w:p>
      <w:pPr>
        <w:jc w:val="both"/>
        <w:ind w:left="66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Storage and Terminal Solutions</w:t>
      </w:r>
      <w:r>
        <w:rPr>
          <w:rFonts w:ascii="Arial" w:cs="Arial" w:eastAsia="Arial" w:hAnsi="Arial"/>
          <w:sz w:val="18"/>
          <w:szCs w:val="18"/>
          <w:color w:val="auto"/>
        </w:rPr>
        <w:t>: consists of work related to aboveground storage tanks and terminals. Also included in this segment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cryogenic and other specialty storage tanks and terminals, including LNG, liquid nitrogen/liquid oxygen, liquid petroleum, hydrogen and other specialty vessels such as spheres, as well as marine structures and truck and rail loading/offloading facilities. The Company's services include engineering, fabrication, construction, and maintenance and repair, which includes planned and emergency services for both tanks and full terminals. Finally, the Company offers tank products, including geodesic domes, aluminum internal floating roofs, floating suction and skimmer systems, roof drain systems and floating roof seals.</w:t>
      </w:r>
    </w:p>
    <w:p>
      <w:pPr>
        <w:spacing w:after="0" w:line="13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All prior period segment information has been restated to conform with our new reportable segments. In addition, beginning July 1, 2020, the Company is reporting separately corporate selling, general and administrative expenses and other corporate expenses that were previously allocated to the segments.</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evaluates performance and allocates resources based on operating income. Intersegment sales and transfers are recorded at cost; therefore, no intercompany profit or loss is recognized.</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right-of-use lease assets,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58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4"/>
        </w:trPr>
        <w:tc>
          <w:tcPr>
            <w:tcW w:w="4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8"/>
        </w:trPr>
        <w:tc>
          <w:tcPr>
            <w:tcW w:w="47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revenue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52,023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49,155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112,694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96,882</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299,221</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Storage and Terminal Solutions</w:t>
            </w:r>
          </w:p>
        </w:tc>
        <w:tc>
          <w:tcPr>
            <w:tcW w:w="8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65,434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143,030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264,009</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gross revenue</w:t>
            </w: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660,112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Less: Inter-segment revenue</w:t>
            </w: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8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Storage and Terminal Solutions</w:t>
            </w:r>
          </w:p>
        </w:tc>
        <w:tc>
          <w:tcPr>
            <w:tcW w:w="8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inter-segment revenue</w:t>
            </w: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Consolidated revenue</w:t>
            </w: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8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and Power Infrastructure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96,882</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Process and Industrial Facilities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51,262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142,883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97,193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297,760</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and Terminal Solutions</w:t>
            </w:r>
          </w:p>
        </w:tc>
        <w:tc>
          <w:tcPr>
            <w:tcW w:w="8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140,352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262,132</w:t>
            </w: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Total consolidated revenue</w:t>
            </w:r>
          </w:p>
        </w:tc>
        <w:tc>
          <w:tcPr>
            <w:tcW w:w="8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167,468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350,239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656,774</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Gross profit (loss)</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5,597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12,510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27,428</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37,768</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Total gross profit</w:t>
            </w: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29,663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62,466</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Selling, general and administrative expenses</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2,576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4,798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14,323</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13,777</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8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13,346</w:t>
            </w: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Total selling, general and administrative expenses</w:t>
            </w:r>
          </w:p>
        </w:tc>
        <w:tc>
          <w:tcPr>
            <w:tcW w:w="8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34,852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46,856</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Intangible asset impairments and restructuring costs</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24,900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24,900</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13,615</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Total asset impairments and restructuring costs</w:t>
            </w: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38,515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38,515</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2,209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(28,904)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6,889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(31,704)</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23,991</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8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(14,682)</w:t>
            </w: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Total operating loss</w:t>
            </w:r>
          </w:p>
        </w:tc>
        <w:tc>
          <w:tcPr>
            <w:tcW w:w="8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(22,905)</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47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80" w:type="dxa"/>
            <w:vAlign w:val="bottom"/>
          </w:tcPr>
          <w:p>
            <w:pPr>
              <w:jc w:val="right"/>
              <w:ind w:right="335"/>
              <w:spacing w:after="0"/>
              <w:rPr>
                <w:sz w:val="20"/>
                <w:szCs w:val="20"/>
                <w:color w:val="auto"/>
              </w:rPr>
            </w:pPr>
            <w:r>
              <w:rPr>
                <w:rFonts w:ascii="Arial" w:cs="Arial" w:eastAsia="Arial" w:hAnsi="Arial"/>
                <w:sz w:val="14"/>
                <w:szCs w:val="14"/>
                <w:b w:val="1"/>
                <w:bCs w:val="1"/>
                <w:color w:val="auto"/>
              </w:rPr>
              <w:t>June 30,</w:t>
            </w:r>
          </w:p>
        </w:tc>
      </w:tr>
      <w:tr>
        <w:trPr>
          <w:trHeight w:val="188"/>
        </w:trPr>
        <w:tc>
          <w:tcPr>
            <w:tcW w:w="84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4"/>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and Power Infrastructure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67,398</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Process and Industrial Facilities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106,053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138,734</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and Terminal Solutions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187,167</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124,011</w:t>
            </w:r>
          </w:p>
        </w:tc>
      </w:tr>
      <w:tr>
        <w:trPr>
          <w:trHeight w:val="248"/>
        </w:trPr>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segment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517,310</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Restructuring Costs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During the third quarter of fiscal 2020, the Company initiated a business improvement plan to increase profitability and reduce its cost structure related to:</w:t>
      </w:r>
    </w:p>
    <w:p>
      <w:pPr>
        <w:spacing w:after="0" w:line="19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its strategic initiative to exit the domestic iron and steel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implementation of business improvements in the power delivery portion of the Utility and Power Infrastructure segment;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decline in revenue caused by the ongoing effects of the COVID-19 pandemic and related market disruptions.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business improvement plan consists of discretionary cost reductions, workforce reductions, reduction of capital expenditures and the reduction in size or closure of certain offices in order to increase the utilization of the Company's staff and bring the cost structure of the business in line with revenue volumes. The Company incurred $14.0 million of restructuring costs during fiscal 2020 and $4.7 million during the first half of fiscal 2021. The restructuring costs consist primarily of severance costs, facility closure costs, intangible asset impairments and other liabilities as a result of exiting certain operations. Activities under this plan are essentially complete with remaining costs of $1.0 million to $1.5 million expected in the third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costs under our business improvement plan are classified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Three months ended</w:t>
            </w:r>
          </w:p>
        </w:tc>
        <w:tc>
          <w:tcPr>
            <w:tcW w:w="1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Six months ended December</w:t>
            </w:r>
          </w:p>
        </w:tc>
        <w:tc>
          <w:tcPr>
            <w:tcW w:w="186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3"/>
              </w:rPr>
              <w:t>Since Inception of Business</w:t>
            </w:r>
          </w:p>
        </w:tc>
        <w:tc>
          <w:tcPr>
            <w:tcW w:w="0" w:type="dxa"/>
            <w:vAlign w:val="bottom"/>
          </w:tcPr>
          <w:p>
            <w:pPr>
              <w:spacing w:after="0"/>
              <w:rPr>
                <w:sz w:val="1"/>
                <w:szCs w:val="1"/>
                <w:color w:val="auto"/>
              </w:rPr>
            </w:pPr>
          </w:p>
        </w:tc>
      </w:tr>
      <w:tr>
        <w:trPr>
          <w:trHeight w:val="188"/>
        </w:trPr>
        <w:tc>
          <w:tcPr>
            <w:tcW w:w="5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2020</w:t>
            </w: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1"/>
              </w:rPr>
              <w:t>31, 2020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Improvement Plan</w:t>
            </w:r>
          </w:p>
        </w:tc>
        <w:tc>
          <w:tcPr>
            <w:tcW w:w="0" w:type="dxa"/>
            <w:vAlign w:val="bottom"/>
          </w:tcPr>
          <w:p>
            <w:pPr>
              <w:spacing w:after="0"/>
              <w:rPr>
                <w:sz w:val="1"/>
                <w:szCs w:val="1"/>
                <w:color w:val="auto"/>
              </w:rPr>
            </w:pPr>
          </w:p>
        </w:tc>
      </w:tr>
      <w:tr>
        <w:trPr>
          <w:trHeight w:val="183"/>
        </w:trPr>
        <w:tc>
          <w:tcPr>
            <w:tcW w:w="5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Utility and Power Infrastructure</w:t>
            </w: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Facility costs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Other intangible asset impairments</w:t>
            </w:r>
          </w:p>
        </w:tc>
        <w:tc>
          <w:tcPr>
            <w:tcW w:w="2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Utility and Power Infrastructure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Process and Industrial Facilities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Facility costs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 impairments</w:t>
            </w: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costs</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Process and Industrial Facilities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12,162</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Storage and Terminal Solutions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Facility costs</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Storage and Terminal Solutions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Corporate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Facility costs</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Corporate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Restructuring Costs by Type:</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4,688</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4,222</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12,997</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Facility costs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Other intangible asset impairments</w:t>
            </w:r>
          </w:p>
        </w:tc>
        <w:tc>
          <w:tcPr>
            <w:tcW w:w="2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costs</w:t>
            </w: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3"/>
        </w:trPr>
        <w:tc>
          <w:tcPr>
            <w:tcW w:w="5460" w:type="dxa"/>
            <w:vAlign w:val="bottom"/>
          </w:tcPr>
          <w:p>
            <w:pPr>
              <w:ind w:left="240"/>
              <w:spacing w:after="0"/>
              <w:rPr>
                <w:sz w:val="20"/>
                <w:szCs w:val="20"/>
                <w:color w:val="auto"/>
              </w:rPr>
            </w:pPr>
            <w:r>
              <w:rPr>
                <w:rFonts w:ascii="Arial" w:cs="Arial" w:eastAsia="Arial" w:hAnsi="Arial"/>
                <w:sz w:val="18"/>
                <w:szCs w:val="18"/>
                <w:color w:val="auto"/>
              </w:rPr>
              <w:t>Total restructuring costs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18,735</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restructuring reserve is included in other accrued expenses and other liabilities in the condensed consolidated balance sheets. The table below is a reconciliation of the beginning and ending restructuring reserve balance under the business improvement plan (in thousands):</w:t>
      </w:r>
    </w:p>
    <w:p>
      <w:pPr>
        <w:sectPr>
          <w:pgSz w:w="11900" w:h="16838" w:orient="portrait"/>
          <w:cols w:equalWidth="0" w:num="1">
            <w:col w:w="11240"/>
          </w:cols>
          <w:pgMar w:left="320" w:top="125" w:right="339" w:bottom="1440" w:gutter="0" w:footer="0" w:header="0"/>
        </w:sectPr>
      </w:pP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Restructuring costs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payments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Adjustment to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December 31, 2020</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2,403</w:t>
            </w:r>
          </w:p>
        </w:tc>
      </w:tr>
      <w:tr>
        <w:trPr>
          <w:trHeight w:val="230"/>
        </w:trPr>
        <w:tc>
          <w:tcPr>
            <w:tcW w:w="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3,422</w:t>
            </w:r>
          </w:p>
        </w:tc>
      </w:tr>
      <w:tr>
        <w:trPr>
          <w:trHeight w:val="230"/>
        </w:trPr>
        <w:tc>
          <w:tcPr>
            <w:tcW w:w="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(1,214)</w:t>
            </w:r>
          </w:p>
        </w:tc>
      </w:tr>
      <w:tr>
        <w:trPr>
          <w:trHeight w:val="230"/>
        </w:trPr>
        <w:tc>
          <w:tcPr>
            <w:tcW w:w="8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r>
      <w:tr>
        <w:trPr>
          <w:trHeight w:val="223"/>
        </w:trPr>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4,101</w:t>
            </w: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60" w:space="720"/>
            <w:col w:w="2060"/>
          </w:cols>
          <w:pgMar w:left="320" w:top="125"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have been no material changes in our critical accounting policies from those reported in our fiscal 2020 Annual Report on Form 10-K filed with the SEC. For more information on our critical accounting policies, see Part II, Item 7 of our fiscal 2020 Annual Report on Form 10-K. The following section provides certain information with respect to our critical accounting policies as of the close of our most recent quarterly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 about our Contracts with Customers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revenues come from contracts to provide engineering, procurement, fabrication and construction, repair and maintenance and other services. Our engineering, procurement, fabrication and construction services are usually provided in association with capital projects, which commonly are fixed price contracts and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be in excess of one year for capital projects.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1: Contract Identification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collectibility is probable. We also evaluate whether a contract should be combined with other contracts and accounted for as one single contract. This evaluation requires judgment and could change the timing of the amount of revenue and profit recorded for a given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2: Identify Performance Obligations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3: Determine Contract Price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 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4: Assign Contract Price to Performance Obligations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5: Recognize Revenue as Performance Obligations are Satisfied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revenue for contracts with our customers as we satisfy the contracts' performance obligations. We recognize revenue on performance obligations associated with fixed price contracts for engineering, procurement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ASC 606,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The Company does not sell separate warranties.</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 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 price contracts indicate a loss, a provision is made through a contract write-down for the total loss anticipated.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Orders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Commitments and Contingencies.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Unpriced Change Orders and Claims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$13.0 million at December 31, 2020 and $14.5 million at June 30, 2020. The amounts ultimately realized may be significantly different than the recorded amounts resulting in a material adjustment to future earnings.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Various legal actions, claims, and other contingencies arise in the normal course of our business. Contingencies are recorded in the consolidated financial statements, or are otherwise disclosed, in accordance with Accounting Standard Codification ("ASC") Topic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but is tested at least annually for impairment at the reporting unit level, which is a level below our reportable segments.</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perform our annual impairment test in the fourth quarter of each fiscal year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carrying values of our reporting units to our market capitalization.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enters into lease arrangements for real estate, construction equipment and information technology equipment in the normal course of business. The Company determines if an arrangement is or contains a lease at inception of the arrangement. An arrangement is determined to be a lease if it conveys the right to control the use of identified property and equipment for a period of time in exchange for consideration. Operating lease right-of-use assets are recognized as the present value of future lease payments over the lease term as of the commencement date, plus any lease payments made prior to commencement, and less any lease incentives received. Operating lease liabilities are recognized as the present value of the future lease payments over the lease term as of the commencement date. Operating lease expense is recognized based on the undiscounted future lease payments over the remaining lease term on a straight-line basis. Lease expense related to short-term leases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Determinations with respect to lease term (including any renewals and terminations), incremental borrowing rate used to discount lease payments, variable lease expense and future lease payments require the use of judgment based on the facts and circumstances related to each lease. The Company considers various factors, including economic incentives, intent, past history and business need, to determine the likelihood that a renewal option will be exercised.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assets are evaluated for impairment in accordance with our policy for impairment of long-lived assets.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Update</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expect business conditions to improve in the second half of fiscal 2021, there continues to be significant uncertainty regarding the near- and intermediate-term economic impacts from the COVID-19 pandemic, which continues to disrupt the markets we serve. As the COVID-19 pandemic persists, the Company's top priority has been to maintain a safe working environment for all employees, customers and business partners. We transitioned the majority of our administrative and engineering team members to remote working conditions in March 2020. At this time, we have returned to the office in select locations where predetermined criteria have been met, but the majority of our administrative and engineering team members continue to work remotely. Work at most customer locations continues to progress as our project teams in coordination with our clients created work processes to integrate the guidance from governmental agencies and leading health organizations to protect the health and safety of everyone on our job sites.</w:t>
      </w:r>
    </w:p>
    <w:p>
      <w:pPr>
        <w:spacing w:after="0" w:line="1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a result of the business conditions, we implemented discretionary cost reductions, workforce reductions, reduced capital expenditures and reduced the size of or closed certain offices. The Company incurred $14.0 million of restructuring costs during fiscal 2020 and $4.7 million during the first half of fiscal 2021. The restructuring costs consist primarily of severance costs, facility closure costs, intangible asset impairments and other liabilities as a result of exiting certain operations. These actions have resulted in an annual reduction in construction overhead and SG&amp;A costs of approximately $60 million. Activities under this plan are essentially complete with remaining costs of $1.0 million to $1.5 million expected in the third quarter.</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more clearly depict the core profitability of the Company, the following table presents our net income (loss) and earnings (loss) per fully diluted share for the three and six months ended December 31, 2020 and 2019 after adjusting for restructuring costs, impairments and the tax impacts of these adjustments and other net tax items: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Net Income (Loss) and Diluted Earnings (Loss) per Common Share</w:t>
      </w:r>
      <w:r>
        <w:rPr>
          <w:rFonts w:ascii="Arial" w:cs="Arial" w:eastAsia="Arial" w:hAnsi="Arial"/>
          <w:sz w:val="23"/>
          <w:szCs w:val="23"/>
          <w:b w:val="1"/>
          <w:bCs w:val="1"/>
          <w:color w:val="auto"/>
          <w:vertAlign w:val="superscript"/>
        </w:rPr>
        <w:t>(1)</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Borders>
              <w:bottom w:val="single" w:sz="8" w:color="auto"/>
            </w:tcBorders>
          </w:tcPr>
          <w:p>
            <w:pPr>
              <w:spacing w:after="0"/>
              <w:rPr>
                <w:sz w:val="16"/>
                <w:szCs w:val="16"/>
                <w:color w:val="auto"/>
              </w:rPr>
            </w:pPr>
          </w:p>
        </w:tc>
      </w:tr>
      <w:tr>
        <w:trPr>
          <w:trHeight w:val="187"/>
        </w:trPr>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2020</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2019</w:t>
            </w:r>
          </w:p>
        </w:tc>
        <w:tc>
          <w:tcPr>
            <w:tcW w:w="100" w:type="dxa"/>
            <w:vAlign w:val="bottom"/>
          </w:tcPr>
          <w:p>
            <w:pPr>
              <w:spacing w:after="0"/>
              <w:rPr>
                <w:sz w:val="16"/>
                <w:szCs w:val="16"/>
                <w:color w:val="auto"/>
              </w:rPr>
            </w:pP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2020</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2019</w:t>
            </w:r>
          </w:p>
        </w:tc>
      </w:tr>
      <w:tr>
        <w:trPr>
          <w:trHeight w:val="224"/>
        </w:trPr>
        <w:tc>
          <w:tcPr>
            <w:tcW w:w="56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loss, as reported</w:t>
            </w: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4"/>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(28,008)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(7,628)</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(21,857)</w:t>
            </w:r>
          </w:p>
        </w:tc>
      </w:tr>
      <w:tr>
        <w:trPr>
          <w:trHeight w:val="229"/>
        </w:trPr>
        <w:tc>
          <w:tcPr>
            <w:tcW w:w="40" w:type="dxa"/>
            <w:vAlign w:val="bottom"/>
          </w:tcPr>
          <w:p>
            <w:pPr>
              <w:spacing w:after="0"/>
              <w:rPr>
                <w:sz w:val="19"/>
                <w:szCs w:val="19"/>
                <w:color w:val="auto"/>
              </w:rPr>
            </w:pPr>
          </w:p>
        </w:tc>
        <w:tc>
          <w:tcPr>
            <w:tcW w:w="5560" w:type="dxa"/>
            <w:vAlign w:val="bottom"/>
            <w:gridSpan w:val="2"/>
          </w:tcPr>
          <w:p>
            <w:pPr>
              <w:ind w:left="320"/>
              <w:spacing w:after="0"/>
              <w:rPr>
                <w:sz w:val="20"/>
                <w:szCs w:val="20"/>
                <w:color w:val="auto"/>
              </w:rPr>
            </w:pPr>
            <w:r>
              <w:rPr>
                <w:rFonts w:ascii="Arial" w:cs="Arial" w:eastAsia="Arial" w:hAnsi="Arial"/>
                <w:sz w:val="18"/>
                <w:szCs w:val="18"/>
                <w:color w:val="auto"/>
              </w:rPr>
              <w:t>Restructuring costs incurred</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Goodwill and intangible asset impairments</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38,515</w:t>
            </w:r>
          </w:p>
        </w:tc>
      </w:tr>
      <w:tr>
        <w:trPr>
          <w:trHeight w:val="230"/>
        </w:trPr>
        <w:tc>
          <w:tcPr>
            <w:tcW w:w="4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Tax impact of adjustments and other net tax items</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w:t>
            </w:r>
          </w:p>
        </w:tc>
      </w:tr>
      <w:tr>
        <w:trPr>
          <w:trHeight w:val="248"/>
        </w:trPr>
        <w:tc>
          <w:tcPr>
            <w:tcW w:w="5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Adjusted net income (loss)</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54"/>
        </w:trPr>
        <w:tc>
          <w:tcPr>
            <w:tcW w:w="5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Loss per fully diluted share, as reported</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60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Adjusted earnings (loss) per fully diluted share</w:t>
            </w:r>
          </w:p>
        </w:tc>
        <w:tc>
          <w:tcPr>
            <w:tcW w:w="400" w:type="dxa"/>
            <w:vAlign w:val="bottom"/>
            <w:tcBorders>
              <w:bottom w:val="single" w:sz="8" w:color="auto"/>
            </w:tcBorders>
          </w:tcPr>
          <w:p>
            <w:pPr>
              <w:jc w:val="right"/>
              <w:ind w:right="214"/>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(0.03)</w:t>
            </w:r>
          </w:p>
        </w:tc>
        <w:tc>
          <w:tcPr>
            <w:tcW w:w="100" w:type="dxa"/>
            <w:vAlign w:val="bottom"/>
          </w:tcPr>
          <w:p>
            <w:pPr>
              <w:spacing w:after="0"/>
              <w:rPr>
                <w:sz w:val="17"/>
                <w:szCs w:val="17"/>
                <w:color w:val="auto"/>
              </w:rPr>
            </w:pPr>
          </w:p>
        </w:tc>
        <w:tc>
          <w:tcPr>
            <w:tcW w:w="640" w:type="dxa"/>
            <w:vAlign w:val="bottom"/>
            <w:tcBorders>
              <w:bottom w:val="single" w:sz="8" w:color="auto"/>
            </w:tcBorders>
          </w:tcPr>
          <w:p>
            <w:pPr>
              <w:jc w:val="right"/>
              <w:ind w:right="454"/>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0.19</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4"/>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394"/>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0.41</w:t>
            </w: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89" w:lineRule="exact"/>
        <w:rPr>
          <w:sz w:val="20"/>
          <w:szCs w:val="20"/>
          <w:color w:val="auto"/>
        </w:rPr>
      </w:pPr>
    </w:p>
    <w:p>
      <w:pPr>
        <w:jc w:val="both"/>
        <w:ind w:left="580" w:hanging="329"/>
        <w:spacing w:after="0" w:line="247" w:lineRule="auto"/>
        <w:tabs>
          <w:tab w:leader="none" w:pos="572"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table presents non-GAAP financial measures of our adjusted net income (loss) and adjusted diluted earnings (loss) per common share for the three and six months ended December 31, 2020 and 2019. The most directly comparable GAAP financial measures are net loss and diluted loss per common share, respectively, presented in the condensed consolidated statements of income. We have presented these non-GAAP financial measures because we believe they more clearly depict the core operating results of the Company during the periods presented and provide a more comparable measure of the Company's operating results to other companies considered to be in similar businesses. Since adjusted net income (loss) and adjusted diluted earnings (loss) per common share are not measures of performance calculated in accordance with GAAP, they should be considered in addition to, rather than as a substitute for, the most directly comparable GAAP financial measures.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Reportable Segments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changing markets facing our clients and to better align the financial reporting of the Company with our long-term strategic growth areas, we began reporting our financial results under new reportable segments effective July 1, 2020. The new reportable segments along with a description of each are as follows:</w:t>
      </w:r>
    </w:p>
    <w:p>
      <w:pPr>
        <w:spacing w:after="0" w:line="126" w:lineRule="exact"/>
        <w:rPr>
          <w:sz w:val="20"/>
          <w:szCs w:val="20"/>
          <w:color w:val="auto"/>
        </w:rPr>
      </w:pPr>
    </w:p>
    <w:p>
      <w:pPr>
        <w:jc w:val="both"/>
        <w:ind w:left="660" w:hanging="328"/>
        <w:spacing w:after="0" w:line="25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Utility and Power Infrastructure</w:t>
      </w:r>
      <w:r>
        <w:rPr>
          <w:rFonts w:ascii="Arial" w:cs="Arial" w:eastAsia="Arial" w:hAnsi="Arial"/>
          <w:sz w:val="18"/>
          <w:szCs w:val="18"/>
          <w:color w:val="auto"/>
        </w:rPr>
        <w:t>: consists of power delivery services provided to investor owned utilities, including construction of new</w:t>
      </w:r>
      <w:r>
        <w:rPr>
          <w:rFonts w:ascii="Arial" w:cs="Arial" w:eastAsia="Arial" w:hAnsi="Arial"/>
          <w:sz w:val="18"/>
          <w:szCs w:val="18"/>
          <w:b w:val="1"/>
          <w:bCs w:val="1"/>
          <w:color w:val="auto"/>
        </w:rPr>
        <w:t xml:space="preserve"> </w:t>
      </w:r>
      <w:r>
        <w:rPr>
          <w:rFonts w:ascii="Arial" w:cs="Arial" w:eastAsia="Arial" w:hAnsi="Arial"/>
          <w:sz w:val="18"/>
          <w:szCs w:val="18"/>
          <w:color w:val="auto"/>
        </w:rPr>
        <w:t>substations, upgrades of existing substations, transmission and distribution line installations, upgrades and maintenance, as well as emergency and storm restoration services. The Company also provides construction and maintenance services to a variety of power generation facilities, including gas fired facilities in simple or combined cycle configuration, and provides engineering, fabrication, and construction services for liquefied natural gas LNG utility peak shaving facilities.</w:t>
      </w:r>
    </w:p>
    <w:p>
      <w:pPr>
        <w:spacing w:after="0" w:line="129"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Process and Industrial Facilities</w:t>
      </w:r>
      <w:r>
        <w:rPr>
          <w:rFonts w:ascii="Arial" w:cs="Arial" w:eastAsia="Arial" w:hAnsi="Arial"/>
          <w:sz w:val="18"/>
          <w:szCs w:val="18"/>
          <w:color w:val="auto"/>
        </w:rPr>
        <w:t>: primarily serves customers in the downstream and midstream petroleum industries who are engaged in refining</w:t>
      </w:r>
      <w:r>
        <w:rPr>
          <w:rFonts w:ascii="Arial" w:cs="Arial" w:eastAsia="Arial" w:hAnsi="Arial"/>
          <w:sz w:val="18"/>
          <w:szCs w:val="18"/>
          <w:b w:val="1"/>
          <w:bCs w:val="1"/>
          <w:color w:val="auto"/>
        </w:rPr>
        <w:t xml:space="preserve"> </w:t>
      </w:r>
      <w:r>
        <w:rPr>
          <w:rFonts w:ascii="Arial" w:cs="Arial" w:eastAsia="Arial" w:hAnsi="Arial"/>
          <w:sz w:val="18"/>
          <w:szCs w:val="18"/>
          <w:color w:val="auto"/>
        </w:rPr>
        <w:t>crude oil and processing, fractionating, and marketing of natural gas and natural gas liquids. The Company also serves customers in various other industries such as petrochemical, sulfur, mining and minerals companies engaged primarily in the extraction of non-ferrous metals, aerospace and defense, cement, agriculture, and other industrial customers. The Company's services include plant maintenance, turnarounds, industrial cleaning services, engineering, fabrication, and capital construction.</w:t>
      </w:r>
    </w:p>
    <w:p>
      <w:pPr>
        <w:spacing w:after="0" w:line="12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Storage and Terminal Solutions</w:t>
      </w:r>
      <w:r>
        <w:rPr>
          <w:rFonts w:ascii="Arial" w:cs="Arial" w:eastAsia="Arial" w:hAnsi="Arial"/>
          <w:sz w:val="18"/>
          <w:szCs w:val="18"/>
          <w:color w:val="auto"/>
        </w:rPr>
        <w:t>: consists of work related to aboveground storage tanks and terminals. Also included in this segment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cryogenic and other specialty storage tanks and terminals, including LNG, liquid nitrogen/liquid oxygen, liquid petroleum, hydrogen and other specialty vessels such as spheres, as well as marine structures and truck and rail loading/offloading facilities. The Company's services include engineering, fabrication, construction, and maintenance and repair, which includes planned and emergency services for both tanks and full terminals. Finally, the Company offers tank products, including geodesic domes, aluminum internal floating roofs, floating suction and skimmer systems, roof drain systems and floating roof seals.</w:t>
      </w:r>
    </w:p>
    <w:p>
      <w:pPr>
        <w:spacing w:after="0" w:line="1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All prior period segment information has been restated to conform with our new reportable segments. In addition, beginning July 1, 2020, the Company is reporting separately corporate selling, general and administrative expenses and other corporate expenses that were previously allocated to the segments.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evaluates performance and allocates resources based on operating income. Intersegment sales and transfers are recorded at cost; therefore, no intercompany profit or loss is recognized.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right-of-use lease assets, goodwill and other intangible assets.</w:t>
      </w:r>
    </w:p>
    <w:p>
      <w:pPr>
        <w:spacing w:after="0" w:line="112" w:lineRule="exact"/>
        <w:rPr>
          <w:sz w:val="20"/>
          <w:szCs w:val="20"/>
          <w:color w:val="auto"/>
        </w:rPr>
      </w:pPr>
    </w:p>
    <w:p>
      <w:pPr>
        <w:ind w:right="3580"/>
        <w:spacing w:after="0" w:line="440" w:lineRule="auto"/>
        <w:rPr>
          <w:sz w:val="20"/>
          <w:szCs w:val="20"/>
          <w:color w:val="auto"/>
        </w:rPr>
      </w:pPr>
      <w:r>
        <w:rPr>
          <w:rFonts w:ascii="Arial" w:cs="Arial" w:eastAsia="Arial" w:hAnsi="Arial"/>
          <w:sz w:val="18"/>
          <w:szCs w:val="18"/>
          <w:b w:val="1"/>
          <w:bCs w:val="1"/>
          <w:color w:val="auto"/>
        </w:rPr>
        <w:t xml:space="preserve">Three Months Ended December 31, 2020 Compared to the Three Months Ended December 31, 2019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Consolidated revenue was $167.5 million for the three months ended December 31, 2020, compared to $318.7 million in the same period in the prior fiscal year. On a segment basis, revenue decreased for the Process and Industrial Facilities and Storage and Terminal Solutions segments by $91.6 million, and $62.5 million, respectively. These decreases were partially offset by an increase in the Utility and Power Infrastructure segment of $2.9 million.</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gross profit decreased to $15.3 million in the three months ended December 31, 2020 compared to $30.0 million in the same period in the prior fiscal year. Gross margin decreased to 9.1% in the three months ended December 31, 2020 compared to 9.4% in the same period in the prior fiscal year. Despite generally strong project execution, gross margins in fiscal 2021 were lower than fiscal 2020 due to lower than forecasted volumes, which led to higher under recovery of construction overhead costs.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SG&amp;A expenses were $16.7 million in the three months ended December 31, 2020 compared to $23.2 million in the same period a year earlier. The decrease is primarily attributable to cost reductions we implemented under our business improvement plan that began in the third quarter of 2020 and lower incentive compensation.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$5.0 million of restructuring costs in the three months ended December 31, 2020 due to actions taken under our business improvement plan. See "Operational Update" in this Results of Operations section and Item 1. Financial Statements, Note 10 - Restructuring Costs, for more information.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Interest expense was $0.4 million in the three months ended December 31, 2020 and December 31, 2019. Interest income was less than $0.1 million in the three months ended December 31, 2020 compared to $0.4 million in the same period a year ago primarily due to higher interest rates in the prior period.</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effective tax rates for the three months ended December 31, 2020 and December 31, 2019 were 20.9% and 10.5%, respectively. The effective tax rate for the three months ended December 31, 2020 was negatively impacted by deferred tax asset adjustments of $0.2 million. We expect our effective tax rate to be approximately 27.0% for the remainder of fiscal 2021.</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December 31, 2020, we had a net loss of $4.6 million, or $0.17 per fully diluted share, compared to a net loss of $28.0 million, or $1.04 per fully diluted share, in the three months ended December 31, 2019. For the three months ended December 31, 2020, the adjusted net loss was $0.8 million, or $0.03 per fully diluted share, compared to adjusted net income of $5.2 million, or $0.19 per fully diluted share, in the three months ended December 31,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 and Power Infrastructure</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for the Utility and Power Infrastructure segment was $52.0 million in the three months ended December 31, 2020 compared to $49.2 million in the same period a year earlier. The increase is due to a higher volume of LNG utility peak shaving work, partially offset by lower volumes of power delivery and power generation work. The segment gross margin was 10.8% in fiscal 2021 compared to (2.5)% in fiscal 2020. The fiscal 2021 segment gross margin was positively impacted by strong project execution, partially offset by under recovery of construction overhead costs. The fiscal 2020 segment gross loss was negatively impacted by poor project execution, which included a charge on a transmission and distribution upgrade project.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 and Industrial Facilities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for the Process and Industrial Facilities segment was $51.3 million in the three months ended December 31, 2020 compared to $142.9 million in the same period a year earlier. The decrease is primarily due to our strategic exit from the domestic iron and steel industry in the third quarter of fiscal 2020, the completion of a major capital project, lower volumes of midstream gas projects, and reduced refinery turnaround and maintenance work. The segment gross margin was 15.3% for the three months ended December 31, 2020 compared to 9.7% in the same period last year. Segment gross margin in the second quarter of fiscal 2021 was positively impacted by strong project execution. Under recovery of construction overhead costs in fiscal 2021 was offset by the positive impact of a one-time workers' compensation item. The fiscal 2020 segment gross margin was supported by good project execution on both capital and repair and maintenance iron and steel projects.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and Terminal Solutions</w:t>
      </w:r>
    </w:p>
    <w:p>
      <w:pPr>
        <w:spacing w:after="0" w:line="17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Revenue for the Storage and Terminal Solutions segment was $64.2 million in the three months ended December 31, 2020 compared to $126.6 million in the same period a year earlier. The decrease in segment revenue is primarily a result of lower volumes of crude oil tank and terminal capital work and repair and maintenance work. The segment gross margin in fiscal 2021 was negatively impacted by a lower than previously forecasted margin on a large crude oil</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storage terminal capital project and the under recovery of construction overhead costs. The $5.8 million project charge reduced the segment gross margin by 9.7% to 2.9%. The Company has achieved mechanical completion and is demobilizing from the project. We continue to work through final closeout and outstanding change orders with the client. The segment gross margin was 14.2% in the three months ended December 31, 2019. The fiscal 2020 segment gross margin was positively impacted by strong project execution on large capital projects and higher volumes than fiscal 2021, which led to better recovery of construction overhead costs.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Unallocated corporate expenses were $7.1 million during the three months ended December 31, 2020 compared to $6.8 million in the same period last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Fiscal 2021 included restructuring costs of $0.2 million and fiscal 2020 included an incentive reversal of $1.1 million.</w:t>
      </w:r>
    </w:p>
    <w:p>
      <w:pPr>
        <w:spacing w:after="0" w:line="153" w:lineRule="exact"/>
        <w:rPr>
          <w:sz w:val="20"/>
          <w:szCs w:val="20"/>
          <w:color w:val="auto"/>
        </w:rPr>
      </w:pPr>
    </w:p>
    <w:p>
      <w:pPr>
        <w:ind w:right="4020"/>
        <w:spacing w:after="0" w:line="440" w:lineRule="auto"/>
        <w:rPr>
          <w:sz w:val="20"/>
          <w:szCs w:val="20"/>
          <w:color w:val="auto"/>
        </w:rPr>
      </w:pPr>
      <w:r>
        <w:rPr>
          <w:rFonts w:ascii="Arial" w:cs="Arial" w:eastAsia="Arial" w:hAnsi="Arial"/>
          <w:sz w:val="18"/>
          <w:szCs w:val="18"/>
          <w:b w:val="1"/>
          <w:bCs w:val="1"/>
          <w:color w:val="auto"/>
        </w:rPr>
        <w:t xml:space="preserve">Six Months Ended December 31, 2020 Compared to the Six Months Ended December 31, 2019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Consolidated revenue was $350.2 million for the six months ended December 31, 2020, compared to $656.8 million in the same period in the prior fiscal year. On a segment basis, revenue decreased for the Process and Industrial Facilities and Storage and Terminal Solutions segments by $200.6 million, and $121.8 million, respectively. These decreases were partially offset by an increase in the Utility and Power Infrastructure segment of $15.8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gross profit decreased to $29.7 million in the six months ended December 31, 2020 compared to $62.5 million in the same period in the prior fiscal year. Gross margin decreased to 8.5% in the six months ended December 31, 2020 compared to 9.5% in the same period in the prior fiscal year. Despite generally strong project execution, gross margins in the first half of fiscal 2021 were lower than fiscal 2020 due to lower than forecasted volumes, which led to higher under recovery of construction overhead costs.</w:t>
      </w:r>
    </w:p>
    <w:p>
      <w:pPr>
        <w:spacing w:after="0" w:line="13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Consolidated SG&amp;A expenses were $34.9 million in the six months ended December 31, 2020 compared to $46.9 million in the same period a year earlier. The decrease is primarily attributable to cost reductions we implemented under our business improvement plan that began in the third quarter of fiscal 2020 and lower incentive compensation.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$4.7 million of restructuring costs in the six months ended December 31, 2020 due to actions taken under our business improvement plan. See "Operational Update" in this Results of Operations section and Item 1. Financial Statements, Note 10 - Restructuring Costs, for more information.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was $0.7 million in the six months ended December 31, 2020 compared to $0.8 million in the six months ended December 31, 2019. Interest income was $0.1 million in the six months ended December 31, 2020 compared to $0.9 million in the same period a year ago primarily due to higher interest rates in the prior period.</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effective tax rates for the six months ended December 31, 2020 and December 31, 2019 were 11.0% and 2.6%, respectively. The effective tax rate for the six months ended December 31, 2020 was negatively impacted by deferred tax asset adjustments of $1.2 million. We expect our effective tax rate to be approximately 27.0% for the remainder of fiscal 2021.</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December 31, 2020, we had a net loss of $7.6 million, or $0.29 per fully diluted share, compared to a net loss of $21.9 million, or $0.81 per fully diluted share, in the six months ended December 31, 2019. For the six months ended December 31, 2020, the adjusted net loss was $4.1 million, or $0.16 per fully diluted share, compared to adjusted net income of $11.4 million, or $0.41 per fully diluted share, in the six months ended December 31,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 and Power Infrastructure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for the Utility and Power Infrastructure segment was $112.7 million in the six months ended December 31, 2020 compared to $96.9 million in the same period a year earlier. The increase is due to a higher volume of LNG utility peak shaving work, partially offset by lower volumes of power delivery and power generation work. The segment gross margin (loss) was 11.1% in fiscal 2021 compared to (1.4)% in fiscal 2020. The fiscal 2021 segment gross margin was positively impacted by strong project execution, partially offset by under recovery of construction overhead costs. The fiscal 2020 segment gross margin was negatively impacted by poor project execution, which included a charge on a transmission and distribution upgrade project, and a charge on an LNG utility peak shaving capital project due to purchased equipment that was found to be under performing.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 and Industrial Facilities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for the Process and Industrial Facilities segment was $97.2 million in the six months ended December 31, 2020 compared to $297.8 million in the same period a year earlier. The decrease is primarily due to our strategic exit from the domestic iron and steel industry in the third quarter of fiscal 2020, the completion of a major capital project, lower volumes of midstream gas projects, and reduced refinery turnaround and maintenance work. The segment gross margin was 11.9% for the six months ended December 31, 2020 compared to 9.2% in the same period last year. Segment gross margin in the first half of fiscal 2021 was positively impacted by strong project execution. Under recovery of construction overhead costs in fiscal 2021 was partially offset by the positive impact of a one-time workers' compensation item. The fiscal 2020 segment gross margin was supported by good project execution on both capital and repair and maintenance iron and steel projects, partially offset by a lower volume of turnaround work, which led to the under recovery of construction overhead costs.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and Terminal Solutions</w:t>
      </w:r>
    </w:p>
    <w:p>
      <w:pPr>
        <w:spacing w:after="0" w:line="17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Revenue for the Storage and Terminal Solutions segment was $140.4 million in the six months ended December 31, 2020 compared to $262.1 million in the same period a year earlier. The decrease in segment revenue is primarily a result of lower volumes of crude oil tank and terminal capital work and repair and maintenance work. The segment gross margin in fiscal 2021 was negatively impacted by a lower than previously forecasted margin on a large crude oil</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storage terminal capital project and the under recovery construction overhead costs. The $7.7 million project charge reduced the segment gross margin by 7.3% to 4.0%. The Company has achieved mechanical completion and is demobilizing from the project. We continue to work through final closeout and outstanding change orders with the client. The segment gross margin was 14.4% in the six months ended December 31, 2019. The fiscal 2020 segment gross margin was positively impacted by strong project execution on large capital projects and higher volumes than fiscal 2021, which led to better recovery of construction overhead costs.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Unallocated corporate expenses included in operating loss were $13.9 million during the six months ended December 31, 2020 compared to $14.7 million in the same period last year. Fiscal 2021 included restructuring costs of $0.4 million and fiscal 2020 included an incentive reversal of $1.1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define backlog as the total dollar amount of revenue that we expect to recognize as a result of performing work that has been awarded to us through a signed contract, limited notice to proceed or other type of assurance that we consider firm. The following arrangements are considered firm:</w:t>
      </w:r>
    </w:p>
    <w:p>
      <w:pPr>
        <w:spacing w:after="0" w:line="173"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52"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long-term maintenance contracts with no minimum commitments and other established customer agreements, we include only the amounts that we expect to recognize as revenue over the next 12 months. For arrangements in which we have received a limited notice to proceed, we include the entire scope of work in our backlog if we conclude that the likelihood of the full project proceeding as high. For all other arrangements, we calculate backlog as the estimated contract amount less revenue recognized as of the reporting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December 31, 2020: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Utility and Power</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Process and</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 and</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Industrial Facilities</w:t>
            </w: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Terminal Solutions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 as of September 30,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233,463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294,374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678,427</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36,942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111,814</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(167,468)</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Backlog as of December 31,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198,212</w:t>
            </w:r>
          </w:p>
        </w:tc>
        <w:tc>
          <w:tcPr>
            <w:tcW w:w="12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157,428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267,133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622,773</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Book-to-bill ratio</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969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326" w:lineRule="exact"/>
        <w:rPr>
          <w:sz w:val="20"/>
          <w:szCs w:val="20"/>
          <w:color w:val="auto"/>
        </w:rPr>
      </w:pPr>
    </w:p>
    <w:p>
      <w:pPr>
        <w:ind w:left="560" w:hanging="309"/>
        <w:spacing w:after="0"/>
        <w:tabs>
          <w:tab w:leader="none" w:pos="5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six months ended December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Utility and Power</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Process and</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 and</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Industrial Facilities</w:t>
            </w: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Terminal Solutions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 as of June 30,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272,816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339,924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758,465</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108,896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67,561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214,547</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(112,694)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(350,239)</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Backlog as of December 31,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198,212</w:t>
            </w:r>
          </w:p>
        </w:tc>
        <w:tc>
          <w:tcPr>
            <w:tcW w:w="12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157,428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267,133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622,773</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Book-to-bill ratio</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969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326" w:lineRule="exact"/>
        <w:rPr>
          <w:sz w:val="20"/>
          <w:szCs w:val="20"/>
          <w:color w:val="auto"/>
        </w:rPr>
      </w:pPr>
    </w:p>
    <w:p>
      <w:pPr>
        <w:ind w:left="560" w:hanging="309"/>
        <w:spacing w:after="0"/>
        <w:tabs>
          <w:tab w:leader="none" w:pos="5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Due to the impact of the COVID-19 pandemic and the resulting disruption to energy and industrial markets, some of our customers continue to be conservative with their spending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Utility and Power Infrastructure segment, performance in the power delivery portion continues to be strong on reduced revenue, however bidding activity is strong, and we expect project awards to improve as we move through the fiscal year. Similarly, our LNG peak shaving projects are performing well and the opportunity pipeline for future projects is strong, however those awards, while significant, can be less frequent. We are optimistic that the priorities of the new presidential administration will lead to increased opportunities in this segment.</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Process and Industrial Facilities segment, overall the short-term impact of the global pandemic on the Company's refinery turnaround and maintenance operations has moderated while maintenance volumes in locations where we have a permanent presence has returned to normal. However, some refiners continue to delay or reduce discretionary maintenance and capital spending. We expect some improvement in the Spring turnaround cycle. During the second quarter of fiscal 2021, we received a key contract for a natural gas pipeline compressor station upgrade. In addition, we continue to see strong demand for thermal vacuum chambers, as well as increasing opportunities in mining and minerals and chemicals.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Storage and Terminal Solutions segment, we have seen deferrals in award dates and lengthening award cycles as a result of the COVID-19 pandemic and its disruption of global energy demand. Opportunities in crude oil tanks and terminals are limited, however, this segment also includes a strong funnel of opportunities in North America, Central America and the Caribbean for storage infrastructure projects related to natural gas, LNG, ammonia, renewable energy, and NGLs that support clean energy initiatives and chemical feed stocks.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The level of awards presented above only represents an interim period and may not be indicative of full year awards.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operating results can exhibit seasonal fluctuations, especially in our Process and Industrial Facilities segment, for a variety of reasons. Turnarounds and planned outages at customer facilities are typically scheduled in the spring and the fall when the demand for energy is lower. Within the Utility and Power Infrastructure segment, transmission and distribution work is generally scheduled by the public utilities when the demand for electricity is at its lowest. Therefore, revenue volume in the summer months is typically lower than in other periods throughout the year.</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factors impacting operating results in all segments come from decreased work volumes during holidays, work site permitting delays or customers accelerating or postponing work. The differing types, sizes, and durations of our contracts, combined with their geographic diversity and stages of completion, often results in fluctuations in the Company's operating results.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overhead cost structure is generally fixed. Significant fluctuations in revenue volumes usually leads to over or under recovery of fixed overhead costs, which can have a material impact on our gross margin and profitability.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presented Adjusted EBITDA, which we define as net loss before impairment of goodwill and other intangible assets, restructuring costs, interest expense, income taxes, depreciation and amortization, because it is used by the financial community as a method of measuring our performance and of evaluating the market value of companies considered to be in similar businesses. We believe that the line item on our Consolidated Statements of Income entitled “Net loss” is the most directly comparable GAAP measure to Adjusted EBITDA. Since Adjusted EBITDA is not a measure of performance calculated in accordance with GAAP, it should not be considered in isolation of, or as a substitute for, net earnings as an indicator of operating performance. Adjusted EBITDA, as we calculate it, may not be comparable to similarly titled measures employed by other companies. In addition, this measure is not a measure of our ability to fund our cash needs. As Adjusted EBITDA</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excludes certain financial information compared with net loss, the most directly comparable GAAP financial measure, users of this financial information should consider the type of events and transactions that are excluded. Our non-GAAP performance measure, Adjusted EBITDA, has certain material limitations as follows:</w:t>
      </w:r>
    </w:p>
    <w:p>
      <w:pPr>
        <w:spacing w:after="0" w:line="130" w:lineRule="exact"/>
        <w:rPr>
          <w:sz w:val="20"/>
          <w:szCs w:val="20"/>
          <w:color w:val="auto"/>
        </w:rPr>
      </w:pPr>
    </w:p>
    <w:p>
      <w:pPr>
        <w:ind w:left="980" w:right="180" w:hanging="324"/>
        <w:spacing w:after="0" w:line="259"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does not include impairments to goodwill and other intangible assets. While impairments to intangible assets are non-cash expenses in the period recognized, cash or other consideration was still transferred in exchange for intangible assets in the period of the acquisition. Any measure that excludes impairments to intangible assets has material limitations since these expenses represent the loss of an asset that was acquired in exchange for cash or other assets.</w:t>
      </w:r>
    </w:p>
    <w:p>
      <w:pPr>
        <w:spacing w:after="0" w:line="132"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does not include restructuring costs. Restructuring costs represent material costs that were incurred by the company and are oftentimes cash expenses. Therefore, any measure that excludes restructuring costs has material limitations.</w:t>
      </w:r>
    </w:p>
    <w:p>
      <w:pPr>
        <w:spacing w:after="0" w:line="116" w:lineRule="exact"/>
        <w:rPr>
          <w:rFonts w:ascii="Arial" w:cs="Arial" w:eastAsia="Arial" w:hAnsi="Arial"/>
          <w:sz w:val="18"/>
          <w:szCs w:val="18"/>
          <w:color w:val="auto"/>
        </w:rPr>
      </w:pPr>
    </w:p>
    <w:p>
      <w:pPr>
        <w:ind w:left="980" w:right="80" w:hanging="324"/>
        <w:spacing w:after="0" w:line="311" w:lineRule="auto"/>
        <w:tabs>
          <w:tab w:leader="none" w:pos="97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It does not include interest expense. Because we have borrowed money to finance our operations and acquisitions,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94" w:lineRule="exact"/>
        <w:rPr>
          <w:rFonts w:ascii="Arial" w:cs="Arial" w:eastAsia="Arial" w:hAnsi="Arial"/>
          <w:sz w:val="16"/>
          <w:szCs w:val="16"/>
          <w:color w:val="auto"/>
        </w:rPr>
      </w:pPr>
    </w:p>
    <w:p>
      <w:pPr>
        <w:ind w:left="980" w:right="26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16"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EBITDA to net loss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58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Six Months Ended</w:t>
            </w:r>
          </w:p>
        </w:tc>
      </w:tr>
      <w:tr>
        <w:trPr>
          <w:trHeight w:val="134"/>
        </w:trPr>
        <w:tc>
          <w:tcPr>
            <w:tcW w:w="56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5"/>
              <w:spacing w:after="0" w:line="135"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4"/>
              <w:spacing w:after="0" w:line="135" w:lineRule="exact"/>
              <w:rPr>
                <w:sz w:val="20"/>
                <w:szCs w:val="20"/>
                <w:color w:val="auto"/>
              </w:rPr>
            </w:pPr>
            <w:r>
              <w:rPr>
                <w:rFonts w:ascii="Arial" w:cs="Arial" w:eastAsia="Arial" w:hAnsi="Arial"/>
                <w:sz w:val="14"/>
                <w:szCs w:val="14"/>
                <w:b w:val="1"/>
                <w:bCs w:val="1"/>
                <w:color w:val="auto"/>
                <w:w w:val="96"/>
              </w:rPr>
              <w:t>December 31,</w:t>
            </w:r>
          </w:p>
        </w:tc>
      </w:tr>
      <w:tr>
        <w:trPr>
          <w:trHeight w:val="188"/>
        </w:trPr>
        <w:tc>
          <w:tcPr>
            <w:tcW w:w="5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182"/>
        </w:trPr>
        <w:tc>
          <w:tcPr>
            <w:tcW w:w="56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224"/>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(21,857)</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Goodwill and other intangible asset impairment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38,515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38,515</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23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9,702</w:t>
            </w: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26,602</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define liquidity as the ongoing ability to pay our liabilities as they become due, fund business operations and meet all monetary contractual obligations. Our primary sources of liquidity as of December 31, 2020 were cash and cash equivalents on hand, capacity under our senior secured revolving credit facility and cash flows from operations. Cash and cash equivalents on hand at December 31, 2020 totaled $93.5 million and availability under the senior secured revolving credit facility totaled $33.4 million resulting in available liquidity of $126.9 million as of December 31, 2020.</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continues to be significant uncertainty regarding the near- and intermediate-term business impacts from the COVID-19 pandemic. However, the Company continues to maintain a strong balance sheet and liquidity, which it expects to be sufficient to support its near- to intermediate-term needs. The Company continues to take the following actions:</w:t>
      </w:r>
    </w:p>
    <w:p>
      <w:pPr>
        <w:spacing w:after="0" w:line="13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managing the cost structure of the business based on the expected near-term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eliminating all non-critical capital expenditures;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little or no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liquidity for the three months ended December 31, 2020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Liquidity as of September 30, 2020</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133,891</w:t>
            </w: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Net cash increase due to changes in operating assets and liabilities</w:t>
            </w: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19,886</w:t>
            </w: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decrease due to other activity</w:t>
            </w: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w:t>
            </w: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Change in credit facility capacity constraint</w:t>
            </w: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(27,555)</w:t>
            </w: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repayments on credit facility</w:t>
            </w: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w:t>
            </w: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Increase in letters of credit outstanding</w:t>
            </w: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of borrowings</w:t>
            </w:r>
          </w:p>
        </w:tc>
        <w:tc>
          <w:tcPr>
            <w:tcW w:w="8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23"/>
        </w:trPr>
        <w:tc>
          <w:tcPr>
            <w:tcW w:w="9020" w:type="dxa"/>
            <w:vAlign w:val="bottom"/>
          </w:tcPr>
          <w:p>
            <w:pPr>
              <w:ind w:left="20"/>
              <w:spacing w:after="0"/>
              <w:rPr>
                <w:sz w:val="20"/>
                <w:szCs w:val="20"/>
                <w:color w:val="auto"/>
              </w:rPr>
            </w:pPr>
            <w:r>
              <w:rPr>
                <w:rFonts w:ascii="Arial" w:cs="Arial" w:eastAsia="Arial" w:hAnsi="Arial"/>
                <w:sz w:val="18"/>
                <w:szCs w:val="18"/>
                <w:color w:val="auto"/>
              </w:rPr>
              <w:t>Liquidity as of December 31, 2020</w:t>
            </w: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126,892</w:t>
            </w:r>
          </w:p>
        </w:tc>
      </w:tr>
      <w:tr>
        <w:trPr>
          <w:trHeight w:val="20"/>
        </w:trPr>
        <w:tc>
          <w:tcPr>
            <w:tcW w:w="9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liquidity for the six months ended December 31, 2020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Liquidity as of June 30, 2020</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193,435</w:t>
            </w: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Net cash increase due to changes in operating assets and liabilities</w:t>
            </w: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1,511</w:t>
            </w: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decrease due to other activity</w:t>
            </w: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(8,066)</w:t>
            </w: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Change in credit facility capacity constraint</w:t>
            </w: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(68,826)</w:t>
            </w: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repayments on credit facility</w:t>
            </w: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w:t>
            </w: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Increase in letters of credit outstanding</w:t>
            </w: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of borrowings</w:t>
            </w:r>
          </w:p>
        </w:tc>
        <w:tc>
          <w:tcPr>
            <w:tcW w:w="8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23"/>
        </w:trPr>
        <w:tc>
          <w:tcPr>
            <w:tcW w:w="9020" w:type="dxa"/>
            <w:vAlign w:val="bottom"/>
          </w:tcPr>
          <w:p>
            <w:pPr>
              <w:ind w:left="20"/>
              <w:spacing w:after="0"/>
              <w:rPr>
                <w:sz w:val="20"/>
                <w:szCs w:val="20"/>
                <w:color w:val="auto"/>
              </w:rPr>
            </w:pPr>
            <w:r>
              <w:rPr>
                <w:rFonts w:ascii="Arial" w:cs="Arial" w:eastAsia="Arial" w:hAnsi="Arial"/>
                <w:sz w:val="18"/>
                <w:szCs w:val="18"/>
                <w:color w:val="auto"/>
              </w:rPr>
              <w:t>Liquidity as of December 31, 2020</w:t>
            </w: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126,892</w:t>
            </w:r>
          </w:p>
        </w:tc>
      </w:tr>
      <w:tr>
        <w:trPr>
          <w:trHeight w:val="21"/>
        </w:trPr>
        <w:tc>
          <w:tcPr>
            <w:tcW w:w="9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 detailed discussion of our new credit agreement as recently amended is provided under the caption "Senior Secured Revolving Credit Facility"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171" w:lineRule="exact"/>
        <w:rPr>
          <w:sz w:val="20"/>
          <w:szCs w:val="20"/>
          <w:color w:val="auto"/>
        </w:rPr>
      </w:pPr>
    </w:p>
    <w:p>
      <w:pPr>
        <w:ind w:left="980" w:right="280" w:hanging="324"/>
        <w:spacing w:after="0" w:line="308" w:lineRule="auto"/>
        <w:tabs>
          <w:tab w:leader="none" w:pos="975"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73" w:lineRule="exact"/>
        <w:rPr>
          <w:rFonts w:ascii="Arial" w:cs="Arial" w:eastAsia="Arial" w:hAnsi="Arial"/>
          <w:sz w:val="17"/>
          <w:szCs w:val="17"/>
          <w:color w:val="auto"/>
        </w:rPr>
      </w:pPr>
    </w:p>
    <w:p>
      <w:pPr>
        <w:ind w:left="1620" w:right="740" w:hanging="316"/>
        <w:spacing w:after="0" w:line="277" w:lineRule="auto"/>
        <w:tabs>
          <w:tab w:leader="none" w:pos="1615"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97" w:lineRule="exact"/>
        <w:rPr>
          <w:rFonts w:ascii="Arial" w:cs="Arial" w:eastAsia="Arial" w:hAnsi="Arial"/>
          <w:sz w:val="18"/>
          <w:szCs w:val="18"/>
          <w:color w:val="auto"/>
        </w:rPr>
      </w:pPr>
    </w:p>
    <w:p>
      <w:pPr>
        <w:ind w:left="1620" w:right="100" w:hanging="316"/>
        <w:spacing w:after="0" w:line="277" w:lineRule="auto"/>
        <w:tabs>
          <w:tab w:leader="none" w:pos="1615"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Some fixed price customer contracts allow for significant upfront billings at the beginning of a project, which temporarily increases liquidity near term.</w:t>
      </w:r>
    </w:p>
    <w:p>
      <w:pPr>
        <w:spacing w:after="0" w:line="197" w:lineRule="exact"/>
        <w:rPr>
          <w:rFonts w:ascii="Arial" w:cs="Arial" w:eastAsia="Arial" w:hAnsi="Arial"/>
          <w:sz w:val="18"/>
          <w:szCs w:val="18"/>
          <w:color w:val="auto"/>
        </w:rPr>
      </w:pPr>
    </w:p>
    <w:p>
      <w:pPr>
        <w:ind w:left="1620" w:right="80" w:hanging="316"/>
        <w:spacing w:after="0" w:line="277" w:lineRule="auto"/>
        <w:tabs>
          <w:tab w:leader="none" w:pos="1615" w:val="left"/>
        </w:tabs>
        <w:numPr>
          <w:ilvl w:val="1"/>
          <w:numId w:val="18"/>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97" w:lineRule="exact"/>
        <w:rPr>
          <w:rFonts w:ascii="Arial" w:cs="Arial" w:eastAsia="Arial" w:hAnsi="Arial"/>
          <w:sz w:val="18"/>
          <w:szCs w:val="18"/>
          <w:color w:val="auto"/>
        </w:rPr>
      </w:pPr>
    </w:p>
    <w:p>
      <w:pPr>
        <w:ind w:left="1620" w:right="200" w:hanging="316"/>
        <w:spacing w:after="0" w:line="277" w:lineRule="auto"/>
        <w:tabs>
          <w:tab w:leader="none" w:pos="1615"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security in the form of letters of credit or significant retentions. The timing of collection of retentions is often uncertain.</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52" w:lineRule="exact"/>
        <w:rPr>
          <w:sz w:val="20"/>
          <w:szCs w:val="20"/>
          <w:color w:val="auto"/>
        </w:rPr>
      </w:pPr>
    </w:p>
    <w:p>
      <w:pPr>
        <w:ind w:left="980" w:right="6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Capacity constraints under our senior secured revolving credit facility and remaining in compliance with all covenants contained in the credit agreement.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 disputes, which can be significant.</w:t>
      </w:r>
    </w:p>
    <w:p>
      <w:pPr>
        <w:spacing w:after="0" w:line="252" w:lineRule="exact"/>
        <w:rPr>
          <w:rFonts w:ascii="Arial" w:cs="Arial" w:eastAsia="Arial" w:hAnsi="Arial"/>
          <w:sz w:val="18"/>
          <w:szCs w:val="18"/>
          <w:color w:val="auto"/>
        </w:rPr>
      </w:pPr>
    </w:p>
    <w:p>
      <w:pPr>
        <w:ind w:left="980" w:right="74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Collection issues, including those caused by weak commodity prices, economic slowdowns or other factors which can lead to credit deterioration of our customers.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Issuances of letters of credit.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 and disposals of businesses.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for the Six Months Ended December 31,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operating activities for the six months ended December 31, 2020 totaled $5.8 million. The various components are as follows:</w:t>
      </w:r>
    </w:p>
    <w:p>
      <w:pPr>
        <w:sectPr>
          <w:pgSz w:w="11900" w:h="16838" w:orient="portrait"/>
          <w:cols w:equalWidth="0" w:num="1">
            <w:col w:w="11200"/>
          </w:cols>
          <w:pgMar w:left="320" w:top="368" w:right="379" w:bottom="1440" w:gutter="0" w:footer="0" w:header="0"/>
        </w:sectPr>
      </w:pPr>
    </w:p>
    <w:p>
      <w:pPr>
        <w:spacing w:after="0" w:line="260" w:lineRule="exact"/>
        <w:rPr>
          <w:sz w:val="20"/>
          <w:szCs w:val="20"/>
          <w:color w:val="auto"/>
        </w:rPr>
      </w:pPr>
    </w:p>
    <w:p>
      <w:pPr>
        <w:jc w:val="center"/>
        <w:ind w:left="2039"/>
        <w:spacing w:after="0"/>
        <w:rPr>
          <w:sz w:val="20"/>
          <w:szCs w:val="20"/>
          <w:color w:val="auto"/>
        </w:rPr>
      </w:pPr>
      <w:r>
        <w:rPr>
          <w:rFonts w:ascii="Arial" w:cs="Arial" w:eastAsia="Arial" w:hAnsi="Arial"/>
          <w:sz w:val="16"/>
          <w:szCs w:val="16"/>
          <w:b w:val="1"/>
          <w:bCs w:val="1"/>
          <w:color w:val="auto"/>
        </w:rPr>
        <w:t>Net Cash Provided by Operating Activities</w:t>
      </w:r>
    </w:p>
    <w:p>
      <w:pPr>
        <w:spacing w:after="0" w:line="50" w:lineRule="exact"/>
        <w:rPr>
          <w:sz w:val="20"/>
          <w:szCs w:val="20"/>
          <w:color w:val="auto"/>
        </w:rPr>
      </w:pPr>
    </w:p>
    <w:p>
      <w:pPr>
        <w:jc w:val="center"/>
        <w:ind w:left="2039"/>
        <w:spacing w:after="0"/>
        <w:rPr>
          <w:sz w:val="20"/>
          <w:szCs w:val="20"/>
          <w:color w:val="auto"/>
        </w:rPr>
      </w:pPr>
      <w:r>
        <w:rPr>
          <w:rFonts w:ascii="Arial" w:cs="Arial" w:eastAsia="Arial" w:hAnsi="Arial"/>
          <w:sz w:val="18"/>
          <w:szCs w:val="18"/>
          <w:color w:val="auto"/>
        </w:rPr>
        <w:t>(In thousands)</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Non-cash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income tax</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effect of changes in operating assets and liabilities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-130810</wp:posOffset>
            </wp:positionV>
            <wp:extent cx="7115175"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59" w:hanging="759"/>
        <w:spacing w:after="0"/>
        <w:tabs>
          <w:tab w:leader="none" w:pos="759" w:val="left"/>
        </w:tabs>
        <w:numPr>
          <w:ilvl w:val="0"/>
          <w:numId w:val="20"/>
        </w:numPr>
        <w:rPr>
          <w:rFonts w:ascii="Arial" w:cs="Arial" w:eastAsia="Arial" w:hAnsi="Arial"/>
          <w:sz w:val="16"/>
          <w:szCs w:val="16"/>
          <w:color w:val="auto"/>
        </w:rPr>
      </w:pPr>
      <w:r>
        <w:rPr>
          <w:rFonts w:ascii="Arial" w:cs="Arial" w:eastAsia="Arial" w:hAnsi="Arial"/>
          <w:sz w:val="16"/>
          <w:szCs w:val="16"/>
          <w:color w:val="auto"/>
        </w:rPr>
        <w:t>(7,628)</w:t>
      </w:r>
    </w:p>
    <w:p>
      <w:pPr>
        <w:spacing w:after="0" w:line="46" w:lineRule="exact"/>
        <w:rPr>
          <w:rFonts w:ascii="Arial" w:cs="Arial" w:eastAsia="Arial" w:hAnsi="Arial"/>
          <w:sz w:val="16"/>
          <w:szCs w:val="16"/>
          <w:color w:val="auto"/>
        </w:rPr>
      </w:pPr>
    </w:p>
    <w:p>
      <w:pPr>
        <w:ind w:left="739"/>
        <w:spacing w:after="0"/>
        <w:rPr>
          <w:rFonts w:ascii="Arial" w:cs="Arial" w:eastAsia="Arial" w:hAnsi="Arial"/>
          <w:sz w:val="16"/>
          <w:szCs w:val="16"/>
          <w:color w:val="auto"/>
        </w:rPr>
      </w:pPr>
      <w:r>
        <w:rPr>
          <w:rFonts w:ascii="Arial" w:cs="Arial" w:eastAsia="Arial" w:hAnsi="Arial"/>
          <w:sz w:val="17"/>
          <w:szCs w:val="17"/>
          <w:color w:val="auto"/>
        </w:rPr>
        <w:t>12,501</w:t>
      </w:r>
    </w:p>
    <w:p>
      <w:pPr>
        <w:spacing w:after="0" w:line="34" w:lineRule="exact"/>
        <w:rPr>
          <w:rFonts w:ascii="Arial" w:cs="Arial" w:eastAsia="Arial" w:hAnsi="Arial"/>
          <w:sz w:val="16"/>
          <w:szCs w:val="16"/>
          <w:color w:val="auto"/>
        </w:rPr>
      </w:pPr>
    </w:p>
    <w:p>
      <w:pPr>
        <w:ind w:left="879"/>
        <w:spacing w:after="0"/>
        <w:rPr>
          <w:rFonts w:ascii="Arial" w:cs="Arial" w:eastAsia="Arial" w:hAnsi="Arial"/>
          <w:sz w:val="16"/>
          <w:szCs w:val="16"/>
          <w:color w:val="auto"/>
        </w:rPr>
      </w:pPr>
      <w:r>
        <w:rPr>
          <w:rFonts w:ascii="Arial" w:cs="Arial" w:eastAsia="Arial" w:hAnsi="Arial"/>
          <w:sz w:val="17"/>
          <w:szCs w:val="17"/>
          <w:color w:val="auto"/>
        </w:rPr>
        <w:t>(760)</w:t>
      </w:r>
    </w:p>
    <w:p>
      <w:pPr>
        <w:spacing w:after="0" w:line="34" w:lineRule="exact"/>
        <w:rPr>
          <w:rFonts w:ascii="Arial" w:cs="Arial" w:eastAsia="Arial" w:hAnsi="Arial"/>
          <w:sz w:val="16"/>
          <w:szCs w:val="16"/>
          <w:color w:val="auto"/>
        </w:rPr>
      </w:pPr>
    </w:p>
    <w:p>
      <w:pPr>
        <w:ind w:left="839"/>
        <w:spacing w:after="0"/>
        <w:rPr>
          <w:rFonts w:ascii="Arial" w:cs="Arial" w:eastAsia="Arial" w:hAnsi="Arial"/>
          <w:sz w:val="16"/>
          <w:szCs w:val="16"/>
          <w:color w:val="auto"/>
        </w:rPr>
      </w:pPr>
      <w:r>
        <w:rPr>
          <w:rFonts w:ascii="Arial" w:cs="Arial" w:eastAsia="Arial" w:hAnsi="Arial"/>
          <w:sz w:val="17"/>
          <w:szCs w:val="17"/>
          <w:color w:val="auto"/>
        </w:rPr>
        <w:t>1,511</w:t>
      </w:r>
    </w:p>
    <w:p>
      <w:pPr>
        <w:spacing w:after="0" w:line="34" w:lineRule="exact"/>
        <w:rPr>
          <w:rFonts w:ascii="Arial" w:cs="Arial" w:eastAsia="Arial" w:hAnsi="Arial"/>
          <w:sz w:val="16"/>
          <w:szCs w:val="16"/>
          <w:color w:val="auto"/>
        </w:rPr>
      </w:pPr>
    </w:p>
    <w:p>
      <w:pPr>
        <w:ind w:left="959"/>
        <w:spacing w:after="0"/>
        <w:rPr>
          <w:rFonts w:ascii="Arial" w:cs="Arial" w:eastAsia="Arial" w:hAnsi="Arial"/>
          <w:sz w:val="16"/>
          <w:szCs w:val="16"/>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401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5" w:lineRule="exact"/>
        <w:rPr>
          <w:sz w:val="20"/>
          <w:szCs w:val="20"/>
          <w:color w:val="auto"/>
        </w:rPr>
      </w:pPr>
    </w:p>
    <w:p>
      <w:pPr>
        <w:ind w:left="819" w:hanging="819"/>
        <w:spacing w:after="0"/>
        <w:tabs>
          <w:tab w:leader="none" w:pos="8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5,824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401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8401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201" w:space="720"/>
            <w:col w:w="1279"/>
          </w:cols>
          <w:pgMar w:left="320" w:top="368" w:right="379"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Cash effect of changes in operating assets and liabilities at December 31, 2020 in comparison to June 30, 2020 include the following:</w:t>
      </w:r>
    </w:p>
    <w:p>
      <w:pPr>
        <w:spacing w:after="0" w:line="252" w:lineRule="exact"/>
        <w:rPr>
          <w:sz w:val="20"/>
          <w:szCs w:val="20"/>
          <w:color w:val="auto"/>
        </w:rPr>
      </w:pPr>
    </w:p>
    <w:p>
      <w:pPr>
        <w:ind w:left="980" w:right="20" w:hanging="324"/>
        <w:spacing w:after="0" w:line="263"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Accounts receivable, net of credit losses recognized during the period, decreased $9.6 million during the six months ended December 31, 2020, which increased cash flows from operating activities. The variance is primarily attributable to lower business volumes and the timing of billing and collections.</w:t>
      </w:r>
    </w:p>
    <w:p>
      <w:pPr>
        <w:spacing w:after="0" w:line="210" w:lineRule="exact"/>
        <w:rPr>
          <w:rFonts w:ascii="Arial" w:cs="Arial" w:eastAsia="Arial" w:hAnsi="Arial"/>
          <w:sz w:val="18"/>
          <w:szCs w:val="18"/>
          <w:color w:val="auto"/>
        </w:rPr>
      </w:pPr>
    </w:p>
    <w:p>
      <w:pPr>
        <w:ind w:left="980" w:right="140" w:hanging="324"/>
        <w:spacing w:after="0" w:line="279" w:lineRule="auto"/>
        <w:tabs>
          <w:tab w:leader="none" w:pos="975"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Costs and estimated earnings in excess of billings on uncompleted contracts ("CIE") decreased $18.2 million, which increased cash flows from operating activities. Billings on uncompleted contracts in excess of costs and estimated earnings ("BIE") decreased $1.6 million, which decreased cash flows from operating activities. CIE and BIE balances can experience significant fluctuations based on business volumes and the timing of when job costs are incurred and the invoicing of those job costs to the customer.</w:t>
      </w:r>
    </w:p>
    <w:p>
      <w:pPr>
        <w:spacing w:after="0" w:line="198" w:lineRule="exact"/>
        <w:rPr>
          <w:rFonts w:ascii="Arial" w:cs="Arial" w:eastAsia="Arial" w:hAnsi="Arial"/>
          <w:sz w:val="17"/>
          <w:szCs w:val="17"/>
          <w:color w:val="auto"/>
        </w:rPr>
      </w:pPr>
    </w:p>
    <w:p>
      <w:pPr>
        <w:ind w:left="980" w:right="100" w:hanging="324"/>
        <w:spacing w:after="0" w:line="279" w:lineRule="auto"/>
        <w:tabs>
          <w:tab w:leader="none" w:pos="97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Inventories, income taxes receivable, other current assets, operating right-of-use lease assets and other assets increased $1.9 million, which decreased cash flows from operating activities. These operating assets can fluctuate based on the timing of inventory builds and draw-downs, accrual and receipt of income taxes receivable; prepayments of certain expenses; lease commencement, passage of time, expiration, or termination of operating leases; business volumes; and other timing differences.</w:t>
      </w:r>
    </w:p>
    <w:p>
      <w:pPr>
        <w:spacing w:after="0" w:line="198" w:lineRule="exact"/>
        <w:rPr>
          <w:rFonts w:ascii="Arial" w:cs="Arial" w:eastAsia="Arial" w:hAnsi="Arial"/>
          <w:sz w:val="17"/>
          <w:szCs w:val="17"/>
          <w:color w:val="auto"/>
        </w:rPr>
      </w:pPr>
    </w:p>
    <w:p>
      <w:pPr>
        <w:ind w:left="980" w:right="40" w:hanging="324"/>
        <w:spacing w:after="0" w:line="259"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Accounts payable, accrued wages and benefits, accrued insurance, operating lease liabilities, and other accrued expenses decreased by $26.7 million during the six months ended December 31, 2020, which decreased cash flows from operating activities. These operating liabilities can fluctuate based on the timing of vendor payments; accruals; lease commencement, lease payments, expiration, or termination of operating leases; business volumes; and other timing differences.</w:t>
      </w:r>
    </w:p>
    <w:p>
      <w:pPr>
        <w:spacing w:after="0" w:line="213" w:lineRule="exact"/>
        <w:rPr>
          <w:rFonts w:ascii="Arial" w:cs="Arial" w:eastAsia="Arial" w:hAnsi="Arial"/>
          <w:sz w:val="18"/>
          <w:szCs w:val="18"/>
          <w:color w:val="auto"/>
        </w:rPr>
      </w:pPr>
    </w:p>
    <w:p>
      <w:pPr>
        <w:ind w:left="980" w:right="180" w:hanging="324"/>
        <w:spacing w:after="0" w:line="308" w:lineRule="auto"/>
        <w:tabs>
          <w:tab w:leader="none" w:pos="975"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 liabilities increased by $3.7 million, which increased cash flows from operating activities. This increase was primarily due to deferred payroll tax associated with the CARES Act. See Item 1. Financial Information, Note 6 - Income Taxes for more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Investing Activities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Investing activities used $1.4 million of cash in the six months ended December 31, 2020 primarily due to $3.1 million of capital expenditures, partially offset by $1.6 million of proceeds from other asset sales. Capital expenditures consisted of: $1.0 million for transportation equipment, $0.9 million for software and office equipment, $0.6 million for construction and fabrication equipment, and $0.6 million for facilities.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Financing Activities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Financing activities used $11.8 million of cash in the six months ended December 31, 2020 primarily due to the net repayment of $9.8 million on the Company's senior secured revolving credit facility, $1.5 million paid to repurchase the Company's stock for payment of withholding taxes due on equity-based compensation, and $0.7 million paid in fees to amend the Company's Credit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November 2, 2020, the Company entered into the Fifth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 which replaced the Fourth Amended and Restated Credit Agreement (the "Prior Credit Agreement") that was in place at June 30, 2020, which is described in Part II, Item 8. Financial Statements and Supplementary Data, Note 5 - Debt, in the Company's Annual Report on Form 10-K for the year ended June 30, 2020.</w:t>
      </w:r>
    </w:p>
    <w:p>
      <w:pPr>
        <w:spacing w:after="0" w:line="1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Credit Agreement provides for a three-year senior secured revolving credit facility of $200.0 million that expires November 2, 2023. The credit facility may be used for working capital, acquisitions, capital expenditures, issuances of letters of credit and other lawful purposes.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facility includes a U.S. Dollar equivalent sublimit of $75.0 million for revolving loans denominated in Australian Dollars, Canadian Dollars, Euros and Pounds Sterling and letters of credit in Australian Dollars, Euros, and Pounds Sterling.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right="220" w:hanging="482"/>
        <w:spacing w:after="0" w:line="277"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Adjusted LIBO Rate or the Adjusted EURIBOR Rate, in the case of revolving loans denominated in Pounds Sterling or Australian Dollars; or</w:t>
      </w:r>
    </w:p>
    <w:p>
      <w:pPr>
        <w:spacing w:after="0" w:line="116" w:lineRule="exact"/>
        <w:rPr>
          <w:rFonts w:ascii="Arial" w:cs="Arial" w:eastAsia="Arial" w:hAnsi="Arial"/>
          <w:sz w:val="18"/>
          <w:szCs w:val="18"/>
          <w:color w:val="auto"/>
        </w:rPr>
      </w:pPr>
    </w:p>
    <w:p>
      <w:pPr>
        <w:ind w:left="1300" w:hanging="48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Adjusted EURIBOR Rate, in the case of revolving loans denominated in Euros,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1.00% and 2.00%. The Applicable Margin for Adjusted LIBO, Adjusted EURIBOR and CDOR loans ranges between 2.00% and 3.00% and the Applicable Margin for Canadian Prime Rate loans ranges between 2.50% and 3.50%.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0.35% and 0.50% based on the Leverage Ratio.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Covenants and limitations under the Credit Agreement are effective for the quarter ended December 31, 2020 and include the following:</w:t>
      </w:r>
    </w:p>
    <w:p>
      <w:pPr>
        <w:spacing w:after="0" w:line="23" w:lineRule="exact"/>
        <w:rPr>
          <w:sz w:val="20"/>
          <w:szCs w:val="20"/>
          <w:color w:val="auto"/>
        </w:rPr>
      </w:pPr>
    </w:p>
    <w:p>
      <w:pPr>
        <w:jc w:val="both"/>
        <w:ind w:left="1300" w:hanging="482"/>
        <w:spacing w:after="0" w:line="302" w:lineRule="auto"/>
        <w:tabs>
          <w:tab w:leader="none" w:pos="1295"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Leverage Ratio, determined as of the end of each fiscal quarter, may not exceed 3.00 to 1.00. The Leverage Ratio covenant requires that Consolidated Funded Indebtedness, as defined in the Credit Agreement, as of the end of any fiscal quarter, may not exceed 3.0 times Consolidated EBITDA, as defined in the Credit Agreement, or "Covenant EBITDA," over the previous four quarters.</w:t>
      </w:r>
    </w:p>
    <w:p>
      <w:pPr>
        <w:spacing w:after="0" w:line="101" w:lineRule="exact"/>
        <w:rPr>
          <w:rFonts w:ascii="Arial" w:cs="Arial" w:eastAsia="Arial" w:hAnsi="Arial"/>
          <w:sz w:val="16"/>
          <w:szCs w:val="16"/>
          <w:color w:val="auto"/>
        </w:rPr>
      </w:pPr>
    </w:p>
    <w:p>
      <w:pPr>
        <w:ind w:left="1300" w:hanging="482"/>
        <w:spacing w:after="0" w:line="277"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("FCCR"), determined as of the end of each fiscal quarter, greater than or equal to 1.25 to 1.00. The FCCR is calculated as follows:</w:t>
      </w:r>
    </w:p>
    <w:p>
      <w:pPr>
        <w:spacing w:after="0" w:line="116" w:lineRule="exact"/>
        <w:rPr>
          <w:rFonts w:ascii="Arial" w:cs="Arial" w:eastAsia="Arial" w:hAnsi="Arial"/>
          <w:sz w:val="18"/>
          <w:szCs w:val="18"/>
          <w:color w:val="auto"/>
        </w:rPr>
      </w:pPr>
    </w:p>
    <w:p>
      <w:pPr>
        <w:jc w:val="both"/>
        <w:ind w:left="1960" w:hanging="494"/>
        <w:spacing w:after="0" w:line="259" w:lineRule="auto"/>
        <w:tabs>
          <w:tab w:leader="none" w:pos="197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no borrowings are outstanding at quarter end, then the FCCR covenant requires that, as of the end of any fiscal quarter, Covenant EBITDA, after deducting capital expenditures and dividends for the previous four quarters, may not be less than 1.25 times the total of interest expense and cash paid for income taxes over the previous four quarters plus scheduled maturities of certain indebtedness for the next four quarters.</w:t>
      </w:r>
    </w:p>
    <w:p>
      <w:pPr>
        <w:spacing w:after="0" w:line="132" w:lineRule="exact"/>
        <w:rPr>
          <w:rFonts w:ascii="Arial" w:cs="Arial" w:eastAsia="Arial" w:hAnsi="Arial"/>
          <w:sz w:val="18"/>
          <w:szCs w:val="18"/>
          <w:color w:val="auto"/>
        </w:rPr>
      </w:pPr>
    </w:p>
    <w:p>
      <w:pPr>
        <w:ind w:left="1940" w:hanging="474"/>
        <w:spacing w:after="0"/>
        <w:tabs>
          <w:tab w:leader="none" w:pos="19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borrowings are outstanding at quarter end:</w:t>
      </w:r>
    </w:p>
    <w:p>
      <w:pPr>
        <w:spacing w:after="0" w:line="171" w:lineRule="exact"/>
        <w:rPr>
          <w:rFonts w:ascii="Arial" w:cs="Arial" w:eastAsia="Arial" w:hAnsi="Arial"/>
          <w:sz w:val="18"/>
          <w:szCs w:val="18"/>
          <w:color w:val="auto"/>
        </w:rPr>
      </w:pPr>
    </w:p>
    <w:p>
      <w:pPr>
        <w:jc w:val="both"/>
        <w:ind w:left="2600" w:hanging="486"/>
        <w:spacing w:after="0" w:line="259" w:lineRule="auto"/>
        <w:tabs>
          <w:tab w:leader="none" w:pos="2610" w:val="left"/>
        </w:tabs>
        <w:numPr>
          <w:ilvl w:val="2"/>
          <w:numId w:val="24"/>
        </w:numPr>
        <w:rPr>
          <w:rFonts w:ascii="Arial" w:cs="Arial" w:eastAsia="Arial" w:hAnsi="Arial"/>
          <w:sz w:val="18"/>
          <w:szCs w:val="18"/>
          <w:color w:val="auto"/>
        </w:rPr>
      </w:pPr>
      <w:r>
        <w:rPr>
          <w:rFonts w:ascii="Arial" w:cs="Arial" w:eastAsia="Arial" w:hAnsi="Arial"/>
          <w:sz w:val="18"/>
          <w:szCs w:val="18"/>
          <w:color w:val="auto"/>
        </w:rPr>
        <w:t>for the fiscal quarters ending September 30, 2020 through June 30, 2021, Covenant EBITDA, after deducting capital expenditures, dividends, and share repurchases in excess of $7.5 million for the previous four quarters, may not be less than 1.25 times the total of interest expense and cash paid for income taxes over the previous four quarters plus scheduled maturities of certain indebtedness for the next four quarters.</w:t>
      </w:r>
    </w:p>
    <w:p>
      <w:pPr>
        <w:spacing w:after="0" w:line="132" w:lineRule="exact"/>
        <w:rPr>
          <w:rFonts w:ascii="Arial" w:cs="Arial" w:eastAsia="Arial" w:hAnsi="Arial"/>
          <w:sz w:val="18"/>
          <w:szCs w:val="18"/>
          <w:color w:val="auto"/>
        </w:rPr>
      </w:pPr>
    </w:p>
    <w:p>
      <w:pPr>
        <w:ind w:left="2600" w:hanging="486"/>
        <w:spacing w:after="0" w:line="277" w:lineRule="auto"/>
        <w:tabs>
          <w:tab w:leader="none" w:pos="2610" w:val="left"/>
        </w:tabs>
        <w:numPr>
          <w:ilvl w:val="2"/>
          <w:numId w:val="24"/>
        </w:numPr>
        <w:rPr>
          <w:rFonts w:ascii="Arial" w:cs="Arial" w:eastAsia="Arial" w:hAnsi="Arial"/>
          <w:sz w:val="18"/>
          <w:szCs w:val="18"/>
          <w:color w:val="auto"/>
        </w:rPr>
      </w:pPr>
      <w:r>
        <w:rPr>
          <w:rFonts w:ascii="Arial" w:cs="Arial" w:eastAsia="Arial" w:hAnsi="Arial"/>
          <w:sz w:val="18"/>
          <w:szCs w:val="18"/>
          <w:color w:val="auto"/>
        </w:rPr>
        <w:t>for all fiscal quarters ending on or after September 30, 2021, the FCCR is calculated the same except that all share repurchases for the previous four quarters are deducted from Covenant EBITDA.</w:t>
      </w:r>
    </w:p>
    <w:p>
      <w:pPr>
        <w:spacing w:after="0" w:line="116" w:lineRule="exact"/>
        <w:rPr>
          <w:rFonts w:ascii="Arial" w:cs="Arial" w:eastAsia="Arial" w:hAnsi="Arial"/>
          <w:sz w:val="18"/>
          <w:szCs w:val="18"/>
          <w:color w:val="auto"/>
        </w:rPr>
      </w:pPr>
    </w:p>
    <w:p>
      <w:pPr>
        <w:jc w:val="both"/>
        <w:ind w:left="1300" w:hanging="482"/>
        <w:spacing w:after="0" w:line="263"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129" w:lineRule="exact"/>
        <w:rPr>
          <w:rFonts w:ascii="Arial" w:cs="Arial" w:eastAsia="Arial" w:hAnsi="Arial"/>
          <w:sz w:val="18"/>
          <w:szCs w:val="18"/>
          <w:color w:val="auto"/>
        </w:rPr>
      </w:pPr>
    </w:p>
    <w:p>
      <w:pPr>
        <w:ind w:left="1300" w:hanging="48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 repurchases are limited to $30.0 million per calendar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Company is in compliance with all affirmative, negative, and financial covenants under the Credit Agreement.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Covenant EBITDA differs from Adjusted EBITDA, as reported under "Results of Operations - Non-GAAP Financial Measure," primarily because it permits the Company to:</w:t>
      </w:r>
    </w:p>
    <w:p>
      <w:pPr>
        <w:spacing w:after="0" w:line="11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exclude non-cash stock-based compensation expense,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 pro forma EBITDA of acquired businesses as if the acquisition occurred at the beginning of the previous four quarters,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exclude certain other extraordinary items, as defined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Availability at December 31, 2020 and June 30, 2020 under the new and prior senior secured revolving credit facilities, respectively, were as follows: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1100" w:type="dxa"/>
            <w:vAlign w:val="bottom"/>
          </w:tcPr>
          <w:p>
            <w:pPr>
              <w:jc w:val="right"/>
              <w:ind w:right="415"/>
              <w:spacing w:after="0"/>
              <w:rPr>
                <w:sz w:val="20"/>
                <w:szCs w:val="20"/>
                <w:color w:val="auto"/>
              </w:rPr>
            </w:pPr>
            <w:r>
              <w:rPr>
                <w:rFonts w:ascii="Arial" w:cs="Arial" w:eastAsia="Arial" w:hAnsi="Arial"/>
                <w:sz w:val="14"/>
                <w:szCs w:val="14"/>
                <w:b w:val="1"/>
                <w:bCs w:val="1"/>
                <w:color w:val="auto"/>
              </w:rPr>
              <w:t>June 30,</w:t>
            </w:r>
          </w:p>
        </w:tc>
      </w:tr>
      <w:tr>
        <w:trPr>
          <w:trHeight w:val="188"/>
        </w:trPr>
        <w:tc>
          <w:tcPr>
            <w:tcW w:w="8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180"/>
        </w:trPr>
        <w:tc>
          <w:tcPr>
            <w:tcW w:w="8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00" w:type="dxa"/>
            <w:vAlign w:val="bottom"/>
          </w:tcPr>
          <w:p>
            <w:pPr>
              <w:spacing w:after="0"/>
              <w:rPr>
                <w:sz w:val="15"/>
                <w:szCs w:val="15"/>
                <w:color w:val="auto"/>
              </w:rPr>
            </w:pPr>
          </w:p>
        </w:tc>
      </w:tr>
      <w:tr>
        <w:trPr>
          <w:trHeight w:val="233"/>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credit facility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30"/>
        </w:trPr>
        <w:tc>
          <w:tcPr>
            <w:tcW w:w="8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Capacity constraint due to the Leverage Ratio</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131,690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162,864</w:t>
            </w:r>
          </w:p>
        </w:tc>
      </w:tr>
      <w:tr>
        <w:trPr>
          <w:trHeight w:val="223"/>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Capacity under the credit facility</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137,136</w:t>
            </w: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Letters of credit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34,899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34,529</w:t>
            </w:r>
          </w:p>
        </w:tc>
      </w:tr>
      <w:tr>
        <w:trPr>
          <w:trHeight w:val="22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9,208</w:t>
            </w: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Availability under the senior secured revolving credit facility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33,411</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93,399</w:t>
            </w: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Availability under the new $200 million senior secured revolving credit facility at June 30, 2020 would have been same if the Credit Agreement had been in place on such date due to the capacity constraint.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Any future dividend payments will depend on our financial condition, capital requirements and earnings as well as other relevant factors.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November 6, 2018, the Board of Directors approved a stock buyback program (the "November 2018 Program"), which replaced the previous program that had been in place since December 2016 and was set to expire in December 2018. Under the November 2018 Program, the Company may repurchase common stock up to a maximum of $30.0 million per calendar year provided that the aggregate number of shares repurchased may not exceed 10%, or approximately 2.7 million, of the Company's shares outstanding as of November 6, 2018. In addition, the FCCR covenant in our Credit Agreement may limit our ability to repurchase shares. The specific limitations are described in the Senior Secured Revolving Credit Facility section above.</w:t>
      </w:r>
    </w:p>
    <w:p>
      <w:pPr>
        <w:spacing w:after="0" w:line="10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may repurchase its stock from time to time in the open market at prevailing market prices or in privately negotiated transactions and is not obligated to purchase any shares. The November 2018 Program will continue unless and until it is modified or revoked by the Board of Directors. There were 1,349,037 shares available for repurchase under the November 2018 Program as of December 31, 2020.</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had 1,385,257 treasury shares as of December 31, 2020 and intends to utilize these treasury shares in connection with equity awards under the Company’s stock incentive plans and for sales to the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71"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to our business of the COVID-19 pandemic;</w:t>
      </w:r>
    </w:p>
    <w:p>
      <w:pPr>
        <w:spacing w:after="0" w:line="252" w:lineRule="exact"/>
        <w:rPr>
          <w:rFonts w:ascii="Arial" w:cs="Arial" w:eastAsia="Arial" w:hAnsi="Arial"/>
          <w:sz w:val="18"/>
          <w:szCs w:val="18"/>
          <w:color w:val="auto"/>
        </w:rPr>
      </w:pPr>
    </w:p>
    <w:p>
      <w:pPr>
        <w:ind w:left="980" w:right="12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generate sufficient cash from operations, access our credit facility, or raise cash in order to meet our short and long-term capital requirements;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to our business of changes in crude oil, natural gas and other commodity prices;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00" w:lineRule="exact"/>
        <w:rPr>
          <w:sz w:val="20"/>
          <w:szCs w:val="20"/>
          <w:color w:val="auto"/>
        </w:rPr>
      </w:pPr>
    </w:p>
    <w:p>
      <w:pPr>
        <w:spacing w:after="0" w:line="29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214" w:lineRule="exact"/>
        <w:rPr>
          <w:sz w:val="20"/>
          <w:szCs w:val="20"/>
          <w:color w:val="auto"/>
        </w:rPr>
      </w:pPr>
    </w:p>
    <w:p>
      <w:pPr>
        <w:ind w:left="980" w:right="660" w:hanging="324"/>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2020 and listed from time to time in our filings with the Securities and Exchange Commission;</w:t>
      </w:r>
    </w:p>
    <w:p>
      <w:pPr>
        <w:spacing w:after="0" w:line="197"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(including the length and severity of the COVID-19 pandemic) and in the oil, natural gas, power, agricultural and mining industries in particular;</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transition to renewable energy sources and its impact on our current customer base;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under- or over-utilization of our work force;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the commencement of major projects, whether due to COVID-19 concerns, permitting issues or other factors;</w:t>
      </w:r>
    </w:p>
    <w:p>
      <w:pPr>
        <w:spacing w:after="0" w:line="252"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volatility of crude oil, natural gas, and other commodity prices to which our customers' businesses are affected;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adequacy of our reserves for claims and contingencies;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laws or regulations, including the imposition or threatened imposition, cancellation or delay of tariffs on imported goods; and</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2020, filed with the Securities and Exchange Commission. For more information on market risk, see Part II, Item 7A in our fiscal 2020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COVID-19 pandemic, most of the Company's office staff transitioned to remote working environments in March 2020 and remains in that environment through the date of this filing. The Company has assessed the impact of this working arrangement on its internal controls over financial reporting and has determined that, while the manner in which some controls are being performed has changed to accommodate remote work, none of the control activities have changed in substance and the controls are operating effectively.</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December 31, 2020. Based on the foregoing, our Chief Executive Officer and Chief Financial Officer concluded that our disclosure controls and procedures were effective at the reasonable assurance level at December 31, 2020.</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have materially affected, or are reasonably likely to materially affect our internal controls over financial reporting during the quarter ended December 31, 2020.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information with respect to purchases made by the Company of its common stock during the second quarter of fiscal year 2021.</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left="188"/>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0"/>
              </w:rPr>
              <w:t>of Shares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0"/>
              </w:rPr>
              <w:t>Purchased as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6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200" w:type="dxa"/>
            <w:vAlign w:val="bottom"/>
          </w:tcPr>
          <w:p>
            <w:pPr>
              <w:spacing w:after="0"/>
              <w:rPr>
                <w:sz w:val="11"/>
                <w:szCs w:val="11"/>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Average Price</w:t>
            </w: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6"/>
              </w:rPr>
              <w:t>Part of Publicly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0"/>
              </w:rPr>
              <w:t>Announced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7"/>
              </w:rPr>
              <w:t>of Shares</w:t>
            </w:r>
          </w:p>
        </w:tc>
        <w:tc>
          <w:tcPr>
            <w:tcW w:w="200" w:type="dxa"/>
            <w:vAlign w:val="bottom"/>
          </w:tcPr>
          <w:p>
            <w:pPr>
              <w:spacing w:after="0"/>
              <w:rPr>
                <w:sz w:val="11"/>
                <w:szCs w:val="11"/>
                <w:color w:val="auto"/>
              </w:rPr>
            </w:pPr>
          </w:p>
        </w:tc>
        <w:tc>
          <w:tcPr>
            <w:tcW w:w="14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Paid</w:t>
            </w: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0"/>
              </w:rPr>
              <w:t>Plans or</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Per Share</w:t>
            </w:r>
          </w:p>
        </w:tc>
        <w:tc>
          <w:tcPr>
            <w:tcW w:w="1280" w:type="dxa"/>
            <w:vAlign w:val="bottom"/>
          </w:tcPr>
          <w:p>
            <w:pPr>
              <w:jc w:val="center"/>
              <w:ind w:left="188"/>
              <w:spacing w:after="0"/>
              <w:rPr>
                <w:sz w:val="20"/>
                <w:szCs w:val="20"/>
                <w:color w:val="auto"/>
              </w:rPr>
            </w:pPr>
            <w:r>
              <w:rPr>
                <w:rFonts w:ascii="Arial" w:cs="Arial" w:eastAsia="Arial" w:hAnsi="Arial"/>
                <w:sz w:val="14"/>
                <w:szCs w:val="14"/>
                <w:b w:val="1"/>
                <w:bCs w:val="1"/>
                <w:color w:val="auto"/>
                <w:w w:val="94"/>
              </w:rPr>
              <w:t>Programs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 (C)</w:t>
            </w:r>
          </w:p>
        </w:tc>
        <w:tc>
          <w:tcPr>
            <w:tcW w:w="0" w:type="dxa"/>
            <w:vAlign w:val="bottom"/>
          </w:tcPr>
          <w:p>
            <w:pPr>
              <w:spacing w:after="0"/>
              <w:rPr>
                <w:sz w:val="1"/>
                <w:szCs w:val="1"/>
                <w:color w:val="auto"/>
              </w:rPr>
            </w:pPr>
          </w:p>
        </w:tc>
      </w:tr>
      <w:tr>
        <w:trPr>
          <w:trHeight w:val="211"/>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October 1 to October 31, 2020</w:t>
            </w: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340"/>
              <w:spacing w:after="0"/>
              <w:rPr>
                <w:sz w:val="20"/>
                <w:szCs w:val="20"/>
                <w:color w:val="auto"/>
              </w:rPr>
            </w:pPr>
            <w:r>
              <w:rPr>
                <w:rFonts w:ascii="Arial" w:cs="Arial" w:eastAsia="Arial" w:hAnsi="Arial"/>
                <w:sz w:val="18"/>
                <w:szCs w:val="18"/>
                <w:color w:val="auto"/>
              </w:rPr>
              <w:t>Share Repurchase Program (A)</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1,349,037</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Transactions (B)</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November 1 to November 30, 2020</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Repurchase Program (A)</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1,349,037</w:t>
            </w:r>
          </w:p>
        </w:tc>
        <w:tc>
          <w:tcPr>
            <w:tcW w:w="0" w:type="dxa"/>
            <w:vAlign w:val="bottom"/>
          </w:tcPr>
          <w:p>
            <w:pPr>
              <w:spacing w:after="0"/>
              <w:rPr>
                <w:sz w:val="1"/>
                <w:szCs w:val="1"/>
                <w:color w:val="auto"/>
              </w:rPr>
            </w:pPr>
          </w:p>
        </w:tc>
      </w:tr>
      <w:tr>
        <w:trPr>
          <w:trHeight w:val="230"/>
        </w:trPr>
        <w:tc>
          <w:tcPr>
            <w:tcW w:w="4720" w:type="dxa"/>
            <w:vAlign w:val="bottom"/>
          </w:tcPr>
          <w:p>
            <w:pPr>
              <w:ind w:left="340"/>
              <w:spacing w:after="0"/>
              <w:rPr>
                <w:sz w:val="20"/>
                <w:szCs w:val="20"/>
                <w:color w:val="auto"/>
              </w:rPr>
            </w:pPr>
            <w:r>
              <w:rPr>
                <w:rFonts w:ascii="Arial" w:cs="Arial" w:eastAsia="Arial" w:hAnsi="Arial"/>
                <w:sz w:val="18"/>
                <w:szCs w:val="18"/>
                <w:color w:val="auto"/>
              </w:rPr>
              <w:t>Employee Transactions (B)</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1 to December 31, 2020</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340"/>
              <w:spacing w:after="0"/>
              <w:rPr>
                <w:sz w:val="20"/>
                <w:szCs w:val="20"/>
                <w:color w:val="auto"/>
              </w:rPr>
            </w:pPr>
            <w:r>
              <w:rPr>
                <w:rFonts w:ascii="Arial" w:cs="Arial" w:eastAsia="Arial" w:hAnsi="Arial"/>
                <w:sz w:val="18"/>
                <w:szCs w:val="18"/>
                <w:color w:val="auto"/>
              </w:rPr>
              <w:t>Share Repurchase Program (A)</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1,349,037</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Transactions (B)</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60" w:hanging="309"/>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80" w:hanging="329"/>
        <w:spacing w:after="0" w:line="250" w:lineRule="auto"/>
        <w:tabs>
          <w:tab w:leader="none" w:pos="577"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jc w:val="both"/>
        <w:ind w:left="580" w:hanging="329"/>
        <w:spacing w:after="0" w:line="268" w:lineRule="auto"/>
        <w:tabs>
          <w:tab w:leader="none" w:pos="577" w:val="left"/>
        </w:tabs>
        <w:numPr>
          <w:ilvl w:val="0"/>
          <w:numId w:val="28"/>
        </w:numPr>
        <w:rPr>
          <w:rFonts w:ascii="Arial" w:cs="Arial" w:eastAsia="Arial" w:hAnsi="Arial"/>
          <w:sz w:val="17"/>
          <w:szCs w:val="17"/>
          <w:color w:val="auto"/>
        </w:rPr>
      </w:pPr>
      <w:r>
        <w:rPr>
          <w:rFonts w:ascii="Arial" w:cs="Arial" w:eastAsia="Arial" w:hAnsi="Arial"/>
          <w:sz w:val="17"/>
          <w:szCs w:val="17"/>
          <w:color w:val="auto"/>
        </w:rPr>
        <w:t>As described under the caption “Stock Repurchase Program and Treasury Shares” in the Liquidity and Capital Resources section of Part I, Item 2 of this Form 10-Q, on November 6, 2018, the Board of Directors approved a stock buyback program (the “November 2018 Program”), which replaced the December 2016 Program. Under the November 2018 Program, the Company may repurchase common stock up to a maximum of $30.0 million per calendar year provided that the aggregate number of shares repurchased may not exceed 10%, or approximately 2.7 million, of the Company's shares outstanding as of November 6, 2018. In addition, the Company may have to limit share repurchases at times if the repurchases put it at risk of violating the FCCR covenant in the Credit Agreement. The Company may repurchase its stock from time to time in the open market at prevailing market prices or in privately negotiated transactions and is not obligated to purchase any shares. The November 2018 Program will continue unless and until it is modified or revoked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Any future dividend payments will depend on our financial condition, capital requirements and earnings as well as other relevant factors.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documents are included as exhibits to this Quarterly Report on Form 10-Q. Any exhibits below incorporated by reference herein are indicated as such by the information supplied in the parenthetical hereafter.</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504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w:t>
            </w:r>
          </w:p>
        </w:tc>
        <w:tc>
          <w:tcPr>
            <w:tcW w:w="8580" w:type="dxa"/>
            <w:vAlign w:val="bottom"/>
            <w:tcBorders>
              <w:bottom w:val="single" w:sz="8" w:color="0000FF"/>
            </w:tcBorders>
            <w:gridSpan w:val="4"/>
          </w:tcPr>
          <w:p>
            <w:pPr>
              <w:spacing w:after="0"/>
              <w:rPr>
                <w:rFonts w:ascii="Arial" w:cs="Arial" w:eastAsia="Arial" w:hAnsi="Arial"/>
                <w:sz w:val="18"/>
                <w:szCs w:val="18"/>
                <w:color w:val="0000FF"/>
                <w:w w:val="89"/>
              </w:rPr>
            </w:pPr>
            <w:hyperlink r:id="rId70">
              <w:r>
                <w:rPr>
                  <w:rFonts w:ascii="Arial" w:cs="Arial" w:eastAsia="Arial" w:hAnsi="Arial"/>
                  <w:sz w:val="18"/>
                  <w:szCs w:val="18"/>
                  <w:color w:val="0000FF"/>
                  <w:w w:val="89"/>
                </w:rPr>
                <w:t>Fifth Amended and Restated Credit Agreement dated as of November 2, 2020 among the Company and certain various</w:t>
              </w:r>
            </w:hyperlink>
          </w:p>
        </w:tc>
        <w:tc>
          <w:tcPr>
            <w:tcW w:w="560" w:type="dxa"/>
            <w:vAlign w:val="bottom"/>
            <w:gridSpan w:val="3"/>
          </w:tcPr>
          <w:p>
            <w:pPr>
              <w:spacing w:after="0"/>
              <w:rPr>
                <w:sz w:val="18"/>
                <w:szCs w:val="18"/>
                <w:color w:val="auto"/>
              </w:rPr>
            </w:pPr>
          </w:p>
        </w:tc>
      </w:tr>
      <w:tr>
        <w:trPr>
          <w:trHeight w:val="156"/>
        </w:trPr>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140" w:type="dxa"/>
            <w:vAlign w:val="bottom"/>
            <w:gridSpan w:val="7"/>
          </w:tcPr>
          <w:p>
            <w:pPr>
              <w:spacing w:after="0" w:line="156" w:lineRule="exact"/>
              <w:rPr>
                <w:rFonts w:ascii="Arial" w:cs="Arial" w:eastAsia="Arial" w:hAnsi="Arial"/>
                <w:sz w:val="18"/>
                <w:szCs w:val="18"/>
                <w:color w:val="0000FF"/>
                <w:w w:val="94"/>
              </w:rPr>
            </w:pPr>
            <w:hyperlink r:id="rId70">
              <w:r>
                <w:rPr>
                  <w:rFonts w:ascii="Arial" w:cs="Arial" w:eastAsia="Arial" w:hAnsi="Arial"/>
                  <w:sz w:val="18"/>
                  <w:szCs w:val="18"/>
                  <w:color w:val="0000FF"/>
                  <w:w w:val="94"/>
                </w:rPr>
                <w:t>foreign subsidiaries, as Borrowers, various subsidiaries of the Company, as Guarantors, JPMorgan Chase Bank, N.A., as</w:t>
              </w:r>
            </w:hyperlink>
          </w:p>
        </w:tc>
      </w:tr>
      <w:tr>
        <w:trPr>
          <w:trHeight w:val="156"/>
        </w:trPr>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80" w:type="dxa"/>
            <w:vAlign w:val="bottom"/>
            <w:tcBorders>
              <w:top w:val="single" w:sz="8" w:color="0000FF"/>
            </w:tcBorders>
            <w:gridSpan w:val="5"/>
          </w:tcPr>
          <w:p>
            <w:pPr>
              <w:spacing w:after="0" w:line="15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Administrative Agent, Lead Arranger and Sole Bookrunner, and the other lenders party thereto (filed as Exhibit 10.1 to</w:t>
              </w:r>
            </w:hyperlink>
          </w:p>
        </w:tc>
        <w:tc>
          <w:tcPr>
            <w:tcW w:w="460" w:type="dxa"/>
            <w:vAlign w:val="bottom"/>
            <w:gridSpan w:val="2"/>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our</w:t>
              </w:r>
            </w:hyperlink>
          </w:p>
        </w:tc>
      </w:tr>
      <w:tr>
        <w:trPr>
          <w:trHeight w:val="156"/>
        </w:trPr>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6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Quarterly Report on Form 10-Q filed on November 5, 2020 and incorporated by reference herein).</w:t>
              </w:r>
            </w:hyperlink>
          </w:p>
        </w:tc>
        <w:tc>
          <w:tcPr>
            <w:tcW w:w="280" w:type="dxa"/>
            <w:vAlign w:val="bottom"/>
          </w:tcPr>
          <w:p>
            <w:pPr>
              <w:spacing w:after="0"/>
              <w:rPr>
                <w:sz w:val="13"/>
                <w:szCs w:val="13"/>
                <w:color w:val="auto"/>
              </w:rPr>
            </w:pPr>
          </w:p>
        </w:tc>
      </w:tr>
      <w:tr>
        <w:trPr>
          <w:trHeight w:val="304"/>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31.1:</w:t>
            </w:r>
          </w:p>
        </w:tc>
        <w:tc>
          <w:tcPr>
            <w:tcW w:w="7080" w:type="dxa"/>
            <w:vAlign w:val="bottom"/>
            <w:tcBorders>
              <w:top w:val="single" w:sz="8" w:color="0000FF"/>
            </w:tcBorders>
            <w:gridSpan w:val="3"/>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Certification Pursuant to Section 302 of Sarbanes-Oxley Act of 2002 – CEO.</w:t>
              </w:r>
            </w:hyperlink>
          </w:p>
        </w:tc>
        <w:tc>
          <w:tcPr>
            <w:tcW w:w="2060" w:type="dxa"/>
            <w:vAlign w:val="bottom"/>
            <w:gridSpan w:val="4"/>
          </w:tcPr>
          <w:p>
            <w:pPr>
              <w:spacing w:after="0"/>
              <w:rPr>
                <w:sz w:val="24"/>
                <w:szCs w:val="24"/>
                <w:color w:val="auto"/>
              </w:rPr>
            </w:pP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31.2:</w:t>
            </w:r>
          </w:p>
        </w:tc>
        <w:tc>
          <w:tcPr>
            <w:tcW w:w="9140" w:type="dxa"/>
            <w:vAlign w:val="bottom"/>
            <w:gridSpan w:val="7"/>
          </w:tcPr>
          <w:p>
            <w:pPr>
              <w:spacing w:after="0"/>
              <w:rPr>
                <w:rFonts w:ascii="Arial" w:cs="Arial" w:eastAsia="Arial" w:hAnsi="Arial"/>
                <w:sz w:val="18"/>
                <w:szCs w:val="18"/>
                <w:color w:val="0000FF"/>
              </w:rPr>
            </w:pPr>
            <w:hyperlink w:anchor="page46">
              <w:r>
                <w:rPr>
                  <w:rFonts w:ascii="Arial" w:cs="Arial" w:eastAsia="Arial" w:hAnsi="Arial"/>
                  <w:sz w:val="18"/>
                  <w:szCs w:val="18"/>
                  <w:u w:val="single" w:color="auto"/>
                  <w:color w:val="0000FF"/>
                </w:rPr>
                <w:t>Certification Pursuant to Section 302 of Sarbanes-Oxley Act of 2002 – CFO</w:t>
              </w:r>
              <w:r>
                <w:rPr>
                  <w:rFonts w:ascii="Arial" w:cs="Arial" w:eastAsia="Arial" w:hAnsi="Arial"/>
                  <w:sz w:val="18"/>
                  <w:szCs w:val="18"/>
                  <w:color w:val="0000FF"/>
                </w:rPr>
                <w:t>.</w:t>
              </w:r>
            </w:hyperlink>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32.1:</w:t>
            </w:r>
          </w:p>
        </w:tc>
        <w:tc>
          <w:tcPr>
            <w:tcW w:w="9140" w:type="dxa"/>
            <w:vAlign w:val="bottom"/>
            <w:gridSpan w:val="7"/>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Certification Pursuant to 18 U.S.C. 1350 (section 906 of Sarbanes-Oxley Act of 2002) – CEO.</w:t>
              </w:r>
            </w:hyperlink>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32.2:</w:t>
            </w:r>
          </w:p>
        </w:tc>
        <w:tc>
          <w:tcPr>
            <w:tcW w:w="9140" w:type="dxa"/>
            <w:vAlign w:val="bottom"/>
            <w:gridSpan w:val="7"/>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Certification Pursuant to 18 U.S.C. 1350 (section 906 of Sarbanes-Oxley Act of 2002) – CFO.</w:t>
              </w:r>
            </w:hyperlink>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95:</w:t>
            </w:r>
          </w:p>
        </w:tc>
        <w:tc>
          <w:tcPr>
            <w:tcW w:w="9140" w:type="dxa"/>
            <w:vAlign w:val="bottom"/>
            <w:gridSpan w:val="7"/>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Mine Safety Disclosure.</w:t>
              </w:r>
            </w:hyperlink>
          </w:p>
        </w:tc>
      </w:tr>
      <w:tr>
        <w:trPr>
          <w:trHeight w:val="230"/>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101.INS:</w:t>
            </w:r>
          </w:p>
        </w:tc>
        <w:tc>
          <w:tcPr>
            <w:tcW w:w="9140" w:type="dxa"/>
            <w:vAlign w:val="bottom"/>
            <w:gridSpan w:val="7"/>
          </w:tcPr>
          <w:p>
            <w:pPr>
              <w:spacing w:after="0"/>
              <w:rPr>
                <w:sz w:val="20"/>
                <w:szCs w:val="20"/>
                <w:color w:val="auto"/>
              </w:rPr>
            </w:pPr>
            <w:r>
              <w:rPr>
                <w:rFonts w:ascii="Arial" w:cs="Arial" w:eastAsia="Arial" w:hAnsi="Arial"/>
                <w:sz w:val="18"/>
                <w:szCs w:val="18"/>
                <w:color w:val="auto"/>
                <w:w w:val="93"/>
              </w:rPr>
              <w:t>XBRL Instance Document - the instance document does not appear in the Interactive Data File because its XBRL tags are</w:t>
            </w:r>
          </w:p>
        </w:tc>
      </w:tr>
      <w:tr>
        <w:trPr>
          <w:trHeight w:val="230"/>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140" w:type="dxa"/>
            <w:vAlign w:val="bottom"/>
            <w:gridSpan w:val="7"/>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101.SCH:</w:t>
            </w:r>
          </w:p>
        </w:tc>
        <w:tc>
          <w:tcPr>
            <w:tcW w:w="9140" w:type="dxa"/>
            <w:vAlign w:val="bottom"/>
            <w:gridSpan w:val="7"/>
          </w:tcPr>
          <w:p>
            <w:pPr>
              <w:spacing w:after="0"/>
              <w:rPr>
                <w:sz w:val="20"/>
                <w:szCs w:val="20"/>
                <w:color w:val="auto"/>
              </w:rPr>
            </w:pPr>
            <w:r>
              <w:rPr>
                <w:rFonts w:ascii="Arial" w:cs="Arial" w:eastAsia="Arial" w:hAnsi="Arial"/>
                <w:sz w:val="18"/>
                <w:szCs w:val="18"/>
                <w:color w:val="auto"/>
              </w:rPr>
              <w:t>XBRL Taxonomy Schema Document.</w:t>
            </w:r>
          </w:p>
        </w:tc>
      </w:tr>
      <w:tr>
        <w:trPr>
          <w:trHeight w:val="284"/>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101.CAL:</w:t>
            </w:r>
          </w:p>
        </w:tc>
        <w:tc>
          <w:tcPr>
            <w:tcW w:w="914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101.DEF:</w:t>
            </w:r>
          </w:p>
        </w:tc>
        <w:tc>
          <w:tcPr>
            <w:tcW w:w="914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101.LAB:</w:t>
            </w:r>
          </w:p>
        </w:tc>
        <w:tc>
          <w:tcPr>
            <w:tcW w:w="9140" w:type="dxa"/>
            <w:vAlign w:val="bottom"/>
            <w:gridSpan w:val="7"/>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101.PRE:</w:t>
            </w:r>
          </w:p>
        </w:tc>
        <w:tc>
          <w:tcPr>
            <w:tcW w:w="914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104</w:t>
            </w:r>
          </w:p>
        </w:tc>
        <w:tc>
          <w:tcPr>
            <w:tcW w:w="914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918"/>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00" w:type="dxa"/>
            <w:vAlign w:val="bottom"/>
          </w:tcPr>
          <w:p>
            <w:pPr>
              <w:ind w:left="3380"/>
              <w:spacing w:after="0"/>
              <w:rPr>
                <w:sz w:val="20"/>
                <w:szCs w:val="20"/>
                <w:color w:val="auto"/>
              </w:rPr>
            </w:pPr>
            <w:r>
              <w:rPr>
                <w:rFonts w:ascii="Arial" w:cs="Arial" w:eastAsia="Arial" w:hAnsi="Arial"/>
                <w:sz w:val="18"/>
                <w:szCs w:val="18"/>
                <w:color w:val="auto"/>
              </w:rPr>
              <w:t>-41-</w:t>
            </w:r>
          </w:p>
        </w:tc>
        <w:tc>
          <w:tcPr>
            <w:tcW w:w="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5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MATRIX SERVICE COMPANY</w:t>
      </w:r>
    </w:p>
    <w:p>
      <w:pPr>
        <w:spacing w:after="0" w:line="81" w:lineRule="exact"/>
        <w:rPr>
          <w:sz w:val="20"/>
          <w:szCs w:val="20"/>
          <w:color w:val="auto"/>
        </w:rPr>
      </w:pPr>
    </w:p>
    <w:p>
      <w:pPr>
        <w:ind w:left="20"/>
        <w:spacing w:after="0"/>
        <w:tabs>
          <w:tab w:leader="none" w:pos="600" w:val="left"/>
          <w:tab w:leader="none" w:pos="4680" w:val="left"/>
        </w:tabs>
        <w:rPr>
          <w:sz w:val="20"/>
          <w:szCs w:val="20"/>
          <w:color w:val="auto"/>
        </w:rPr>
      </w:pPr>
      <w:r>
        <w:rPr>
          <w:rFonts w:ascii="Arial" w:cs="Arial" w:eastAsia="Arial" w:hAnsi="Arial"/>
          <w:sz w:val="18"/>
          <w:szCs w:val="18"/>
          <w:color w:val="auto"/>
        </w:rPr>
        <w:t>Date:</w:t>
        <w:tab/>
        <w:t>February 9, 2021</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14605</wp:posOffset>
            </wp:positionV>
            <wp:extent cx="41402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6" w:lineRule="exact"/>
        <w:rPr>
          <w:sz w:val="20"/>
          <w:szCs w:val="20"/>
          <w:color w:val="auto"/>
        </w:rPr>
      </w:pPr>
    </w:p>
    <w:p>
      <w:pPr>
        <w:ind w:left="4700" w:right="380"/>
        <w:spacing w:after="0" w:line="235"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368"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jc w:val="both"/>
        <w:ind w:left="980" w:right="60" w:hanging="324"/>
        <w:spacing w:after="0" w:line="263"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80" w:hanging="324"/>
        <w:spacing w:after="0" w:line="263"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620" w:right="20" w:hanging="640"/>
        <w:spacing w:after="0" w:line="286" w:lineRule="auto"/>
        <w:tabs>
          <w:tab w:leader="none" w:pos="161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80" w:hanging="640"/>
        <w:spacing w:after="0" w:line="263" w:lineRule="auto"/>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620" w:right="180" w:hanging="640"/>
        <w:spacing w:after="0" w:line="263" w:lineRule="auto"/>
        <w:tabs>
          <w:tab w:leader="none" w:pos="16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620" w:right="280" w:hanging="640"/>
        <w:spacing w:after="0" w:line="286" w:lineRule="auto"/>
        <w:tabs>
          <w:tab w:leader="none" w:pos="16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980" w:right="140" w:hanging="324"/>
        <w:spacing w:after="0" w:line="342"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140" w:hanging="640"/>
        <w:spacing w:after="0" w:line="342" w:lineRule="auto"/>
        <w:tabs>
          <w:tab w:leader="none" w:pos="161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420" w:hanging="640"/>
        <w:spacing w:after="0" w:line="277" w:lineRule="auto"/>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February 9, 2021</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713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R. Hewitt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jc w:val="both"/>
        <w:ind w:left="980" w:right="60" w:hanging="324"/>
        <w:spacing w:after="0" w:line="263"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80" w:hanging="324"/>
        <w:spacing w:after="0" w:line="263"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620" w:right="20" w:hanging="640"/>
        <w:spacing w:after="0" w:line="286" w:lineRule="auto"/>
        <w:tabs>
          <w:tab w:leader="none" w:pos="161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80" w:hanging="640"/>
        <w:spacing w:after="0" w:line="263" w:lineRule="auto"/>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620" w:right="180" w:hanging="640"/>
        <w:spacing w:after="0" w:line="263" w:lineRule="auto"/>
        <w:tabs>
          <w:tab w:leader="none" w:pos="161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620" w:right="280" w:hanging="640"/>
        <w:spacing w:after="0" w:line="286" w:lineRule="auto"/>
        <w:tabs>
          <w:tab w:leader="none" w:pos="16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980" w:right="140" w:hanging="324"/>
        <w:spacing w:after="0" w:line="342"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140" w:hanging="640"/>
        <w:spacing w:after="0" w:line="342" w:lineRule="auto"/>
        <w:tabs>
          <w:tab w:leader="none" w:pos="161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420" w:hanging="640"/>
        <w:spacing w:after="0" w:line="277" w:lineRule="auto"/>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February 9, 2021</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December 31, 2020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92"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300" w:right="280" w:hanging="644"/>
        <w:spacing w:after="0" w:line="277" w:lineRule="auto"/>
        <w:tabs>
          <w:tab w:leader="none" w:pos="12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February 9, 2021</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713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R. Hewitt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Matrix Service Company (the “Company”) on Form 10-Q for the period ending December 31, 2020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76"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300" w:right="280" w:hanging="644"/>
        <w:spacing w:after="0" w:line="277" w:lineRule="auto"/>
        <w:tabs>
          <w:tab w:leader="none" w:pos="12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February 9, 2021</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95</w:t>
      </w:r>
    </w:p>
    <w:p>
      <w:pPr>
        <w:spacing w:after="0" w:line="200" w:lineRule="exact"/>
        <w:rPr>
          <w:sz w:val="20"/>
          <w:szCs w:val="20"/>
          <w:color w:val="auto"/>
        </w:rPr>
      </w:pPr>
    </w:p>
    <w:p>
      <w:pPr>
        <w:spacing w:after="0" w:line="3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December 31, 2020:</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980" w:type="dxa"/>
            <w:vAlign w:val="bottom"/>
            <w:tcBorders>
              <w:top w:val="single" w:sz="8" w:color="auto"/>
              <w:left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Received</w:t>
            </w:r>
          </w:p>
        </w:tc>
        <w:tc>
          <w:tcPr>
            <w:tcW w:w="9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Received Notice</w:t>
            </w:r>
          </w:p>
        </w:tc>
        <w:tc>
          <w:tcPr>
            <w:tcW w:w="8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Total Number</w:t>
            </w:r>
          </w:p>
        </w:tc>
        <w:tc>
          <w:tcPr>
            <w:tcW w:w="86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2"/>
              </w:rPr>
              <w:t>Notice of</w:t>
            </w:r>
          </w:p>
        </w:tc>
        <w:tc>
          <w:tcPr>
            <w:tcW w:w="92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Mine or Operating</w:t>
            </w:r>
          </w:p>
        </w:tc>
        <w:tc>
          <w:tcPr>
            <w:tcW w:w="8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2"/>
              </w:rPr>
              <w:t>Section</w:t>
            </w:r>
          </w:p>
        </w:tc>
        <w:tc>
          <w:tcPr>
            <w:tcW w:w="9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Total Dollar Value</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Total Number</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7"/>
              </w:rPr>
              <w:t>Pattern of</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of Potential to</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1"/>
              </w:rPr>
              <w:t>of Legal</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8"/>
              </w:rPr>
              <w:t>Total Number of</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Total Number of</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7"/>
              </w:rPr>
              <w:t>Section</w:t>
            </w:r>
          </w:p>
        </w:tc>
        <w:tc>
          <w:tcPr>
            <w:tcW w:w="104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2"/>
              </w:rPr>
              <w:t>Violations</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8"/>
              </w:rPr>
              <w:t>Have Pattern of</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8"/>
              </w:rPr>
              <w:t>Actions</w:t>
            </w:r>
          </w:p>
        </w:tc>
        <w:tc>
          <w:tcPr>
            <w:tcW w:w="86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3"/>
              </w:rPr>
              <w:t>Name/MSHA</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Section 104</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Section 104(b)</w:t>
            </w:r>
          </w:p>
        </w:tc>
        <w:tc>
          <w:tcPr>
            <w:tcW w:w="7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4"/>
              </w:rPr>
              <w:t>104(d)</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Section 110(b)(2)</w:t>
            </w:r>
          </w:p>
        </w:tc>
        <w:tc>
          <w:tcPr>
            <w:tcW w:w="72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5"/>
              </w:rPr>
              <w:t>of MSHA</w:t>
            </w:r>
          </w:p>
        </w:tc>
        <w:tc>
          <w:tcPr>
            <w:tcW w:w="8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4"/>
              </w:rPr>
              <w:t>of Mining</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8"/>
              </w:rPr>
              <w:t>Under Section</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1"/>
              </w:rPr>
              <w:t>Violations Under</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Pending as of</w:t>
            </w:r>
          </w:p>
        </w:tc>
        <w:tc>
          <w:tcPr>
            <w:tcW w:w="8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3"/>
              </w:rPr>
              <w:t>Legal Actions</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0"/>
              </w:rPr>
              <w:t>Legal Actions</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3"/>
              </w:rPr>
              <w:t>Identification</w:t>
            </w:r>
          </w:p>
        </w:tc>
        <w:tc>
          <w:tcPr>
            <w:tcW w:w="86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0"/>
              </w:rPr>
              <w:t>Citations and</w:t>
            </w:r>
          </w:p>
        </w:tc>
        <w:tc>
          <w:tcPr>
            <w:tcW w:w="9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7"/>
              </w:rPr>
              <w:t>107(a)</w:t>
            </w:r>
          </w:p>
        </w:tc>
        <w:tc>
          <w:tcPr>
            <w:tcW w:w="10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2"/>
              </w:rPr>
              <w:t>Assessments</w:t>
            </w:r>
          </w:p>
        </w:tc>
        <w:tc>
          <w:tcPr>
            <w:tcW w:w="8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Related</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104(e)</w:t>
            </w:r>
            <w:r>
              <w:rPr>
                <w:rFonts w:ascii="Arial" w:cs="Arial" w:eastAsia="Arial" w:hAnsi="Arial"/>
                <w:sz w:val="7"/>
                <w:szCs w:val="7"/>
                <w:color w:val="auto"/>
                <w:w w:val="89"/>
              </w:rPr>
              <w:t>(6)</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Section 104(e)</w:t>
            </w:r>
            <w:r>
              <w:rPr>
                <w:rFonts w:ascii="Arial" w:cs="Arial" w:eastAsia="Arial" w:hAnsi="Arial"/>
                <w:sz w:val="7"/>
                <w:szCs w:val="7"/>
                <w:color w:val="auto"/>
                <w:w w:val="89"/>
              </w:rPr>
              <w:t>(7)</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3"/>
              </w:rPr>
              <w:t>Last Day of</w:t>
            </w:r>
          </w:p>
        </w:tc>
        <w:tc>
          <w:tcPr>
            <w:tcW w:w="8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4"/>
              </w:rPr>
              <w:t>Initiated During</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8"/>
              </w:rPr>
              <w:t>Resolved During</w:t>
            </w:r>
          </w:p>
        </w:tc>
        <w:tc>
          <w:tcPr>
            <w:tcW w:w="0" w:type="dxa"/>
            <w:vAlign w:val="bottom"/>
          </w:tcPr>
          <w:p>
            <w:pPr>
              <w:spacing w:after="0"/>
              <w:rPr>
                <w:sz w:val="1"/>
                <w:szCs w:val="1"/>
                <w:color w:val="auto"/>
              </w:rPr>
            </w:pPr>
          </w:p>
        </w:tc>
      </w:tr>
      <w:tr>
        <w:trPr>
          <w:trHeight w:val="136"/>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Number</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S&amp;S Citations</w:t>
            </w:r>
            <w:r>
              <w:rPr>
                <w:rFonts w:ascii="Arial" w:cs="Arial" w:eastAsia="Arial" w:hAnsi="Arial"/>
                <w:sz w:val="7"/>
                <w:szCs w:val="7"/>
                <w:color w:val="auto"/>
                <w:w w:val="91"/>
              </w:rPr>
              <w:t>(1)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5"/>
              </w:rPr>
              <w:t>Orders</w:t>
            </w:r>
            <w:r>
              <w:rPr>
                <w:rFonts w:ascii="Arial" w:cs="Arial" w:eastAsia="Arial" w:hAnsi="Arial"/>
                <w:sz w:val="7"/>
                <w:szCs w:val="7"/>
                <w:color w:val="auto"/>
                <w:w w:val="85"/>
              </w:rPr>
              <w:t>(2)</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Orders</w:t>
            </w:r>
            <w:r>
              <w:rPr>
                <w:rFonts w:ascii="Arial" w:cs="Arial" w:eastAsia="Arial" w:hAnsi="Arial"/>
                <w:sz w:val="7"/>
                <w:szCs w:val="7"/>
                <w:color w:val="auto"/>
                <w:w w:val="89"/>
              </w:rPr>
              <w:t>(3)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Violations</w:t>
            </w:r>
            <w:r>
              <w:rPr>
                <w:rFonts w:ascii="Arial" w:cs="Arial" w:eastAsia="Arial" w:hAnsi="Arial"/>
                <w:sz w:val="7"/>
                <w:szCs w:val="7"/>
                <w:color w:val="auto"/>
                <w:w w:val="92"/>
              </w:rPr>
              <w:t>(4)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Orders</w:t>
            </w:r>
            <w:r>
              <w:rPr>
                <w:rFonts w:ascii="Arial" w:cs="Arial" w:eastAsia="Arial" w:hAnsi="Arial"/>
                <w:sz w:val="7"/>
                <w:szCs w:val="7"/>
                <w:color w:val="auto"/>
                <w:w w:val="89"/>
              </w:rPr>
              <w:t>(5)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4"/>
              </w:rPr>
              <w:t>Proposed ($)</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Fatalities</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Period</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0" w:type="dxa"/>
            <w:vAlign w:val="bottom"/>
          </w:tcPr>
          <w:p>
            <w:pPr>
              <w:spacing w:after="0"/>
              <w:rPr>
                <w:sz w:val="1"/>
                <w:szCs w:val="1"/>
                <w:color w:val="auto"/>
              </w:rPr>
            </w:pPr>
          </w:p>
        </w:tc>
      </w:tr>
      <w:tr>
        <w:trPr>
          <w:trHeight w:val="63"/>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980" w:type="dxa"/>
            <w:vAlign w:val="bottom"/>
            <w:tcBorders>
              <w:left w:val="single" w:sz="8" w:color="auto"/>
              <w:right w:val="single" w:sz="8" w:color="auto"/>
            </w:tcBorders>
          </w:tcPr>
          <w:p>
            <w:pPr>
              <w:jc w:val="center"/>
              <w:spacing w:after="0" w:line="105" w:lineRule="exact"/>
              <w:rPr>
                <w:sz w:val="20"/>
                <w:szCs w:val="20"/>
                <w:color w:val="auto"/>
              </w:rPr>
            </w:pPr>
            <w:r>
              <w:rPr>
                <w:rFonts w:ascii="Arial" w:cs="Arial" w:eastAsia="Arial" w:hAnsi="Arial"/>
                <w:sz w:val="11"/>
                <w:szCs w:val="11"/>
                <w:color w:val="auto"/>
                <w:w w:val="90"/>
              </w:rPr>
              <w:t>Castle Mountain</w:t>
            </w:r>
          </w:p>
        </w:tc>
        <w:tc>
          <w:tcPr>
            <w:tcW w:w="8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3"/>
              </w:rPr>
              <w:t>Gold Mine,</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5"/>
              </w:rPr>
              <w:t>No</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1"/>
              </w:rPr>
              <w:t>Equinox Gold 04-</w:t>
            </w:r>
          </w:p>
        </w:tc>
        <w:tc>
          <w:tcPr>
            <w:tcW w:w="86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04918</w:t>
            </w: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60" w:right="160" w:hanging="252"/>
        <w:spacing w:after="0" w:line="273" w:lineRule="auto"/>
        <w:tabs>
          <w:tab w:leader="none" w:pos="221"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spacing w:after="0" w:line="119" w:lineRule="exact"/>
        <w:rPr>
          <w:rFonts w:ascii="Arial" w:cs="Arial" w:eastAsia="Arial" w:hAnsi="Arial"/>
          <w:sz w:val="14"/>
          <w:szCs w:val="14"/>
          <w:color w:val="auto"/>
        </w:rPr>
      </w:pPr>
    </w:p>
    <w:p>
      <w:pPr>
        <w:ind w:left="220" w:hanging="212"/>
        <w:spacing w:after="0"/>
        <w:tabs>
          <w:tab w:leader="none" w:pos="2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 a failure to abate a citation under section 104(a) within the period of time prescribed by MSHA.</w:t>
      </w:r>
    </w:p>
    <w:p>
      <w:pPr>
        <w:spacing w:after="0" w:line="174" w:lineRule="exact"/>
        <w:rPr>
          <w:rFonts w:ascii="Arial" w:cs="Arial" w:eastAsia="Arial" w:hAnsi="Arial"/>
          <w:sz w:val="13"/>
          <w:szCs w:val="13"/>
          <w:color w:val="auto"/>
        </w:rPr>
      </w:pPr>
    </w:p>
    <w:p>
      <w:pPr>
        <w:ind w:left="220" w:hanging="212"/>
        <w:spacing w:after="0"/>
        <w:tabs>
          <w:tab w:leader="none" w:pos="2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240"/>
      </w:cols>
      <w:pgMar w:left="320" w:top="10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lvl w:ilvl="1">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upperLetter"/>
      <w:start w:val="1"/>
    </w:lvl>
  </w:abstractNum>
  <w:abstractNum w:abstractNumId="28">
    <w:nsid w:val="7C3DBD3D"/>
    <w:multiLevelType w:val="hybridMultilevel"/>
    <w:lvl w:ilvl="0">
      <w:lvlJc w:val="left"/>
      <w:lvlText w:val="%1."/>
      <w:numFmt w:val="decimal"/>
      <w:start w:val="1"/>
    </w:lvl>
    <w:lvl w:ilvl="1">
      <w:lvlJc w:val="left"/>
      <w:lvlText w:val="%2."/>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0" Type="http://schemas.openxmlformats.org/officeDocument/2006/relationships/hyperlink" Target="http://www.sec.gov/Archives/edgar/data/866273/000086627320000135/exhibit101-fifthamend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2021-02-09T14:08:07Z</dcterms:created>
  <dcterms:modified xsi:type="dcterms:W3CDTF">2021-02-09T14:08:07Z</dcterms:modified>
</cp:coreProperties>
</file>